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1447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1447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1447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1447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14478" w:rsidTr="002E5576">
        <w:tc>
          <w:tcPr>
            <w:tcW w:w="4518" w:type="dxa"/>
          </w:tcPr>
          <w:p w:rsidR="00BF25F3" w:rsidRPr="002E2327" w:rsidRDefault="00A4467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4467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1447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1447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714478">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714478">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13FF3"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Pr>
          <w:lang w:val="fr-CA"/>
        </w:rPr>
        <w:t>24</w:t>
      </w:r>
      <w:r w:rsidR="00440E24" w:rsidRPr="00675479">
        <w:rPr>
          <w:lang w:val="fr-CA"/>
        </w:rPr>
        <w:t>, 201</w:t>
      </w:r>
      <w:r w:rsidR="00501F3C">
        <w:rPr>
          <w:lang w:val="fr-CA"/>
        </w:rPr>
        <w:t>4</w:t>
      </w:r>
      <w:r w:rsidR="00F0068D" w:rsidRPr="00675479">
        <w:rPr>
          <w:lang w:val="fr-CA"/>
        </w:rPr>
        <w:tab/>
        <w:t>1</w:t>
      </w:r>
      <w:r>
        <w:rPr>
          <w:lang w:val="fr-CA"/>
        </w:rPr>
        <w:t>629</w:t>
      </w:r>
      <w:r w:rsidR="00F0068D" w:rsidRPr="00675479">
        <w:rPr>
          <w:lang w:val="fr-CA"/>
        </w:rPr>
        <w:t xml:space="preserve"> - </w:t>
      </w:r>
      <w:r w:rsidR="007514E1">
        <w:rPr>
          <w:lang w:val="fr-CA"/>
        </w:rPr>
        <w:t>1688</w:t>
      </w:r>
      <w:r w:rsidR="00440E24" w:rsidRPr="00675479">
        <w:rPr>
          <w:lang w:val="fr-CA"/>
        </w:rPr>
        <w:tab/>
      </w:r>
      <w:r w:rsidR="00440E24" w:rsidRPr="002E2327">
        <w:rPr>
          <w:lang w:val="fr-CA"/>
        </w:rPr>
        <w:t>Le</w:t>
      </w:r>
      <w:r w:rsidR="00C73D06">
        <w:rPr>
          <w:lang w:val="fr-CA"/>
        </w:rPr>
        <w:t xml:space="preserve"> </w:t>
      </w:r>
      <w:r>
        <w:rPr>
          <w:lang w:val="fr-CA"/>
        </w:rPr>
        <w:t>24</w:t>
      </w:r>
      <w:r w:rsidR="00C73D06">
        <w:rPr>
          <w:lang w:val="fr-CA"/>
        </w:rPr>
        <w:t xml:space="preserve"> </w:t>
      </w:r>
      <w:r>
        <w:rPr>
          <w:lang w:val="fr-CA"/>
        </w:rPr>
        <w:t>octob</w:t>
      </w:r>
      <w:r w:rsidR="00C73D06">
        <w:rPr>
          <w:lang w:val="fr-CA"/>
        </w:rPr>
        <w:t>r</w:t>
      </w:r>
      <w:r>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71447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Default="0008012F" w:rsidP="0095096B">
            <w:pPr>
              <w:tabs>
                <w:tab w:val="right" w:pos="9360"/>
              </w:tabs>
              <w:rPr>
                <w:rFonts w:cs="Times New Roman"/>
                <w:sz w:val="20"/>
                <w:szCs w:val="20"/>
              </w:rPr>
            </w:pPr>
            <w:r w:rsidRPr="002E2327">
              <w:rPr>
                <w:rFonts w:cs="Times New Roman"/>
                <w:sz w:val="20"/>
                <w:szCs w:val="20"/>
              </w:rPr>
              <w:t>I</w:t>
            </w:r>
            <w:r w:rsidR="0095096B" w:rsidRPr="002E2327">
              <w:rPr>
                <w:rFonts w:cs="Times New Roman"/>
                <w:sz w:val="20"/>
                <w:szCs w:val="20"/>
              </w:rPr>
              <w:t>ssue</w:t>
            </w:r>
          </w:p>
          <w:p w:rsidR="0008012F" w:rsidRPr="002E2327" w:rsidRDefault="0008012F" w:rsidP="0095096B">
            <w:pPr>
              <w:tabs>
                <w:tab w:val="right" w:pos="9360"/>
              </w:tabs>
              <w:rPr>
                <w:rFonts w:cs="Times New Roman"/>
                <w:sz w:val="20"/>
                <w:szCs w:val="20"/>
              </w:rPr>
            </w:pPr>
          </w:p>
          <w:p w:rsidR="0095096B"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08012F" w:rsidRPr="002E2327" w:rsidRDefault="0008012F"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08012F">
            <w:pPr>
              <w:tabs>
                <w:tab w:val="right" w:pos="9360"/>
              </w:tabs>
              <w:rPr>
                <w:rFonts w:cs="Times New Roman"/>
                <w:sz w:val="20"/>
                <w:szCs w:val="20"/>
              </w:rPr>
            </w:pPr>
          </w:p>
        </w:tc>
        <w:tc>
          <w:tcPr>
            <w:tcW w:w="1980" w:type="dxa"/>
          </w:tcPr>
          <w:p w:rsidR="0095096B" w:rsidRPr="002E2327" w:rsidRDefault="0008012F" w:rsidP="0095096B">
            <w:pPr>
              <w:jc w:val="center"/>
              <w:rPr>
                <w:rFonts w:cs="Times New Roman"/>
                <w:sz w:val="20"/>
                <w:szCs w:val="20"/>
              </w:rPr>
            </w:pPr>
            <w:r>
              <w:rPr>
                <w:rFonts w:cs="Times New Roman"/>
                <w:sz w:val="20"/>
                <w:szCs w:val="20"/>
              </w:rPr>
              <w:t xml:space="preserve">1629 </w:t>
            </w:r>
            <w:r w:rsidR="00A4467E" w:rsidRPr="002E2327">
              <w:rPr>
                <w:rFonts w:cs="Times New Roman"/>
                <w:sz w:val="20"/>
                <w:szCs w:val="20"/>
              </w:rPr>
              <w:fldChar w:fldCharType="begin"/>
            </w:r>
            <w:r w:rsidR="0095096B" w:rsidRPr="002E2327">
              <w:rPr>
                <w:rFonts w:cs="Times New Roman"/>
                <w:sz w:val="20"/>
                <w:szCs w:val="20"/>
              </w:rPr>
              <w:instrText xml:space="preserve"> SEQ CHAPTER \h \r 1</w:instrText>
            </w:r>
            <w:r w:rsidR="00A4467E"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1630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8012F" w:rsidP="0095096B">
            <w:pPr>
              <w:jc w:val="center"/>
              <w:rPr>
                <w:rFonts w:cs="Times New Roman"/>
                <w:sz w:val="20"/>
                <w:szCs w:val="20"/>
              </w:rPr>
            </w:pPr>
            <w:r>
              <w:rPr>
                <w:rFonts w:cs="Times New Roman"/>
                <w:sz w:val="20"/>
                <w:szCs w:val="20"/>
              </w:rPr>
              <w:t>1631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8012F" w:rsidP="0095096B">
            <w:pPr>
              <w:jc w:val="center"/>
              <w:rPr>
                <w:rFonts w:cs="Times New Roman"/>
                <w:sz w:val="20"/>
                <w:szCs w:val="20"/>
              </w:rPr>
            </w:pPr>
            <w:r>
              <w:rPr>
                <w:rFonts w:cs="Times New Roman"/>
                <w:sz w:val="20"/>
                <w:szCs w:val="20"/>
              </w:rPr>
              <w:t xml:space="preserve">1632 </w:t>
            </w:r>
            <w:r w:rsidR="0095096B" w:rsidRPr="002E2327">
              <w:rPr>
                <w:rFonts w:cs="Times New Roman"/>
                <w:sz w:val="20"/>
                <w:szCs w:val="20"/>
              </w:rPr>
              <w:t>-</w:t>
            </w:r>
            <w:r>
              <w:rPr>
                <w:rFonts w:cs="Times New Roman"/>
                <w:sz w:val="20"/>
                <w:szCs w:val="20"/>
              </w:rPr>
              <w:t xml:space="preserve"> 1633</w:t>
            </w:r>
          </w:p>
          <w:p w:rsidR="0095096B" w:rsidRDefault="0095096B" w:rsidP="0095096B">
            <w:pPr>
              <w:jc w:val="center"/>
              <w:rPr>
                <w:rFonts w:cs="Times New Roman"/>
                <w:sz w:val="20"/>
                <w:szCs w:val="20"/>
              </w:rPr>
            </w:pPr>
          </w:p>
          <w:p w:rsidR="0008012F" w:rsidRPr="002E2327" w:rsidRDefault="0008012F" w:rsidP="0095096B">
            <w:pPr>
              <w:jc w:val="center"/>
              <w:rPr>
                <w:rFonts w:cs="Times New Roman"/>
                <w:sz w:val="20"/>
                <w:szCs w:val="20"/>
              </w:rPr>
            </w:pPr>
          </w:p>
          <w:p w:rsidR="0095096B" w:rsidRPr="002E2327" w:rsidRDefault="0008012F" w:rsidP="0095096B">
            <w:pPr>
              <w:jc w:val="center"/>
              <w:rPr>
                <w:rFonts w:cs="Times New Roman"/>
                <w:sz w:val="20"/>
                <w:szCs w:val="20"/>
              </w:rPr>
            </w:pPr>
            <w:r>
              <w:rPr>
                <w:rFonts w:cs="Times New Roman"/>
                <w:sz w:val="20"/>
                <w:szCs w:val="20"/>
              </w:rPr>
              <w:t xml:space="preserve">1634 </w:t>
            </w:r>
            <w:r w:rsidR="0095096B" w:rsidRPr="002E2327">
              <w:rPr>
                <w:rFonts w:cs="Times New Roman"/>
                <w:sz w:val="20"/>
                <w:szCs w:val="20"/>
              </w:rPr>
              <w:t>-</w:t>
            </w:r>
            <w:r>
              <w:rPr>
                <w:rFonts w:cs="Times New Roman"/>
                <w:sz w:val="20"/>
                <w:szCs w:val="20"/>
              </w:rPr>
              <w:t xml:space="preserve"> 1657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8012F" w:rsidP="0095096B">
            <w:pPr>
              <w:jc w:val="center"/>
              <w:rPr>
                <w:rFonts w:cs="Times New Roman"/>
                <w:sz w:val="20"/>
                <w:szCs w:val="20"/>
              </w:rPr>
            </w:pPr>
            <w:r>
              <w:rPr>
                <w:rFonts w:cs="Times New Roman"/>
                <w:sz w:val="20"/>
                <w:szCs w:val="20"/>
              </w:rPr>
              <w:t xml:space="preserve">1658 </w:t>
            </w:r>
            <w:r w:rsidR="0095096B" w:rsidRPr="002E2327">
              <w:rPr>
                <w:rFonts w:cs="Times New Roman"/>
                <w:sz w:val="20"/>
                <w:szCs w:val="20"/>
              </w:rPr>
              <w:t>-</w:t>
            </w:r>
            <w:r>
              <w:rPr>
                <w:rFonts w:cs="Times New Roman"/>
                <w:sz w:val="20"/>
                <w:szCs w:val="20"/>
              </w:rPr>
              <w:t xml:space="preserve"> 1663</w:t>
            </w:r>
          </w:p>
          <w:p w:rsidR="0095096B" w:rsidRPr="002E2327" w:rsidRDefault="0095096B" w:rsidP="0095096B">
            <w:pPr>
              <w:jc w:val="center"/>
              <w:rPr>
                <w:rFonts w:cs="Times New Roman"/>
                <w:sz w:val="20"/>
                <w:szCs w:val="20"/>
              </w:rPr>
            </w:pPr>
          </w:p>
          <w:p w:rsidR="0095096B" w:rsidRPr="002E2327" w:rsidRDefault="0008012F" w:rsidP="0095096B">
            <w:pPr>
              <w:jc w:val="center"/>
              <w:rPr>
                <w:rFonts w:cs="Times New Roman"/>
                <w:sz w:val="20"/>
                <w:szCs w:val="20"/>
              </w:rPr>
            </w:pPr>
            <w:r>
              <w:rPr>
                <w:rFonts w:cs="Times New Roman"/>
                <w:sz w:val="20"/>
                <w:szCs w:val="20"/>
              </w:rPr>
              <w:t>1664</w:t>
            </w:r>
          </w:p>
          <w:p w:rsidR="0095096B" w:rsidRDefault="0095096B" w:rsidP="0095096B">
            <w:pPr>
              <w:jc w:val="center"/>
              <w:rPr>
                <w:rFonts w:cs="Times New Roman"/>
                <w:sz w:val="20"/>
                <w:szCs w:val="20"/>
              </w:rPr>
            </w:pPr>
          </w:p>
          <w:p w:rsidR="0008012F" w:rsidRPr="002E2327" w:rsidRDefault="0008012F" w:rsidP="0095096B">
            <w:pPr>
              <w:jc w:val="center"/>
              <w:rPr>
                <w:rFonts w:cs="Times New Roman"/>
                <w:sz w:val="20"/>
                <w:szCs w:val="20"/>
              </w:rPr>
            </w:pPr>
          </w:p>
          <w:p w:rsidR="0095096B" w:rsidRPr="002E2327" w:rsidRDefault="0008012F" w:rsidP="0095096B">
            <w:pPr>
              <w:jc w:val="center"/>
              <w:rPr>
                <w:rFonts w:cs="Times New Roman"/>
                <w:sz w:val="20"/>
                <w:szCs w:val="20"/>
              </w:rPr>
            </w:pPr>
            <w:r>
              <w:rPr>
                <w:rFonts w:cs="Times New Roman"/>
                <w:sz w:val="20"/>
                <w:szCs w:val="20"/>
              </w:rPr>
              <w:t xml:space="preserve">1665 </w:t>
            </w:r>
            <w:r w:rsidR="0095096B" w:rsidRPr="002E2327">
              <w:rPr>
                <w:rFonts w:cs="Times New Roman"/>
                <w:sz w:val="20"/>
                <w:szCs w:val="20"/>
              </w:rPr>
              <w:t>-</w:t>
            </w:r>
            <w:r>
              <w:rPr>
                <w:rFonts w:cs="Times New Roman"/>
                <w:sz w:val="20"/>
                <w:szCs w:val="20"/>
              </w:rPr>
              <w:t xml:space="preserve"> 1667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514E1" w:rsidP="0095096B">
            <w:pPr>
              <w:jc w:val="center"/>
              <w:rPr>
                <w:rFonts w:cs="Times New Roman"/>
                <w:sz w:val="20"/>
                <w:szCs w:val="20"/>
              </w:rPr>
            </w:pPr>
            <w:r>
              <w:rPr>
                <w:rFonts w:cs="Times New Roman"/>
                <w:sz w:val="20"/>
                <w:szCs w:val="20"/>
              </w:rPr>
              <w:t>1668</w:t>
            </w:r>
          </w:p>
          <w:p w:rsidR="0095096B" w:rsidRPr="002E2327" w:rsidRDefault="0095096B" w:rsidP="0095096B">
            <w:pPr>
              <w:jc w:val="center"/>
              <w:rPr>
                <w:rFonts w:cs="Times New Roman"/>
                <w:sz w:val="20"/>
                <w:szCs w:val="20"/>
              </w:rPr>
            </w:pPr>
          </w:p>
          <w:p w:rsidR="0095096B" w:rsidRPr="002E2327" w:rsidRDefault="007514E1" w:rsidP="0095096B">
            <w:pPr>
              <w:jc w:val="center"/>
              <w:rPr>
                <w:rFonts w:cs="Times New Roman"/>
                <w:sz w:val="20"/>
                <w:szCs w:val="20"/>
              </w:rPr>
            </w:pPr>
            <w:r>
              <w:rPr>
                <w:rFonts w:cs="Times New Roman"/>
                <w:sz w:val="20"/>
                <w:szCs w:val="20"/>
              </w:rPr>
              <w:t xml:space="preserve">1669 </w:t>
            </w:r>
            <w:r w:rsidR="0095096B" w:rsidRPr="002E2327">
              <w:rPr>
                <w:rFonts w:cs="Times New Roman"/>
                <w:sz w:val="20"/>
                <w:szCs w:val="20"/>
              </w:rPr>
              <w:t>-</w:t>
            </w:r>
            <w:r>
              <w:rPr>
                <w:rFonts w:cs="Times New Roman"/>
                <w:sz w:val="20"/>
                <w:szCs w:val="20"/>
              </w:rPr>
              <w:t xml:space="preserve"> 1688</w:t>
            </w:r>
          </w:p>
          <w:p w:rsidR="00A87207" w:rsidRPr="002E2327" w:rsidRDefault="00A87207" w:rsidP="0008012F">
            <w:pPr>
              <w:tabs>
                <w:tab w:val="right" w:pos="9360"/>
              </w:tabs>
              <w:jc w:val="center"/>
              <w:rPr>
                <w:rFonts w:cs="Times New Roman"/>
                <w:sz w:val="20"/>
                <w:szCs w:val="20"/>
              </w:rPr>
            </w:pPr>
          </w:p>
        </w:tc>
        <w:tc>
          <w:tcPr>
            <w:tcW w:w="3888" w:type="dxa"/>
          </w:tcPr>
          <w:p w:rsidR="0095096B" w:rsidRPr="002E2327" w:rsidRDefault="00A4467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w:t>
            </w:r>
            <w:r w:rsidR="004137A0">
              <w:rPr>
                <w:rFonts w:cs="Times New Roman"/>
                <w:sz w:val="20"/>
                <w:szCs w:val="20"/>
                <w:lang w:val="fr-CA"/>
              </w:rPr>
              <w:t>’</w:t>
            </w:r>
            <w:r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08012F">
            <w:pPr>
              <w:tabs>
                <w:tab w:val="right" w:pos="9360"/>
              </w:tabs>
              <w:rPr>
                <w:rFonts w:cs="Times New Roman"/>
                <w:sz w:val="20"/>
                <w:szCs w:val="20"/>
                <w:lang w:val="fr-CA"/>
              </w:rPr>
            </w:pPr>
          </w:p>
        </w:tc>
      </w:tr>
    </w:tbl>
    <w:p w:rsidR="0095096B" w:rsidRPr="00CB5104" w:rsidRDefault="0095096B" w:rsidP="0095096B">
      <w:pPr>
        <w:tabs>
          <w:tab w:val="right" w:pos="9360"/>
        </w:tabs>
        <w:rPr>
          <w:lang w:val="fr-CA"/>
        </w:rPr>
      </w:pPr>
    </w:p>
    <w:p w:rsidR="0008012F" w:rsidRPr="00CB5104" w:rsidRDefault="0008012F" w:rsidP="0095096B">
      <w:pPr>
        <w:tabs>
          <w:tab w:val="right" w:pos="9360"/>
        </w:tabs>
        <w:rPr>
          <w:lang w:val="fr-CA"/>
        </w:rPr>
      </w:pPr>
    </w:p>
    <w:p w:rsidR="0008012F" w:rsidRPr="00CB5104" w:rsidRDefault="0008012F" w:rsidP="0095096B">
      <w:pPr>
        <w:tabs>
          <w:tab w:val="right" w:pos="9360"/>
        </w:tabs>
        <w:rPr>
          <w:lang w:val="fr-CA"/>
        </w:rPr>
      </w:pPr>
    </w:p>
    <w:p w:rsidR="0008012F" w:rsidRPr="00CB5104" w:rsidRDefault="0008012F" w:rsidP="0095096B">
      <w:pPr>
        <w:tabs>
          <w:tab w:val="right" w:pos="9360"/>
        </w:tabs>
        <w:rPr>
          <w:lang w:val="fr-CA"/>
        </w:rPr>
      </w:pPr>
    </w:p>
    <w:p w:rsidR="0008012F" w:rsidRPr="00CB5104" w:rsidRDefault="0008012F"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71447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5040C" w:rsidRPr="00C21644" w:rsidTr="00E33C9D">
        <w:tc>
          <w:tcPr>
            <w:tcW w:w="4320" w:type="dxa"/>
            <w:shd w:val="clear" w:color="auto" w:fill="auto"/>
          </w:tcPr>
          <w:p w:rsidR="0025040C" w:rsidRPr="00864E96" w:rsidRDefault="0025040C" w:rsidP="00E33C9D">
            <w:pPr>
              <w:rPr>
                <w:b/>
                <w:sz w:val="20"/>
                <w:szCs w:val="20"/>
              </w:rPr>
            </w:pPr>
            <w:r w:rsidRPr="00864E96">
              <w:rPr>
                <w:b/>
                <w:sz w:val="20"/>
                <w:szCs w:val="20"/>
              </w:rPr>
              <w:t>Erich Chemama</w:t>
            </w:r>
          </w:p>
          <w:p w:rsidR="0025040C" w:rsidRPr="00A935AA" w:rsidRDefault="0025040C" w:rsidP="00E33C9D">
            <w:pPr>
              <w:tabs>
                <w:tab w:val="left" w:pos="-1440"/>
                <w:tab w:val="left" w:pos="-720"/>
              </w:tabs>
              <w:rPr>
                <w:sz w:val="20"/>
                <w:szCs w:val="20"/>
              </w:rPr>
            </w:pPr>
            <w:r w:rsidRPr="00864E96">
              <w:rPr>
                <w:sz w:val="20"/>
                <w:szCs w:val="20"/>
              </w:rPr>
              <w:tab/>
            </w:r>
            <w:r>
              <w:rPr>
                <w:sz w:val="20"/>
                <w:szCs w:val="20"/>
              </w:rPr>
              <w:t xml:space="preserve">Erich Chemama </w:t>
            </w:r>
          </w:p>
          <w:p w:rsidR="0025040C" w:rsidRPr="009C0848" w:rsidRDefault="0025040C" w:rsidP="00E33C9D">
            <w:pPr>
              <w:tabs>
                <w:tab w:val="left" w:pos="-1440"/>
                <w:tab w:val="left" w:pos="-720"/>
              </w:tabs>
              <w:rPr>
                <w:sz w:val="20"/>
                <w:szCs w:val="20"/>
              </w:rPr>
            </w:pPr>
          </w:p>
          <w:p w:rsidR="0025040C" w:rsidRPr="009C0848" w:rsidRDefault="0025040C" w:rsidP="00E33C9D">
            <w:pPr>
              <w:tabs>
                <w:tab w:val="left" w:pos="-1440"/>
                <w:tab w:val="left" w:pos="-720"/>
              </w:tabs>
              <w:rPr>
                <w:sz w:val="20"/>
                <w:szCs w:val="20"/>
              </w:rPr>
            </w:pPr>
            <w:r w:rsidRPr="009C0848">
              <w:rPr>
                <w:sz w:val="20"/>
                <w:szCs w:val="20"/>
              </w:rPr>
              <w:tab/>
              <w:t>v. (36</w:t>
            </w:r>
            <w:r>
              <w:rPr>
                <w:sz w:val="20"/>
                <w:szCs w:val="20"/>
              </w:rPr>
              <w:t>125</w:t>
            </w:r>
            <w:r w:rsidRPr="009C0848">
              <w:rPr>
                <w:sz w:val="20"/>
                <w:szCs w:val="20"/>
              </w:rPr>
              <w:t>)</w:t>
            </w:r>
          </w:p>
          <w:p w:rsidR="0025040C" w:rsidRPr="009C0848" w:rsidRDefault="0025040C" w:rsidP="00E33C9D">
            <w:pPr>
              <w:tabs>
                <w:tab w:val="left" w:pos="-1440"/>
                <w:tab w:val="left" w:pos="-720"/>
              </w:tabs>
              <w:rPr>
                <w:sz w:val="20"/>
                <w:szCs w:val="20"/>
              </w:rPr>
            </w:pPr>
          </w:p>
          <w:p w:rsidR="0025040C" w:rsidRPr="009C0848" w:rsidRDefault="0025040C" w:rsidP="00E33C9D">
            <w:pPr>
              <w:tabs>
                <w:tab w:val="left" w:pos="-1440"/>
                <w:tab w:val="left" w:pos="-720"/>
              </w:tabs>
              <w:rPr>
                <w:b/>
                <w:sz w:val="20"/>
                <w:szCs w:val="20"/>
              </w:rPr>
            </w:pPr>
            <w:r w:rsidRPr="009C0848">
              <w:rPr>
                <w:b/>
                <w:sz w:val="20"/>
                <w:szCs w:val="20"/>
              </w:rPr>
              <w:t>Her Majesty the Queen</w:t>
            </w:r>
            <w:r w:rsidRPr="009C0848">
              <w:rPr>
                <w:sz w:val="20"/>
                <w:szCs w:val="20"/>
              </w:rPr>
              <w:t xml:space="preserve"> </w:t>
            </w:r>
            <w:r w:rsidRPr="009C0848">
              <w:rPr>
                <w:b/>
                <w:sz w:val="20"/>
                <w:szCs w:val="20"/>
              </w:rPr>
              <w:t>(Que.)</w:t>
            </w:r>
          </w:p>
          <w:p w:rsidR="0025040C" w:rsidRPr="009C0848" w:rsidRDefault="0025040C" w:rsidP="00E33C9D">
            <w:pPr>
              <w:tabs>
                <w:tab w:val="left" w:pos="-1440"/>
                <w:tab w:val="left" w:pos="-720"/>
              </w:tabs>
              <w:rPr>
                <w:sz w:val="20"/>
                <w:szCs w:val="20"/>
                <w:lang w:val="fr-CA"/>
              </w:rPr>
            </w:pPr>
            <w:r w:rsidRPr="009C0848">
              <w:rPr>
                <w:sz w:val="20"/>
                <w:szCs w:val="20"/>
              </w:rPr>
              <w:tab/>
            </w:r>
            <w:r w:rsidRPr="009C0848">
              <w:rPr>
                <w:sz w:val="20"/>
                <w:szCs w:val="20"/>
                <w:lang w:val="fr-CA"/>
              </w:rPr>
              <w:t>Matthew Ferguson</w:t>
            </w:r>
          </w:p>
          <w:p w:rsidR="0025040C" w:rsidRPr="009C0848" w:rsidRDefault="0025040C" w:rsidP="00E33C9D">
            <w:pPr>
              <w:tabs>
                <w:tab w:val="left" w:pos="-1440"/>
                <w:tab w:val="left" w:pos="-720"/>
              </w:tabs>
              <w:rPr>
                <w:sz w:val="20"/>
                <w:szCs w:val="20"/>
                <w:lang w:val="fr-CA"/>
              </w:rPr>
            </w:pPr>
            <w:r w:rsidRPr="009C0848">
              <w:rPr>
                <w:sz w:val="20"/>
                <w:szCs w:val="20"/>
                <w:lang w:val="fr-CA"/>
              </w:rPr>
              <w:tab/>
              <w:t xml:space="preserve">Poursuites criminelles et pénales </w:t>
            </w:r>
            <w:r>
              <w:rPr>
                <w:sz w:val="20"/>
                <w:szCs w:val="20"/>
                <w:lang w:val="fr-CA"/>
              </w:rPr>
              <w:t xml:space="preserve">du </w:t>
            </w:r>
            <w:r>
              <w:rPr>
                <w:sz w:val="20"/>
                <w:szCs w:val="20"/>
                <w:lang w:val="fr-CA"/>
              </w:rPr>
              <w:tab/>
              <w:t>Québec</w:t>
            </w:r>
          </w:p>
          <w:p w:rsidR="0025040C" w:rsidRPr="009C0848" w:rsidRDefault="0025040C" w:rsidP="00E33C9D">
            <w:pPr>
              <w:tabs>
                <w:tab w:val="left" w:pos="-1440"/>
                <w:tab w:val="left" w:pos="-720"/>
              </w:tabs>
              <w:rPr>
                <w:sz w:val="20"/>
                <w:szCs w:val="20"/>
                <w:lang w:val="fr-CA"/>
              </w:rPr>
            </w:pPr>
          </w:p>
          <w:p w:rsidR="0025040C" w:rsidRPr="00A935AA" w:rsidRDefault="0025040C" w:rsidP="00E33C9D">
            <w:pPr>
              <w:rPr>
                <w:sz w:val="20"/>
                <w:szCs w:val="20"/>
              </w:rPr>
            </w:pPr>
            <w:r w:rsidRPr="00A935AA">
              <w:rPr>
                <w:sz w:val="20"/>
                <w:szCs w:val="20"/>
              </w:rPr>
              <w:t xml:space="preserve">FILING DATE: </w:t>
            </w:r>
            <w:r>
              <w:rPr>
                <w:sz w:val="20"/>
                <w:szCs w:val="20"/>
              </w:rPr>
              <w:t>27</w:t>
            </w:r>
            <w:r w:rsidRPr="00A935AA">
              <w:rPr>
                <w:sz w:val="20"/>
                <w:szCs w:val="20"/>
              </w:rPr>
              <w:t>.</w:t>
            </w:r>
            <w:r>
              <w:rPr>
                <w:sz w:val="20"/>
                <w:szCs w:val="20"/>
              </w:rPr>
              <w:t>06</w:t>
            </w:r>
            <w:r w:rsidRPr="00A935AA">
              <w:rPr>
                <w:sz w:val="20"/>
                <w:szCs w:val="20"/>
              </w:rPr>
              <w:t>.201</w:t>
            </w:r>
            <w:r>
              <w:rPr>
                <w:sz w:val="20"/>
                <w:szCs w:val="20"/>
              </w:rPr>
              <w:t>4</w:t>
            </w:r>
            <w:r w:rsidR="0071447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tc>
        <w:tc>
          <w:tcPr>
            <w:tcW w:w="4320" w:type="dxa"/>
            <w:shd w:val="clear" w:color="auto" w:fill="auto"/>
          </w:tcPr>
          <w:p w:rsidR="0025040C" w:rsidRPr="009C0848" w:rsidRDefault="0025040C" w:rsidP="00E33C9D">
            <w:pPr>
              <w:keepNext/>
              <w:keepLines/>
              <w:tabs>
                <w:tab w:val="left" w:pos="-1440"/>
                <w:tab w:val="left" w:pos="-720"/>
              </w:tabs>
              <w:rPr>
                <w:b/>
                <w:sz w:val="20"/>
                <w:szCs w:val="20"/>
              </w:rPr>
            </w:pPr>
            <w:r w:rsidRPr="009C0848">
              <w:rPr>
                <w:b/>
                <w:sz w:val="20"/>
                <w:szCs w:val="20"/>
              </w:rPr>
              <w:t>Krayzel Corporation</w:t>
            </w:r>
          </w:p>
          <w:p w:rsidR="0025040C" w:rsidRPr="009C0848" w:rsidRDefault="0025040C" w:rsidP="00E33C9D">
            <w:pPr>
              <w:keepNext/>
              <w:keepLines/>
              <w:tabs>
                <w:tab w:val="left" w:pos="-1440"/>
                <w:tab w:val="left" w:pos="-720"/>
              </w:tabs>
              <w:rPr>
                <w:sz w:val="20"/>
                <w:szCs w:val="20"/>
              </w:rPr>
            </w:pPr>
            <w:r w:rsidRPr="009C0848">
              <w:rPr>
                <w:sz w:val="20"/>
                <w:szCs w:val="20"/>
              </w:rPr>
              <w:tab/>
              <w:t xml:space="preserve">G. </w:t>
            </w:r>
            <w:r>
              <w:rPr>
                <w:sz w:val="20"/>
                <w:szCs w:val="20"/>
              </w:rPr>
              <w:t>Scott Watson</w:t>
            </w:r>
          </w:p>
          <w:p w:rsidR="0025040C" w:rsidRPr="00A935AA" w:rsidRDefault="0025040C" w:rsidP="00E33C9D">
            <w:pPr>
              <w:keepNext/>
              <w:keepLines/>
              <w:tabs>
                <w:tab w:val="left" w:pos="-1440"/>
                <w:tab w:val="left" w:pos="-720"/>
              </w:tabs>
              <w:rPr>
                <w:sz w:val="20"/>
                <w:szCs w:val="20"/>
              </w:rPr>
            </w:pPr>
            <w:r w:rsidRPr="009C0848">
              <w:rPr>
                <w:sz w:val="20"/>
                <w:szCs w:val="20"/>
              </w:rPr>
              <w:tab/>
            </w:r>
            <w:r>
              <w:rPr>
                <w:sz w:val="20"/>
                <w:szCs w:val="20"/>
              </w:rPr>
              <w:t>Parlee McLaws LLP</w:t>
            </w:r>
          </w:p>
          <w:p w:rsidR="0025040C" w:rsidRPr="00A935AA" w:rsidRDefault="0025040C" w:rsidP="00E33C9D">
            <w:pPr>
              <w:keepNext/>
              <w:keepLines/>
              <w:tabs>
                <w:tab w:val="left" w:pos="-1440"/>
                <w:tab w:val="left" w:pos="-720"/>
              </w:tabs>
              <w:rPr>
                <w:sz w:val="20"/>
                <w:szCs w:val="20"/>
              </w:rPr>
            </w:pPr>
          </w:p>
          <w:p w:rsidR="0025040C" w:rsidRPr="00A935AA" w:rsidRDefault="0025040C" w:rsidP="00E33C9D">
            <w:pPr>
              <w:keepNext/>
              <w:keepLines/>
              <w:tabs>
                <w:tab w:val="left" w:pos="-1440"/>
                <w:tab w:val="left" w:pos="-720"/>
              </w:tabs>
              <w:rPr>
                <w:sz w:val="20"/>
                <w:szCs w:val="20"/>
              </w:rPr>
            </w:pPr>
            <w:r w:rsidRPr="00A935AA">
              <w:rPr>
                <w:sz w:val="20"/>
                <w:szCs w:val="20"/>
              </w:rPr>
              <w:tab/>
              <w:t>v. (3</w:t>
            </w:r>
            <w:r>
              <w:rPr>
                <w:sz w:val="20"/>
                <w:szCs w:val="20"/>
              </w:rPr>
              <w:t>6123</w:t>
            </w:r>
            <w:r w:rsidRPr="00A935AA">
              <w:rPr>
                <w:sz w:val="20"/>
                <w:szCs w:val="20"/>
              </w:rPr>
              <w:t>)</w:t>
            </w:r>
          </w:p>
          <w:p w:rsidR="0025040C" w:rsidRPr="00A935AA" w:rsidRDefault="0025040C" w:rsidP="00E33C9D">
            <w:pPr>
              <w:keepNext/>
              <w:keepLines/>
              <w:tabs>
                <w:tab w:val="left" w:pos="-1440"/>
                <w:tab w:val="left" w:pos="-720"/>
              </w:tabs>
              <w:rPr>
                <w:sz w:val="20"/>
                <w:szCs w:val="20"/>
              </w:rPr>
            </w:pPr>
          </w:p>
          <w:p w:rsidR="0025040C" w:rsidRPr="00A935AA" w:rsidRDefault="0025040C" w:rsidP="00E33C9D">
            <w:pPr>
              <w:keepNext/>
              <w:keepLines/>
              <w:tabs>
                <w:tab w:val="left" w:pos="-1440"/>
                <w:tab w:val="left" w:pos="-720"/>
              </w:tabs>
              <w:rPr>
                <w:b/>
                <w:sz w:val="20"/>
                <w:szCs w:val="20"/>
              </w:rPr>
            </w:pPr>
            <w:r>
              <w:rPr>
                <w:b/>
                <w:sz w:val="20"/>
                <w:szCs w:val="20"/>
              </w:rPr>
              <w:t xml:space="preserve">Equitable Trust Company et al. </w:t>
            </w:r>
            <w:r w:rsidRPr="00A935AA">
              <w:rPr>
                <w:b/>
                <w:sz w:val="20"/>
                <w:szCs w:val="20"/>
              </w:rPr>
              <w:t>(</w:t>
            </w:r>
            <w:r>
              <w:rPr>
                <w:b/>
                <w:sz w:val="20"/>
                <w:szCs w:val="20"/>
              </w:rPr>
              <w:t>Alta</w:t>
            </w:r>
            <w:r w:rsidRPr="00A935AA">
              <w:rPr>
                <w:b/>
                <w:sz w:val="20"/>
                <w:szCs w:val="20"/>
              </w:rPr>
              <w:t>.)</w:t>
            </w:r>
          </w:p>
          <w:p w:rsidR="0025040C" w:rsidRPr="00A935AA" w:rsidRDefault="0025040C" w:rsidP="00E33C9D">
            <w:pPr>
              <w:keepNext/>
              <w:keepLines/>
              <w:tabs>
                <w:tab w:val="left" w:pos="-1440"/>
                <w:tab w:val="left" w:pos="-720"/>
              </w:tabs>
              <w:rPr>
                <w:sz w:val="20"/>
                <w:szCs w:val="20"/>
              </w:rPr>
            </w:pPr>
            <w:r w:rsidRPr="00A935AA">
              <w:rPr>
                <w:sz w:val="20"/>
                <w:szCs w:val="20"/>
              </w:rPr>
              <w:tab/>
            </w:r>
            <w:r>
              <w:rPr>
                <w:sz w:val="20"/>
                <w:szCs w:val="20"/>
              </w:rPr>
              <w:t>Francis Price, Q.C.</w:t>
            </w:r>
          </w:p>
          <w:p w:rsidR="0025040C" w:rsidRPr="00A935AA" w:rsidRDefault="0025040C" w:rsidP="00E33C9D">
            <w:pPr>
              <w:keepNext/>
              <w:keepLines/>
              <w:tabs>
                <w:tab w:val="left" w:pos="-1440"/>
                <w:tab w:val="left" w:pos="-720"/>
              </w:tabs>
              <w:rPr>
                <w:sz w:val="20"/>
                <w:szCs w:val="20"/>
              </w:rPr>
            </w:pPr>
            <w:r w:rsidRPr="00A935AA">
              <w:rPr>
                <w:sz w:val="20"/>
                <w:szCs w:val="20"/>
              </w:rPr>
              <w:tab/>
            </w:r>
            <w:r>
              <w:rPr>
                <w:sz w:val="20"/>
                <w:szCs w:val="20"/>
              </w:rPr>
              <w:t>Reynolds, Mirth, Richards &amp; Farmer LLP</w:t>
            </w:r>
          </w:p>
          <w:p w:rsidR="0025040C" w:rsidRPr="00A935AA" w:rsidRDefault="0025040C" w:rsidP="00E33C9D">
            <w:pPr>
              <w:keepNext/>
              <w:keepLines/>
              <w:tabs>
                <w:tab w:val="left" w:pos="-1440"/>
                <w:tab w:val="left" w:pos="-720"/>
              </w:tabs>
              <w:rPr>
                <w:sz w:val="20"/>
                <w:szCs w:val="20"/>
              </w:rPr>
            </w:pPr>
          </w:p>
          <w:p w:rsidR="0025040C" w:rsidRPr="00A935AA" w:rsidRDefault="0025040C" w:rsidP="00E33C9D">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4</w:t>
            </w:r>
            <w:r w:rsidR="00714478">
              <w:rPr>
                <w:sz w:val="20"/>
                <w:szCs w:val="20"/>
                <w:lang w:val="fr-CA"/>
              </w:rPr>
              <w:pict>
                <v:rect id="_x0000_i1026" style="width:108pt;height:1pt" o:hrpct="0" o:hralign="center" o:hrstd="t" o:hrnoshade="t" o:hr="t" fillcolor="black [3213]" stroked="f"/>
              </w:pict>
            </w:r>
          </w:p>
        </w:tc>
      </w:tr>
      <w:tr w:rsidR="0025040C" w:rsidRPr="00A935AA" w:rsidTr="00E33C9D">
        <w:tc>
          <w:tcPr>
            <w:tcW w:w="4320" w:type="dxa"/>
            <w:shd w:val="clear" w:color="auto" w:fill="auto"/>
          </w:tcPr>
          <w:p w:rsidR="0025040C" w:rsidRPr="00864E96" w:rsidRDefault="0025040C" w:rsidP="00E33C9D">
            <w:pPr>
              <w:rPr>
                <w:b/>
                <w:sz w:val="20"/>
                <w:szCs w:val="20"/>
                <w:lang w:val="fr-CA"/>
              </w:rPr>
            </w:pPr>
            <w:r w:rsidRPr="00864E96">
              <w:rPr>
                <w:b/>
                <w:sz w:val="20"/>
                <w:szCs w:val="20"/>
                <w:lang w:val="fr-CA"/>
              </w:rPr>
              <w:t>Alain Pigeon</w:t>
            </w:r>
          </w:p>
          <w:p w:rsidR="0025040C" w:rsidRPr="00864E96" w:rsidRDefault="0025040C" w:rsidP="00E33C9D">
            <w:pPr>
              <w:tabs>
                <w:tab w:val="left" w:pos="-1440"/>
                <w:tab w:val="left" w:pos="-720"/>
              </w:tabs>
              <w:rPr>
                <w:sz w:val="20"/>
                <w:szCs w:val="20"/>
                <w:lang w:val="fr-CA"/>
              </w:rPr>
            </w:pPr>
            <w:r w:rsidRPr="00864E96">
              <w:rPr>
                <w:sz w:val="20"/>
                <w:szCs w:val="20"/>
                <w:lang w:val="fr-CA"/>
              </w:rPr>
              <w:tab/>
              <w:t>Robert Laurin</w:t>
            </w:r>
          </w:p>
          <w:p w:rsidR="0025040C" w:rsidRPr="00864E96" w:rsidRDefault="0025040C" w:rsidP="00E33C9D">
            <w:pPr>
              <w:tabs>
                <w:tab w:val="left" w:pos="-1440"/>
                <w:tab w:val="left" w:pos="-720"/>
              </w:tabs>
              <w:rPr>
                <w:sz w:val="20"/>
                <w:szCs w:val="20"/>
                <w:lang w:val="fr-CA"/>
              </w:rPr>
            </w:pPr>
          </w:p>
          <w:p w:rsidR="0025040C" w:rsidRPr="009C0848" w:rsidRDefault="0025040C" w:rsidP="00E33C9D">
            <w:pPr>
              <w:tabs>
                <w:tab w:val="left" w:pos="-1440"/>
                <w:tab w:val="left" w:pos="-720"/>
              </w:tabs>
              <w:rPr>
                <w:sz w:val="20"/>
                <w:szCs w:val="20"/>
                <w:lang w:val="fr-CA"/>
              </w:rPr>
            </w:pPr>
            <w:r w:rsidRPr="00864E96">
              <w:rPr>
                <w:sz w:val="20"/>
                <w:szCs w:val="20"/>
                <w:lang w:val="fr-CA"/>
              </w:rPr>
              <w:tab/>
            </w:r>
            <w:r w:rsidRPr="009C0848">
              <w:rPr>
                <w:sz w:val="20"/>
                <w:szCs w:val="20"/>
                <w:lang w:val="fr-CA"/>
              </w:rPr>
              <w:t>c. (36108)</w:t>
            </w:r>
          </w:p>
          <w:p w:rsidR="0025040C" w:rsidRPr="009C0848" w:rsidRDefault="0025040C" w:rsidP="00E33C9D">
            <w:pPr>
              <w:tabs>
                <w:tab w:val="left" w:pos="-1440"/>
                <w:tab w:val="left" w:pos="-720"/>
              </w:tabs>
              <w:rPr>
                <w:sz w:val="20"/>
                <w:szCs w:val="20"/>
                <w:lang w:val="fr-CA"/>
              </w:rPr>
            </w:pPr>
          </w:p>
          <w:p w:rsidR="0025040C" w:rsidRPr="009C0848" w:rsidRDefault="0025040C" w:rsidP="00E33C9D">
            <w:pPr>
              <w:tabs>
                <w:tab w:val="left" w:pos="-1440"/>
                <w:tab w:val="left" w:pos="-720"/>
              </w:tabs>
              <w:rPr>
                <w:b/>
                <w:sz w:val="20"/>
                <w:szCs w:val="20"/>
                <w:lang w:val="fr-CA"/>
              </w:rPr>
            </w:pPr>
            <w:r w:rsidRPr="009C0848">
              <w:rPr>
                <w:b/>
                <w:sz w:val="20"/>
                <w:szCs w:val="20"/>
                <w:lang w:val="fr-CA"/>
              </w:rPr>
              <w:t>Association internationale des travailleurs de m</w:t>
            </w:r>
            <w:r>
              <w:rPr>
                <w:b/>
                <w:sz w:val="20"/>
                <w:szCs w:val="20"/>
                <w:lang w:val="fr-CA"/>
              </w:rPr>
              <w:t>é</w:t>
            </w:r>
            <w:r w:rsidRPr="009C0848">
              <w:rPr>
                <w:b/>
                <w:sz w:val="20"/>
                <w:szCs w:val="20"/>
                <w:lang w:val="fr-CA"/>
              </w:rPr>
              <w:t>tal en feuilles, Local 116 (Qc)</w:t>
            </w:r>
          </w:p>
          <w:p w:rsidR="0025040C" w:rsidRPr="009C0848" w:rsidRDefault="0025040C" w:rsidP="00E33C9D">
            <w:pPr>
              <w:tabs>
                <w:tab w:val="left" w:pos="-1440"/>
                <w:tab w:val="left" w:pos="-720"/>
              </w:tabs>
              <w:rPr>
                <w:sz w:val="20"/>
                <w:szCs w:val="20"/>
                <w:lang w:val="fr-CA"/>
              </w:rPr>
            </w:pPr>
            <w:r w:rsidRPr="009C0848">
              <w:rPr>
                <w:sz w:val="20"/>
                <w:szCs w:val="20"/>
                <w:lang w:val="fr-CA"/>
              </w:rPr>
              <w:tab/>
            </w:r>
            <w:r>
              <w:rPr>
                <w:sz w:val="20"/>
                <w:szCs w:val="20"/>
                <w:lang w:val="fr-CA"/>
              </w:rPr>
              <w:t>Pierre Sébastien c.r.</w:t>
            </w:r>
          </w:p>
          <w:p w:rsidR="0025040C" w:rsidRPr="009C0848" w:rsidRDefault="0025040C" w:rsidP="00E33C9D">
            <w:pPr>
              <w:tabs>
                <w:tab w:val="left" w:pos="-1440"/>
                <w:tab w:val="left" w:pos="-720"/>
              </w:tabs>
              <w:rPr>
                <w:sz w:val="20"/>
                <w:szCs w:val="20"/>
                <w:lang w:val="fr-CA"/>
              </w:rPr>
            </w:pPr>
          </w:p>
          <w:p w:rsidR="0025040C" w:rsidRPr="00864E96" w:rsidRDefault="0025040C" w:rsidP="00E33C9D">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02</w:t>
            </w:r>
            <w:r w:rsidRPr="00806A5B">
              <w:rPr>
                <w:sz w:val="20"/>
                <w:szCs w:val="20"/>
                <w:lang w:val="fr-CA"/>
              </w:rPr>
              <w:t>.</w:t>
            </w:r>
            <w:r>
              <w:rPr>
                <w:sz w:val="20"/>
                <w:szCs w:val="20"/>
                <w:lang w:val="fr-CA"/>
              </w:rPr>
              <w:t>1</w:t>
            </w:r>
            <w:r w:rsidRPr="00806A5B">
              <w:rPr>
                <w:sz w:val="20"/>
                <w:szCs w:val="20"/>
                <w:lang w:val="fr-CA"/>
              </w:rPr>
              <w:t>0.2014</w:t>
            </w:r>
            <w:r w:rsidR="0071447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5040C" w:rsidRPr="00864E96" w:rsidRDefault="0025040C" w:rsidP="00E33C9D">
            <w:pPr>
              <w:jc w:val="center"/>
              <w:rPr>
                <w:sz w:val="20"/>
                <w:szCs w:val="20"/>
                <w:lang w:val="fr-CA"/>
              </w:rPr>
            </w:pPr>
          </w:p>
          <w:p w:rsidR="0025040C" w:rsidRPr="00864E96" w:rsidRDefault="0025040C" w:rsidP="00E33C9D">
            <w:pPr>
              <w:jc w:val="center"/>
              <w:rPr>
                <w:sz w:val="20"/>
                <w:szCs w:val="20"/>
                <w:lang w:val="fr-CA"/>
              </w:rPr>
            </w:pPr>
          </w:p>
          <w:p w:rsidR="0025040C" w:rsidRPr="00864E96" w:rsidRDefault="0025040C" w:rsidP="00E33C9D">
            <w:pPr>
              <w:jc w:val="center"/>
              <w:rPr>
                <w:sz w:val="20"/>
                <w:szCs w:val="20"/>
                <w:lang w:val="fr-CA"/>
              </w:rPr>
            </w:pPr>
          </w:p>
          <w:p w:rsidR="0025040C" w:rsidRPr="00864E96" w:rsidRDefault="0025040C" w:rsidP="00E33C9D">
            <w:pPr>
              <w:jc w:val="center"/>
              <w:rPr>
                <w:sz w:val="20"/>
                <w:szCs w:val="20"/>
                <w:lang w:val="fr-CA"/>
              </w:rPr>
            </w:pPr>
          </w:p>
          <w:p w:rsidR="0025040C" w:rsidRPr="00864E96" w:rsidRDefault="0025040C" w:rsidP="00E33C9D">
            <w:pPr>
              <w:jc w:val="center"/>
              <w:rPr>
                <w:sz w:val="20"/>
                <w:szCs w:val="20"/>
                <w:lang w:val="fr-CA"/>
              </w:rPr>
            </w:pPr>
          </w:p>
          <w:p w:rsidR="0025040C" w:rsidRPr="00864E96" w:rsidRDefault="0025040C" w:rsidP="00E33C9D">
            <w:pPr>
              <w:jc w:val="center"/>
              <w:rPr>
                <w:sz w:val="20"/>
                <w:szCs w:val="20"/>
                <w:lang w:val="fr-CA"/>
              </w:rPr>
            </w:pPr>
          </w:p>
          <w:p w:rsidR="0025040C" w:rsidRPr="00864E96" w:rsidRDefault="0025040C" w:rsidP="00E33C9D">
            <w:pPr>
              <w:jc w:val="center"/>
              <w:rPr>
                <w:sz w:val="20"/>
                <w:szCs w:val="20"/>
                <w:lang w:val="fr-CA"/>
              </w:rPr>
            </w:pPr>
          </w:p>
          <w:p w:rsidR="0025040C" w:rsidRPr="00864E96" w:rsidRDefault="0025040C" w:rsidP="00E33C9D">
            <w:pPr>
              <w:jc w:val="center"/>
              <w:rPr>
                <w:sz w:val="20"/>
                <w:szCs w:val="20"/>
                <w:lang w:val="fr-CA"/>
              </w:rPr>
            </w:pPr>
          </w:p>
          <w:p w:rsidR="0025040C" w:rsidRPr="00864E96" w:rsidRDefault="0025040C" w:rsidP="00E33C9D">
            <w:pPr>
              <w:jc w:val="center"/>
              <w:rPr>
                <w:sz w:val="20"/>
                <w:szCs w:val="20"/>
                <w:lang w:val="fr-CA"/>
              </w:rPr>
            </w:pPr>
          </w:p>
          <w:p w:rsidR="0025040C" w:rsidRPr="00864E96" w:rsidRDefault="0025040C" w:rsidP="00E33C9D">
            <w:pPr>
              <w:jc w:val="center"/>
              <w:rPr>
                <w:sz w:val="20"/>
                <w:szCs w:val="20"/>
                <w:lang w:val="fr-CA"/>
              </w:rPr>
            </w:pPr>
          </w:p>
          <w:p w:rsidR="0025040C" w:rsidRPr="00864E96" w:rsidRDefault="0025040C" w:rsidP="00E33C9D">
            <w:pPr>
              <w:jc w:val="center"/>
              <w:rPr>
                <w:sz w:val="20"/>
                <w:szCs w:val="20"/>
                <w:lang w:val="fr-CA"/>
              </w:rPr>
            </w:pPr>
          </w:p>
          <w:p w:rsidR="0025040C" w:rsidRPr="00864E96" w:rsidRDefault="0025040C" w:rsidP="00E33C9D">
            <w:pPr>
              <w:jc w:val="center"/>
              <w:rPr>
                <w:sz w:val="20"/>
                <w:szCs w:val="20"/>
                <w:lang w:val="fr-CA"/>
              </w:rPr>
            </w:pPr>
          </w:p>
        </w:tc>
        <w:tc>
          <w:tcPr>
            <w:tcW w:w="4320" w:type="dxa"/>
            <w:shd w:val="clear" w:color="auto" w:fill="auto"/>
          </w:tcPr>
          <w:p w:rsidR="0025040C" w:rsidRPr="00806A5B" w:rsidRDefault="0025040C" w:rsidP="00E33C9D">
            <w:pPr>
              <w:keepNext/>
              <w:keepLines/>
              <w:tabs>
                <w:tab w:val="left" w:pos="-1440"/>
                <w:tab w:val="left" w:pos="-720"/>
              </w:tabs>
              <w:rPr>
                <w:b/>
                <w:sz w:val="20"/>
                <w:szCs w:val="20"/>
                <w:lang w:val="fr-CA"/>
              </w:rPr>
            </w:pPr>
            <w:r>
              <w:rPr>
                <w:b/>
                <w:sz w:val="20"/>
                <w:szCs w:val="20"/>
                <w:lang w:val="fr-CA"/>
              </w:rPr>
              <w:t>Carol Lebreux</w:t>
            </w:r>
          </w:p>
          <w:p w:rsidR="0025040C" w:rsidRPr="00806A5B" w:rsidRDefault="0025040C" w:rsidP="00E33C9D">
            <w:pPr>
              <w:keepNext/>
              <w:keepLines/>
              <w:tabs>
                <w:tab w:val="left" w:pos="-1440"/>
                <w:tab w:val="left" w:pos="-720"/>
              </w:tabs>
              <w:rPr>
                <w:sz w:val="20"/>
                <w:szCs w:val="20"/>
                <w:lang w:val="fr-CA"/>
              </w:rPr>
            </w:pPr>
            <w:r w:rsidRPr="00806A5B">
              <w:rPr>
                <w:sz w:val="20"/>
                <w:szCs w:val="20"/>
                <w:lang w:val="fr-CA"/>
              </w:rPr>
              <w:tab/>
            </w:r>
            <w:r>
              <w:rPr>
                <w:sz w:val="20"/>
                <w:szCs w:val="20"/>
                <w:lang w:val="fr-CA"/>
              </w:rPr>
              <w:t>Ca</w:t>
            </w:r>
            <w:r w:rsidRPr="00806A5B">
              <w:rPr>
                <w:sz w:val="20"/>
                <w:szCs w:val="20"/>
                <w:lang w:val="fr-CA"/>
              </w:rPr>
              <w:t>ro</w:t>
            </w:r>
            <w:r>
              <w:rPr>
                <w:sz w:val="20"/>
                <w:szCs w:val="20"/>
                <w:lang w:val="fr-CA"/>
              </w:rPr>
              <w:t>l L</w:t>
            </w:r>
            <w:r w:rsidRPr="00806A5B">
              <w:rPr>
                <w:sz w:val="20"/>
                <w:szCs w:val="20"/>
                <w:lang w:val="fr-CA"/>
              </w:rPr>
              <w:t>e</w:t>
            </w:r>
            <w:r>
              <w:rPr>
                <w:sz w:val="20"/>
                <w:szCs w:val="20"/>
                <w:lang w:val="fr-CA"/>
              </w:rPr>
              <w:t>breux</w:t>
            </w:r>
          </w:p>
          <w:p w:rsidR="0025040C" w:rsidRPr="00806A5B" w:rsidRDefault="0025040C" w:rsidP="00E33C9D">
            <w:pPr>
              <w:keepNext/>
              <w:keepLines/>
              <w:tabs>
                <w:tab w:val="left" w:pos="-1440"/>
                <w:tab w:val="left" w:pos="-720"/>
              </w:tabs>
              <w:rPr>
                <w:sz w:val="20"/>
                <w:szCs w:val="20"/>
                <w:lang w:val="fr-CA"/>
              </w:rPr>
            </w:pPr>
          </w:p>
          <w:p w:rsidR="0025040C" w:rsidRPr="00806A5B" w:rsidRDefault="0025040C" w:rsidP="00E33C9D">
            <w:pPr>
              <w:keepNext/>
              <w:keepLines/>
              <w:tabs>
                <w:tab w:val="left" w:pos="-1440"/>
                <w:tab w:val="left" w:pos="-720"/>
              </w:tabs>
              <w:rPr>
                <w:sz w:val="20"/>
                <w:szCs w:val="20"/>
                <w:lang w:val="fr-CA"/>
              </w:rPr>
            </w:pPr>
            <w:r w:rsidRPr="00806A5B">
              <w:rPr>
                <w:sz w:val="20"/>
                <w:szCs w:val="20"/>
                <w:lang w:val="fr-CA"/>
              </w:rPr>
              <w:tab/>
              <w:t>c. (36</w:t>
            </w:r>
            <w:r>
              <w:rPr>
                <w:sz w:val="20"/>
                <w:szCs w:val="20"/>
                <w:lang w:val="fr-CA"/>
              </w:rPr>
              <w:t>119</w:t>
            </w:r>
            <w:r w:rsidRPr="00806A5B">
              <w:rPr>
                <w:sz w:val="20"/>
                <w:szCs w:val="20"/>
                <w:lang w:val="fr-CA"/>
              </w:rPr>
              <w:t>)</w:t>
            </w:r>
          </w:p>
          <w:p w:rsidR="0025040C" w:rsidRPr="00806A5B" w:rsidRDefault="0025040C" w:rsidP="00E33C9D">
            <w:pPr>
              <w:keepNext/>
              <w:keepLines/>
              <w:tabs>
                <w:tab w:val="left" w:pos="-1440"/>
                <w:tab w:val="left" w:pos="-720"/>
              </w:tabs>
              <w:rPr>
                <w:sz w:val="20"/>
                <w:szCs w:val="20"/>
                <w:lang w:val="fr-CA"/>
              </w:rPr>
            </w:pPr>
          </w:p>
          <w:p w:rsidR="0025040C" w:rsidRPr="00806A5B" w:rsidRDefault="0025040C" w:rsidP="00E33C9D">
            <w:pPr>
              <w:keepNext/>
              <w:keepLines/>
              <w:tabs>
                <w:tab w:val="left" w:pos="-1440"/>
                <w:tab w:val="left" w:pos="-720"/>
              </w:tabs>
              <w:rPr>
                <w:b/>
                <w:sz w:val="20"/>
                <w:szCs w:val="20"/>
                <w:lang w:val="fr-CA"/>
              </w:rPr>
            </w:pPr>
            <w:r w:rsidRPr="00806A5B">
              <w:rPr>
                <w:b/>
                <w:sz w:val="20"/>
                <w:szCs w:val="20"/>
                <w:lang w:val="fr-CA"/>
              </w:rPr>
              <w:t>Sa Majesté la Reine (Qc)</w:t>
            </w:r>
          </w:p>
          <w:p w:rsidR="0025040C" w:rsidRPr="00806A5B" w:rsidRDefault="0025040C" w:rsidP="00E33C9D">
            <w:pPr>
              <w:keepNext/>
              <w:keepLines/>
              <w:tabs>
                <w:tab w:val="left" w:pos="-1440"/>
                <w:tab w:val="left" w:pos="-720"/>
              </w:tabs>
              <w:rPr>
                <w:sz w:val="20"/>
                <w:szCs w:val="20"/>
                <w:lang w:val="fr-CA"/>
              </w:rPr>
            </w:pPr>
            <w:r w:rsidRPr="00806A5B">
              <w:rPr>
                <w:sz w:val="20"/>
                <w:szCs w:val="20"/>
                <w:lang w:val="fr-CA"/>
              </w:rPr>
              <w:tab/>
            </w:r>
            <w:r>
              <w:rPr>
                <w:sz w:val="20"/>
                <w:szCs w:val="20"/>
                <w:lang w:val="fr-CA"/>
              </w:rPr>
              <w:t>Lili-Pierre Trottier-Lapointe</w:t>
            </w:r>
          </w:p>
          <w:p w:rsidR="0025040C" w:rsidRPr="00806A5B" w:rsidRDefault="0025040C" w:rsidP="00E33C9D">
            <w:pPr>
              <w:keepNext/>
              <w:keepLines/>
              <w:tabs>
                <w:tab w:val="left" w:pos="-1440"/>
                <w:tab w:val="left" w:pos="-720"/>
              </w:tabs>
              <w:rPr>
                <w:sz w:val="20"/>
                <w:szCs w:val="20"/>
                <w:lang w:val="fr-CA"/>
              </w:rPr>
            </w:pPr>
            <w:r w:rsidRPr="00806A5B">
              <w:rPr>
                <w:sz w:val="20"/>
                <w:szCs w:val="20"/>
                <w:lang w:val="fr-CA"/>
              </w:rPr>
              <w:tab/>
            </w:r>
            <w:r>
              <w:rPr>
                <w:sz w:val="20"/>
                <w:szCs w:val="20"/>
                <w:lang w:val="fr-CA"/>
              </w:rPr>
              <w:t xml:space="preserve">Poursuites criminelles et pénales du </w:t>
            </w:r>
            <w:r>
              <w:rPr>
                <w:sz w:val="20"/>
                <w:szCs w:val="20"/>
                <w:lang w:val="fr-CA"/>
              </w:rPr>
              <w:tab/>
              <w:t>Québec</w:t>
            </w:r>
          </w:p>
          <w:p w:rsidR="0025040C" w:rsidRPr="00806A5B" w:rsidRDefault="0025040C" w:rsidP="00E33C9D">
            <w:pPr>
              <w:keepNext/>
              <w:keepLines/>
              <w:tabs>
                <w:tab w:val="left" w:pos="-1440"/>
                <w:tab w:val="left" w:pos="-720"/>
              </w:tabs>
              <w:rPr>
                <w:sz w:val="20"/>
                <w:szCs w:val="20"/>
                <w:lang w:val="fr-CA"/>
              </w:rPr>
            </w:pPr>
          </w:p>
          <w:p w:rsidR="0025040C" w:rsidRPr="00806A5B" w:rsidRDefault="0025040C" w:rsidP="00E33C9D">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02</w:t>
            </w:r>
            <w:r w:rsidRPr="00806A5B">
              <w:rPr>
                <w:sz w:val="20"/>
                <w:szCs w:val="20"/>
                <w:lang w:val="fr-CA"/>
              </w:rPr>
              <w:t>.</w:t>
            </w:r>
            <w:r>
              <w:rPr>
                <w:sz w:val="20"/>
                <w:szCs w:val="20"/>
                <w:lang w:val="fr-CA"/>
              </w:rPr>
              <w:t>1</w:t>
            </w:r>
            <w:r w:rsidRPr="00806A5B">
              <w:rPr>
                <w:sz w:val="20"/>
                <w:szCs w:val="20"/>
                <w:lang w:val="fr-CA"/>
              </w:rPr>
              <w:t>0.2014</w:t>
            </w:r>
            <w:r w:rsidR="00714478">
              <w:rPr>
                <w:sz w:val="20"/>
                <w:szCs w:val="20"/>
                <w:lang w:val="fr-CA"/>
              </w:rPr>
              <w:pict>
                <v:rect id="_x0000_i1028" style="width:108pt;height:1pt" o:hrpct="0" o:hralign="center" o:hrstd="t" o:hrnoshade="t" o:hr="t" fillcolor="black [3213]" stroked="f"/>
              </w:pict>
            </w:r>
          </w:p>
        </w:tc>
      </w:tr>
      <w:tr w:rsidR="0025040C" w:rsidRPr="00A935AA" w:rsidTr="00E33C9D">
        <w:tc>
          <w:tcPr>
            <w:tcW w:w="4320" w:type="dxa"/>
            <w:shd w:val="clear" w:color="auto" w:fill="auto"/>
          </w:tcPr>
          <w:p w:rsidR="0025040C" w:rsidRPr="00A935AA" w:rsidRDefault="0025040C" w:rsidP="00E33C9D">
            <w:pPr>
              <w:rPr>
                <w:b/>
                <w:sz w:val="20"/>
                <w:szCs w:val="20"/>
              </w:rPr>
            </w:pPr>
            <w:r>
              <w:rPr>
                <w:b/>
                <w:sz w:val="20"/>
                <w:szCs w:val="20"/>
              </w:rPr>
              <w:t>Her Majesty the Queen</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Eric H. Siebenmorgen</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A.G. of Alberta</w:t>
            </w:r>
          </w:p>
          <w:p w:rsidR="0025040C" w:rsidRPr="00A935AA" w:rsidRDefault="0025040C" w:rsidP="00E33C9D">
            <w:pPr>
              <w:tabs>
                <w:tab w:val="left" w:pos="-1440"/>
                <w:tab w:val="left" w:pos="-720"/>
              </w:tabs>
              <w:rPr>
                <w:sz w:val="20"/>
                <w:szCs w:val="20"/>
              </w:rPr>
            </w:pPr>
          </w:p>
          <w:p w:rsidR="0025040C" w:rsidRPr="00A935AA" w:rsidRDefault="0025040C" w:rsidP="00E33C9D">
            <w:pPr>
              <w:tabs>
                <w:tab w:val="left" w:pos="-1440"/>
                <w:tab w:val="left" w:pos="-720"/>
              </w:tabs>
              <w:rPr>
                <w:sz w:val="20"/>
                <w:szCs w:val="20"/>
              </w:rPr>
            </w:pPr>
            <w:r w:rsidRPr="00A935AA">
              <w:rPr>
                <w:sz w:val="20"/>
                <w:szCs w:val="20"/>
              </w:rPr>
              <w:tab/>
              <w:t>v. (3</w:t>
            </w:r>
            <w:r>
              <w:rPr>
                <w:sz w:val="20"/>
                <w:szCs w:val="20"/>
              </w:rPr>
              <w:t>6112</w:t>
            </w:r>
            <w:r w:rsidRPr="00A935AA">
              <w:rPr>
                <w:sz w:val="20"/>
                <w:szCs w:val="20"/>
              </w:rPr>
              <w:t>)</w:t>
            </w:r>
          </w:p>
          <w:p w:rsidR="0025040C" w:rsidRPr="00A935AA" w:rsidRDefault="0025040C" w:rsidP="00E33C9D">
            <w:pPr>
              <w:tabs>
                <w:tab w:val="left" w:pos="-1440"/>
                <w:tab w:val="left" w:pos="-720"/>
              </w:tabs>
              <w:rPr>
                <w:sz w:val="20"/>
                <w:szCs w:val="20"/>
              </w:rPr>
            </w:pPr>
          </w:p>
          <w:p w:rsidR="0025040C" w:rsidRPr="00A935AA" w:rsidRDefault="0025040C" w:rsidP="00E33C9D">
            <w:pPr>
              <w:tabs>
                <w:tab w:val="left" w:pos="-1440"/>
                <w:tab w:val="left" w:pos="-720"/>
              </w:tabs>
              <w:rPr>
                <w:b/>
                <w:sz w:val="20"/>
                <w:szCs w:val="20"/>
              </w:rPr>
            </w:pPr>
            <w:r>
              <w:rPr>
                <w:b/>
                <w:sz w:val="20"/>
                <w:szCs w:val="20"/>
              </w:rPr>
              <w:t xml:space="preserve">Kenneth Gavin Williamson </w:t>
            </w:r>
            <w:r w:rsidRPr="00A935AA">
              <w:rPr>
                <w:b/>
                <w:sz w:val="20"/>
                <w:szCs w:val="20"/>
              </w:rPr>
              <w:t>(</w:t>
            </w:r>
            <w:r>
              <w:rPr>
                <w:b/>
                <w:sz w:val="20"/>
                <w:szCs w:val="20"/>
              </w:rPr>
              <w:t>Ont</w:t>
            </w:r>
            <w:r w:rsidRPr="00A935AA">
              <w:rPr>
                <w:b/>
                <w:sz w:val="20"/>
                <w:szCs w:val="20"/>
              </w:rPr>
              <w:t>.)</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John H. Hale</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Hale Criminal Law Office</w:t>
            </w:r>
          </w:p>
          <w:p w:rsidR="0025040C" w:rsidRPr="00A935AA" w:rsidRDefault="0025040C" w:rsidP="00E33C9D">
            <w:pPr>
              <w:tabs>
                <w:tab w:val="left" w:pos="-1440"/>
                <w:tab w:val="left" w:pos="-720"/>
              </w:tabs>
              <w:rPr>
                <w:sz w:val="20"/>
                <w:szCs w:val="20"/>
              </w:rPr>
            </w:pPr>
          </w:p>
          <w:p w:rsidR="0025040C" w:rsidRPr="00A935AA" w:rsidRDefault="0025040C" w:rsidP="00E33C9D">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1</w:t>
            </w:r>
            <w:r w:rsidRPr="00A935AA">
              <w:rPr>
                <w:sz w:val="20"/>
                <w:szCs w:val="20"/>
              </w:rPr>
              <w:t>0.201</w:t>
            </w:r>
            <w:r>
              <w:rPr>
                <w:sz w:val="20"/>
                <w:szCs w:val="20"/>
              </w:rPr>
              <w:t>4</w:t>
            </w:r>
            <w:r w:rsidR="0071447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Default="0025040C" w:rsidP="00E33C9D">
            <w:pPr>
              <w:jc w:val="center"/>
              <w:rPr>
                <w:sz w:val="20"/>
                <w:szCs w:val="20"/>
              </w:rPr>
            </w:pPr>
          </w:p>
          <w:p w:rsidR="0025040C" w:rsidRDefault="0025040C" w:rsidP="00E33C9D">
            <w:pPr>
              <w:jc w:val="center"/>
              <w:rPr>
                <w:sz w:val="20"/>
                <w:szCs w:val="20"/>
              </w:rPr>
            </w:pPr>
          </w:p>
          <w:p w:rsidR="0025040C" w:rsidRPr="00A935AA" w:rsidRDefault="0025040C" w:rsidP="00E33C9D">
            <w:pPr>
              <w:jc w:val="center"/>
              <w:rPr>
                <w:sz w:val="20"/>
                <w:szCs w:val="20"/>
              </w:rPr>
            </w:pPr>
          </w:p>
        </w:tc>
        <w:tc>
          <w:tcPr>
            <w:tcW w:w="4320" w:type="dxa"/>
            <w:shd w:val="clear" w:color="auto" w:fill="auto"/>
          </w:tcPr>
          <w:p w:rsidR="0025040C" w:rsidRDefault="0025040C" w:rsidP="00E33C9D">
            <w:pPr>
              <w:rPr>
                <w:b/>
                <w:sz w:val="20"/>
                <w:szCs w:val="20"/>
              </w:rPr>
            </w:pPr>
          </w:p>
          <w:p w:rsidR="0025040C" w:rsidRPr="00A935AA" w:rsidRDefault="0025040C" w:rsidP="00E33C9D">
            <w:pPr>
              <w:rPr>
                <w:b/>
                <w:sz w:val="20"/>
                <w:szCs w:val="20"/>
              </w:rPr>
            </w:pPr>
            <w:r>
              <w:rPr>
                <w:b/>
                <w:sz w:val="20"/>
                <w:szCs w:val="20"/>
              </w:rPr>
              <w:t>Sebastian Miazga</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Glen Orris, Q.C.</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Glen Orris</w:t>
            </w:r>
          </w:p>
          <w:p w:rsidR="0025040C" w:rsidRPr="00A935AA" w:rsidRDefault="0025040C" w:rsidP="00E33C9D">
            <w:pPr>
              <w:tabs>
                <w:tab w:val="left" w:pos="-1440"/>
                <w:tab w:val="left" w:pos="-720"/>
              </w:tabs>
              <w:rPr>
                <w:sz w:val="20"/>
                <w:szCs w:val="20"/>
              </w:rPr>
            </w:pPr>
          </w:p>
          <w:p w:rsidR="0025040C" w:rsidRPr="00A935AA" w:rsidRDefault="0025040C" w:rsidP="00E33C9D">
            <w:pPr>
              <w:tabs>
                <w:tab w:val="left" w:pos="-1440"/>
                <w:tab w:val="left" w:pos="-720"/>
              </w:tabs>
              <w:rPr>
                <w:sz w:val="20"/>
                <w:szCs w:val="20"/>
              </w:rPr>
            </w:pPr>
            <w:r w:rsidRPr="00A935AA">
              <w:rPr>
                <w:sz w:val="20"/>
                <w:szCs w:val="20"/>
              </w:rPr>
              <w:tab/>
              <w:t>v. (3</w:t>
            </w:r>
            <w:r>
              <w:rPr>
                <w:sz w:val="20"/>
                <w:szCs w:val="20"/>
              </w:rPr>
              <w:t>6114</w:t>
            </w:r>
            <w:r w:rsidRPr="00A935AA">
              <w:rPr>
                <w:sz w:val="20"/>
                <w:szCs w:val="20"/>
              </w:rPr>
              <w:t>)</w:t>
            </w:r>
          </w:p>
          <w:p w:rsidR="0025040C" w:rsidRPr="00A935AA" w:rsidRDefault="0025040C" w:rsidP="00E33C9D">
            <w:pPr>
              <w:tabs>
                <w:tab w:val="left" w:pos="-1440"/>
                <w:tab w:val="left" w:pos="-720"/>
              </w:tabs>
              <w:rPr>
                <w:sz w:val="20"/>
                <w:szCs w:val="20"/>
              </w:rPr>
            </w:pPr>
          </w:p>
          <w:p w:rsidR="0025040C" w:rsidRPr="00A935AA" w:rsidRDefault="0025040C" w:rsidP="00E33C9D">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Kevin J. Gillett</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A.G. of British Columbia</w:t>
            </w:r>
          </w:p>
          <w:p w:rsidR="0025040C" w:rsidRPr="00A935AA" w:rsidRDefault="0025040C" w:rsidP="00E33C9D">
            <w:pPr>
              <w:tabs>
                <w:tab w:val="left" w:pos="-1440"/>
                <w:tab w:val="left" w:pos="-720"/>
              </w:tabs>
              <w:rPr>
                <w:sz w:val="20"/>
                <w:szCs w:val="20"/>
              </w:rPr>
            </w:pPr>
          </w:p>
          <w:p w:rsidR="0025040C" w:rsidRPr="00A935AA" w:rsidRDefault="0025040C" w:rsidP="00E33C9D">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1</w:t>
            </w:r>
            <w:r w:rsidRPr="00A935AA">
              <w:rPr>
                <w:sz w:val="20"/>
                <w:szCs w:val="20"/>
              </w:rPr>
              <w:t>0.201</w:t>
            </w:r>
            <w:r>
              <w:rPr>
                <w:sz w:val="20"/>
                <w:szCs w:val="20"/>
              </w:rPr>
              <w:t>4</w:t>
            </w:r>
            <w:r w:rsidR="00714478">
              <w:rPr>
                <w:sz w:val="20"/>
                <w:szCs w:val="20"/>
                <w:lang w:val="fr-CA"/>
              </w:rPr>
              <w:pict>
                <v:rect id="_x0000_i1030" style="width:108pt;height:1pt" o:hrpct="0" o:hralign="center" o:hrstd="t" o:hrnoshade="t" o:hr="t" fillcolor="black [3213]" stroked="f"/>
              </w:pict>
            </w:r>
          </w:p>
        </w:tc>
      </w:tr>
      <w:tr w:rsidR="0025040C" w:rsidRPr="00D80991" w:rsidTr="00E33C9D">
        <w:trPr>
          <w:cantSplit/>
        </w:trPr>
        <w:tc>
          <w:tcPr>
            <w:tcW w:w="4320" w:type="dxa"/>
            <w:shd w:val="clear" w:color="auto" w:fill="auto"/>
          </w:tcPr>
          <w:p w:rsidR="0025040C" w:rsidRPr="00D80991" w:rsidRDefault="0025040C" w:rsidP="00E33C9D">
            <w:pPr>
              <w:rPr>
                <w:b/>
                <w:sz w:val="20"/>
                <w:szCs w:val="20"/>
                <w:lang w:val="fr-CA"/>
              </w:rPr>
            </w:pPr>
            <w:r w:rsidRPr="00D80991">
              <w:rPr>
                <w:b/>
                <w:sz w:val="20"/>
                <w:szCs w:val="20"/>
                <w:lang w:val="fr-CA"/>
              </w:rPr>
              <w:t>Patrick Lemonnier</w:t>
            </w:r>
          </w:p>
          <w:p w:rsidR="0025040C" w:rsidRPr="00D80991" w:rsidRDefault="0025040C" w:rsidP="00E33C9D">
            <w:pPr>
              <w:tabs>
                <w:tab w:val="left" w:pos="-1440"/>
                <w:tab w:val="left" w:pos="-720"/>
              </w:tabs>
              <w:rPr>
                <w:sz w:val="20"/>
                <w:szCs w:val="20"/>
                <w:lang w:val="fr-CA"/>
              </w:rPr>
            </w:pPr>
            <w:r w:rsidRPr="00D80991">
              <w:rPr>
                <w:sz w:val="20"/>
                <w:szCs w:val="20"/>
                <w:lang w:val="fr-CA"/>
              </w:rPr>
              <w:tab/>
              <w:t>Jean-Claude Dufour</w:t>
            </w:r>
          </w:p>
          <w:p w:rsidR="0025040C" w:rsidRPr="00D80991" w:rsidRDefault="0025040C" w:rsidP="00E33C9D">
            <w:pPr>
              <w:tabs>
                <w:tab w:val="left" w:pos="-1440"/>
                <w:tab w:val="left" w:pos="-720"/>
              </w:tabs>
              <w:rPr>
                <w:sz w:val="20"/>
                <w:szCs w:val="20"/>
                <w:lang w:val="fr-CA"/>
              </w:rPr>
            </w:pPr>
          </w:p>
          <w:p w:rsidR="0025040C" w:rsidRPr="00D80991" w:rsidRDefault="0025040C" w:rsidP="00E33C9D">
            <w:pPr>
              <w:tabs>
                <w:tab w:val="left" w:pos="-1440"/>
                <w:tab w:val="left" w:pos="-720"/>
              </w:tabs>
              <w:rPr>
                <w:sz w:val="20"/>
                <w:szCs w:val="20"/>
                <w:lang w:val="fr-CA"/>
              </w:rPr>
            </w:pPr>
            <w:r w:rsidRPr="00D80991">
              <w:rPr>
                <w:sz w:val="20"/>
                <w:szCs w:val="20"/>
                <w:lang w:val="fr-CA"/>
              </w:rPr>
              <w:tab/>
              <w:t>c. (3</w:t>
            </w:r>
            <w:r>
              <w:rPr>
                <w:sz w:val="20"/>
                <w:szCs w:val="20"/>
                <w:lang w:val="fr-CA"/>
              </w:rPr>
              <w:t>6113</w:t>
            </w:r>
            <w:r w:rsidRPr="00D80991">
              <w:rPr>
                <w:sz w:val="20"/>
                <w:szCs w:val="20"/>
                <w:lang w:val="fr-CA"/>
              </w:rPr>
              <w:t>)</w:t>
            </w:r>
          </w:p>
          <w:p w:rsidR="0025040C" w:rsidRPr="00D80991" w:rsidRDefault="0025040C" w:rsidP="00E33C9D">
            <w:pPr>
              <w:tabs>
                <w:tab w:val="left" w:pos="-1440"/>
                <w:tab w:val="left" w:pos="-720"/>
              </w:tabs>
              <w:rPr>
                <w:sz w:val="20"/>
                <w:szCs w:val="20"/>
                <w:lang w:val="fr-CA"/>
              </w:rPr>
            </w:pPr>
          </w:p>
          <w:p w:rsidR="0025040C" w:rsidRPr="00D80991" w:rsidRDefault="0025040C" w:rsidP="00E33C9D">
            <w:pPr>
              <w:tabs>
                <w:tab w:val="left" w:pos="-1440"/>
                <w:tab w:val="left" w:pos="-720"/>
              </w:tabs>
              <w:rPr>
                <w:b/>
                <w:sz w:val="20"/>
                <w:szCs w:val="20"/>
                <w:lang w:val="fr-CA"/>
              </w:rPr>
            </w:pPr>
            <w:r w:rsidRPr="00D80991">
              <w:rPr>
                <w:b/>
                <w:sz w:val="20"/>
                <w:szCs w:val="20"/>
                <w:lang w:val="fr-CA"/>
              </w:rPr>
              <w:t>Sa Majesté la Reine</w:t>
            </w:r>
            <w:r>
              <w:rPr>
                <w:b/>
                <w:sz w:val="20"/>
                <w:szCs w:val="20"/>
                <w:lang w:val="fr-CA"/>
              </w:rPr>
              <w:t xml:space="preserve"> </w:t>
            </w:r>
            <w:r w:rsidRPr="00D80991">
              <w:rPr>
                <w:b/>
                <w:sz w:val="20"/>
                <w:szCs w:val="20"/>
                <w:lang w:val="fr-CA"/>
              </w:rPr>
              <w:t>(Qc)</w:t>
            </w:r>
          </w:p>
          <w:p w:rsidR="0025040C" w:rsidRPr="00D80991" w:rsidRDefault="0025040C" w:rsidP="00E33C9D">
            <w:pPr>
              <w:tabs>
                <w:tab w:val="left" w:pos="-1440"/>
                <w:tab w:val="left" w:pos="-720"/>
              </w:tabs>
              <w:rPr>
                <w:sz w:val="20"/>
                <w:szCs w:val="20"/>
                <w:lang w:val="fr-CA"/>
              </w:rPr>
            </w:pPr>
            <w:r w:rsidRPr="00D80991">
              <w:rPr>
                <w:sz w:val="20"/>
                <w:szCs w:val="20"/>
                <w:lang w:val="fr-CA"/>
              </w:rPr>
              <w:tab/>
            </w:r>
            <w:r>
              <w:rPr>
                <w:sz w:val="20"/>
                <w:szCs w:val="20"/>
                <w:lang w:val="fr-CA"/>
              </w:rPr>
              <w:t>Anne-Sophie Blouin Racine</w:t>
            </w:r>
          </w:p>
          <w:p w:rsidR="0025040C" w:rsidRPr="00D80991" w:rsidRDefault="0025040C" w:rsidP="00E33C9D">
            <w:pPr>
              <w:tabs>
                <w:tab w:val="left" w:pos="-1440"/>
                <w:tab w:val="left" w:pos="-720"/>
              </w:tabs>
              <w:rPr>
                <w:sz w:val="20"/>
                <w:szCs w:val="20"/>
                <w:lang w:val="fr-CA"/>
              </w:rPr>
            </w:pPr>
            <w:r w:rsidRPr="00D80991">
              <w:rPr>
                <w:sz w:val="20"/>
                <w:szCs w:val="20"/>
                <w:lang w:val="fr-CA"/>
              </w:rPr>
              <w:tab/>
            </w:r>
            <w:r>
              <w:rPr>
                <w:sz w:val="20"/>
                <w:szCs w:val="20"/>
                <w:lang w:val="fr-CA"/>
              </w:rPr>
              <w:t xml:space="preserve">Directeur des poursuites criminelles et </w:t>
            </w:r>
            <w:r>
              <w:rPr>
                <w:sz w:val="20"/>
                <w:szCs w:val="20"/>
                <w:lang w:val="fr-CA"/>
              </w:rPr>
              <w:tab/>
              <w:t>pénales du Québec</w:t>
            </w:r>
          </w:p>
          <w:p w:rsidR="0025040C" w:rsidRPr="00D80991" w:rsidRDefault="0025040C" w:rsidP="00E33C9D">
            <w:pPr>
              <w:tabs>
                <w:tab w:val="left" w:pos="-1440"/>
                <w:tab w:val="left" w:pos="-720"/>
              </w:tabs>
              <w:rPr>
                <w:sz w:val="20"/>
                <w:szCs w:val="20"/>
                <w:lang w:val="fr-CA"/>
              </w:rPr>
            </w:pPr>
          </w:p>
          <w:p w:rsidR="0025040C" w:rsidRPr="00D80991" w:rsidRDefault="0025040C" w:rsidP="00E33C9D">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w:t>
            </w:r>
            <w:r w:rsidRPr="00D80991">
              <w:rPr>
                <w:sz w:val="20"/>
                <w:szCs w:val="20"/>
                <w:lang w:val="fr-CA"/>
              </w:rPr>
              <w:t xml:space="preserve"> 06.10.2014</w:t>
            </w:r>
            <w:r w:rsidR="0071447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tc>
        <w:tc>
          <w:tcPr>
            <w:tcW w:w="4320" w:type="dxa"/>
            <w:shd w:val="clear" w:color="auto" w:fill="auto"/>
          </w:tcPr>
          <w:p w:rsidR="0025040C" w:rsidRDefault="0025040C" w:rsidP="00E33C9D">
            <w:pPr>
              <w:rPr>
                <w:b/>
                <w:sz w:val="20"/>
                <w:szCs w:val="20"/>
                <w:lang w:val="fr-CA"/>
              </w:rPr>
            </w:pPr>
          </w:p>
          <w:p w:rsidR="0025040C" w:rsidRPr="00D80991" w:rsidRDefault="0025040C" w:rsidP="00E33C9D">
            <w:pPr>
              <w:rPr>
                <w:b/>
                <w:sz w:val="20"/>
                <w:szCs w:val="20"/>
                <w:lang w:val="fr-CA"/>
              </w:rPr>
            </w:pPr>
            <w:r>
              <w:rPr>
                <w:b/>
                <w:sz w:val="20"/>
                <w:szCs w:val="20"/>
                <w:lang w:val="fr-CA"/>
              </w:rPr>
              <w:t>Chérita Johnson-Richard</w:t>
            </w:r>
          </w:p>
          <w:p w:rsidR="0025040C" w:rsidRDefault="0025040C" w:rsidP="00E33C9D">
            <w:pPr>
              <w:tabs>
                <w:tab w:val="left" w:pos="-1440"/>
                <w:tab w:val="left" w:pos="-720"/>
              </w:tabs>
              <w:rPr>
                <w:sz w:val="20"/>
                <w:szCs w:val="20"/>
                <w:lang w:val="fr-CA"/>
              </w:rPr>
            </w:pPr>
            <w:r w:rsidRPr="00D80991">
              <w:rPr>
                <w:sz w:val="20"/>
                <w:szCs w:val="20"/>
                <w:lang w:val="fr-CA"/>
              </w:rPr>
              <w:tab/>
            </w:r>
            <w:r>
              <w:rPr>
                <w:sz w:val="20"/>
                <w:szCs w:val="20"/>
                <w:lang w:val="fr-CA"/>
              </w:rPr>
              <w:t>Chérita Johnson-Richard</w:t>
            </w:r>
          </w:p>
          <w:p w:rsidR="0025040C" w:rsidRPr="00D80991" w:rsidRDefault="0025040C" w:rsidP="00E33C9D">
            <w:pPr>
              <w:tabs>
                <w:tab w:val="left" w:pos="-1440"/>
                <w:tab w:val="left" w:pos="-720"/>
              </w:tabs>
              <w:rPr>
                <w:sz w:val="20"/>
                <w:szCs w:val="20"/>
                <w:lang w:val="fr-CA"/>
              </w:rPr>
            </w:pPr>
          </w:p>
          <w:p w:rsidR="0025040C" w:rsidRPr="00D80991" w:rsidRDefault="0025040C" w:rsidP="00E33C9D">
            <w:pPr>
              <w:tabs>
                <w:tab w:val="left" w:pos="-1440"/>
                <w:tab w:val="left" w:pos="-720"/>
              </w:tabs>
              <w:rPr>
                <w:sz w:val="20"/>
                <w:szCs w:val="20"/>
                <w:lang w:val="fr-CA"/>
              </w:rPr>
            </w:pPr>
            <w:r w:rsidRPr="00D80991">
              <w:rPr>
                <w:sz w:val="20"/>
                <w:szCs w:val="20"/>
                <w:lang w:val="fr-CA"/>
              </w:rPr>
              <w:tab/>
            </w:r>
            <w:r>
              <w:rPr>
                <w:sz w:val="20"/>
                <w:szCs w:val="20"/>
                <w:lang w:val="fr-CA"/>
              </w:rPr>
              <w:t>c</w:t>
            </w:r>
            <w:r w:rsidRPr="00D80991">
              <w:rPr>
                <w:sz w:val="20"/>
                <w:szCs w:val="20"/>
                <w:lang w:val="fr-CA"/>
              </w:rPr>
              <w:t>. (3</w:t>
            </w:r>
            <w:r>
              <w:rPr>
                <w:sz w:val="20"/>
                <w:szCs w:val="20"/>
                <w:lang w:val="fr-CA"/>
              </w:rPr>
              <w:t>6116</w:t>
            </w:r>
            <w:r w:rsidRPr="00D80991">
              <w:rPr>
                <w:sz w:val="20"/>
                <w:szCs w:val="20"/>
                <w:lang w:val="fr-CA"/>
              </w:rPr>
              <w:t>)</w:t>
            </w:r>
          </w:p>
          <w:p w:rsidR="0025040C" w:rsidRPr="00D80991" w:rsidRDefault="0025040C" w:rsidP="00E33C9D">
            <w:pPr>
              <w:tabs>
                <w:tab w:val="left" w:pos="-1440"/>
                <w:tab w:val="left" w:pos="-720"/>
              </w:tabs>
              <w:rPr>
                <w:sz w:val="20"/>
                <w:szCs w:val="20"/>
                <w:lang w:val="fr-CA"/>
              </w:rPr>
            </w:pPr>
          </w:p>
          <w:p w:rsidR="0025040C" w:rsidRPr="00D80991" w:rsidRDefault="0025040C" w:rsidP="00E33C9D">
            <w:pPr>
              <w:tabs>
                <w:tab w:val="left" w:pos="-1440"/>
                <w:tab w:val="left" w:pos="-720"/>
              </w:tabs>
              <w:rPr>
                <w:b/>
                <w:sz w:val="20"/>
                <w:szCs w:val="20"/>
                <w:lang w:val="fr-CA"/>
              </w:rPr>
            </w:pPr>
            <w:r>
              <w:rPr>
                <w:b/>
                <w:sz w:val="20"/>
                <w:szCs w:val="20"/>
                <w:lang w:val="fr-CA"/>
              </w:rPr>
              <w:t xml:space="preserve">Ionela Ariadna Chiriac et autre </w:t>
            </w:r>
            <w:r w:rsidRPr="00D80991">
              <w:rPr>
                <w:b/>
                <w:sz w:val="20"/>
                <w:szCs w:val="20"/>
                <w:lang w:val="fr-CA"/>
              </w:rPr>
              <w:t>(</w:t>
            </w:r>
            <w:r>
              <w:rPr>
                <w:b/>
                <w:sz w:val="20"/>
                <w:szCs w:val="20"/>
                <w:lang w:val="fr-CA"/>
              </w:rPr>
              <w:t>Qc</w:t>
            </w:r>
            <w:r w:rsidRPr="00D80991">
              <w:rPr>
                <w:b/>
                <w:sz w:val="20"/>
                <w:szCs w:val="20"/>
                <w:lang w:val="fr-CA"/>
              </w:rPr>
              <w:t>)</w:t>
            </w:r>
          </w:p>
          <w:p w:rsidR="0025040C" w:rsidRPr="00D80991" w:rsidRDefault="0025040C" w:rsidP="00E33C9D">
            <w:pPr>
              <w:tabs>
                <w:tab w:val="left" w:pos="-1440"/>
                <w:tab w:val="left" w:pos="-720"/>
              </w:tabs>
              <w:rPr>
                <w:sz w:val="20"/>
                <w:szCs w:val="20"/>
                <w:lang w:val="fr-CA"/>
              </w:rPr>
            </w:pPr>
            <w:r w:rsidRPr="00D80991">
              <w:rPr>
                <w:sz w:val="20"/>
                <w:szCs w:val="20"/>
                <w:lang w:val="fr-CA"/>
              </w:rPr>
              <w:tab/>
            </w:r>
            <w:r>
              <w:rPr>
                <w:sz w:val="20"/>
                <w:szCs w:val="20"/>
                <w:lang w:val="fr-CA"/>
              </w:rPr>
              <w:t>Alain Legault</w:t>
            </w:r>
          </w:p>
          <w:p w:rsidR="0025040C" w:rsidRPr="00D80991" w:rsidRDefault="0025040C" w:rsidP="00E33C9D">
            <w:pPr>
              <w:tabs>
                <w:tab w:val="left" w:pos="-1440"/>
                <w:tab w:val="left" w:pos="-720"/>
              </w:tabs>
              <w:rPr>
                <w:sz w:val="20"/>
                <w:szCs w:val="20"/>
                <w:lang w:val="fr-CA"/>
              </w:rPr>
            </w:pPr>
            <w:r w:rsidRPr="00D80991">
              <w:rPr>
                <w:sz w:val="20"/>
                <w:szCs w:val="20"/>
                <w:lang w:val="fr-CA"/>
              </w:rPr>
              <w:tab/>
            </w:r>
            <w:r>
              <w:rPr>
                <w:sz w:val="20"/>
                <w:szCs w:val="20"/>
                <w:lang w:val="fr-CA"/>
              </w:rPr>
              <w:t>Legault, Brunet, Paquin, avocats</w:t>
            </w:r>
          </w:p>
          <w:p w:rsidR="0025040C" w:rsidRPr="00D80991" w:rsidRDefault="0025040C" w:rsidP="00E33C9D">
            <w:pPr>
              <w:tabs>
                <w:tab w:val="left" w:pos="-1440"/>
                <w:tab w:val="left" w:pos="-720"/>
              </w:tabs>
              <w:rPr>
                <w:sz w:val="20"/>
                <w:szCs w:val="20"/>
                <w:lang w:val="fr-CA"/>
              </w:rPr>
            </w:pPr>
          </w:p>
          <w:p w:rsidR="0025040C" w:rsidRPr="00D80991" w:rsidRDefault="0025040C" w:rsidP="00E33C9D">
            <w:pPr>
              <w:rPr>
                <w:sz w:val="20"/>
                <w:szCs w:val="20"/>
                <w:lang w:val="fr-CA"/>
              </w:rPr>
            </w:pPr>
            <w:r w:rsidRPr="00806A5B">
              <w:rPr>
                <w:sz w:val="20"/>
                <w:szCs w:val="20"/>
                <w:lang w:val="fr-CA"/>
              </w:rPr>
              <w:t>DATE DE PRODUCTION</w:t>
            </w:r>
            <w:r>
              <w:rPr>
                <w:sz w:val="20"/>
                <w:szCs w:val="20"/>
                <w:lang w:val="fr-CA"/>
              </w:rPr>
              <w:t xml:space="preserve"> </w:t>
            </w:r>
            <w:r w:rsidRPr="00D80991">
              <w:rPr>
                <w:sz w:val="20"/>
                <w:szCs w:val="20"/>
                <w:lang w:val="fr-CA"/>
              </w:rPr>
              <w:t>: 06.10.2014</w:t>
            </w:r>
            <w:r w:rsidR="00714478">
              <w:rPr>
                <w:sz w:val="20"/>
                <w:szCs w:val="20"/>
                <w:lang w:val="fr-CA"/>
              </w:rPr>
              <w:pict>
                <v:rect id="_x0000_i1032" style="width:108pt;height:1pt" o:hrpct="0" o:hralign="center" o:hrstd="t" o:hrnoshade="t" o:hr="t" fillcolor="black [3213]" stroked="f"/>
              </w:pict>
            </w:r>
          </w:p>
        </w:tc>
      </w:tr>
      <w:tr w:rsidR="0025040C" w:rsidRPr="00A935AA" w:rsidTr="00E33C9D">
        <w:trPr>
          <w:cantSplit/>
        </w:trPr>
        <w:tc>
          <w:tcPr>
            <w:tcW w:w="4320" w:type="dxa"/>
            <w:shd w:val="clear" w:color="auto" w:fill="auto"/>
          </w:tcPr>
          <w:p w:rsidR="0025040C" w:rsidRPr="00864E96" w:rsidRDefault="0025040C" w:rsidP="00E33C9D">
            <w:pPr>
              <w:rPr>
                <w:b/>
                <w:sz w:val="20"/>
                <w:szCs w:val="20"/>
              </w:rPr>
            </w:pPr>
            <w:r w:rsidRPr="00864E96">
              <w:rPr>
                <w:b/>
                <w:sz w:val="20"/>
                <w:szCs w:val="20"/>
              </w:rPr>
              <w:lastRenderedPageBreak/>
              <w:t>Romandale Farms Limited et al.</w:t>
            </w:r>
          </w:p>
          <w:p w:rsidR="0025040C" w:rsidRPr="00902D7C" w:rsidRDefault="0025040C" w:rsidP="00E33C9D">
            <w:pPr>
              <w:tabs>
                <w:tab w:val="left" w:pos="-1440"/>
                <w:tab w:val="left" w:pos="-720"/>
              </w:tabs>
              <w:rPr>
                <w:sz w:val="20"/>
                <w:szCs w:val="20"/>
              </w:rPr>
            </w:pPr>
            <w:r w:rsidRPr="00864E96">
              <w:rPr>
                <w:sz w:val="20"/>
                <w:szCs w:val="20"/>
              </w:rPr>
              <w:tab/>
            </w:r>
            <w:r w:rsidRPr="00902D7C">
              <w:rPr>
                <w:sz w:val="20"/>
                <w:szCs w:val="20"/>
              </w:rPr>
              <w:t>R. Leigh Youd</w:t>
            </w:r>
          </w:p>
          <w:p w:rsidR="0025040C" w:rsidRPr="00902D7C" w:rsidRDefault="0025040C" w:rsidP="00E33C9D">
            <w:pPr>
              <w:tabs>
                <w:tab w:val="left" w:pos="-1440"/>
                <w:tab w:val="left" w:pos="-720"/>
              </w:tabs>
              <w:rPr>
                <w:sz w:val="20"/>
                <w:szCs w:val="20"/>
              </w:rPr>
            </w:pPr>
            <w:r w:rsidRPr="00902D7C">
              <w:rPr>
                <w:sz w:val="20"/>
                <w:szCs w:val="20"/>
              </w:rPr>
              <w:tab/>
              <w:t>Berkow, Cohen LLP</w:t>
            </w:r>
          </w:p>
          <w:p w:rsidR="0025040C" w:rsidRPr="00902D7C" w:rsidRDefault="0025040C" w:rsidP="00E33C9D">
            <w:pPr>
              <w:tabs>
                <w:tab w:val="left" w:pos="-1440"/>
                <w:tab w:val="left" w:pos="-720"/>
              </w:tabs>
              <w:rPr>
                <w:sz w:val="20"/>
                <w:szCs w:val="20"/>
              </w:rPr>
            </w:pPr>
          </w:p>
          <w:p w:rsidR="0025040C" w:rsidRPr="00864E96" w:rsidRDefault="0025040C" w:rsidP="00E33C9D">
            <w:pPr>
              <w:tabs>
                <w:tab w:val="left" w:pos="-1440"/>
                <w:tab w:val="left" w:pos="-720"/>
              </w:tabs>
              <w:rPr>
                <w:sz w:val="20"/>
                <w:szCs w:val="20"/>
              </w:rPr>
            </w:pPr>
            <w:r w:rsidRPr="00902D7C">
              <w:rPr>
                <w:sz w:val="20"/>
                <w:szCs w:val="20"/>
              </w:rPr>
              <w:tab/>
            </w:r>
            <w:r w:rsidRPr="00864E96">
              <w:rPr>
                <w:sz w:val="20"/>
                <w:szCs w:val="20"/>
              </w:rPr>
              <w:t>v. (36115)</w:t>
            </w:r>
          </w:p>
          <w:p w:rsidR="0025040C" w:rsidRPr="00864E96" w:rsidRDefault="0025040C" w:rsidP="00E33C9D">
            <w:pPr>
              <w:tabs>
                <w:tab w:val="left" w:pos="-1440"/>
                <w:tab w:val="left" w:pos="-720"/>
              </w:tabs>
              <w:rPr>
                <w:sz w:val="20"/>
                <w:szCs w:val="20"/>
              </w:rPr>
            </w:pPr>
          </w:p>
          <w:p w:rsidR="0025040C" w:rsidRPr="00864E96" w:rsidRDefault="0025040C" w:rsidP="00E33C9D">
            <w:pPr>
              <w:tabs>
                <w:tab w:val="left" w:pos="-1440"/>
                <w:tab w:val="left" w:pos="-720"/>
              </w:tabs>
              <w:rPr>
                <w:b/>
                <w:sz w:val="20"/>
                <w:szCs w:val="20"/>
              </w:rPr>
            </w:pPr>
            <w:r w:rsidRPr="00902D7C">
              <w:rPr>
                <w:b/>
                <w:sz w:val="20"/>
                <w:szCs w:val="20"/>
              </w:rPr>
              <w:t xml:space="preserve">First Elgin Mills Developments Inc. </w:t>
            </w:r>
            <w:r w:rsidRPr="00864E96">
              <w:rPr>
                <w:b/>
                <w:sz w:val="20"/>
                <w:szCs w:val="20"/>
              </w:rPr>
              <w:t>(Ont.)</w:t>
            </w:r>
          </w:p>
          <w:p w:rsidR="0025040C" w:rsidRPr="00902D7C" w:rsidRDefault="0025040C" w:rsidP="00E33C9D">
            <w:pPr>
              <w:tabs>
                <w:tab w:val="left" w:pos="-1440"/>
                <w:tab w:val="left" w:pos="-720"/>
              </w:tabs>
              <w:rPr>
                <w:sz w:val="20"/>
                <w:szCs w:val="20"/>
              </w:rPr>
            </w:pPr>
            <w:r w:rsidRPr="00864E96">
              <w:rPr>
                <w:sz w:val="20"/>
                <w:szCs w:val="20"/>
              </w:rPr>
              <w:tab/>
            </w:r>
            <w:r w:rsidRPr="00902D7C">
              <w:rPr>
                <w:sz w:val="20"/>
                <w:szCs w:val="20"/>
              </w:rPr>
              <w:t>Martin J. Henderson</w:t>
            </w:r>
          </w:p>
          <w:p w:rsidR="0025040C" w:rsidRPr="00902D7C" w:rsidRDefault="0025040C" w:rsidP="00E33C9D">
            <w:pPr>
              <w:tabs>
                <w:tab w:val="left" w:pos="-1440"/>
                <w:tab w:val="left" w:pos="-720"/>
              </w:tabs>
              <w:rPr>
                <w:sz w:val="20"/>
                <w:szCs w:val="20"/>
              </w:rPr>
            </w:pPr>
            <w:r w:rsidRPr="00902D7C">
              <w:rPr>
                <w:sz w:val="20"/>
                <w:szCs w:val="20"/>
              </w:rPr>
              <w:tab/>
              <w:t>Aird &amp; Berlis LLP</w:t>
            </w:r>
          </w:p>
          <w:p w:rsidR="0025040C" w:rsidRPr="00902D7C" w:rsidRDefault="0025040C" w:rsidP="00E33C9D">
            <w:pPr>
              <w:tabs>
                <w:tab w:val="left" w:pos="-1440"/>
                <w:tab w:val="left" w:pos="-720"/>
              </w:tabs>
              <w:rPr>
                <w:sz w:val="20"/>
                <w:szCs w:val="20"/>
              </w:rPr>
            </w:pPr>
          </w:p>
          <w:p w:rsidR="0025040C" w:rsidRPr="00D80991" w:rsidRDefault="0025040C" w:rsidP="00E33C9D">
            <w:pPr>
              <w:rPr>
                <w:sz w:val="20"/>
                <w:szCs w:val="20"/>
                <w:lang w:val="fr-CA"/>
              </w:rPr>
            </w:pPr>
            <w:r w:rsidRPr="00D80991">
              <w:rPr>
                <w:sz w:val="20"/>
                <w:szCs w:val="20"/>
                <w:lang w:val="fr-CA"/>
              </w:rPr>
              <w:t>FILING DATE: 06.10.2014</w:t>
            </w:r>
            <w:r w:rsidR="00714478">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p w:rsidR="0025040C" w:rsidRPr="00D80991" w:rsidRDefault="0025040C" w:rsidP="00E33C9D">
            <w:pPr>
              <w:jc w:val="center"/>
              <w:rPr>
                <w:sz w:val="20"/>
                <w:szCs w:val="20"/>
                <w:lang w:val="fr-CA"/>
              </w:rPr>
            </w:pPr>
          </w:p>
        </w:tc>
        <w:tc>
          <w:tcPr>
            <w:tcW w:w="4320" w:type="dxa"/>
            <w:shd w:val="clear" w:color="auto" w:fill="auto"/>
          </w:tcPr>
          <w:p w:rsidR="0025040C" w:rsidRPr="00A935AA" w:rsidRDefault="0025040C" w:rsidP="00E33C9D">
            <w:pPr>
              <w:rPr>
                <w:b/>
                <w:sz w:val="20"/>
                <w:szCs w:val="20"/>
              </w:rPr>
            </w:pPr>
            <w:r>
              <w:rPr>
                <w:b/>
                <w:sz w:val="20"/>
                <w:szCs w:val="20"/>
              </w:rPr>
              <w:t>Minister of Revenue</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William J. Manuel</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A.G. of Ontario</w:t>
            </w:r>
          </w:p>
          <w:p w:rsidR="0025040C" w:rsidRPr="00A935AA" w:rsidRDefault="0025040C" w:rsidP="00E33C9D">
            <w:pPr>
              <w:tabs>
                <w:tab w:val="left" w:pos="-1440"/>
                <w:tab w:val="left" w:pos="-720"/>
              </w:tabs>
              <w:rPr>
                <w:sz w:val="20"/>
                <w:szCs w:val="20"/>
              </w:rPr>
            </w:pPr>
          </w:p>
          <w:p w:rsidR="0025040C" w:rsidRPr="00A935AA" w:rsidRDefault="0025040C" w:rsidP="00E33C9D">
            <w:pPr>
              <w:tabs>
                <w:tab w:val="left" w:pos="-1440"/>
                <w:tab w:val="left" w:pos="-720"/>
              </w:tabs>
              <w:rPr>
                <w:sz w:val="20"/>
                <w:szCs w:val="20"/>
              </w:rPr>
            </w:pPr>
            <w:r w:rsidRPr="00A935AA">
              <w:rPr>
                <w:sz w:val="20"/>
                <w:szCs w:val="20"/>
              </w:rPr>
              <w:tab/>
              <w:t>v. (3</w:t>
            </w:r>
            <w:r>
              <w:rPr>
                <w:sz w:val="20"/>
                <w:szCs w:val="20"/>
              </w:rPr>
              <w:t>6117</w:t>
            </w:r>
            <w:r w:rsidRPr="00A935AA">
              <w:rPr>
                <w:sz w:val="20"/>
                <w:szCs w:val="20"/>
              </w:rPr>
              <w:t>)</w:t>
            </w:r>
          </w:p>
          <w:p w:rsidR="0025040C" w:rsidRPr="00A935AA" w:rsidRDefault="0025040C" w:rsidP="00E33C9D">
            <w:pPr>
              <w:tabs>
                <w:tab w:val="left" w:pos="-1440"/>
                <w:tab w:val="left" w:pos="-720"/>
              </w:tabs>
              <w:rPr>
                <w:sz w:val="20"/>
                <w:szCs w:val="20"/>
              </w:rPr>
            </w:pPr>
          </w:p>
          <w:p w:rsidR="0025040C" w:rsidRPr="00A935AA" w:rsidRDefault="0025040C" w:rsidP="00E33C9D">
            <w:pPr>
              <w:tabs>
                <w:tab w:val="left" w:pos="-1440"/>
                <w:tab w:val="left" w:pos="-720"/>
              </w:tabs>
              <w:rPr>
                <w:b/>
                <w:sz w:val="20"/>
                <w:szCs w:val="20"/>
              </w:rPr>
            </w:pPr>
            <w:r>
              <w:rPr>
                <w:b/>
                <w:sz w:val="20"/>
                <w:szCs w:val="20"/>
              </w:rPr>
              <w:t xml:space="preserve">Inter-Leasing, Inc. </w:t>
            </w:r>
            <w:r w:rsidRPr="00A935AA">
              <w:rPr>
                <w:b/>
                <w:sz w:val="20"/>
                <w:szCs w:val="20"/>
              </w:rPr>
              <w:t>(</w:t>
            </w:r>
            <w:r>
              <w:rPr>
                <w:b/>
                <w:sz w:val="20"/>
                <w:szCs w:val="20"/>
              </w:rPr>
              <w:t>Ont</w:t>
            </w:r>
            <w:r w:rsidRPr="00A935AA">
              <w:rPr>
                <w:b/>
                <w:sz w:val="20"/>
                <w:szCs w:val="20"/>
              </w:rPr>
              <w:t>.)</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Al Meghji</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Osler, Hoskin &amp; Harcourt LLP</w:t>
            </w:r>
          </w:p>
          <w:p w:rsidR="0025040C" w:rsidRPr="00A935AA" w:rsidRDefault="0025040C" w:rsidP="00E33C9D">
            <w:pPr>
              <w:tabs>
                <w:tab w:val="left" w:pos="-1440"/>
                <w:tab w:val="left" w:pos="-720"/>
              </w:tabs>
              <w:rPr>
                <w:sz w:val="20"/>
                <w:szCs w:val="20"/>
              </w:rPr>
            </w:pPr>
          </w:p>
          <w:p w:rsidR="0025040C" w:rsidRPr="00A935AA" w:rsidRDefault="0025040C" w:rsidP="00E33C9D">
            <w:pPr>
              <w:rPr>
                <w:sz w:val="20"/>
                <w:szCs w:val="20"/>
              </w:rPr>
            </w:pPr>
            <w:r w:rsidRPr="00A935AA">
              <w:rPr>
                <w:sz w:val="20"/>
                <w:szCs w:val="20"/>
              </w:rPr>
              <w:t xml:space="preserve">FILING DATE: </w:t>
            </w:r>
            <w:r>
              <w:rPr>
                <w:sz w:val="20"/>
                <w:szCs w:val="20"/>
              </w:rPr>
              <w:t>06</w:t>
            </w:r>
            <w:r w:rsidRPr="00A935AA">
              <w:rPr>
                <w:sz w:val="20"/>
                <w:szCs w:val="20"/>
              </w:rPr>
              <w:t>.</w:t>
            </w:r>
            <w:r>
              <w:rPr>
                <w:sz w:val="20"/>
                <w:szCs w:val="20"/>
              </w:rPr>
              <w:t>1</w:t>
            </w:r>
            <w:r w:rsidRPr="00A935AA">
              <w:rPr>
                <w:sz w:val="20"/>
                <w:szCs w:val="20"/>
              </w:rPr>
              <w:t>0.201</w:t>
            </w:r>
            <w:r>
              <w:rPr>
                <w:sz w:val="20"/>
                <w:szCs w:val="20"/>
              </w:rPr>
              <w:t>4</w:t>
            </w:r>
            <w:r w:rsidR="00714478">
              <w:rPr>
                <w:sz w:val="20"/>
                <w:szCs w:val="20"/>
                <w:lang w:val="fr-CA"/>
              </w:rPr>
              <w:pict>
                <v:rect id="_x0000_i1034" style="width:108pt;height:1pt" o:hrpct="0" o:hralign="center" o:hrstd="t" o:hrnoshade="t" o:hr="t" fillcolor="black [3213]" stroked="f"/>
              </w:pict>
            </w:r>
          </w:p>
        </w:tc>
      </w:tr>
      <w:tr w:rsidR="0025040C" w:rsidRPr="00A935AA" w:rsidTr="00E33C9D">
        <w:trPr>
          <w:cantSplit/>
        </w:trPr>
        <w:tc>
          <w:tcPr>
            <w:tcW w:w="4320" w:type="dxa"/>
            <w:shd w:val="clear" w:color="auto" w:fill="auto"/>
          </w:tcPr>
          <w:p w:rsidR="0025040C" w:rsidRPr="00A935AA" w:rsidRDefault="0025040C" w:rsidP="00E33C9D">
            <w:pPr>
              <w:rPr>
                <w:b/>
                <w:sz w:val="20"/>
                <w:szCs w:val="20"/>
              </w:rPr>
            </w:pPr>
            <w:r>
              <w:rPr>
                <w:b/>
                <w:sz w:val="20"/>
                <w:szCs w:val="20"/>
              </w:rPr>
              <w:t xml:space="preserve">Michael McAteer et al. </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Peter Rosenthal</w:t>
            </w:r>
          </w:p>
          <w:p w:rsidR="0025040C" w:rsidRPr="00A935AA" w:rsidRDefault="0025040C" w:rsidP="00E33C9D">
            <w:pPr>
              <w:tabs>
                <w:tab w:val="left" w:pos="-1440"/>
                <w:tab w:val="left" w:pos="-720"/>
              </w:tabs>
              <w:rPr>
                <w:sz w:val="20"/>
                <w:szCs w:val="20"/>
              </w:rPr>
            </w:pPr>
          </w:p>
          <w:p w:rsidR="0025040C" w:rsidRPr="00A935AA" w:rsidRDefault="0025040C" w:rsidP="00E33C9D">
            <w:pPr>
              <w:tabs>
                <w:tab w:val="left" w:pos="-1440"/>
                <w:tab w:val="left" w:pos="-720"/>
              </w:tabs>
              <w:rPr>
                <w:sz w:val="20"/>
                <w:szCs w:val="20"/>
              </w:rPr>
            </w:pPr>
            <w:r w:rsidRPr="00A935AA">
              <w:rPr>
                <w:sz w:val="20"/>
                <w:szCs w:val="20"/>
              </w:rPr>
              <w:tab/>
              <w:t>v. (3</w:t>
            </w:r>
            <w:r>
              <w:rPr>
                <w:sz w:val="20"/>
                <w:szCs w:val="20"/>
              </w:rPr>
              <w:t>6120</w:t>
            </w:r>
            <w:r w:rsidRPr="00A935AA">
              <w:rPr>
                <w:sz w:val="20"/>
                <w:szCs w:val="20"/>
              </w:rPr>
              <w:t>)</w:t>
            </w:r>
          </w:p>
          <w:p w:rsidR="0025040C" w:rsidRPr="00A935AA" w:rsidRDefault="0025040C" w:rsidP="00E33C9D">
            <w:pPr>
              <w:tabs>
                <w:tab w:val="left" w:pos="-1440"/>
                <w:tab w:val="left" w:pos="-720"/>
              </w:tabs>
              <w:rPr>
                <w:sz w:val="20"/>
                <w:szCs w:val="20"/>
              </w:rPr>
            </w:pPr>
          </w:p>
          <w:p w:rsidR="0025040C" w:rsidRPr="00A935AA" w:rsidRDefault="0025040C" w:rsidP="00E33C9D">
            <w:pPr>
              <w:tabs>
                <w:tab w:val="left" w:pos="-1440"/>
                <w:tab w:val="left" w:pos="-720"/>
              </w:tabs>
              <w:rPr>
                <w:b/>
                <w:sz w:val="20"/>
                <w:szCs w:val="20"/>
              </w:rPr>
            </w:pPr>
            <w:r>
              <w:rPr>
                <w:b/>
                <w:sz w:val="20"/>
                <w:szCs w:val="20"/>
              </w:rPr>
              <w:t xml:space="preserve">Attorney General of Canada </w:t>
            </w:r>
            <w:r w:rsidRPr="00A935AA">
              <w:rPr>
                <w:b/>
                <w:sz w:val="20"/>
                <w:szCs w:val="20"/>
              </w:rPr>
              <w:t>(</w:t>
            </w:r>
            <w:r>
              <w:rPr>
                <w:b/>
                <w:sz w:val="20"/>
                <w:szCs w:val="20"/>
              </w:rPr>
              <w:t>Ont</w:t>
            </w:r>
            <w:r w:rsidRPr="00A935AA">
              <w:rPr>
                <w:b/>
                <w:sz w:val="20"/>
                <w:szCs w:val="20"/>
              </w:rPr>
              <w:t>.)</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Kristina Dragaitis</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A.G. of Canada</w:t>
            </w:r>
          </w:p>
          <w:p w:rsidR="0025040C" w:rsidRPr="00A935AA" w:rsidRDefault="0025040C" w:rsidP="00E33C9D">
            <w:pPr>
              <w:tabs>
                <w:tab w:val="left" w:pos="-1440"/>
                <w:tab w:val="left" w:pos="-720"/>
              </w:tabs>
              <w:rPr>
                <w:sz w:val="20"/>
                <w:szCs w:val="20"/>
              </w:rPr>
            </w:pPr>
          </w:p>
          <w:p w:rsidR="0025040C" w:rsidRPr="00A935AA" w:rsidRDefault="0025040C" w:rsidP="00E33C9D">
            <w:pPr>
              <w:rPr>
                <w:sz w:val="20"/>
                <w:szCs w:val="20"/>
              </w:rPr>
            </w:pPr>
            <w:r w:rsidRPr="00A935AA">
              <w:rPr>
                <w:sz w:val="20"/>
                <w:szCs w:val="20"/>
              </w:rPr>
              <w:t xml:space="preserve">FILING DATE: </w:t>
            </w:r>
            <w:r>
              <w:rPr>
                <w:sz w:val="20"/>
                <w:szCs w:val="20"/>
              </w:rPr>
              <w:t>08</w:t>
            </w:r>
            <w:r w:rsidRPr="00A935AA">
              <w:rPr>
                <w:sz w:val="20"/>
                <w:szCs w:val="20"/>
              </w:rPr>
              <w:t>.</w:t>
            </w:r>
            <w:r>
              <w:rPr>
                <w:sz w:val="20"/>
                <w:szCs w:val="20"/>
              </w:rPr>
              <w:t>1</w:t>
            </w:r>
            <w:r w:rsidRPr="00A935AA">
              <w:rPr>
                <w:sz w:val="20"/>
                <w:szCs w:val="20"/>
              </w:rPr>
              <w:t>0.201</w:t>
            </w:r>
            <w:r>
              <w:rPr>
                <w:sz w:val="20"/>
                <w:szCs w:val="20"/>
              </w:rPr>
              <w:t>4</w:t>
            </w:r>
            <w:r w:rsidR="00714478">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p w:rsidR="0025040C" w:rsidRDefault="0025040C" w:rsidP="00E33C9D">
            <w:pPr>
              <w:jc w:val="center"/>
              <w:rPr>
                <w:sz w:val="20"/>
                <w:szCs w:val="20"/>
              </w:rPr>
            </w:pPr>
          </w:p>
          <w:p w:rsidR="0025040C" w:rsidRDefault="0025040C" w:rsidP="00E33C9D">
            <w:pPr>
              <w:jc w:val="center"/>
              <w:rPr>
                <w:sz w:val="20"/>
                <w:szCs w:val="20"/>
              </w:rPr>
            </w:pPr>
          </w:p>
          <w:p w:rsidR="0025040C" w:rsidRDefault="0025040C" w:rsidP="00E33C9D">
            <w:pPr>
              <w:jc w:val="center"/>
              <w:rPr>
                <w:sz w:val="20"/>
                <w:szCs w:val="20"/>
              </w:rPr>
            </w:pPr>
          </w:p>
          <w:p w:rsidR="0025040C" w:rsidRPr="00A935AA" w:rsidRDefault="0025040C" w:rsidP="00E33C9D">
            <w:pPr>
              <w:jc w:val="center"/>
              <w:rPr>
                <w:sz w:val="20"/>
                <w:szCs w:val="20"/>
              </w:rPr>
            </w:pPr>
          </w:p>
          <w:p w:rsidR="0025040C" w:rsidRPr="00A935AA" w:rsidRDefault="0025040C" w:rsidP="00E33C9D">
            <w:pPr>
              <w:jc w:val="center"/>
              <w:rPr>
                <w:sz w:val="20"/>
                <w:szCs w:val="20"/>
              </w:rPr>
            </w:pPr>
          </w:p>
        </w:tc>
        <w:tc>
          <w:tcPr>
            <w:tcW w:w="4320" w:type="dxa"/>
            <w:shd w:val="clear" w:color="auto" w:fill="auto"/>
          </w:tcPr>
          <w:p w:rsidR="0025040C" w:rsidRPr="00A935AA" w:rsidRDefault="0025040C" w:rsidP="00E33C9D">
            <w:pPr>
              <w:rPr>
                <w:b/>
                <w:sz w:val="20"/>
                <w:szCs w:val="20"/>
              </w:rPr>
            </w:pPr>
            <w:r>
              <w:rPr>
                <w:b/>
                <w:sz w:val="20"/>
                <w:szCs w:val="20"/>
              </w:rPr>
              <w:t>Faruq Khalil Muhammad ‘Isa also known as Khalil Muhammad ‘Isa, Sayfildin Tahir Sharif and Tahir Sharif Sayfildin (Alta.)</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Bob H. Aloneissi</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 xml:space="preserve">Beresh Aloneissi O’Neill Hurley O’Keefe </w:t>
            </w:r>
            <w:r>
              <w:rPr>
                <w:sz w:val="20"/>
                <w:szCs w:val="20"/>
              </w:rPr>
              <w:tab/>
              <w:t>Millsap</w:t>
            </w:r>
          </w:p>
          <w:p w:rsidR="0025040C" w:rsidRPr="00A935AA" w:rsidRDefault="0025040C" w:rsidP="00E33C9D">
            <w:pPr>
              <w:tabs>
                <w:tab w:val="left" w:pos="-1440"/>
                <w:tab w:val="left" w:pos="-720"/>
              </w:tabs>
              <w:rPr>
                <w:sz w:val="20"/>
                <w:szCs w:val="20"/>
              </w:rPr>
            </w:pPr>
          </w:p>
          <w:p w:rsidR="0025040C" w:rsidRPr="00A935AA" w:rsidRDefault="0025040C" w:rsidP="00E33C9D">
            <w:pPr>
              <w:tabs>
                <w:tab w:val="left" w:pos="-1440"/>
                <w:tab w:val="left" w:pos="-720"/>
              </w:tabs>
              <w:rPr>
                <w:sz w:val="20"/>
                <w:szCs w:val="20"/>
              </w:rPr>
            </w:pPr>
            <w:r w:rsidRPr="00A935AA">
              <w:rPr>
                <w:sz w:val="20"/>
                <w:szCs w:val="20"/>
              </w:rPr>
              <w:tab/>
              <w:t>v. (3</w:t>
            </w:r>
            <w:r>
              <w:rPr>
                <w:sz w:val="20"/>
                <w:szCs w:val="20"/>
              </w:rPr>
              <w:t>6072</w:t>
            </w:r>
            <w:r w:rsidRPr="00A935AA">
              <w:rPr>
                <w:sz w:val="20"/>
                <w:szCs w:val="20"/>
              </w:rPr>
              <w:t>)</w:t>
            </w:r>
          </w:p>
          <w:p w:rsidR="0025040C" w:rsidRPr="00A935AA" w:rsidRDefault="0025040C" w:rsidP="00E33C9D">
            <w:pPr>
              <w:tabs>
                <w:tab w:val="left" w:pos="-1440"/>
                <w:tab w:val="left" w:pos="-720"/>
              </w:tabs>
              <w:rPr>
                <w:sz w:val="20"/>
                <w:szCs w:val="20"/>
              </w:rPr>
            </w:pPr>
          </w:p>
          <w:p w:rsidR="0025040C" w:rsidRPr="00A935AA" w:rsidRDefault="0025040C" w:rsidP="00E33C9D">
            <w:pPr>
              <w:tabs>
                <w:tab w:val="left" w:pos="-1440"/>
                <w:tab w:val="left" w:pos="-720"/>
              </w:tabs>
              <w:rPr>
                <w:b/>
                <w:sz w:val="20"/>
                <w:szCs w:val="20"/>
              </w:rPr>
            </w:pPr>
            <w:r>
              <w:rPr>
                <w:b/>
                <w:sz w:val="20"/>
                <w:szCs w:val="20"/>
              </w:rPr>
              <w:t xml:space="preserve">Attorney General of Canada on behalf of the United States of America </w:t>
            </w:r>
            <w:r w:rsidRPr="00A935AA">
              <w:rPr>
                <w:b/>
                <w:sz w:val="20"/>
                <w:szCs w:val="20"/>
              </w:rPr>
              <w:t>(</w:t>
            </w:r>
            <w:r>
              <w:rPr>
                <w:b/>
                <w:sz w:val="20"/>
                <w:szCs w:val="20"/>
              </w:rPr>
              <w:t>Alta</w:t>
            </w:r>
            <w:r w:rsidRPr="00A935AA">
              <w:rPr>
                <w:b/>
                <w:sz w:val="20"/>
                <w:szCs w:val="20"/>
              </w:rPr>
              <w:t>.)</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Stacey Dej</w:t>
            </w:r>
          </w:p>
          <w:p w:rsidR="0025040C" w:rsidRPr="00A935AA" w:rsidRDefault="0025040C" w:rsidP="00E33C9D">
            <w:pPr>
              <w:tabs>
                <w:tab w:val="left" w:pos="-1440"/>
                <w:tab w:val="left" w:pos="-720"/>
              </w:tabs>
              <w:rPr>
                <w:sz w:val="20"/>
                <w:szCs w:val="20"/>
              </w:rPr>
            </w:pPr>
            <w:r w:rsidRPr="00A935AA">
              <w:rPr>
                <w:sz w:val="20"/>
                <w:szCs w:val="20"/>
              </w:rPr>
              <w:tab/>
            </w:r>
            <w:r>
              <w:rPr>
                <w:sz w:val="20"/>
                <w:szCs w:val="20"/>
              </w:rPr>
              <w:t>A.G. of Canada</w:t>
            </w:r>
          </w:p>
          <w:p w:rsidR="0025040C" w:rsidRPr="00A935AA" w:rsidRDefault="0025040C" w:rsidP="00E33C9D">
            <w:pPr>
              <w:tabs>
                <w:tab w:val="left" w:pos="-1440"/>
                <w:tab w:val="left" w:pos="-720"/>
              </w:tabs>
              <w:rPr>
                <w:sz w:val="20"/>
                <w:szCs w:val="20"/>
              </w:rPr>
            </w:pPr>
          </w:p>
          <w:p w:rsidR="0025040C" w:rsidRPr="00A935AA" w:rsidRDefault="0025040C" w:rsidP="00E33C9D">
            <w:pPr>
              <w:rPr>
                <w:sz w:val="20"/>
                <w:szCs w:val="20"/>
              </w:rPr>
            </w:pPr>
            <w:r w:rsidRPr="00A935AA">
              <w:rPr>
                <w:sz w:val="20"/>
                <w:szCs w:val="20"/>
              </w:rPr>
              <w:t xml:space="preserve">FILING DATE: </w:t>
            </w:r>
            <w:r>
              <w:rPr>
                <w:sz w:val="20"/>
                <w:szCs w:val="20"/>
              </w:rPr>
              <w:t>10</w:t>
            </w:r>
            <w:r w:rsidRPr="00A935AA">
              <w:rPr>
                <w:sz w:val="20"/>
                <w:szCs w:val="20"/>
              </w:rPr>
              <w:t>.</w:t>
            </w:r>
            <w:r>
              <w:rPr>
                <w:sz w:val="20"/>
                <w:szCs w:val="20"/>
              </w:rPr>
              <w:t>1</w:t>
            </w:r>
            <w:r w:rsidRPr="00A935AA">
              <w:rPr>
                <w:sz w:val="20"/>
                <w:szCs w:val="20"/>
              </w:rPr>
              <w:t>0.201</w:t>
            </w:r>
            <w:r>
              <w:rPr>
                <w:sz w:val="20"/>
                <w:szCs w:val="20"/>
              </w:rPr>
              <w:t>4</w:t>
            </w:r>
            <w:r w:rsidR="00714478">
              <w:rPr>
                <w:sz w:val="20"/>
                <w:szCs w:val="20"/>
                <w:lang w:val="fr-CA"/>
              </w:rPr>
              <w:pict>
                <v:rect id="_x0000_i1036" style="width:108pt;height:1pt" o:hrpct="0" o:hralign="center" o:hrstd="t" o:hrnoshade="t" o:hr="t" fillcolor="black [3213]" stroked="f"/>
              </w:pict>
            </w:r>
          </w:p>
        </w:tc>
      </w:tr>
    </w:tbl>
    <w:p w:rsidR="0025040C" w:rsidRDefault="0025040C" w:rsidP="0025040C">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5040C">
          <w:headerReference w:type="default" r:id="rId17"/>
          <w:footerReference w:type="default" r:id="rId18"/>
          <w:headerReference w:type="first" r:id="rId19"/>
          <w:footerReference w:type="first" r:id="rId20"/>
          <w:pgSz w:w="12240" w:h="15840"/>
          <w:pgMar w:top="720" w:right="965" w:bottom="1080" w:left="1656" w:header="706" w:footer="706" w:gutter="0"/>
          <w:pgNumType w:start="162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1447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672DC5" w:rsidRPr="00C50A5C" w:rsidRDefault="00672DC5" w:rsidP="00672DC5">
      <w:pPr>
        <w:widowControl w:val="0"/>
        <w:rPr>
          <w:b/>
          <w:sz w:val="20"/>
          <w:szCs w:val="20"/>
        </w:rPr>
      </w:pPr>
      <w:r>
        <w:rPr>
          <w:b/>
          <w:sz w:val="20"/>
          <w:szCs w:val="20"/>
        </w:rPr>
        <w:t>OCTOBER 20</w:t>
      </w:r>
      <w:r w:rsidRPr="00C50A5C">
        <w:rPr>
          <w:b/>
          <w:sz w:val="20"/>
          <w:szCs w:val="20"/>
        </w:rPr>
        <w:t>, 201</w:t>
      </w:r>
      <w:r>
        <w:rPr>
          <w:b/>
          <w:sz w:val="20"/>
          <w:szCs w:val="20"/>
        </w:rPr>
        <w:t>4</w:t>
      </w:r>
      <w:r w:rsidRPr="00C50A5C">
        <w:rPr>
          <w:b/>
          <w:sz w:val="20"/>
          <w:szCs w:val="20"/>
        </w:rPr>
        <w:t xml:space="preserve"> / LE </w:t>
      </w:r>
      <w:r>
        <w:rPr>
          <w:b/>
          <w:sz w:val="20"/>
          <w:szCs w:val="20"/>
        </w:rPr>
        <w:t>20 OCTOBRE</w:t>
      </w:r>
      <w:r w:rsidRPr="00C50A5C">
        <w:rPr>
          <w:b/>
          <w:sz w:val="20"/>
          <w:szCs w:val="20"/>
        </w:rPr>
        <w:t xml:space="preserve"> 201</w:t>
      </w:r>
      <w:r>
        <w:rPr>
          <w:b/>
          <w:sz w:val="20"/>
          <w:szCs w:val="20"/>
        </w:rPr>
        <w:t>4</w:t>
      </w:r>
    </w:p>
    <w:p w:rsidR="00672DC5" w:rsidRPr="00C50A5C" w:rsidRDefault="00672DC5" w:rsidP="00672DC5">
      <w:pPr>
        <w:widowControl w:val="0"/>
        <w:rPr>
          <w:b/>
          <w:sz w:val="20"/>
          <w:szCs w:val="20"/>
        </w:rPr>
      </w:pPr>
    </w:p>
    <w:p w:rsidR="00672DC5" w:rsidRPr="00C50A5C" w:rsidRDefault="00672DC5" w:rsidP="00672DC5">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672DC5" w:rsidRPr="00C50A5C" w:rsidRDefault="00672DC5" w:rsidP="00672DC5">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672DC5" w:rsidRPr="00C50A5C" w:rsidRDefault="00672DC5" w:rsidP="00672DC5">
      <w:pPr>
        <w:widowControl w:val="0"/>
        <w:rPr>
          <w:sz w:val="20"/>
          <w:szCs w:val="20"/>
          <w:lang w:val="fr-CA"/>
        </w:rPr>
      </w:pPr>
    </w:p>
    <w:p w:rsidR="00672DC5" w:rsidRPr="00C50A5C" w:rsidRDefault="00672DC5" w:rsidP="00672DC5">
      <w:pPr>
        <w:pStyle w:val="ListParagraph"/>
        <w:widowControl w:val="0"/>
        <w:numPr>
          <w:ilvl w:val="0"/>
          <w:numId w:val="1"/>
        </w:numPr>
        <w:ind w:hanging="720"/>
        <w:jc w:val="both"/>
        <w:rPr>
          <w:sz w:val="20"/>
          <w:szCs w:val="20"/>
        </w:rPr>
      </w:pPr>
      <w:r w:rsidRPr="008F72DD">
        <w:rPr>
          <w:i/>
          <w:sz w:val="20"/>
          <w:szCs w:val="20"/>
        </w:rPr>
        <w:t>Asitkumar Gandhi v. Her Majesty the Queen</w:t>
      </w:r>
      <w:r w:rsidRPr="008F72DD">
        <w:rPr>
          <w:sz w:val="20"/>
          <w:szCs w:val="20"/>
        </w:rPr>
        <w:t xml:space="preserve"> (Ont.) (Crim.) (By Leave)</w:t>
      </w:r>
      <w:r w:rsidRPr="00C50A5C">
        <w:rPr>
          <w:sz w:val="20"/>
          <w:szCs w:val="20"/>
        </w:rPr>
        <w:t xml:space="preserve"> (3</w:t>
      </w:r>
      <w:r>
        <w:rPr>
          <w:sz w:val="20"/>
          <w:szCs w:val="20"/>
        </w:rPr>
        <w:t>5981</w:t>
      </w:r>
      <w:r w:rsidRPr="00C50A5C">
        <w:rPr>
          <w:sz w:val="20"/>
          <w:szCs w:val="20"/>
        </w:rPr>
        <w:t>)</w:t>
      </w:r>
    </w:p>
    <w:p w:rsidR="00672DC5" w:rsidRPr="00C50A5C" w:rsidRDefault="00672DC5" w:rsidP="00672DC5">
      <w:pPr>
        <w:widowControl w:val="0"/>
        <w:jc w:val="both"/>
        <w:rPr>
          <w:sz w:val="20"/>
          <w:szCs w:val="20"/>
        </w:rPr>
      </w:pPr>
    </w:p>
    <w:p w:rsidR="00672DC5" w:rsidRPr="00C612D0" w:rsidRDefault="00672DC5" w:rsidP="00672DC5">
      <w:pPr>
        <w:pStyle w:val="ListParagraph"/>
        <w:widowControl w:val="0"/>
        <w:numPr>
          <w:ilvl w:val="0"/>
          <w:numId w:val="1"/>
        </w:numPr>
        <w:ind w:hanging="720"/>
        <w:jc w:val="both"/>
        <w:rPr>
          <w:sz w:val="20"/>
          <w:szCs w:val="20"/>
        </w:rPr>
      </w:pPr>
      <w:r w:rsidRPr="008F72DD">
        <w:rPr>
          <w:i/>
          <w:sz w:val="20"/>
          <w:szCs w:val="20"/>
        </w:rPr>
        <w:t>Kenneth George Verch et al. v. Brian Weckworth et al.</w:t>
      </w:r>
      <w:r w:rsidRPr="008F72DD">
        <w:rPr>
          <w:sz w:val="20"/>
          <w:szCs w:val="20"/>
        </w:rPr>
        <w:t xml:space="preserve"> (Ont.) (Civil) (By Leave)</w:t>
      </w:r>
      <w:r w:rsidRPr="00C612D0">
        <w:rPr>
          <w:sz w:val="20"/>
          <w:szCs w:val="20"/>
        </w:rPr>
        <w:t xml:space="preserve"> (3</w:t>
      </w:r>
      <w:r>
        <w:rPr>
          <w:sz w:val="20"/>
          <w:szCs w:val="20"/>
        </w:rPr>
        <w:t>5963</w:t>
      </w:r>
      <w:r w:rsidRPr="00C612D0">
        <w:rPr>
          <w:sz w:val="20"/>
          <w:szCs w:val="20"/>
        </w:rPr>
        <w:t>)</w:t>
      </w:r>
    </w:p>
    <w:p w:rsidR="00672DC5" w:rsidRPr="00C612D0" w:rsidRDefault="00672DC5" w:rsidP="00672DC5">
      <w:pPr>
        <w:widowControl w:val="0"/>
        <w:jc w:val="both"/>
        <w:rPr>
          <w:sz w:val="20"/>
          <w:szCs w:val="20"/>
        </w:rPr>
      </w:pPr>
    </w:p>
    <w:p w:rsidR="00672DC5" w:rsidRPr="00C50A5C" w:rsidRDefault="00672DC5" w:rsidP="00672DC5">
      <w:pPr>
        <w:pStyle w:val="ListParagraph"/>
        <w:widowControl w:val="0"/>
        <w:numPr>
          <w:ilvl w:val="0"/>
          <w:numId w:val="1"/>
        </w:numPr>
        <w:ind w:hanging="720"/>
        <w:jc w:val="both"/>
        <w:rPr>
          <w:sz w:val="20"/>
          <w:szCs w:val="20"/>
        </w:rPr>
      </w:pPr>
      <w:r w:rsidRPr="008F72DD">
        <w:rPr>
          <w:i/>
          <w:sz w:val="20"/>
          <w:szCs w:val="20"/>
          <w:lang w:val="fr-CA"/>
        </w:rPr>
        <w:t>Ching Mou (Tim) Chou et al. v. François Leduc</w:t>
      </w:r>
      <w:r w:rsidRPr="008F72DD">
        <w:rPr>
          <w:sz w:val="20"/>
          <w:szCs w:val="20"/>
          <w:lang w:val="fr-CA"/>
        </w:rPr>
        <w:t xml:space="preserve"> (Que.) </w:t>
      </w:r>
      <w:r w:rsidRPr="008F72DD">
        <w:rPr>
          <w:sz w:val="20"/>
          <w:szCs w:val="20"/>
        </w:rPr>
        <w:t>(Civil) (By Leave)</w:t>
      </w:r>
      <w:r w:rsidRPr="00940CAD">
        <w:rPr>
          <w:sz w:val="20"/>
          <w:szCs w:val="20"/>
        </w:rPr>
        <w:t xml:space="preserve"> (3</w:t>
      </w:r>
      <w:r>
        <w:rPr>
          <w:sz w:val="20"/>
          <w:szCs w:val="20"/>
        </w:rPr>
        <w:t>5896</w:t>
      </w:r>
      <w:r w:rsidRPr="00940CAD">
        <w:rPr>
          <w:sz w:val="20"/>
          <w:szCs w:val="20"/>
        </w:rPr>
        <w:t>)</w:t>
      </w:r>
    </w:p>
    <w:p w:rsidR="00672DC5" w:rsidRPr="00C50A5C" w:rsidRDefault="00672DC5" w:rsidP="00672DC5">
      <w:pPr>
        <w:widowControl w:val="0"/>
        <w:rPr>
          <w:sz w:val="20"/>
          <w:szCs w:val="20"/>
        </w:rPr>
      </w:pPr>
    </w:p>
    <w:p w:rsidR="00672DC5" w:rsidRPr="008F72DD" w:rsidRDefault="00672DC5" w:rsidP="00672DC5">
      <w:pPr>
        <w:pStyle w:val="ListParagraph"/>
        <w:widowControl w:val="0"/>
        <w:numPr>
          <w:ilvl w:val="0"/>
          <w:numId w:val="1"/>
        </w:numPr>
        <w:ind w:hanging="720"/>
        <w:jc w:val="both"/>
        <w:rPr>
          <w:sz w:val="20"/>
          <w:szCs w:val="20"/>
          <w:lang w:val="fr-CA"/>
        </w:rPr>
      </w:pPr>
      <w:r w:rsidRPr="008F72DD">
        <w:rPr>
          <w:i/>
          <w:sz w:val="20"/>
          <w:szCs w:val="20"/>
          <w:lang w:val="fr-CA"/>
        </w:rPr>
        <w:t>Ville de Montréal et a</w:t>
      </w:r>
      <w:r>
        <w:rPr>
          <w:i/>
          <w:sz w:val="20"/>
          <w:szCs w:val="20"/>
          <w:lang w:val="fr-CA"/>
        </w:rPr>
        <w:t>utre</w:t>
      </w:r>
      <w:r w:rsidRPr="008F72DD">
        <w:rPr>
          <w:i/>
          <w:sz w:val="20"/>
          <w:szCs w:val="20"/>
          <w:lang w:val="fr-CA"/>
        </w:rPr>
        <w:t xml:space="preserve"> c. Jaggi Singh</w:t>
      </w:r>
      <w:r w:rsidRPr="008F72DD">
        <w:rPr>
          <w:sz w:val="20"/>
          <w:szCs w:val="20"/>
          <w:lang w:val="fr-CA"/>
        </w:rPr>
        <w:t xml:space="preserve"> (Qc) (Civile) (Autorisation) (35832)</w:t>
      </w:r>
    </w:p>
    <w:p w:rsidR="00672DC5" w:rsidRPr="008F72DD" w:rsidRDefault="00672DC5" w:rsidP="00672DC5">
      <w:pPr>
        <w:widowControl w:val="0"/>
        <w:jc w:val="both"/>
        <w:rPr>
          <w:sz w:val="20"/>
          <w:szCs w:val="20"/>
          <w:lang w:val="fr-CA"/>
        </w:rPr>
      </w:pPr>
    </w:p>
    <w:p w:rsidR="00672DC5" w:rsidRPr="008F72DD" w:rsidRDefault="00672DC5" w:rsidP="00672DC5">
      <w:pPr>
        <w:widowControl w:val="0"/>
        <w:jc w:val="both"/>
        <w:rPr>
          <w:sz w:val="20"/>
          <w:szCs w:val="20"/>
          <w:lang w:val="fr-CA"/>
        </w:rPr>
      </w:pPr>
    </w:p>
    <w:p w:rsidR="00672DC5" w:rsidRPr="00C50A5C" w:rsidRDefault="00672DC5" w:rsidP="00672DC5">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672DC5" w:rsidRPr="00C50A5C" w:rsidRDefault="00672DC5" w:rsidP="00672DC5">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672DC5" w:rsidRPr="008F72DD" w:rsidRDefault="00672DC5" w:rsidP="00672DC5">
      <w:pPr>
        <w:widowControl w:val="0"/>
        <w:jc w:val="both"/>
        <w:rPr>
          <w:sz w:val="20"/>
          <w:szCs w:val="20"/>
          <w:lang w:val="fr-CA"/>
        </w:rPr>
      </w:pPr>
    </w:p>
    <w:p w:rsidR="00672DC5" w:rsidRPr="009C5D38" w:rsidRDefault="00672DC5" w:rsidP="00672DC5">
      <w:pPr>
        <w:pStyle w:val="ListParagraph"/>
        <w:widowControl w:val="0"/>
        <w:numPr>
          <w:ilvl w:val="0"/>
          <w:numId w:val="1"/>
        </w:numPr>
        <w:ind w:hanging="720"/>
        <w:jc w:val="both"/>
        <w:rPr>
          <w:sz w:val="20"/>
          <w:szCs w:val="20"/>
        </w:rPr>
      </w:pPr>
      <w:r w:rsidRPr="008F72DD">
        <w:rPr>
          <w:i/>
          <w:sz w:val="20"/>
          <w:szCs w:val="20"/>
        </w:rPr>
        <w:t>Hassan Naim Diab v. Attorney General of Canada on behalf of the Republic of France et al.</w:t>
      </w:r>
      <w:r w:rsidRPr="008F72DD">
        <w:rPr>
          <w:sz w:val="20"/>
          <w:szCs w:val="20"/>
        </w:rPr>
        <w:t xml:space="preserve"> </w:t>
      </w:r>
      <w:r w:rsidRPr="008F72DD">
        <w:rPr>
          <w:sz w:val="20"/>
          <w:szCs w:val="20"/>
          <w:lang w:val="fr-CA"/>
        </w:rPr>
        <w:t xml:space="preserve">(Ont.) (Crim.) </w:t>
      </w:r>
      <w:r w:rsidRPr="008F72DD">
        <w:rPr>
          <w:sz w:val="20"/>
          <w:szCs w:val="20"/>
        </w:rPr>
        <w:t>(By Leave)</w:t>
      </w:r>
      <w:r w:rsidRPr="009C5D38">
        <w:rPr>
          <w:sz w:val="20"/>
          <w:szCs w:val="20"/>
        </w:rPr>
        <w:t xml:space="preserve"> (35</w:t>
      </w:r>
      <w:r>
        <w:rPr>
          <w:sz w:val="20"/>
          <w:szCs w:val="20"/>
        </w:rPr>
        <w:t>889</w:t>
      </w:r>
      <w:r w:rsidRPr="009C5D38">
        <w:rPr>
          <w:sz w:val="20"/>
          <w:szCs w:val="20"/>
        </w:rPr>
        <w:t>)</w:t>
      </w:r>
    </w:p>
    <w:p w:rsidR="00672DC5" w:rsidRPr="00C16CB3" w:rsidRDefault="00672DC5" w:rsidP="00672DC5">
      <w:pPr>
        <w:widowControl w:val="0"/>
        <w:jc w:val="both"/>
        <w:rPr>
          <w:sz w:val="20"/>
          <w:szCs w:val="20"/>
          <w:lang w:val="fr-CA"/>
        </w:rPr>
      </w:pPr>
    </w:p>
    <w:p w:rsidR="00672DC5" w:rsidRPr="00115C9E" w:rsidRDefault="00672DC5" w:rsidP="00672DC5">
      <w:pPr>
        <w:pStyle w:val="ListParagraph"/>
        <w:widowControl w:val="0"/>
        <w:numPr>
          <w:ilvl w:val="0"/>
          <w:numId w:val="1"/>
        </w:numPr>
        <w:ind w:hanging="720"/>
        <w:jc w:val="both"/>
        <w:rPr>
          <w:sz w:val="20"/>
          <w:szCs w:val="20"/>
          <w:lang w:val="fr-CA"/>
        </w:rPr>
      </w:pPr>
      <w:r w:rsidRPr="008F72DD">
        <w:rPr>
          <w:i/>
          <w:sz w:val="20"/>
          <w:szCs w:val="20"/>
          <w:lang w:val="fr-CA"/>
        </w:rPr>
        <w:t>Syndicat canadien de la fonction publique, section locale 675 et a</w:t>
      </w:r>
      <w:r>
        <w:rPr>
          <w:i/>
          <w:sz w:val="20"/>
          <w:szCs w:val="20"/>
          <w:lang w:val="fr-CA"/>
        </w:rPr>
        <w:t>utres</w:t>
      </w:r>
      <w:r w:rsidRPr="008F72DD">
        <w:rPr>
          <w:i/>
          <w:sz w:val="20"/>
          <w:szCs w:val="20"/>
          <w:lang w:val="fr-CA"/>
        </w:rPr>
        <w:t xml:space="preserve"> c. Procureur général du Canada et</w:t>
      </w:r>
      <w:r>
        <w:rPr>
          <w:i/>
          <w:sz w:val="20"/>
          <w:szCs w:val="20"/>
          <w:lang w:val="fr-CA"/>
        </w:rPr>
        <w:t> </w:t>
      </w:r>
      <w:r w:rsidRPr="008F72DD">
        <w:rPr>
          <w:i/>
          <w:sz w:val="20"/>
          <w:szCs w:val="20"/>
          <w:lang w:val="fr-CA"/>
        </w:rPr>
        <w:t>a</w:t>
      </w:r>
      <w:r>
        <w:rPr>
          <w:i/>
          <w:sz w:val="20"/>
          <w:szCs w:val="20"/>
          <w:lang w:val="fr-CA"/>
        </w:rPr>
        <w:t>utre</w:t>
      </w:r>
      <w:r w:rsidRPr="008F72DD">
        <w:rPr>
          <w:sz w:val="20"/>
          <w:szCs w:val="20"/>
          <w:lang w:val="fr-CA"/>
        </w:rPr>
        <w:t xml:space="preserve"> (Qc) (Civile) (Autorisation)</w:t>
      </w:r>
      <w:r w:rsidRPr="00115C9E">
        <w:rPr>
          <w:sz w:val="20"/>
          <w:szCs w:val="20"/>
          <w:lang w:val="fr-CA"/>
        </w:rPr>
        <w:t xml:space="preserve"> (35</w:t>
      </w:r>
      <w:r>
        <w:rPr>
          <w:sz w:val="20"/>
          <w:szCs w:val="20"/>
          <w:lang w:val="fr-CA"/>
        </w:rPr>
        <w:t>980</w:t>
      </w:r>
      <w:r w:rsidRPr="00115C9E">
        <w:rPr>
          <w:sz w:val="20"/>
          <w:szCs w:val="20"/>
          <w:lang w:val="fr-CA"/>
        </w:rPr>
        <w:t>)</w:t>
      </w:r>
    </w:p>
    <w:p w:rsidR="00672DC5" w:rsidRPr="00115C9E" w:rsidRDefault="00672DC5" w:rsidP="00672DC5">
      <w:pPr>
        <w:widowControl w:val="0"/>
        <w:jc w:val="both"/>
        <w:rPr>
          <w:sz w:val="20"/>
          <w:szCs w:val="20"/>
          <w:lang w:val="fr-CA"/>
        </w:rPr>
      </w:pPr>
    </w:p>
    <w:p w:rsidR="00672DC5" w:rsidRPr="008F72DD" w:rsidRDefault="00672DC5" w:rsidP="00672DC5">
      <w:pPr>
        <w:pStyle w:val="ListParagraph"/>
        <w:widowControl w:val="0"/>
        <w:numPr>
          <w:ilvl w:val="0"/>
          <w:numId w:val="1"/>
        </w:numPr>
        <w:ind w:hanging="720"/>
        <w:jc w:val="both"/>
        <w:rPr>
          <w:sz w:val="20"/>
          <w:szCs w:val="20"/>
          <w:lang w:val="fr-CA"/>
        </w:rPr>
      </w:pPr>
      <w:r w:rsidRPr="008F72DD">
        <w:rPr>
          <w:i/>
          <w:sz w:val="20"/>
          <w:szCs w:val="20"/>
          <w:lang w:val="fr-CA"/>
        </w:rPr>
        <w:t>Association des réalisateurs c. Procureur général du Canada et a</w:t>
      </w:r>
      <w:r>
        <w:rPr>
          <w:i/>
          <w:sz w:val="20"/>
          <w:szCs w:val="20"/>
          <w:lang w:val="fr-CA"/>
        </w:rPr>
        <w:t>utre</w:t>
      </w:r>
      <w:r w:rsidRPr="008F72DD">
        <w:rPr>
          <w:sz w:val="20"/>
          <w:szCs w:val="20"/>
          <w:lang w:val="fr-CA"/>
        </w:rPr>
        <w:t xml:space="preserve"> (Qc) (Civile) (Autorisation) (36013)</w:t>
      </w:r>
    </w:p>
    <w:p w:rsidR="00672DC5" w:rsidRPr="008F72DD" w:rsidRDefault="00672DC5" w:rsidP="00672DC5">
      <w:pPr>
        <w:widowControl w:val="0"/>
        <w:jc w:val="both"/>
        <w:rPr>
          <w:sz w:val="20"/>
          <w:szCs w:val="20"/>
          <w:lang w:val="fr-CA"/>
        </w:rPr>
      </w:pPr>
    </w:p>
    <w:p w:rsidR="00672DC5" w:rsidRPr="00C50A5C" w:rsidRDefault="00672DC5" w:rsidP="00672DC5">
      <w:pPr>
        <w:pStyle w:val="ListParagraph"/>
        <w:widowControl w:val="0"/>
        <w:numPr>
          <w:ilvl w:val="0"/>
          <w:numId w:val="1"/>
        </w:numPr>
        <w:ind w:hanging="720"/>
        <w:jc w:val="both"/>
        <w:rPr>
          <w:sz w:val="20"/>
          <w:szCs w:val="20"/>
          <w:lang w:val="fr-CA"/>
        </w:rPr>
      </w:pPr>
      <w:r w:rsidRPr="008F72DD">
        <w:rPr>
          <w:i/>
          <w:sz w:val="20"/>
          <w:szCs w:val="20"/>
        </w:rPr>
        <w:t>Graeme Malcolm on his own behalf and on behalf of all commercial halibut licence holders in British Columbia v. Minister of Fisheries and Oceans as represented by the Attorney General of Canada et al.</w:t>
      </w:r>
      <w:r w:rsidRPr="008F72DD">
        <w:rPr>
          <w:sz w:val="20"/>
          <w:szCs w:val="20"/>
        </w:rPr>
        <w:t xml:space="preserve"> (F.C.) (Civil) (By Leave)</w:t>
      </w:r>
      <w:r w:rsidRPr="00C50A5C">
        <w:rPr>
          <w:sz w:val="20"/>
          <w:szCs w:val="20"/>
          <w:lang w:val="fr-CA"/>
        </w:rPr>
        <w:t xml:space="preserve"> (3</w:t>
      </w:r>
      <w:r>
        <w:rPr>
          <w:sz w:val="20"/>
          <w:szCs w:val="20"/>
          <w:lang w:val="fr-CA"/>
        </w:rPr>
        <w:t>6012</w:t>
      </w:r>
      <w:r w:rsidRPr="00C50A5C">
        <w:rPr>
          <w:sz w:val="20"/>
          <w:szCs w:val="20"/>
          <w:lang w:val="fr-CA"/>
        </w:rPr>
        <w:t>)</w:t>
      </w:r>
    </w:p>
    <w:p w:rsidR="00672DC5" w:rsidRDefault="00672DC5" w:rsidP="00672DC5">
      <w:pPr>
        <w:widowControl w:val="0"/>
        <w:rPr>
          <w:sz w:val="20"/>
          <w:szCs w:val="20"/>
          <w:lang w:val="fr-CA"/>
        </w:rPr>
      </w:pPr>
    </w:p>
    <w:p w:rsidR="00672DC5" w:rsidRDefault="00672DC5" w:rsidP="00672DC5">
      <w:pPr>
        <w:widowControl w:val="0"/>
        <w:rPr>
          <w:sz w:val="20"/>
          <w:szCs w:val="20"/>
          <w:lang w:val="fr-CA"/>
        </w:rPr>
      </w:pPr>
    </w:p>
    <w:p w:rsidR="00672DC5" w:rsidRPr="00C50A5C" w:rsidRDefault="00672DC5" w:rsidP="00672DC5">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672DC5" w:rsidRPr="00C50A5C" w:rsidRDefault="00672DC5" w:rsidP="00672DC5">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672DC5" w:rsidRPr="00A8251C" w:rsidRDefault="00672DC5" w:rsidP="00672DC5">
      <w:pPr>
        <w:widowControl w:val="0"/>
        <w:jc w:val="both"/>
        <w:rPr>
          <w:sz w:val="20"/>
          <w:szCs w:val="20"/>
          <w:lang w:val="fr-CA"/>
        </w:rPr>
      </w:pPr>
    </w:p>
    <w:p w:rsidR="00672DC5" w:rsidRDefault="00672DC5" w:rsidP="00672DC5">
      <w:pPr>
        <w:widowControl w:val="0"/>
        <w:rPr>
          <w:sz w:val="20"/>
          <w:szCs w:val="20"/>
          <w:lang w:val="fr-CA"/>
        </w:rPr>
      </w:pPr>
    </w:p>
    <w:p w:rsidR="00672DC5" w:rsidRPr="008F72DD" w:rsidRDefault="00672DC5" w:rsidP="00672DC5">
      <w:pPr>
        <w:pStyle w:val="ListParagraph"/>
        <w:widowControl w:val="0"/>
        <w:numPr>
          <w:ilvl w:val="0"/>
          <w:numId w:val="1"/>
        </w:numPr>
        <w:ind w:hanging="720"/>
        <w:jc w:val="both"/>
        <w:rPr>
          <w:sz w:val="20"/>
          <w:szCs w:val="20"/>
        </w:rPr>
      </w:pPr>
      <w:r w:rsidRPr="008F72DD">
        <w:rPr>
          <w:i/>
          <w:sz w:val="20"/>
          <w:szCs w:val="20"/>
        </w:rPr>
        <w:t>Shant Esrabian v. Her Majesty the Queen</w:t>
      </w:r>
      <w:r w:rsidRPr="008F72DD">
        <w:rPr>
          <w:sz w:val="20"/>
          <w:szCs w:val="20"/>
        </w:rPr>
        <w:t xml:space="preserve"> (Ont.) (Crim.) (By Leave) (35966)</w:t>
      </w:r>
    </w:p>
    <w:p w:rsidR="00672DC5" w:rsidRPr="008F72DD" w:rsidRDefault="00672DC5" w:rsidP="00672DC5">
      <w:pPr>
        <w:widowControl w:val="0"/>
        <w:jc w:val="both"/>
        <w:rPr>
          <w:sz w:val="20"/>
          <w:szCs w:val="20"/>
        </w:rPr>
      </w:pPr>
    </w:p>
    <w:p w:rsidR="00672DC5" w:rsidRPr="00115C9E" w:rsidRDefault="00672DC5" w:rsidP="00672DC5">
      <w:pPr>
        <w:pStyle w:val="ListParagraph"/>
        <w:widowControl w:val="0"/>
        <w:numPr>
          <w:ilvl w:val="0"/>
          <w:numId w:val="1"/>
        </w:numPr>
        <w:ind w:hanging="720"/>
        <w:jc w:val="both"/>
        <w:rPr>
          <w:sz w:val="20"/>
          <w:szCs w:val="20"/>
        </w:rPr>
      </w:pPr>
      <w:r w:rsidRPr="008F72DD">
        <w:rPr>
          <w:i/>
          <w:sz w:val="20"/>
          <w:szCs w:val="20"/>
        </w:rPr>
        <w:t>Diana Vacca v. Golf North Properties Inc.</w:t>
      </w:r>
      <w:r w:rsidRPr="008F72DD">
        <w:rPr>
          <w:sz w:val="20"/>
          <w:szCs w:val="20"/>
        </w:rPr>
        <w:t xml:space="preserve"> (Ont.) (Civil) (By Leave)</w:t>
      </w:r>
      <w:r w:rsidRPr="00115C9E">
        <w:rPr>
          <w:sz w:val="20"/>
          <w:szCs w:val="20"/>
        </w:rPr>
        <w:t xml:space="preserve"> (3</w:t>
      </w:r>
      <w:r>
        <w:rPr>
          <w:sz w:val="20"/>
          <w:szCs w:val="20"/>
        </w:rPr>
        <w:t>5970</w:t>
      </w:r>
      <w:r w:rsidRPr="00115C9E">
        <w:rPr>
          <w:sz w:val="20"/>
          <w:szCs w:val="20"/>
        </w:rPr>
        <w:t>)</w:t>
      </w:r>
    </w:p>
    <w:p w:rsidR="00672DC5" w:rsidRDefault="00672DC5" w:rsidP="00672DC5">
      <w:pPr>
        <w:widowControl w:val="0"/>
        <w:jc w:val="both"/>
        <w:rPr>
          <w:sz w:val="20"/>
          <w:szCs w:val="20"/>
        </w:rPr>
      </w:pPr>
    </w:p>
    <w:p w:rsidR="00672DC5" w:rsidRPr="00115C9E" w:rsidRDefault="00672DC5" w:rsidP="00672DC5">
      <w:pPr>
        <w:pStyle w:val="ListParagraph"/>
        <w:widowControl w:val="0"/>
        <w:numPr>
          <w:ilvl w:val="0"/>
          <w:numId w:val="1"/>
        </w:numPr>
        <w:ind w:hanging="720"/>
        <w:jc w:val="both"/>
        <w:rPr>
          <w:sz w:val="20"/>
          <w:szCs w:val="20"/>
        </w:rPr>
      </w:pPr>
      <w:r w:rsidRPr="008F72DD">
        <w:rPr>
          <w:i/>
          <w:sz w:val="20"/>
          <w:szCs w:val="20"/>
        </w:rPr>
        <w:t>Lucian Bogdan Molea v. Malcolm Rains</w:t>
      </w:r>
      <w:r w:rsidRPr="008F72DD">
        <w:rPr>
          <w:sz w:val="20"/>
          <w:szCs w:val="20"/>
        </w:rPr>
        <w:t xml:space="preserve"> (Ont.) (Civil) (By Leave)</w:t>
      </w:r>
      <w:r w:rsidRPr="00115C9E">
        <w:rPr>
          <w:sz w:val="20"/>
          <w:szCs w:val="20"/>
        </w:rPr>
        <w:t xml:space="preserve"> (3</w:t>
      </w:r>
      <w:r>
        <w:rPr>
          <w:sz w:val="20"/>
          <w:szCs w:val="20"/>
        </w:rPr>
        <w:t>5954</w:t>
      </w:r>
      <w:r w:rsidRPr="00115C9E">
        <w:rPr>
          <w:sz w:val="20"/>
          <w:szCs w:val="20"/>
        </w:rPr>
        <w:t>)</w:t>
      </w:r>
    </w:p>
    <w:p w:rsidR="00672DC5" w:rsidRPr="00CB3520" w:rsidRDefault="00672DC5" w:rsidP="00672DC5">
      <w:pPr>
        <w:widowControl w:val="0"/>
        <w:rPr>
          <w:sz w:val="20"/>
          <w:szCs w:val="20"/>
        </w:rPr>
      </w:pPr>
    </w:p>
    <w:p w:rsidR="00672DC5" w:rsidRDefault="00714478" w:rsidP="00672DC5">
      <w:pPr>
        <w:widowControl w:val="0"/>
        <w:rPr>
          <w:sz w:val="20"/>
          <w:szCs w:val="20"/>
        </w:rPr>
      </w:pPr>
      <w:r>
        <w:rPr>
          <w:sz w:val="20"/>
          <w:szCs w:val="20"/>
        </w:rPr>
        <w:pict>
          <v:rect id="_x0000_i1039" style="width:2in;height:1pt" o:hrpct="0" o:hralign="center" o:hrstd="t" o:hrnoshade="t" o:hr="t" fillcolor="black [3213]" stroked="f"/>
        </w:pict>
      </w:r>
    </w:p>
    <w:p w:rsidR="00672DC5" w:rsidRDefault="00672DC5" w:rsidP="00672DC5">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32989" w:rsidRPr="00714478" w:rsidTr="00BA6468">
        <w:tc>
          <w:tcPr>
            <w:tcW w:w="4200" w:type="dxa"/>
            <w:tcMar>
              <w:left w:w="0" w:type="dxa"/>
              <w:right w:w="0" w:type="dxa"/>
            </w:tcMar>
          </w:tcPr>
          <w:p w:rsidR="00432989" w:rsidRPr="001D0D5F" w:rsidRDefault="00432989" w:rsidP="00432989">
            <w:pPr>
              <w:keepNext/>
              <w:keepLines/>
              <w:jc w:val="both"/>
              <w:rPr>
                <w:b/>
                <w:szCs w:val="24"/>
              </w:rPr>
            </w:pPr>
            <w:bookmarkStart w:id="1" w:name="QuickMark_1"/>
            <w:bookmarkEnd w:id="1"/>
            <w:r w:rsidRPr="001D0D5F">
              <w:rPr>
                <w:b/>
                <w:szCs w:val="24"/>
              </w:rPr>
              <w:lastRenderedPageBreak/>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Pr="00C50A5C" w:rsidRDefault="00432989" w:rsidP="00432989">
      <w:pPr>
        <w:rPr>
          <w:sz w:val="20"/>
          <w:szCs w:val="20"/>
          <w:lang w:val="fr-CA"/>
        </w:rPr>
      </w:pPr>
    </w:p>
    <w:p w:rsidR="00672DC5" w:rsidRPr="009C0848" w:rsidRDefault="00672DC5" w:rsidP="00672DC5">
      <w:pPr>
        <w:rPr>
          <w:b/>
          <w:sz w:val="20"/>
          <w:szCs w:val="20"/>
        </w:rPr>
      </w:pPr>
      <w:r w:rsidRPr="009C0848">
        <w:rPr>
          <w:b/>
          <w:sz w:val="20"/>
          <w:szCs w:val="20"/>
        </w:rPr>
        <w:t>OCTOBER 1</w:t>
      </w:r>
      <w:r>
        <w:rPr>
          <w:b/>
          <w:sz w:val="20"/>
          <w:szCs w:val="20"/>
        </w:rPr>
        <w:t>7</w:t>
      </w:r>
      <w:r w:rsidRPr="009C0848">
        <w:rPr>
          <w:b/>
          <w:sz w:val="20"/>
          <w:szCs w:val="20"/>
        </w:rPr>
        <w:t>, 2014 / LE 1</w:t>
      </w:r>
      <w:r>
        <w:rPr>
          <w:b/>
          <w:sz w:val="20"/>
          <w:szCs w:val="20"/>
        </w:rPr>
        <w:t>7</w:t>
      </w:r>
      <w:r w:rsidRPr="009C0848">
        <w:rPr>
          <w:b/>
          <w:sz w:val="20"/>
          <w:szCs w:val="20"/>
        </w:rPr>
        <w:t xml:space="preserve"> OCTOBRE 2014</w:t>
      </w:r>
    </w:p>
    <w:p w:rsidR="00672DC5" w:rsidRPr="009C0848" w:rsidRDefault="00672DC5" w:rsidP="00672DC5">
      <w:pPr>
        <w:rPr>
          <w:sz w:val="20"/>
          <w:szCs w:val="20"/>
        </w:rPr>
      </w:pPr>
    </w:p>
    <w:p w:rsidR="00672DC5" w:rsidRPr="00C96327" w:rsidRDefault="00672DC5" w:rsidP="00672DC5">
      <w:pPr>
        <w:widowControl w:val="0"/>
        <w:ind w:left="720" w:hanging="720"/>
        <w:rPr>
          <w:sz w:val="20"/>
          <w:u w:val="single"/>
        </w:rPr>
      </w:pPr>
      <w:r w:rsidRPr="00C96327">
        <w:rPr>
          <w:sz w:val="20"/>
        </w:rPr>
        <w:t xml:space="preserve">Coram: </w:t>
      </w:r>
      <w:r w:rsidRPr="00C96327">
        <w:rPr>
          <w:sz w:val="20"/>
        </w:rPr>
        <w:tab/>
      </w:r>
      <w:r w:rsidRPr="00C96327">
        <w:rPr>
          <w:sz w:val="20"/>
          <w:u w:val="single"/>
        </w:rPr>
        <w:t>McLachlin C.J. and Cromwell and Wagner JJ.</w:t>
      </w:r>
    </w:p>
    <w:p w:rsidR="00672DC5" w:rsidRPr="00773A40" w:rsidRDefault="00672DC5" w:rsidP="00672DC5">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72DC5" w:rsidRPr="00C50A5C" w:rsidTr="00E33C9D">
        <w:tc>
          <w:tcPr>
            <w:tcW w:w="4380" w:type="dxa"/>
            <w:tcMar>
              <w:left w:w="0" w:type="dxa"/>
              <w:right w:w="0" w:type="dxa"/>
            </w:tcMar>
          </w:tcPr>
          <w:p w:rsidR="00672DC5" w:rsidRPr="00C50A5C" w:rsidRDefault="00672DC5" w:rsidP="00E33C9D">
            <w:pPr>
              <w:rPr>
                <w:b/>
                <w:sz w:val="20"/>
                <w:szCs w:val="20"/>
              </w:rPr>
            </w:pPr>
            <w:r w:rsidRPr="00C50A5C">
              <w:rPr>
                <w:b/>
                <w:sz w:val="20"/>
                <w:szCs w:val="20"/>
              </w:rPr>
              <w:t>Motion heard</w:t>
            </w:r>
          </w:p>
          <w:p w:rsidR="00672DC5" w:rsidRPr="00BA6468" w:rsidRDefault="00672DC5" w:rsidP="00E33C9D">
            <w:pPr>
              <w:rPr>
                <w:sz w:val="20"/>
                <w:szCs w:val="20"/>
              </w:rPr>
            </w:pPr>
          </w:p>
        </w:tc>
        <w:tc>
          <w:tcPr>
            <w:tcW w:w="720" w:type="dxa"/>
            <w:tcMar>
              <w:left w:w="0" w:type="dxa"/>
              <w:right w:w="0" w:type="dxa"/>
            </w:tcMar>
          </w:tcPr>
          <w:p w:rsidR="00672DC5" w:rsidRPr="00BA6468" w:rsidRDefault="00672DC5" w:rsidP="00E33C9D">
            <w:pPr>
              <w:rPr>
                <w:sz w:val="20"/>
                <w:szCs w:val="20"/>
              </w:rPr>
            </w:pPr>
          </w:p>
        </w:tc>
        <w:tc>
          <w:tcPr>
            <w:tcW w:w="4380" w:type="dxa"/>
            <w:tcMar>
              <w:left w:w="0" w:type="dxa"/>
              <w:right w:w="0" w:type="dxa"/>
            </w:tcMar>
          </w:tcPr>
          <w:p w:rsidR="00672DC5" w:rsidRPr="00C50A5C" w:rsidRDefault="00672DC5" w:rsidP="00E33C9D">
            <w:pPr>
              <w:rPr>
                <w:b/>
                <w:sz w:val="20"/>
                <w:szCs w:val="20"/>
              </w:rPr>
            </w:pPr>
            <w:r w:rsidRPr="00C50A5C">
              <w:rPr>
                <w:b/>
                <w:sz w:val="20"/>
                <w:szCs w:val="20"/>
              </w:rPr>
              <w:t>Requête entendue</w:t>
            </w:r>
          </w:p>
          <w:p w:rsidR="00672DC5" w:rsidRPr="00C50A5C" w:rsidRDefault="00672DC5" w:rsidP="00E33C9D">
            <w:pPr>
              <w:rPr>
                <w:sz w:val="20"/>
                <w:szCs w:val="20"/>
                <w:lang w:val="fr-CA"/>
              </w:rPr>
            </w:pPr>
          </w:p>
        </w:tc>
      </w:tr>
      <w:tr w:rsidR="00672DC5" w:rsidRPr="00C50A5C" w:rsidTr="00E33C9D">
        <w:tc>
          <w:tcPr>
            <w:tcW w:w="4380" w:type="dxa"/>
            <w:tcMar>
              <w:left w:w="0" w:type="dxa"/>
              <w:right w:w="0" w:type="dxa"/>
            </w:tcMar>
          </w:tcPr>
          <w:p w:rsidR="00672DC5" w:rsidRDefault="00672DC5" w:rsidP="00E33C9D">
            <w:pPr>
              <w:rPr>
                <w:rFonts w:eastAsia="Calibri"/>
                <w:b/>
                <w:iCs/>
                <w:sz w:val="20"/>
              </w:rPr>
            </w:pPr>
            <w:r w:rsidRPr="00C96327">
              <w:rPr>
                <w:rFonts w:eastAsia="Calibri"/>
                <w:b/>
                <w:iCs/>
                <w:sz w:val="20"/>
              </w:rPr>
              <w:t xml:space="preserve">Timothy Lee Felger </w:t>
            </w:r>
          </w:p>
          <w:p w:rsidR="00672DC5" w:rsidRDefault="00672DC5" w:rsidP="00E33C9D">
            <w:pPr>
              <w:rPr>
                <w:rFonts w:eastAsia="Calibri"/>
                <w:b/>
                <w:iCs/>
                <w:sz w:val="20"/>
              </w:rPr>
            </w:pPr>
          </w:p>
          <w:p w:rsidR="00672DC5" w:rsidRDefault="00672DC5" w:rsidP="00E33C9D">
            <w:pPr>
              <w:rPr>
                <w:rFonts w:eastAsia="Calibri"/>
                <w:b/>
                <w:iCs/>
                <w:sz w:val="20"/>
              </w:rPr>
            </w:pPr>
            <w:r>
              <w:rPr>
                <w:rFonts w:eastAsia="Calibri"/>
                <w:b/>
                <w:iCs/>
                <w:sz w:val="20"/>
              </w:rPr>
              <w:tab/>
            </w:r>
            <w:r w:rsidRPr="00C96327">
              <w:rPr>
                <w:rFonts w:eastAsia="Calibri"/>
                <w:b/>
                <w:iCs/>
                <w:sz w:val="20"/>
              </w:rPr>
              <w:t xml:space="preserve">v. </w:t>
            </w:r>
            <w:r w:rsidRPr="00C96327">
              <w:rPr>
                <w:rFonts w:eastAsia="Calibri"/>
                <w:iCs/>
                <w:sz w:val="20"/>
              </w:rPr>
              <w:t>(</w:t>
            </w:r>
            <w:hyperlink r:id="rId25" w:history="1">
              <w:r w:rsidRPr="00C96327">
                <w:rPr>
                  <w:rStyle w:val="Hyperlink"/>
                  <w:rFonts w:eastAsia="Calibri"/>
                  <w:iCs/>
                  <w:sz w:val="20"/>
                </w:rPr>
                <w:t>35795</w:t>
              </w:r>
            </w:hyperlink>
            <w:r w:rsidRPr="00C96327">
              <w:rPr>
                <w:rFonts w:eastAsia="Calibri"/>
                <w:iCs/>
                <w:sz w:val="20"/>
              </w:rPr>
              <w:t>)</w:t>
            </w:r>
          </w:p>
          <w:p w:rsidR="00672DC5" w:rsidRDefault="00672DC5" w:rsidP="00E33C9D">
            <w:pPr>
              <w:rPr>
                <w:rFonts w:eastAsia="Calibri"/>
                <w:b/>
                <w:iCs/>
                <w:sz w:val="20"/>
              </w:rPr>
            </w:pPr>
          </w:p>
          <w:p w:rsidR="00672DC5" w:rsidRPr="00C50A5C" w:rsidRDefault="00672DC5" w:rsidP="00E33C9D">
            <w:pPr>
              <w:rPr>
                <w:b/>
                <w:sz w:val="20"/>
                <w:szCs w:val="20"/>
              </w:rPr>
            </w:pPr>
            <w:r w:rsidRPr="00C96327">
              <w:rPr>
                <w:rFonts w:eastAsia="Calibri"/>
                <w:b/>
                <w:iCs/>
                <w:sz w:val="20"/>
              </w:rPr>
              <w:t xml:space="preserve">Her Majesty the Queen </w:t>
            </w:r>
            <w:r w:rsidRPr="007C0CD6">
              <w:rPr>
                <w:rFonts w:eastAsia="Calibri"/>
                <w:b/>
                <w:iCs/>
                <w:sz w:val="20"/>
              </w:rPr>
              <w:t>(B.C.) (Criminal) (By</w:t>
            </w:r>
            <w:r>
              <w:rPr>
                <w:rFonts w:eastAsia="Calibri"/>
                <w:b/>
                <w:iCs/>
                <w:sz w:val="20"/>
              </w:rPr>
              <w:t> </w:t>
            </w:r>
            <w:r w:rsidRPr="007C0CD6">
              <w:rPr>
                <w:rFonts w:eastAsia="Calibri"/>
                <w:b/>
                <w:iCs/>
                <w:sz w:val="20"/>
              </w:rPr>
              <w:t>Leave)</w:t>
            </w:r>
            <w:r w:rsidRPr="00C96327">
              <w:rPr>
                <w:rFonts w:eastAsia="Calibri"/>
                <w:iCs/>
                <w:sz w:val="20"/>
              </w:rPr>
              <w:t xml:space="preserve"> </w:t>
            </w:r>
          </w:p>
        </w:tc>
        <w:tc>
          <w:tcPr>
            <w:tcW w:w="720" w:type="dxa"/>
            <w:tcMar>
              <w:left w:w="0" w:type="dxa"/>
              <w:right w:w="0" w:type="dxa"/>
            </w:tcMar>
          </w:tcPr>
          <w:p w:rsidR="00672DC5" w:rsidRPr="00BA6468" w:rsidRDefault="00672DC5" w:rsidP="00E33C9D">
            <w:pPr>
              <w:rPr>
                <w:sz w:val="20"/>
                <w:szCs w:val="20"/>
              </w:rPr>
            </w:pPr>
          </w:p>
        </w:tc>
        <w:tc>
          <w:tcPr>
            <w:tcW w:w="4380" w:type="dxa"/>
            <w:tcMar>
              <w:left w:w="0" w:type="dxa"/>
              <w:right w:w="0" w:type="dxa"/>
            </w:tcMar>
          </w:tcPr>
          <w:p w:rsidR="00672DC5" w:rsidRPr="00B6028E" w:rsidRDefault="00672DC5" w:rsidP="00E33C9D">
            <w:pPr>
              <w:jc w:val="both"/>
              <w:rPr>
                <w:sz w:val="20"/>
                <w:szCs w:val="20"/>
              </w:rPr>
            </w:pPr>
            <w:r w:rsidRPr="00B6028E">
              <w:rPr>
                <w:sz w:val="20"/>
                <w:szCs w:val="20"/>
              </w:rPr>
              <w:t>Daniel F.O. Henderson</w:t>
            </w:r>
            <w:r>
              <w:rPr>
                <w:sz w:val="20"/>
                <w:szCs w:val="20"/>
              </w:rPr>
              <w:t xml:space="preserve"> f</w:t>
            </w:r>
            <w:r w:rsidRPr="00B6028E">
              <w:rPr>
                <w:sz w:val="20"/>
                <w:szCs w:val="20"/>
              </w:rPr>
              <w:t xml:space="preserve">or the </w:t>
            </w:r>
            <w:r>
              <w:rPr>
                <w:sz w:val="20"/>
                <w:szCs w:val="20"/>
              </w:rPr>
              <w:t>a</w:t>
            </w:r>
            <w:r w:rsidRPr="00B6028E">
              <w:rPr>
                <w:sz w:val="20"/>
                <w:szCs w:val="20"/>
              </w:rPr>
              <w:t>pplicant</w:t>
            </w:r>
            <w:r>
              <w:rPr>
                <w:sz w:val="20"/>
                <w:szCs w:val="20"/>
              </w:rPr>
              <w:t xml:space="preserve"> </w:t>
            </w:r>
            <w:r w:rsidRPr="00B6028E">
              <w:rPr>
                <w:sz w:val="20"/>
                <w:szCs w:val="20"/>
              </w:rPr>
              <w:t>Natasha Kaye Healy (35907)</w:t>
            </w:r>
            <w:r>
              <w:rPr>
                <w:sz w:val="20"/>
                <w:szCs w:val="20"/>
              </w:rPr>
              <w:t>.</w:t>
            </w:r>
          </w:p>
          <w:p w:rsidR="00672DC5" w:rsidRPr="00B6028E" w:rsidRDefault="00672DC5" w:rsidP="00E33C9D">
            <w:pPr>
              <w:jc w:val="both"/>
              <w:rPr>
                <w:sz w:val="20"/>
                <w:szCs w:val="20"/>
              </w:rPr>
            </w:pPr>
          </w:p>
          <w:p w:rsidR="00672DC5" w:rsidRPr="00B6028E" w:rsidRDefault="00672DC5" w:rsidP="00E33C9D">
            <w:pPr>
              <w:jc w:val="both"/>
              <w:rPr>
                <w:sz w:val="20"/>
                <w:szCs w:val="20"/>
              </w:rPr>
            </w:pPr>
            <w:r w:rsidRPr="00B6028E">
              <w:rPr>
                <w:sz w:val="20"/>
                <w:szCs w:val="20"/>
              </w:rPr>
              <w:t>Kent Beatch</w:t>
            </w:r>
            <w:r>
              <w:rPr>
                <w:sz w:val="20"/>
                <w:szCs w:val="20"/>
              </w:rPr>
              <w:t xml:space="preserve"> and </w:t>
            </w:r>
            <w:r w:rsidRPr="00B6028E">
              <w:rPr>
                <w:sz w:val="20"/>
                <w:szCs w:val="20"/>
              </w:rPr>
              <w:t>Roger P. Thirkell</w:t>
            </w:r>
            <w:r>
              <w:rPr>
                <w:sz w:val="20"/>
                <w:szCs w:val="20"/>
              </w:rPr>
              <w:t xml:space="preserve"> f</w:t>
            </w:r>
            <w:r w:rsidRPr="00B6028E">
              <w:rPr>
                <w:sz w:val="20"/>
                <w:szCs w:val="20"/>
              </w:rPr>
              <w:t xml:space="preserve">or the </w:t>
            </w:r>
            <w:r>
              <w:rPr>
                <w:sz w:val="20"/>
                <w:szCs w:val="20"/>
              </w:rPr>
              <w:t>a</w:t>
            </w:r>
            <w:r w:rsidRPr="00B6028E">
              <w:rPr>
                <w:sz w:val="20"/>
                <w:szCs w:val="20"/>
              </w:rPr>
              <w:t>pplicant</w:t>
            </w:r>
            <w:r>
              <w:rPr>
                <w:sz w:val="20"/>
                <w:szCs w:val="20"/>
              </w:rPr>
              <w:t xml:space="preserve"> </w:t>
            </w:r>
            <w:r w:rsidRPr="00B6028E">
              <w:rPr>
                <w:sz w:val="20"/>
                <w:szCs w:val="20"/>
              </w:rPr>
              <w:t>Timothy Lee Felger (35795)</w:t>
            </w:r>
            <w:r>
              <w:rPr>
                <w:sz w:val="20"/>
                <w:szCs w:val="20"/>
              </w:rPr>
              <w:t>.</w:t>
            </w:r>
          </w:p>
          <w:p w:rsidR="00672DC5" w:rsidRPr="00B6028E" w:rsidRDefault="00672DC5" w:rsidP="00E33C9D">
            <w:pPr>
              <w:jc w:val="both"/>
              <w:rPr>
                <w:sz w:val="20"/>
                <w:szCs w:val="20"/>
              </w:rPr>
            </w:pPr>
          </w:p>
          <w:p w:rsidR="00672DC5" w:rsidRPr="00C50A5C" w:rsidRDefault="00672DC5" w:rsidP="00E33C9D">
            <w:pPr>
              <w:rPr>
                <w:b/>
                <w:sz w:val="20"/>
                <w:szCs w:val="20"/>
              </w:rPr>
            </w:pPr>
            <w:r w:rsidRPr="00B6028E">
              <w:rPr>
                <w:sz w:val="20"/>
                <w:szCs w:val="20"/>
              </w:rPr>
              <w:t>Peter A. Eccles</w:t>
            </w:r>
            <w:r>
              <w:rPr>
                <w:sz w:val="20"/>
                <w:szCs w:val="20"/>
              </w:rPr>
              <w:t xml:space="preserve"> f</w:t>
            </w:r>
            <w:r w:rsidRPr="00B6028E">
              <w:rPr>
                <w:sz w:val="20"/>
                <w:szCs w:val="20"/>
              </w:rPr>
              <w:t xml:space="preserve">or the </w:t>
            </w:r>
            <w:r>
              <w:rPr>
                <w:sz w:val="20"/>
                <w:szCs w:val="20"/>
              </w:rPr>
              <w:t>r</w:t>
            </w:r>
            <w:r w:rsidRPr="00B6028E">
              <w:rPr>
                <w:sz w:val="20"/>
                <w:szCs w:val="20"/>
              </w:rPr>
              <w:t>espondents</w:t>
            </w:r>
            <w:r>
              <w:rPr>
                <w:sz w:val="20"/>
                <w:szCs w:val="20"/>
              </w:rPr>
              <w:t xml:space="preserve"> </w:t>
            </w:r>
            <w:r w:rsidRPr="00B6028E">
              <w:rPr>
                <w:sz w:val="20"/>
                <w:szCs w:val="20"/>
              </w:rPr>
              <w:tab/>
              <w:t xml:space="preserve">(35907 </w:t>
            </w:r>
            <w:r>
              <w:rPr>
                <w:sz w:val="20"/>
                <w:szCs w:val="20"/>
              </w:rPr>
              <w:t>-</w:t>
            </w:r>
            <w:r w:rsidRPr="00B6028E">
              <w:rPr>
                <w:sz w:val="20"/>
                <w:szCs w:val="20"/>
              </w:rPr>
              <w:t xml:space="preserve"> 35795)</w:t>
            </w:r>
            <w:r>
              <w:rPr>
                <w:sz w:val="20"/>
                <w:szCs w:val="20"/>
              </w:rPr>
              <w:t>.</w:t>
            </w:r>
          </w:p>
        </w:tc>
      </w:tr>
    </w:tbl>
    <w:p w:rsidR="00672DC5" w:rsidRPr="0030743B" w:rsidRDefault="00672DC5" w:rsidP="00672DC5">
      <w:pPr>
        <w:rPr>
          <w:sz w:val="20"/>
          <w:szCs w:val="20"/>
        </w:rPr>
      </w:pPr>
    </w:p>
    <w:p w:rsidR="00672DC5" w:rsidRPr="00C50A5C" w:rsidRDefault="00672DC5" w:rsidP="00672DC5">
      <w:pPr>
        <w:rPr>
          <w:sz w:val="20"/>
          <w:szCs w:val="20"/>
          <w:lang w:val="fr-CA"/>
        </w:rPr>
      </w:pPr>
      <w:r w:rsidRPr="00C50A5C">
        <w:rPr>
          <w:b/>
          <w:sz w:val="20"/>
          <w:szCs w:val="20"/>
          <w:lang w:val="fr-CA"/>
        </w:rPr>
        <w:t>DISMISSED / REJETÉE</w:t>
      </w:r>
    </w:p>
    <w:p w:rsidR="00672DC5" w:rsidRDefault="00672DC5" w:rsidP="00672DC5">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72DC5" w:rsidRPr="00714478" w:rsidTr="00E33C9D">
        <w:tc>
          <w:tcPr>
            <w:tcW w:w="4380" w:type="dxa"/>
            <w:tcMar>
              <w:left w:w="0" w:type="dxa"/>
              <w:right w:w="0" w:type="dxa"/>
            </w:tcMar>
          </w:tcPr>
          <w:p w:rsidR="00672DC5" w:rsidRPr="004C1AAC" w:rsidRDefault="00672DC5" w:rsidP="00E33C9D">
            <w:pPr>
              <w:keepNext/>
              <w:keepLines/>
              <w:jc w:val="both"/>
              <w:rPr>
                <w:b/>
                <w:sz w:val="20"/>
                <w:szCs w:val="20"/>
                <w:u w:val="single"/>
              </w:rPr>
            </w:pPr>
            <w:r w:rsidRPr="004C1AAC">
              <w:rPr>
                <w:b/>
                <w:sz w:val="20"/>
                <w:szCs w:val="20"/>
                <w:u w:val="single"/>
              </w:rPr>
              <w:t>JUDGMENT:</w:t>
            </w:r>
          </w:p>
          <w:p w:rsidR="00672DC5" w:rsidRPr="00C50A5C" w:rsidRDefault="00672DC5" w:rsidP="00E33C9D">
            <w:pPr>
              <w:keepNext/>
              <w:keepLines/>
              <w:jc w:val="both"/>
              <w:rPr>
                <w:sz w:val="20"/>
                <w:szCs w:val="20"/>
              </w:rPr>
            </w:pPr>
          </w:p>
          <w:p w:rsidR="00672DC5" w:rsidRPr="00BF55E7" w:rsidRDefault="00672DC5" w:rsidP="00E33C9D">
            <w:pPr>
              <w:keepNext/>
              <w:keepLines/>
              <w:jc w:val="both"/>
              <w:rPr>
                <w:sz w:val="20"/>
                <w:szCs w:val="20"/>
              </w:rPr>
            </w:pPr>
            <w:r w:rsidRPr="00BF55E7">
              <w:rPr>
                <w:sz w:val="20"/>
                <w:szCs w:val="20"/>
              </w:rPr>
              <w:t>The application for leave to appeal from the judgment of the Court of Appeal for British Columbia (Vancouver), Number  CA040496, 2014 BCCA 34, dated January 29, 2014, is dismissed.</w:t>
            </w:r>
          </w:p>
        </w:tc>
        <w:tc>
          <w:tcPr>
            <w:tcW w:w="720" w:type="dxa"/>
            <w:tcMar>
              <w:left w:w="0" w:type="dxa"/>
              <w:right w:w="0" w:type="dxa"/>
            </w:tcMar>
          </w:tcPr>
          <w:p w:rsidR="00672DC5" w:rsidRPr="00C50A5C" w:rsidRDefault="00672DC5" w:rsidP="00E33C9D">
            <w:pPr>
              <w:keepNext/>
              <w:keepLines/>
              <w:jc w:val="center"/>
              <w:rPr>
                <w:sz w:val="20"/>
                <w:szCs w:val="20"/>
              </w:rPr>
            </w:pPr>
          </w:p>
        </w:tc>
        <w:tc>
          <w:tcPr>
            <w:tcW w:w="4380" w:type="dxa"/>
            <w:tcMar>
              <w:left w:w="0" w:type="dxa"/>
              <w:right w:w="0" w:type="dxa"/>
            </w:tcMar>
          </w:tcPr>
          <w:p w:rsidR="00672DC5" w:rsidRPr="004C1AAC" w:rsidRDefault="00672DC5" w:rsidP="00E33C9D">
            <w:pPr>
              <w:keepNext/>
              <w:keepLines/>
              <w:jc w:val="both"/>
              <w:rPr>
                <w:b/>
                <w:sz w:val="20"/>
                <w:szCs w:val="20"/>
                <w:u w:val="single"/>
                <w:lang w:val="fr-CA"/>
              </w:rPr>
            </w:pPr>
            <w:r w:rsidRPr="004C1AAC">
              <w:rPr>
                <w:b/>
                <w:sz w:val="20"/>
                <w:szCs w:val="20"/>
                <w:u w:val="single"/>
                <w:lang w:val="fr-CA"/>
              </w:rPr>
              <w:t>JUGEMENT :</w:t>
            </w:r>
          </w:p>
          <w:p w:rsidR="00672DC5" w:rsidRPr="00C50A5C" w:rsidRDefault="00672DC5" w:rsidP="00E33C9D">
            <w:pPr>
              <w:keepNext/>
              <w:keepLines/>
              <w:jc w:val="both"/>
              <w:rPr>
                <w:sz w:val="20"/>
                <w:szCs w:val="20"/>
                <w:lang w:val="fr-CA"/>
              </w:rPr>
            </w:pPr>
          </w:p>
          <w:p w:rsidR="00672DC5" w:rsidRPr="00C50A5C" w:rsidRDefault="00672DC5" w:rsidP="00E33C9D">
            <w:pPr>
              <w:keepNext/>
              <w:keepLines/>
              <w:jc w:val="both"/>
              <w:rPr>
                <w:sz w:val="20"/>
                <w:szCs w:val="20"/>
                <w:lang w:val="fr-CA"/>
              </w:rPr>
            </w:pPr>
            <w:r w:rsidRPr="00F6396A">
              <w:rPr>
                <w:sz w:val="20"/>
                <w:szCs w:val="20"/>
                <w:lang w:val="fr-CA"/>
              </w:rPr>
              <w:t>La demande d’autorisation d’appel de l’arrêt de la Cour d’appel de la Colombie-Britannique (Vancouver), numéro CA040496, 2014 BCCA 34, daté du 29 janvier 2014, est rejet</w:t>
            </w:r>
            <w:r w:rsidRPr="00F6396A">
              <w:rPr>
                <w:rFonts w:cs="Times New Roman"/>
                <w:sz w:val="20"/>
                <w:szCs w:val="20"/>
                <w:lang w:val="fr-CA"/>
              </w:rPr>
              <w:t>é</w:t>
            </w:r>
            <w:r w:rsidRPr="00F6396A">
              <w:rPr>
                <w:sz w:val="20"/>
                <w:szCs w:val="20"/>
                <w:lang w:val="fr-CA"/>
              </w:rPr>
              <w:t>e.</w:t>
            </w:r>
          </w:p>
        </w:tc>
      </w:tr>
    </w:tbl>
    <w:p w:rsidR="00672DC5" w:rsidRPr="00BF55E7" w:rsidRDefault="00672DC5" w:rsidP="00672DC5">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72DC5" w:rsidRPr="00714478" w:rsidTr="00E33C9D">
        <w:tc>
          <w:tcPr>
            <w:tcW w:w="4380" w:type="dxa"/>
            <w:tcMar>
              <w:left w:w="0" w:type="dxa"/>
              <w:right w:w="0" w:type="dxa"/>
            </w:tcMar>
          </w:tcPr>
          <w:p w:rsidR="00672DC5" w:rsidRPr="00C50A5C" w:rsidRDefault="00672DC5" w:rsidP="00E33C9D">
            <w:pPr>
              <w:keepNext/>
              <w:keepLines/>
              <w:jc w:val="both"/>
              <w:rPr>
                <w:sz w:val="20"/>
                <w:szCs w:val="20"/>
              </w:rPr>
            </w:pPr>
            <w:r w:rsidRPr="00C50A5C">
              <w:rPr>
                <w:b/>
                <w:sz w:val="20"/>
                <w:szCs w:val="20"/>
                <w:u w:val="single"/>
              </w:rPr>
              <w:t>Nature of the case:</w:t>
            </w:r>
          </w:p>
          <w:p w:rsidR="00672DC5" w:rsidRPr="00C50A5C" w:rsidRDefault="00672DC5" w:rsidP="00E33C9D">
            <w:pPr>
              <w:keepNext/>
              <w:keepLines/>
              <w:jc w:val="both"/>
              <w:rPr>
                <w:sz w:val="20"/>
                <w:szCs w:val="20"/>
              </w:rPr>
            </w:pPr>
          </w:p>
          <w:p w:rsidR="00672DC5" w:rsidRPr="004C1AAC" w:rsidRDefault="00672DC5" w:rsidP="00E33C9D">
            <w:pPr>
              <w:keepNext/>
              <w:keepLines/>
              <w:jc w:val="both"/>
              <w:rPr>
                <w:b/>
                <w:sz w:val="20"/>
                <w:szCs w:val="20"/>
                <w:u w:val="single"/>
              </w:rPr>
            </w:pPr>
            <w:r w:rsidRPr="00282DD2">
              <w:rPr>
                <w:i/>
                <w:sz w:val="20"/>
                <w:szCs w:val="20"/>
              </w:rPr>
              <w:t>Charter of Rights and Freedoms</w:t>
            </w:r>
            <w:r w:rsidRPr="00282DD2">
              <w:rPr>
                <w:sz w:val="20"/>
                <w:szCs w:val="20"/>
              </w:rPr>
              <w:t xml:space="preserve"> – Search and Seizure – Section 8 of the </w:t>
            </w:r>
            <w:r w:rsidRPr="00282DD2">
              <w:rPr>
                <w:i/>
                <w:sz w:val="20"/>
                <w:szCs w:val="20"/>
              </w:rPr>
              <w:t>Charter</w:t>
            </w:r>
            <w:r w:rsidRPr="00282DD2">
              <w:rPr>
                <w:sz w:val="20"/>
                <w:szCs w:val="20"/>
              </w:rPr>
              <w:t xml:space="preserve"> – Criminal law – Evidence – Privacy Interest – Whether the Court of Appeal erred in law in finding that the applicant had no reasonable expectation of privacy in commercial premise he operated and within which the evidence required to support the conviction was seized – </w:t>
            </w:r>
            <w:r w:rsidRPr="00282DD2">
              <w:rPr>
                <w:i/>
                <w:sz w:val="20"/>
                <w:szCs w:val="20"/>
              </w:rPr>
              <w:t>Canadian Charter of Rights and Freedoms</w:t>
            </w:r>
            <w:r w:rsidRPr="00282DD2">
              <w:rPr>
                <w:sz w:val="20"/>
                <w:szCs w:val="20"/>
              </w:rPr>
              <w:t>, s. 8.</w:t>
            </w:r>
          </w:p>
        </w:tc>
        <w:tc>
          <w:tcPr>
            <w:tcW w:w="720" w:type="dxa"/>
            <w:tcMar>
              <w:left w:w="0" w:type="dxa"/>
              <w:right w:w="0" w:type="dxa"/>
            </w:tcMar>
          </w:tcPr>
          <w:p w:rsidR="00672DC5" w:rsidRPr="00C50A5C" w:rsidRDefault="00672DC5" w:rsidP="00E33C9D">
            <w:pPr>
              <w:keepNext/>
              <w:keepLines/>
              <w:jc w:val="center"/>
              <w:rPr>
                <w:sz w:val="20"/>
                <w:szCs w:val="20"/>
              </w:rPr>
            </w:pPr>
          </w:p>
        </w:tc>
        <w:tc>
          <w:tcPr>
            <w:tcW w:w="4380" w:type="dxa"/>
            <w:tcMar>
              <w:left w:w="0" w:type="dxa"/>
              <w:right w:w="0" w:type="dxa"/>
            </w:tcMar>
          </w:tcPr>
          <w:p w:rsidR="00672DC5" w:rsidRPr="00C50A5C" w:rsidRDefault="00672DC5" w:rsidP="00E33C9D">
            <w:pPr>
              <w:keepNext/>
              <w:keepLines/>
              <w:jc w:val="both"/>
              <w:rPr>
                <w:sz w:val="20"/>
                <w:szCs w:val="20"/>
                <w:lang w:val="fr-CA"/>
              </w:rPr>
            </w:pPr>
            <w:r w:rsidRPr="00C50A5C">
              <w:rPr>
                <w:b/>
                <w:sz w:val="20"/>
                <w:szCs w:val="20"/>
                <w:u w:val="single"/>
                <w:lang w:val="fr-CA"/>
              </w:rPr>
              <w:t>Nature de la cause :</w:t>
            </w:r>
          </w:p>
          <w:p w:rsidR="00672DC5" w:rsidRPr="00C50A5C" w:rsidRDefault="00672DC5" w:rsidP="00E33C9D">
            <w:pPr>
              <w:keepNext/>
              <w:keepLines/>
              <w:jc w:val="both"/>
              <w:rPr>
                <w:sz w:val="20"/>
                <w:szCs w:val="20"/>
                <w:lang w:val="fr-CA"/>
              </w:rPr>
            </w:pPr>
          </w:p>
          <w:p w:rsidR="00672DC5" w:rsidRPr="00ED14B1" w:rsidRDefault="00672DC5" w:rsidP="00E33C9D">
            <w:pPr>
              <w:keepNext/>
              <w:keepLines/>
              <w:jc w:val="both"/>
              <w:rPr>
                <w:b/>
                <w:sz w:val="20"/>
                <w:szCs w:val="20"/>
                <w:u w:val="single"/>
                <w:lang w:val="fr-CA"/>
              </w:rPr>
            </w:pPr>
            <w:r w:rsidRPr="0016743A">
              <w:rPr>
                <w:i/>
                <w:sz w:val="20"/>
                <w:szCs w:val="20"/>
                <w:lang w:val="fr-CA"/>
              </w:rPr>
              <w:t xml:space="preserve">Charte des droits et libertés </w:t>
            </w:r>
            <w:r w:rsidRPr="0016743A">
              <w:rPr>
                <w:sz w:val="20"/>
                <w:szCs w:val="20"/>
                <w:lang w:val="fr-CA"/>
              </w:rPr>
              <w:t xml:space="preserve">– Fouilles, perquisitions et saisies – Article 8 de la </w:t>
            </w:r>
            <w:r w:rsidRPr="0016743A">
              <w:rPr>
                <w:i/>
                <w:sz w:val="20"/>
                <w:szCs w:val="20"/>
                <w:lang w:val="fr-CA"/>
              </w:rPr>
              <w:t>Charte</w:t>
            </w:r>
            <w:r w:rsidRPr="0016743A">
              <w:rPr>
                <w:sz w:val="20"/>
                <w:szCs w:val="20"/>
                <w:lang w:val="fr-CA"/>
              </w:rPr>
              <w:t xml:space="preserve"> – Droit criminel – Preuve – Respect de la vie privée – La Cour d’appel a-t-elle commis une erreur de droit en concluant que le demandeur n’avait pas d’attente raisonnable en matière de vie privée à l’égard des locaux commerciaux qu’il exploitait et dans lequel les éléments de preuve requis pour étayer la déclaration de culpabilité ont été saisis? – </w:t>
            </w:r>
            <w:r w:rsidRPr="0016743A">
              <w:rPr>
                <w:i/>
                <w:sz w:val="20"/>
                <w:szCs w:val="20"/>
                <w:lang w:val="fr-CA"/>
              </w:rPr>
              <w:t xml:space="preserve">Charte canadienne des droits et libertés, </w:t>
            </w:r>
            <w:r w:rsidRPr="0016743A">
              <w:rPr>
                <w:sz w:val="20"/>
                <w:szCs w:val="20"/>
                <w:lang w:val="fr-CA"/>
              </w:rPr>
              <w:t>art. 8.</w:t>
            </w:r>
          </w:p>
        </w:tc>
      </w:tr>
    </w:tbl>
    <w:p w:rsidR="00672DC5" w:rsidRPr="00ED14B1" w:rsidRDefault="00672DC5" w:rsidP="00672DC5">
      <w:pPr>
        <w:rPr>
          <w:sz w:val="20"/>
          <w:szCs w:val="20"/>
          <w:lang w:val="fr-CA"/>
        </w:rPr>
      </w:pPr>
    </w:p>
    <w:p w:rsidR="00672DC5" w:rsidRPr="000179B3" w:rsidRDefault="00714478" w:rsidP="00672DC5">
      <w:pPr>
        <w:rPr>
          <w:sz w:val="20"/>
          <w:szCs w:val="20"/>
        </w:rPr>
      </w:pPr>
      <w:r>
        <w:rPr>
          <w:rFonts w:eastAsia="Times New Roman" w:cs="Times New Roman"/>
          <w:sz w:val="20"/>
          <w:szCs w:val="20"/>
          <w:lang w:val="fr-CA" w:eastAsia="en-CA"/>
        </w:rPr>
        <w:pict>
          <v:rect id="_x0000_i1042" style="width:2in;height:1pt" o:hrpct="0" o:hralign="center" o:hrstd="t" o:hrnoshade="t" o:hr="t" fillcolor="black [3213]" stroked="f"/>
        </w:pict>
      </w:r>
    </w:p>
    <w:p w:rsidR="00672DC5" w:rsidRPr="000179B3" w:rsidRDefault="00672DC5" w:rsidP="00672DC5">
      <w:pPr>
        <w:rPr>
          <w:sz w:val="20"/>
          <w:szCs w:val="20"/>
        </w:rPr>
      </w:pPr>
    </w:p>
    <w:p w:rsidR="00672DC5" w:rsidRPr="007C0CD6" w:rsidRDefault="00672DC5" w:rsidP="00672DC5">
      <w:pPr>
        <w:rPr>
          <w:b/>
          <w:sz w:val="20"/>
          <w:szCs w:val="20"/>
        </w:rPr>
      </w:pPr>
      <w:r w:rsidRPr="007C0CD6">
        <w:rPr>
          <w:b/>
          <w:sz w:val="20"/>
          <w:szCs w:val="20"/>
        </w:rPr>
        <w:t>OCTOBER 1</w:t>
      </w:r>
      <w:r>
        <w:rPr>
          <w:b/>
          <w:sz w:val="20"/>
          <w:szCs w:val="20"/>
        </w:rPr>
        <w:t>7</w:t>
      </w:r>
      <w:r w:rsidRPr="007C0CD6">
        <w:rPr>
          <w:b/>
          <w:sz w:val="20"/>
          <w:szCs w:val="20"/>
        </w:rPr>
        <w:t>, 2014 / LE 1</w:t>
      </w:r>
      <w:r>
        <w:rPr>
          <w:b/>
          <w:sz w:val="20"/>
          <w:szCs w:val="20"/>
        </w:rPr>
        <w:t>7</w:t>
      </w:r>
      <w:r w:rsidRPr="007C0CD6">
        <w:rPr>
          <w:b/>
          <w:sz w:val="20"/>
          <w:szCs w:val="20"/>
        </w:rPr>
        <w:t xml:space="preserve"> OCTOBRE 2014</w:t>
      </w:r>
    </w:p>
    <w:p w:rsidR="00672DC5" w:rsidRPr="007C0CD6" w:rsidRDefault="00672DC5" w:rsidP="00672DC5">
      <w:pPr>
        <w:rPr>
          <w:sz w:val="20"/>
          <w:szCs w:val="20"/>
        </w:rPr>
      </w:pPr>
    </w:p>
    <w:p w:rsidR="00672DC5" w:rsidRPr="00C96327" w:rsidRDefault="00672DC5" w:rsidP="00672DC5">
      <w:pPr>
        <w:widowControl w:val="0"/>
        <w:ind w:left="720" w:hanging="720"/>
        <w:rPr>
          <w:sz w:val="20"/>
          <w:u w:val="single"/>
        </w:rPr>
      </w:pPr>
      <w:r w:rsidRPr="00C96327">
        <w:rPr>
          <w:sz w:val="20"/>
        </w:rPr>
        <w:t xml:space="preserve">Coram: </w:t>
      </w:r>
      <w:r w:rsidRPr="00C96327">
        <w:rPr>
          <w:sz w:val="20"/>
        </w:rPr>
        <w:tab/>
      </w:r>
      <w:r w:rsidRPr="00C96327">
        <w:rPr>
          <w:sz w:val="20"/>
          <w:u w:val="single"/>
        </w:rPr>
        <w:t>McLachlin C.J. and Cromwell and Wagner JJ.</w:t>
      </w:r>
    </w:p>
    <w:p w:rsidR="00672DC5" w:rsidRPr="00773A40" w:rsidRDefault="00672DC5" w:rsidP="00672DC5">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72DC5" w:rsidRPr="00C50A5C" w:rsidTr="00E33C9D">
        <w:tc>
          <w:tcPr>
            <w:tcW w:w="4380" w:type="dxa"/>
            <w:tcMar>
              <w:left w:w="0" w:type="dxa"/>
              <w:right w:w="0" w:type="dxa"/>
            </w:tcMar>
          </w:tcPr>
          <w:p w:rsidR="00672DC5" w:rsidRPr="00C50A5C" w:rsidRDefault="00672DC5" w:rsidP="00E33C9D">
            <w:pPr>
              <w:rPr>
                <w:b/>
                <w:sz w:val="20"/>
                <w:szCs w:val="20"/>
              </w:rPr>
            </w:pPr>
            <w:r w:rsidRPr="00C50A5C">
              <w:rPr>
                <w:b/>
                <w:sz w:val="20"/>
                <w:szCs w:val="20"/>
              </w:rPr>
              <w:t>Motion heard</w:t>
            </w:r>
          </w:p>
          <w:p w:rsidR="00672DC5" w:rsidRPr="00BA6468" w:rsidRDefault="00672DC5" w:rsidP="00E33C9D">
            <w:pPr>
              <w:rPr>
                <w:sz w:val="20"/>
                <w:szCs w:val="20"/>
              </w:rPr>
            </w:pPr>
          </w:p>
        </w:tc>
        <w:tc>
          <w:tcPr>
            <w:tcW w:w="720" w:type="dxa"/>
            <w:tcMar>
              <w:left w:w="0" w:type="dxa"/>
              <w:right w:w="0" w:type="dxa"/>
            </w:tcMar>
          </w:tcPr>
          <w:p w:rsidR="00672DC5" w:rsidRPr="00BA6468" w:rsidRDefault="00672DC5" w:rsidP="00E33C9D">
            <w:pPr>
              <w:rPr>
                <w:sz w:val="20"/>
                <w:szCs w:val="20"/>
              </w:rPr>
            </w:pPr>
          </w:p>
        </w:tc>
        <w:tc>
          <w:tcPr>
            <w:tcW w:w="4380" w:type="dxa"/>
            <w:tcMar>
              <w:left w:w="0" w:type="dxa"/>
              <w:right w:w="0" w:type="dxa"/>
            </w:tcMar>
          </w:tcPr>
          <w:p w:rsidR="00672DC5" w:rsidRPr="00C50A5C" w:rsidRDefault="00672DC5" w:rsidP="00E33C9D">
            <w:pPr>
              <w:rPr>
                <w:b/>
                <w:sz w:val="20"/>
                <w:szCs w:val="20"/>
              </w:rPr>
            </w:pPr>
            <w:r w:rsidRPr="00C50A5C">
              <w:rPr>
                <w:b/>
                <w:sz w:val="20"/>
                <w:szCs w:val="20"/>
              </w:rPr>
              <w:t>Requête entendue</w:t>
            </w:r>
          </w:p>
          <w:p w:rsidR="00672DC5" w:rsidRPr="00C50A5C" w:rsidRDefault="00672DC5" w:rsidP="00E33C9D">
            <w:pPr>
              <w:rPr>
                <w:sz w:val="20"/>
                <w:szCs w:val="20"/>
                <w:lang w:val="fr-CA"/>
              </w:rPr>
            </w:pPr>
          </w:p>
        </w:tc>
      </w:tr>
      <w:tr w:rsidR="00672DC5" w:rsidRPr="00C50A5C" w:rsidTr="00E33C9D">
        <w:tc>
          <w:tcPr>
            <w:tcW w:w="4380" w:type="dxa"/>
            <w:tcMar>
              <w:left w:w="0" w:type="dxa"/>
              <w:right w:w="0" w:type="dxa"/>
            </w:tcMar>
          </w:tcPr>
          <w:p w:rsidR="00672DC5" w:rsidRDefault="00672DC5" w:rsidP="00E33C9D">
            <w:pPr>
              <w:rPr>
                <w:rFonts w:eastAsia="Calibri"/>
                <w:b/>
                <w:iCs/>
                <w:sz w:val="20"/>
              </w:rPr>
            </w:pPr>
            <w:r w:rsidRPr="00C96327">
              <w:rPr>
                <w:rFonts w:eastAsia="Calibri"/>
                <w:b/>
                <w:iCs/>
                <w:sz w:val="20"/>
              </w:rPr>
              <w:t xml:space="preserve">Natasha Kaye Healy </w:t>
            </w:r>
          </w:p>
          <w:p w:rsidR="00672DC5" w:rsidRDefault="00672DC5" w:rsidP="00E33C9D">
            <w:pPr>
              <w:rPr>
                <w:rFonts w:eastAsia="Calibri"/>
                <w:b/>
                <w:iCs/>
                <w:sz w:val="20"/>
              </w:rPr>
            </w:pPr>
          </w:p>
          <w:p w:rsidR="00672DC5" w:rsidRDefault="00672DC5" w:rsidP="00E33C9D">
            <w:pPr>
              <w:rPr>
                <w:rFonts w:eastAsia="Calibri"/>
                <w:b/>
                <w:iCs/>
                <w:sz w:val="20"/>
              </w:rPr>
            </w:pPr>
            <w:r>
              <w:rPr>
                <w:rFonts w:eastAsia="Calibri"/>
                <w:b/>
                <w:iCs/>
                <w:sz w:val="20"/>
              </w:rPr>
              <w:tab/>
            </w:r>
            <w:r w:rsidRPr="00C96327">
              <w:rPr>
                <w:rFonts w:eastAsia="Calibri"/>
                <w:b/>
                <w:iCs/>
                <w:sz w:val="20"/>
              </w:rPr>
              <w:t xml:space="preserve">v. </w:t>
            </w:r>
            <w:r w:rsidRPr="00C96327">
              <w:rPr>
                <w:rFonts w:eastAsia="Calibri"/>
                <w:iCs/>
                <w:sz w:val="20"/>
              </w:rPr>
              <w:t>(</w:t>
            </w:r>
            <w:hyperlink r:id="rId26" w:history="1">
              <w:r w:rsidRPr="00C96327">
                <w:rPr>
                  <w:rStyle w:val="Hyperlink"/>
                  <w:rFonts w:eastAsia="Calibri"/>
                  <w:iCs/>
                  <w:sz w:val="20"/>
                </w:rPr>
                <w:t>35907</w:t>
              </w:r>
            </w:hyperlink>
            <w:r w:rsidRPr="00C96327">
              <w:rPr>
                <w:rFonts w:eastAsia="Calibri"/>
                <w:iCs/>
                <w:sz w:val="20"/>
              </w:rPr>
              <w:t>)</w:t>
            </w:r>
          </w:p>
          <w:p w:rsidR="00672DC5" w:rsidRDefault="00672DC5" w:rsidP="00E33C9D">
            <w:pPr>
              <w:rPr>
                <w:rFonts w:eastAsia="Calibri"/>
                <w:b/>
                <w:iCs/>
                <w:sz w:val="20"/>
              </w:rPr>
            </w:pPr>
          </w:p>
          <w:p w:rsidR="00672DC5" w:rsidRPr="00C50A5C" w:rsidRDefault="00672DC5" w:rsidP="00E33C9D">
            <w:pPr>
              <w:rPr>
                <w:b/>
                <w:sz w:val="20"/>
                <w:szCs w:val="20"/>
              </w:rPr>
            </w:pPr>
            <w:r w:rsidRPr="00C96327">
              <w:rPr>
                <w:rFonts w:eastAsia="Calibri"/>
                <w:b/>
                <w:iCs/>
                <w:sz w:val="20"/>
              </w:rPr>
              <w:t>Her Majesty the Queen</w:t>
            </w:r>
            <w:r w:rsidRPr="00C96327">
              <w:rPr>
                <w:rFonts w:eastAsia="Calibri"/>
                <w:iCs/>
                <w:sz w:val="20"/>
              </w:rPr>
              <w:t xml:space="preserve"> </w:t>
            </w:r>
            <w:r w:rsidRPr="007C0CD6">
              <w:rPr>
                <w:rFonts w:eastAsia="Calibri"/>
                <w:b/>
                <w:iCs/>
                <w:sz w:val="20"/>
              </w:rPr>
              <w:t>(B.C.) (Criminal) (By Leave)</w:t>
            </w:r>
            <w:r w:rsidRPr="00C96327">
              <w:rPr>
                <w:rFonts w:eastAsia="Calibri"/>
                <w:iCs/>
                <w:sz w:val="20"/>
              </w:rPr>
              <w:t xml:space="preserve"> </w:t>
            </w:r>
          </w:p>
        </w:tc>
        <w:tc>
          <w:tcPr>
            <w:tcW w:w="720" w:type="dxa"/>
            <w:tcMar>
              <w:left w:w="0" w:type="dxa"/>
              <w:right w:w="0" w:type="dxa"/>
            </w:tcMar>
          </w:tcPr>
          <w:p w:rsidR="00672DC5" w:rsidRPr="00BA6468" w:rsidRDefault="00672DC5" w:rsidP="00E33C9D">
            <w:pPr>
              <w:rPr>
                <w:sz w:val="20"/>
                <w:szCs w:val="20"/>
              </w:rPr>
            </w:pPr>
          </w:p>
        </w:tc>
        <w:tc>
          <w:tcPr>
            <w:tcW w:w="4380" w:type="dxa"/>
            <w:tcMar>
              <w:left w:w="0" w:type="dxa"/>
              <w:right w:w="0" w:type="dxa"/>
            </w:tcMar>
          </w:tcPr>
          <w:p w:rsidR="00672DC5" w:rsidRPr="00B6028E" w:rsidRDefault="00672DC5" w:rsidP="00E33C9D">
            <w:pPr>
              <w:jc w:val="both"/>
              <w:rPr>
                <w:sz w:val="20"/>
                <w:szCs w:val="20"/>
              </w:rPr>
            </w:pPr>
            <w:r w:rsidRPr="00B6028E">
              <w:rPr>
                <w:sz w:val="20"/>
                <w:szCs w:val="20"/>
              </w:rPr>
              <w:t>Daniel F.O. Henderson</w:t>
            </w:r>
            <w:r>
              <w:rPr>
                <w:sz w:val="20"/>
                <w:szCs w:val="20"/>
              </w:rPr>
              <w:t xml:space="preserve"> f</w:t>
            </w:r>
            <w:r w:rsidRPr="00B6028E">
              <w:rPr>
                <w:sz w:val="20"/>
                <w:szCs w:val="20"/>
              </w:rPr>
              <w:t xml:space="preserve">or the </w:t>
            </w:r>
            <w:r>
              <w:rPr>
                <w:sz w:val="20"/>
                <w:szCs w:val="20"/>
              </w:rPr>
              <w:t>a</w:t>
            </w:r>
            <w:r w:rsidRPr="00B6028E">
              <w:rPr>
                <w:sz w:val="20"/>
                <w:szCs w:val="20"/>
              </w:rPr>
              <w:t>pplicant</w:t>
            </w:r>
            <w:r>
              <w:rPr>
                <w:sz w:val="20"/>
                <w:szCs w:val="20"/>
              </w:rPr>
              <w:t xml:space="preserve"> </w:t>
            </w:r>
            <w:r w:rsidRPr="00B6028E">
              <w:rPr>
                <w:sz w:val="20"/>
                <w:szCs w:val="20"/>
              </w:rPr>
              <w:t>Natasha Kaye Healy (35907)</w:t>
            </w:r>
            <w:r>
              <w:rPr>
                <w:sz w:val="20"/>
                <w:szCs w:val="20"/>
              </w:rPr>
              <w:t>.</w:t>
            </w:r>
          </w:p>
          <w:p w:rsidR="00672DC5" w:rsidRPr="00B6028E" w:rsidRDefault="00672DC5" w:rsidP="00E33C9D">
            <w:pPr>
              <w:jc w:val="both"/>
              <w:rPr>
                <w:sz w:val="20"/>
                <w:szCs w:val="20"/>
              </w:rPr>
            </w:pPr>
          </w:p>
          <w:p w:rsidR="00672DC5" w:rsidRPr="00B6028E" w:rsidRDefault="00672DC5" w:rsidP="00E33C9D">
            <w:pPr>
              <w:jc w:val="both"/>
              <w:rPr>
                <w:sz w:val="20"/>
                <w:szCs w:val="20"/>
              </w:rPr>
            </w:pPr>
            <w:r w:rsidRPr="00B6028E">
              <w:rPr>
                <w:sz w:val="20"/>
                <w:szCs w:val="20"/>
              </w:rPr>
              <w:t>Kent Beatch</w:t>
            </w:r>
            <w:r>
              <w:rPr>
                <w:sz w:val="20"/>
                <w:szCs w:val="20"/>
              </w:rPr>
              <w:t xml:space="preserve"> and </w:t>
            </w:r>
            <w:r w:rsidRPr="00B6028E">
              <w:rPr>
                <w:sz w:val="20"/>
                <w:szCs w:val="20"/>
              </w:rPr>
              <w:t>Roger P. Thirkell</w:t>
            </w:r>
            <w:r>
              <w:rPr>
                <w:sz w:val="20"/>
                <w:szCs w:val="20"/>
              </w:rPr>
              <w:t xml:space="preserve"> f</w:t>
            </w:r>
            <w:r w:rsidRPr="00B6028E">
              <w:rPr>
                <w:sz w:val="20"/>
                <w:szCs w:val="20"/>
              </w:rPr>
              <w:t xml:space="preserve">or the </w:t>
            </w:r>
            <w:r>
              <w:rPr>
                <w:sz w:val="20"/>
                <w:szCs w:val="20"/>
              </w:rPr>
              <w:t>a</w:t>
            </w:r>
            <w:r w:rsidRPr="00B6028E">
              <w:rPr>
                <w:sz w:val="20"/>
                <w:szCs w:val="20"/>
              </w:rPr>
              <w:t>pplicant</w:t>
            </w:r>
            <w:r>
              <w:rPr>
                <w:sz w:val="20"/>
                <w:szCs w:val="20"/>
              </w:rPr>
              <w:t xml:space="preserve"> </w:t>
            </w:r>
            <w:r w:rsidRPr="00B6028E">
              <w:rPr>
                <w:sz w:val="20"/>
                <w:szCs w:val="20"/>
              </w:rPr>
              <w:t>Timothy Lee Felger (35795)</w:t>
            </w:r>
            <w:r>
              <w:rPr>
                <w:sz w:val="20"/>
                <w:szCs w:val="20"/>
              </w:rPr>
              <w:t>.</w:t>
            </w:r>
          </w:p>
          <w:p w:rsidR="00672DC5" w:rsidRPr="00B6028E" w:rsidRDefault="00672DC5" w:rsidP="00E33C9D">
            <w:pPr>
              <w:jc w:val="both"/>
              <w:rPr>
                <w:sz w:val="20"/>
                <w:szCs w:val="20"/>
              </w:rPr>
            </w:pPr>
          </w:p>
          <w:p w:rsidR="00672DC5" w:rsidRPr="00C50A5C" w:rsidRDefault="00672DC5" w:rsidP="00E33C9D">
            <w:pPr>
              <w:rPr>
                <w:b/>
                <w:sz w:val="20"/>
                <w:szCs w:val="20"/>
              </w:rPr>
            </w:pPr>
            <w:r w:rsidRPr="00B6028E">
              <w:rPr>
                <w:sz w:val="20"/>
                <w:szCs w:val="20"/>
              </w:rPr>
              <w:t>Peter A. Eccles</w:t>
            </w:r>
            <w:r>
              <w:rPr>
                <w:sz w:val="20"/>
                <w:szCs w:val="20"/>
              </w:rPr>
              <w:t xml:space="preserve"> f</w:t>
            </w:r>
            <w:r w:rsidRPr="00B6028E">
              <w:rPr>
                <w:sz w:val="20"/>
                <w:szCs w:val="20"/>
              </w:rPr>
              <w:t xml:space="preserve">or the </w:t>
            </w:r>
            <w:r>
              <w:rPr>
                <w:sz w:val="20"/>
                <w:szCs w:val="20"/>
              </w:rPr>
              <w:t>r</w:t>
            </w:r>
            <w:r w:rsidRPr="00B6028E">
              <w:rPr>
                <w:sz w:val="20"/>
                <w:szCs w:val="20"/>
              </w:rPr>
              <w:t>espondents</w:t>
            </w:r>
            <w:r>
              <w:rPr>
                <w:sz w:val="20"/>
                <w:szCs w:val="20"/>
              </w:rPr>
              <w:t xml:space="preserve"> </w:t>
            </w:r>
            <w:r w:rsidRPr="00B6028E">
              <w:rPr>
                <w:sz w:val="20"/>
                <w:szCs w:val="20"/>
              </w:rPr>
              <w:tab/>
              <w:t xml:space="preserve">(35907 </w:t>
            </w:r>
            <w:r>
              <w:rPr>
                <w:sz w:val="20"/>
                <w:szCs w:val="20"/>
              </w:rPr>
              <w:t>-</w:t>
            </w:r>
            <w:r w:rsidRPr="00B6028E">
              <w:rPr>
                <w:sz w:val="20"/>
                <w:szCs w:val="20"/>
              </w:rPr>
              <w:t xml:space="preserve"> 35795)</w:t>
            </w:r>
            <w:r>
              <w:rPr>
                <w:sz w:val="20"/>
                <w:szCs w:val="20"/>
              </w:rPr>
              <w:t>.</w:t>
            </w:r>
          </w:p>
        </w:tc>
      </w:tr>
    </w:tbl>
    <w:p w:rsidR="00672DC5" w:rsidRPr="005D40B8" w:rsidRDefault="00672DC5" w:rsidP="00672DC5">
      <w:pPr>
        <w:rPr>
          <w:sz w:val="20"/>
          <w:szCs w:val="20"/>
        </w:rPr>
      </w:pPr>
    </w:p>
    <w:p w:rsidR="00672DC5" w:rsidRPr="00C50A5C" w:rsidRDefault="00672DC5" w:rsidP="00672DC5">
      <w:pPr>
        <w:rPr>
          <w:sz w:val="20"/>
          <w:szCs w:val="20"/>
          <w:lang w:val="fr-CA"/>
        </w:rPr>
      </w:pPr>
      <w:r w:rsidRPr="00C50A5C">
        <w:rPr>
          <w:b/>
          <w:sz w:val="20"/>
          <w:szCs w:val="20"/>
          <w:lang w:val="fr-CA"/>
        </w:rPr>
        <w:t>DISMISSED / REJETÉE</w:t>
      </w:r>
    </w:p>
    <w:p w:rsidR="00672DC5" w:rsidRPr="005D40B8" w:rsidRDefault="00672DC5" w:rsidP="00672DC5">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72DC5" w:rsidRPr="00714478" w:rsidTr="00E33C9D">
        <w:tc>
          <w:tcPr>
            <w:tcW w:w="4380" w:type="dxa"/>
            <w:tcMar>
              <w:left w:w="0" w:type="dxa"/>
              <w:right w:w="0" w:type="dxa"/>
            </w:tcMar>
          </w:tcPr>
          <w:p w:rsidR="00672DC5" w:rsidRPr="004C1AAC" w:rsidRDefault="00672DC5" w:rsidP="00E33C9D">
            <w:pPr>
              <w:keepNext/>
              <w:keepLines/>
              <w:jc w:val="both"/>
              <w:rPr>
                <w:b/>
                <w:sz w:val="20"/>
                <w:szCs w:val="20"/>
                <w:u w:val="single"/>
              </w:rPr>
            </w:pPr>
            <w:r w:rsidRPr="004C1AAC">
              <w:rPr>
                <w:b/>
                <w:sz w:val="20"/>
                <w:szCs w:val="20"/>
                <w:u w:val="single"/>
              </w:rPr>
              <w:t>JUDGMENT:</w:t>
            </w:r>
          </w:p>
          <w:p w:rsidR="00672DC5" w:rsidRPr="00C50A5C" w:rsidRDefault="00672DC5" w:rsidP="00E33C9D">
            <w:pPr>
              <w:keepNext/>
              <w:keepLines/>
              <w:jc w:val="both"/>
              <w:rPr>
                <w:sz w:val="20"/>
                <w:szCs w:val="20"/>
              </w:rPr>
            </w:pPr>
          </w:p>
          <w:p w:rsidR="00672DC5" w:rsidRPr="00C50A5C" w:rsidRDefault="00672DC5" w:rsidP="00E33C9D">
            <w:pPr>
              <w:keepNext/>
              <w:keepLines/>
              <w:jc w:val="both"/>
              <w:rPr>
                <w:sz w:val="20"/>
                <w:szCs w:val="20"/>
              </w:rPr>
            </w:pPr>
            <w:r w:rsidRPr="00327B07">
              <w:rPr>
                <w:sz w:val="20"/>
                <w:szCs w:val="20"/>
              </w:rPr>
              <w:t>The application for leave to appeal from the judgment of the</w:t>
            </w:r>
            <w:bookmarkStart w:id="2" w:name="BM_1_"/>
            <w:bookmarkEnd w:id="2"/>
            <w:r w:rsidRPr="00327B07">
              <w:rPr>
                <w:sz w:val="20"/>
                <w:szCs w:val="20"/>
              </w:rPr>
              <w:t xml:space="preserve"> Court of Appeal for British Columbia (Vancouver), Number  CA040495, 2014 BCCA 34, dated January 29, 2014, is dismissed.</w:t>
            </w:r>
          </w:p>
        </w:tc>
        <w:tc>
          <w:tcPr>
            <w:tcW w:w="720" w:type="dxa"/>
            <w:tcMar>
              <w:left w:w="0" w:type="dxa"/>
              <w:right w:w="0" w:type="dxa"/>
            </w:tcMar>
          </w:tcPr>
          <w:p w:rsidR="00672DC5" w:rsidRPr="00C50A5C" w:rsidRDefault="00672DC5" w:rsidP="00E33C9D">
            <w:pPr>
              <w:keepNext/>
              <w:keepLines/>
              <w:jc w:val="center"/>
              <w:rPr>
                <w:sz w:val="20"/>
                <w:szCs w:val="20"/>
              </w:rPr>
            </w:pPr>
          </w:p>
        </w:tc>
        <w:tc>
          <w:tcPr>
            <w:tcW w:w="4380" w:type="dxa"/>
            <w:tcMar>
              <w:left w:w="0" w:type="dxa"/>
              <w:right w:w="0" w:type="dxa"/>
            </w:tcMar>
          </w:tcPr>
          <w:p w:rsidR="00672DC5" w:rsidRPr="004C1AAC" w:rsidRDefault="00672DC5" w:rsidP="00E33C9D">
            <w:pPr>
              <w:keepNext/>
              <w:keepLines/>
              <w:jc w:val="both"/>
              <w:rPr>
                <w:b/>
                <w:sz w:val="20"/>
                <w:szCs w:val="20"/>
                <w:u w:val="single"/>
                <w:lang w:val="fr-CA"/>
              </w:rPr>
            </w:pPr>
            <w:r w:rsidRPr="004C1AAC">
              <w:rPr>
                <w:b/>
                <w:sz w:val="20"/>
                <w:szCs w:val="20"/>
                <w:u w:val="single"/>
                <w:lang w:val="fr-CA"/>
              </w:rPr>
              <w:t>JUGEMENT :</w:t>
            </w:r>
          </w:p>
          <w:p w:rsidR="00672DC5" w:rsidRPr="00C50A5C" w:rsidRDefault="00672DC5" w:rsidP="00E33C9D">
            <w:pPr>
              <w:keepNext/>
              <w:keepLines/>
              <w:jc w:val="both"/>
              <w:rPr>
                <w:sz w:val="20"/>
                <w:szCs w:val="20"/>
                <w:lang w:val="fr-CA"/>
              </w:rPr>
            </w:pPr>
          </w:p>
          <w:p w:rsidR="00672DC5" w:rsidRPr="00C50A5C" w:rsidRDefault="00672DC5" w:rsidP="00E33C9D">
            <w:pPr>
              <w:keepNext/>
              <w:keepLines/>
              <w:jc w:val="both"/>
              <w:rPr>
                <w:sz w:val="20"/>
                <w:szCs w:val="20"/>
                <w:lang w:val="fr-CA"/>
              </w:rPr>
            </w:pPr>
            <w:r w:rsidRPr="00327B07">
              <w:rPr>
                <w:sz w:val="20"/>
                <w:szCs w:val="20"/>
                <w:lang w:val="fr-CA"/>
              </w:rPr>
              <w:t>La demande d’autorisation d’appel de l’arrêt de la Cour d’appel de la Colombie-Britannique (Vancouver), numéro CA040495, 2014 BCCA 34, daté du 29 janvier 2014, est rejet</w:t>
            </w:r>
            <w:r w:rsidRPr="00327B07">
              <w:rPr>
                <w:rFonts w:cs="Times New Roman"/>
                <w:sz w:val="20"/>
                <w:szCs w:val="20"/>
                <w:lang w:val="fr-CA"/>
              </w:rPr>
              <w:t>é</w:t>
            </w:r>
            <w:r w:rsidRPr="00327B07">
              <w:rPr>
                <w:sz w:val="20"/>
                <w:szCs w:val="20"/>
                <w:lang w:val="fr-CA"/>
              </w:rPr>
              <w:t>e.</w:t>
            </w:r>
          </w:p>
        </w:tc>
      </w:tr>
    </w:tbl>
    <w:p w:rsidR="00672DC5" w:rsidRPr="00BF55E7" w:rsidRDefault="00672DC5" w:rsidP="00672DC5">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72DC5" w:rsidRPr="00714478" w:rsidTr="00E33C9D">
        <w:tc>
          <w:tcPr>
            <w:tcW w:w="4380" w:type="dxa"/>
            <w:tcMar>
              <w:left w:w="0" w:type="dxa"/>
              <w:right w:w="0" w:type="dxa"/>
            </w:tcMar>
          </w:tcPr>
          <w:p w:rsidR="00672DC5" w:rsidRPr="00C50A5C" w:rsidRDefault="00672DC5" w:rsidP="00E33C9D">
            <w:pPr>
              <w:keepNext/>
              <w:keepLines/>
              <w:jc w:val="both"/>
              <w:rPr>
                <w:sz w:val="20"/>
                <w:szCs w:val="20"/>
              </w:rPr>
            </w:pPr>
            <w:r w:rsidRPr="00C50A5C">
              <w:rPr>
                <w:b/>
                <w:sz w:val="20"/>
                <w:szCs w:val="20"/>
                <w:u w:val="single"/>
              </w:rPr>
              <w:t>Nature of the case:</w:t>
            </w:r>
          </w:p>
          <w:p w:rsidR="00672DC5" w:rsidRPr="00C50A5C" w:rsidRDefault="00672DC5" w:rsidP="00E33C9D">
            <w:pPr>
              <w:keepNext/>
              <w:keepLines/>
              <w:jc w:val="both"/>
              <w:rPr>
                <w:sz w:val="20"/>
                <w:szCs w:val="20"/>
              </w:rPr>
            </w:pPr>
          </w:p>
          <w:p w:rsidR="00672DC5" w:rsidRPr="004C1AAC" w:rsidRDefault="00672DC5" w:rsidP="00E33C9D">
            <w:pPr>
              <w:keepNext/>
              <w:keepLines/>
              <w:jc w:val="both"/>
              <w:rPr>
                <w:b/>
                <w:sz w:val="20"/>
                <w:szCs w:val="20"/>
                <w:u w:val="single"/>
              </w:rPr>
            </w:pPr>
            <w:r w:rsidRPr="00CA1206">
              <w:rPr>
                <w:i/>
                <w:sz w:val="20"/>
                <w:szCs w:val="20"/>
              </w:rPr>
              <w:t>Charter of Rights and Freedoms</w:t>
            </w:r>
            <w:r w:rsidRPr="00CA1206">
              <w:rPr>
                <w:sz w:val="20"/>
                <w:szCs w:val="20"/>
              </w:rPr>
              <w:t xml:space="preserve"> – Search and seizure – Section 8 of the </w:t>
            </w:r>
            <w:r w:rsidRPr="00CA1206">
              <w:rPr>
                <w:i/>
                <w:sz w:val="20"/>
                <w:szCs w:val="20"/>
              </w:rPr>
              <w:t>Charter</w:t>
            </w:r>
            <w:r w:rsidRPr="00CA1206">
              <w:rPr>
                <w:sz w:val="20"/>
                <w:szCs w:val="20"/>
              </w:rPr>
              <w:t xml:space="preserve"> – Criminal law – Evidence – Privacy Interest – Whether the Court of Appeal erred in law in finding that the applicant had no reasonable expectation of privacy in her workplace within which the evidence required to support the conviction at issue was seized – Whether the Court of Appeal erred in finding, at paragraph 51 of the judgment, that there is no evidence that the applicant was aware of the store policies, which is contrary to the learned trial judge’s conclusion that the applicant shared the same expectation of privacy as her employer – </w:t>
            </w:r>
            <w:r w:rsidRPr="00CA1206">
              <w:rPr>
                <w:i/>
                <w:sz w:val="20"/>
                <w:szCs w:val="20"/>
              </w:rPr>
              <w:t>Canadian Charter of Rights and Freedoms</w:t>
            </w:r>
            <w:r w:rsidRPr="00CA1206">
              <w:rPr>
                <w:sz w:val="20"/>
                <w:szCs w:val="20"/>
              </w:rPr>
              <w:t>, s. 8.</w:t>
            </w:r>
          </w:p>
        </w:tc>
        <w:tc>
          <w:tcPr>
            <w:tcW w:w="720" w:type="dxa"/>
            <w:tcMar>
              <w:left w:w="0" w:type="dxa"/>
              <w:right w:w="0" w:type="dxa"/>
            </w:tcMar>
          </w:tcPr>
          <w:p w:rsidR="00672DC5" w:rsidRPr="00C50A5C" w:rsidRDefault="00672DC5" w:rsidP="00E33C9D">
            <w:pPr>
              <w:keepNext/>
              <w:keepLines/>
              <w:jc w:val="center"/>
              <w:rPr>
                <w:sz w:val="20"/>
                <w:szCs w:val="20"/>
              </w:rPr>
            </w:pPr>
          </w:p>
        </w:tc>
        <w:tc>
          <w:tcPr>
            <w:tcW w:w="4380" w:type="dxa"/>
            <w:tcMar>
              <w:left w:w="0" w:type="dxa"/>
              <w:right w:w="0" w:type="dxa"/>
            </w:tcMar>
          </w:tcPr>
          <w:p w:rsidR="00672DC5" w:rsidRPr="00C50A5C" w:rsidRDefault="00672DC5" w:rsidP="00E33C9D">
            <w:pPr>
              <w:keepNext/>
              <w:keepLines/>
              <w:jc w:val="both"/>
              <w:rPr>
                <w:sz w:val="20"/>
                <w:szCs w:val="20"/>
                <w:lang w:val="fr-CA"/>
              </w:rPr>
            </w:pPr>
            <w:r w:rsidRPr="00C50A5C">
              <w:rPr>
                <w:b/>
                <w:sz w:val="20"/>
                <w:szCs w:val="20"/>
                <w:u w:val="single"/>
                <w:lang w:val="fr-CA"/>
              </w:rPr>
              <w:t>Nature de la cause :</w:t>
            </w:r>
          </w:p>
          <w:p w:rsidR="00672DC5" w:rsidRPr="00C50A5C" w:rsidRDefault="00672DC5" w:rsidP="00E33C9D">
            <w:pPr>
              <w:keepNext/>
              <w:keepLines/>
              <w:jc w:val="both"/>
              <w:rPr>
                <w:sz w:val="20"/>
                <w:szCs w:val="20"/>
                <w:lang w:val="fr-CA"/>
              </w:rPr>
            </w:pPr>
          </w:p>
          <w:p w:rsidR="00672DC5" w:rsidRPr="00ED14B1" w:rsidRDefault="00672DC5" w:rsidP="00E33C9D">
            <w:pPr>
              <w:keepNext/>
              <w:keepLines/>
              <w:jc w:val="both"/>
              <w:rPr>
                <w:b/>
                <w:sz w:val="20"/>
                <w:szCs w:val="20"/>
                <w:u w:val="single"/>
                <w:lang w:val="fr-CA"/>
              </w:rPr>
            </w:pPr>
            <w:r w:rsidRPr="00EA59A6">
              <w:rPr>
                <w:i/>
                <w:sz w:val="20"/>
                <w:szCs w:val="20"/>
                <w:lang w:val="fr-CA"/>
              </w:rPr>
              <w:t xml:space="preserve">Charte des droits et libertés </w:t>
            </w:r>
            <w:r w:rsidRPr="00EA59A6">
              <w:rPr>
                <w:sz w:val="20"/>
                <w:szCs w:val="20"/>
                <w:lang w:val="fr-CA"/>
              </w:rPr>
              <w:t xml:space="preserve">– Fouilles et perquisitions – Article 8 de la </w:t>
            </w:r>
            <w:r w:rsidRPr="00EA59A6">
              <w:rPr>
                <w:i/>
                <w:sz w:val="20"/>
                <w:szCs w:val="20"/>
                <w:lang w:val="fr-CA"/>
              </w:rPr>
              <w:t>Charte</w:t>
            </w:r>
            <w:r w:rsidRPr="00EA59A6">
              <w:rPr>
                <w:sz w:val="20"/>
                <w:szCs w:val="20"/>
                <w:lang w:val="fr-CA"/>
              </w:rPr>
              <w:t xml:space="preserve"> – Droit criminel – Preuve – Droit à la vie privée – La Cour d’appel a-t-elle commis une erreur de droit en concluant que la demanderesse n’avait aucune attente raisonnable en matière de protection de la vie privée à son lieu travail, où des éléments de preuve nécessaires pour étayer la déclaration de culpabilité en cause ont été saisis? – La Cour d’appel a-t-elle eu tort de conclure, au paragraphe 51 du jugement, qu’il n’y avait aucune preuve selon laquelle la demanderesse connaissait les politiques du magasin, contrairement à ce qu’avait conclu le juge du procès, à savoir que la demanderesse partageait la même attente en matière de protection de la vie privée que son employeur? – </w:t>
            </w:r>
            <w:r w:rsidRPr="00EA59A6">
              <w:rPr>
                <w:i/>
                <w:sz w:val="20"/>
                <w:szCs w:val="20"/>
                <w:lang w:val="fr-CA"/>
              </w:rPr>
              <w:t>Charte canadienne des droits et libertés</w:t>
            </w:r>
            <w:r w:rsidRPr="00EA59A6">
              <w:rPr>
                <w:sz w:val="20"/>
                <w:szCs w:val="20"/>
                <w:lang w:val="fr-CA"/>
              </w:rPr>
              <w:t>, art. 8.</w:t>
            </w:r>
          </w:p>
        </w:tc>
      </w:tr>
    </w:tbl>
    <w:p w:rsidR="00672DC5" w:rsidRPr="00ED14B1" w:rsidRDefault="00672DC5" w:rsidP="00672DC5">
      <w:pPr>
        <w:rPr>
          <w:sz w:val="20"/>
          <w:szCs w:val="20"/>
          <w:lang w:val="fr-CA"/>
        </w:rPr>
      </w:pPr>
    </w:p>
    <w:p w:rsidR="00672DC5" w:rsidRDefault="00714478" w:rsidP="00672DC5">
      <w:pPr>
        <w:rPr>
          <w:sz w:val="20"/>
          <w:szCs w:val="20"/>
          <w:lang w:val="fr-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672DC5" w:rsidRPr="002E68D0" w:rsidRDefault="00672DC5" w:rsidP="00672DC5">
      <w:pPr>
        <w:rPr>
          <w:sz w:val="20"/>
          <w:szCs w:val="20"/>
          <w:lang w:val="fr-CA"/>
        </w:rPr>
      </w:pPr>
    </w:p>
    <w:p w:rsidR="00CA2DEA" w:rsidRDefault="00CA2DEA" w:rsidP="00432989">
      <w:pPr>
        <w:spacing w:line="0" w:lineRule="atLeast"/>
        <w:rPr>
          <w:sz w:val="20"/>
          <w:szCs w:val="20"/>
          <w:lang w:val="fr-CA"/>
        </w:rPr>
      </w:pPr>
    </w:p>
    <w:p w:rsidR="00432989" w:rsidRPr="00C50A5C" w:rsidRDefault="00432989">
      <w:pPr>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D292F">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14478"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2F4FD4" w:rsidRPr="00C50A5C" w:rsidRDefault="002F4FD4" w:rsidP="002F4FD4">
      <w:pPr>
        <w:rPr>
          <w:b/>
          <w:sz w:val="20"/>
          <w:szCs w:val="20"/>
        </w:rPr>
      </w:pPr>
      <w:r>
        <w:rPr>
          <w:b/>
          <w:sz w:val="20"/>
          <w:szCs w:val="20"/>
        </w:rPr>
        <w:t>OCTOBER</w:t>
      </w:r>
      <w:r w:rsidRPr="00C50A5C">
        <w:rPr>
          <w:b/>
          <w:sz w:val="20"/>
          <w:szCs w:val="20"/>
        </w:rPr>
        <w:t xml:space="preserve"> 2</w:t>
      </w:r>
      <w:r>
        <w:rPr>
          <w:b/>
          <w:sz w:val="20"/>
          <w:szCs w:val="20"/>
        </w:rPr>
        <w:t>3</w:t>
      </w:r>
      <w:r w:rsidRPr="00C50A5C">
        <w:rPr>
          <w:b/>
          <w:sz w:val="20"/>
          <w:szCs w:val="20"/>
        </w:rPr>
        <w:t>, 201</w:t>
      </w:r>
      <w:r>
        <w:rPr>
          <w:b/>
          <w:sz w:val="20"/>
          <w:szCs w:val="20"/>
        </w:rPr>
        <w:t>4</w:t>
      </w:r>
      <w:r w:rsidRPr="00C50A5C">
        <w:rPr>
          <w:b/>
          <w:sz w:val="20"/>
          <w:szCs w:val="20"/>
        </w:rPr>
        <w:t xml:space="preserve"> / LE 2</w:t>
      </w:r>
      <w:r>
        <w:rPr>
          <w:b/>
          <w:sz w:val="20"/>
          <w:szCs w:val="20"/>
        </w:rPr>
        <w:t>3</w:t>
      </w:r>
      <w:r w:rsidRPr="00C50A5C">
        <w:rPr>
          <w:b/>
          <w:sz w:val="20"/>
          <w:szCs w:val="20"/>
        </w:rPr>
        <w:t xml:space="preserve"> </w:t>
      </w:r>
      <w:r>
        <w:rPr>
          <w:b/>
          <w:sz w:val="20"/>
          <w:szCs w:val="20"/>
        </w:rPr>
        <w:t>OCTOBRE</w:t>
      </w:r>
      <w:r w:rsidRPr="00C50A5C">
        <w:rPr>
          <w:b/>
          <w:sz w:val="20"/>
          <w:szCs w:val="20"/>
        </w:rPr>
        <w:t xml:space="preserve"> 201</w:t>
      </w:r>
      <w:r>
        <w:rPr>
          <w:b/>
          <w:sz w:val="20"/>
          <w:szCs w:val="20"/>
        </w:rPr>
        <w:t>4</w:t>
      </w:r>
    </w:p>
    <w:p w:rsidR="002F4FD4" w:rsidRDefault="002F4FD4" w:rsidP="002F4FD4">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F4FD4" w:rsidRPr="00714478" w:rsidTr="00E33C9D">
        <w:trPr>
          <w:cantSplit/>
        </w:trPr>
        <w:tc>
          <w:tcPr>
            <w:tcW w:w="1458" w:type="dxa"/>
          </w:tcPr>
          <w:p w:rsidR="002F4FD4" w:rsidRPr="00D963D2" w:rsidRDefault="002F4FD4" w:rsidP="00E33C9D">
            <w:pPr>
              <w:rPr>
                <w:sz w:val="20"/>
              </w:rPr>
            </w:pPr>
            <w:r w:rsidRPr="00D963D2">
              <w:rPr>
                <w:b/>
                <w:sz w:val="20"/>
                <w:lang w:val="fr-CA"/>
              </w:rPr>
              <w:t>35484</w:t>
            </w:r>
          </w:p>
          <w:p w:rsidR="002F4FD4" w:rsidRPr="00D963D2" w:rsidRDefault="002F4FD4" w:rsidP="00E33C9D">
            <w:pPr>
              <w:rPr>
                <w:b/>
                <w:sz w:val="20"/>
                <w:lang w:val="fr-CA"/>
              </w:rPr>
            </w:pPr>
          </w:p>
        </w:tc>
        <w:tc>
          <w:tcPr>
            <w:tcW w:w="8118" w:type="dxa"/>
          </w:tcPr>
          <w:p w:rsidR="002F4FD4" w:rsidRPr="00D963D2" w:rsidRDefault="002F4FD4" w:rsidP="00E33C9D">
            <w:pPr>
              <w:rPr>
                <w:sz w:val="20"/>
                <w:lang w:val="fr-CA"/>
              </w:rPr>
            </w:pPr>
            <w:r w:rsidRPr="00D963D2">
              <w:rPr>
                <w:b/>
                <w:sz w:val="20"/>
                <w:u w:val="single"/>
                <w:lang w:val="fr-CA"/>
              </w:rPr>
              <w:t>Alain Perreault c. Sa Majesté la Reine</w:t>
            </w:r>
            <w:r w:rsidRPr="00D963D2">
              <w:rPr>
                <w:sz w:val="20"/>
                <w:lang w:val="fr-CA"/>
              </w:rPr>
              <w:t xml:space="preserve"> (Qc) (Criminelle) (Autorisation)</w:t>
            </w:r>
          </w:p>
          <w:p w:rsidR="002F4FD4" w:rsidRPr="00D963D2" w:rsidRDefault="002F4FD4" w:rsidP="00E33C9D">
            <w:pPr>
              <w:rPr>
                <w:sz w:val="20"/>
                <w:lang w:val="fr-CA"/>
              </w:rPr>
            </w:pPr>
          </w:p>
        </w:tc>
      </w:tr>
      <w:tr w:rsidR="002F4FD4" w:rsidRPr="00714478" w:rsidTr="00E33C9D">
        <w:trPr>
          <w:cantSplit/>
        </w:trPr>
        <w:tc>
          <w:tcPr>
            <w:tcW w:w="1458" w:type="dxa"/>
          </w:tcPr>
          <w:p w:rsidR="002F4FD4" w:rsidRPr="00D963D2" w:rsidRDefault="002F4FD4" w:rsidP="00E33C9D">
            <w:pPr>
              <w:rPr>
                <w:sz w:val="20"/>
              </w:rPr>
            </w:pPr>
            <w:r w:rsidRPr="00D963D2">
              <w:rPr>
                <w:sz w:val="20"/>
              </w:rPr>
              <w:t>Coram :</w:t>
            </w:r>
          </w:p>
        </w:tc>
        <w:tc>
          <w:tcPr>
            <w:tcW w:w="8118" w:type="dxa"/>
          </w:tcPr>
          <w:p w:rsidR="002F4FD4" w:rsidRPr="00D963D2" w:rsidRDefault="002F4FD4" w:rsidP="00E33C9D">
            <w:pPr>
              <w:rPr>
                <w:sz w:val="20"/>
                <w:lang w:val="fr-CA"/>
              </w:rPr>
            </w:pPr>
            <w:r w:rsidRPr="00D963D2">
              <w:rPr>
                <w:sz w:val="20"/>
                <w:u w:val="single"/>
                <w:lang w:val="fr-CA"/>
              </w:rPr>
              <w:t>La juge en chef McLachlin et les juges Cromwell et Wagner</w:t>
            </w:r>
          </w:p>
          <w:p w:rsidR="002F4FD4" w:rsidRPr="00D963D2" w:rsidRDefault="002F4FD4" w:rsidP="00E33C9D">
            <w:pPr>
              <w:rPr>
                <w:sz w:val="20"/>
                <w:u w:val="single"/>
                <w:lang w:val="fr-CA"/>
              </w:rPr>
            </w:pPr>
          </w:p>
        </w:tc>
      </w:tr>
      <w:tr w:rsidR="002F4FD4" w:rsidRPr="00D963D2" w:rsidTr="00E33C9D">
        <w:trPr>
          <w:cantSplit/>
        </w:trPr>
        <w:tc>
          <w:tcPr>
            <w:tcW w:w="9576" w:type="dxa"/>
            <w:gridSpan w:val="2"/>
          </w:tcPr>
          <w:p w:rsidR="002F4FD4" w:rsidRPr="00D963D2" w:rsidRDefault="002F4FD4" w:rsidP="00E33C9D">
            <w:pPr>
              <w:ind w:firstLine="720"/>
              <w:jc w:val="both"/>
              <w:rPr>
                <w:sz w:val="20"/>
                <w:lang w:val="fr-CA"/>
              </w:rPr>
            </w:pPr>
            <w:r w:rsidRPr="00D963D2">
              <w:rPr>
                <w:sz w:val="20"/>
                <w:lang w:val="fr-CA"/>
              </w:rPr>
              <w:t xml:space="preserve">La requête en prorogation du délai de signification et de dépôt de la demande d’autorisation d’appel est accueillie. Conformément au paragraphe 43 (1.1) de la </w:t>
            </w:r>
            <w:r w:rsidRPr="00CA3C47">
              <w:rPr>
                <w:i/>
                <w:sz w:val="20"/>
                <w:lang w:val="fr-CA"/>
              </w:rPr>
              <w:t>Loi sur la Cour suprême</w:t>
            </w:r>
            <w:r w:rsidRPr="00D963D2">
              <w:rPr>
                <w:sz w:val="20"/>
                <w:lang w:val="fr-CA"/>
              </w:rPr>
              <w:t xml:space="preserve">, l’affaire à l’origine de la demande d’autorisation d’appel de l’arrêt de la Cour d’appel du Québec, numéro 200-10-002629-116, 2013 QCCA 834, daté du 7 mai 2013, est renvoyée à la Cour d’appel du Québec pour qu’elle statue en conformité avec l’arrêt </w:t>
            </w:r>
            <w:r w:rsidRPr="00CA3C47">
              <w:rPr>
                <w:i/>
                <w:sz w:val="20"/>
                <w:lang w:val="fr-CA"/>
              </w:rPr>
              <w:t>Sa Majesté la Reine c. Nelson Lloyd Hart</w:t>
            </w:r>
            <w:r w:rsidRPr="00D963D2">
              <w:rPr>
                <w:sz w:val="20"/>
                <w:lang w:val="fr-CA"/>
              </w:rPr>
              <w:t xml:space="preserve"> (35049).</w:t>
            </w:r>
          </w:p>
          <w:p w:rsidR="002F4FD4" w:rsidRPr="00D963D2" w:rsidRDefault="002F4FD4" w:rsidP="00E33C9D">
            <w:pPr>
              <w:jc w:val="both"/>
              <w:rPr>
                <w:sz w:val="20"/>
                <w:lang w:val="fr-CA"/>
              </w:rPr>
            </w:pPr>
          </w:p>
          <w:p w:rsidR="002F4FD4" w:rsidRPr="00D963D2" w:rsidRDefault="002F4FD4" w:rsidP="00E33C9D">
            <w:pPr>
              <w:ind w:firstLine="720"/>
              <w:jc w:val="both"/>
              <w:rPr>
                <w:sz w:val="20"/>
              </w:rPr>
            </w:pPr>
            <w:r w:rsidRPr="00D963D2">
              <w:rPr>
                <w:sz w:val="20"/>
              </w:rPr>
              <w:t xml:space="preserve">The motion for an extension of time to serve and file the application for leave to appeal is granted. Pursuant to subsection 43 (1.1) of the </w:t>
            </w:r>
            <w:r w:rsidRPr="00CA3C47">
              <w:rPr>
                <w:i/>
                <w:sz w:val="20"/>
              </w:rPr>
              <w:t>Supreme Court Act</w:t>
            </w:r>
            <w:r w:rsidRPr="00D963D2">
              <w:rPr>
                <w:sz w:val="20"/>
              </w:rPr>
              <w:t xml:space="preserve">, the case forming the basis of the application for leave to appeal from the judgment of the Court of Appeal of Quebec, Number 200-10-002629-116, 2014 QCCA 834, date May 7, 2013, is remanded to the Court of Appeal of Quebec for disposition in accordance with </w:t>
            </w:r>
            <w:r w:rsidRPr="00CA3C47">
              <w:rPr>
                <w:i/>
                <w:sz w:val="20"/>
              </w:rPr>
              <w:t>Her Majesty the Queen v. Nelson Lloyd Hart</w:t>
            </w:r>
            <w:r w:rsidRPr="00D963D2">
              <w:rPr>
                <w:sz w:val="20"/>
              </w:rPr>
              <w:t xml:space="preserve"> (35049).</w:t>
            </w:r>
          </w:p>
        </w:tc>
      </w:tr>
    </w:tbl>
    <w:p w:rsidR="002F4FD4" w:rsidRPr="00D963D2" w:rsidRDefault="002F4FD4" w:rsidP="002F4FD4">
      <w:pPr>
        <w:rPr>
          <w:sz w:val="20"/>
          <w:szCs w:val="20"/>
        </w:rPr>
      </w:pPr>
    </w:p>
    <w:p w:rsidR="002F4FD4" w:rsidRPr="001B157C" w:rsidRDefault="002F4FD4" w:rsidP="002F4FD4">
      <w:pPr>
        <w:rPr>
          <w:sz w:val="20"/>
          <w:szCs w:val="20"/>
          <w:u w:val="single"/>
        </w:rPr>
      </w:pPr>
      <w:r w:rsidRPr="001B157C">
        <w:rPr>
          <w:sz w:val="20"/>
          <w:szCs w:val="20"/>
          <w:u w:val="single"/>
        </w:rPr>
        <w:t>CASE SUMMARY</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Criminal law – Evidence – Admissibility – Admission or statement by accused – Voluntariness – Officers gaining applicant’s trust and then having him meet boss of fictitious criminal organization he had joined – Applicant admitting to boss that he had strangled victim – Whether Quebec Court of Appeal erred in law in excluding application of principles from </w:t>
            </w:r>
            <w:r w:rsidRPr="00154253">
              <w:rPr>
                <w:rFonts w:eastAsia="Calibri"/>
                <w:i/>
                <w:sz w:val="20"/>
              </w:rPr>
              <w:t>Hart</w:t>
            </w:r>
            <w:r w:rsidRPr="00154253">
              <w:rPr>
                <w:rFonts w:eastAsia="Calibri"/>
                <w:sz w:val="20"/>
              </w:rPr>
              <w:t xml:space="preserve"> (</w:t>
            </w:r>
            <w:r w:rsidRPr="00154253">
              <w:rPr>
                <w:rFonts w:eastAsia="Calibri"/>
                <w:i/>
                <w:sz w:val="20"/>
              </w:rPr>
              <w:t>R. v. Hart</w:t>
            </w:r>
            <w:r w:rsidRPr="00154253">
              <w:rPr>
                <w:rFonts w:eastAsia="Calibri"/>
                <w:sz w:val="20"/>
              </w:rPr>
              <w:t>, 2012 NLCA 61) to this case.</w:t>
            </w:r>
          </w:p>
        </w:tc>
      </w:tr>
      <w:tr w:rsidR="002F4FD4" w:rsidRPr="00154253" w:rsidTr="00E33C9D">
        <w:tc>
          <w:tcPr>
            <w:tcW w:w="5000" w:type="pct"/>
            <w:gridSpan w:val="3"/>
          </w:tcPr>
          <w:p w:rsidR="002F4FD4" w:rsidRPr="00154253" w:rsidRDefault="002F4FD4" w:rsidP="00E33C9D">
            <w:pPr>
              <w:jc w:val="both"/>
              <w:rPr>
                <w:rFonts w:eastAsia="Calibri"/>
                <w:sz w:val="20"/>
              </w:rPr>
            </w:pPr>
          </w:p>
        </w:tc>
      </w:tr>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The applicant, Alain Perreault, met the victim, Lyne Massicotte, on the Internet.  They agreed to meet at the applicant’s apartment.  The victim was never seen alive again after that meeting.  According to Mr. Perreault, she went to get cigarettes and never returned.  Since Mr. Perreault was the last person to have contact with the victim, the police had serious doubts about his responsibility, so they decided to use a special investigative technique by creating a fictitious criminal organization, which the applicant joined.  After gaining Mr. Perreault’s trust, the officers had him meet with the boss of the organization, to whom he admitted strangling the victim after she refused to have sex with him.  He provided many details about the events and revealed information that only the killer could know.</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February 11, 2011</w:t>
            </w:r>
          </w:p>
          <w:p w:rsidR="002F4FD4" w:rsidRPr="00154253" w:rsidRDefault="002F4FD4" w:rsidP="00E33C9D">
            <w:pPr>
              <w:jc w:val="both"/>
              <w:rPr>
                <w:rFonts w:eastAsia="Calibri"/>
                <w:sz w:val="20"/>
              </w:rPr>
            </w:pPr>
            <w:r w:rsidRPr="00154253">
              <w:rPr>
                <w:rFonts w:eastAsia="Calibri"/>
                <w:sz w:val="20"/>
              </w:rPr>
              <w:t>Quebec Superior Court</w:t>
            </w:r>
          </w:p>
          <w:p w:rsidR="002F4FD4" w:rsidRPr="00154253" w:rsidRDefault="002F4FD4" w:rsidP="00E33C9D">
            <w:pPr>
              <w:jc w:val="both"/>
              <w:rPr>
                <w:rFonts w:eastAsia="Calibri"/>
                <w:sz w:val="20"/>
              </w:rPr>
            </w:pPr>
            <w:r w:rsidRPr="00154253">
              <w:rPr>
                <w:rFonts w:eastAsia="Calibri"/>
                <w:sz w:val="20"/>
              </w:rPr>
              <w:t>(Beaulieu J.)</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Applicant convicted of first degree murder</w:t>
            </w: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 xml:space="preserve">May </w:t>
            </w:r>
            <w:r w:rsidR="008C097E">
              <w:rPr>
                <w:rFonts w:eastAsia="Calibri"/>
                <w:sz w:val="20"/>
              </w:rPr>
              <w:t>7</w:t>
            </w:r>
            <w:r w:rsidRPr="00154253">
              <w:rPr>
                <w:rFonts w:eastAsia="Calibri"/>
                <w:sz w:val="20"/>
              </w:rPr>
              <w:t>, 2013</w:t>
            </w:r>
          </w:p>
          <w:p w:rsidR="002F4FD4" w:rsidRPr="00154253" w:rsidRDefault="002F4FD4" w:rsidP="00E33C9D">
            <w:pPr>
              <w:jc w:val="both"/>
              <w:rPr>
                <w:rFonts w:eastAsia="Calibri"/>
                <w:sz w:val="20"/>
              </w:rPr>
            </w:pPr>
            <w:r w:rsidRPr="00154253">
              <w:rPr>
                <w:rFonts w:eastAsia="Calibri"/>
                <w:sz w:val="20"/>
              </w:rPr>
              <w:t>Quebec Court of Appeal (Québec)</w:t>
            </w:r>
          </w:p>
          <w:p w:rsidR="002F4FD4" w:rsidRPr="00154253" w:rsidRDefault="002F4FD4" w:rsidP="00E33C9D">
            <w:pPr>
              <w:jc w:val="both"/>
              <w:rPr>
                <w:rFonts w:eastAsia="Calibri"/>
                <w:sz w:val="20"/>
                <w:lang w:val="fr-CA"/>
              </w:rPr>
            </w:pPr>
            <w:r w:rsidRPr="00154253">
              <w:rPr>
                <w:rFonts w:eastAsia="Calibri"/>
                <w:sz w:val="20"/>
                <w:lang w:val="fr-CA"/>
              </w:rPr>
              <w:t>(Rochette, Doyon and Viens JJ.A.)</w:t>
            </w:r>
          </w:p>
          <w:p w:rsidR="002F4FD4" w:rsidRPr="00154253" w:rsidRDefault="00714478" w:rsidP="00E33C9D">
            <w:pPr>
              <w:jc w:val="both"/>
              <w:rPr>
                <w:rFonts w:eastAsia="Calibri"/>
                <w:sz w:val="20"/>
              </w:rPr>
            </w:pPr>
            <w:hyperlink r:id="rId33" w:history="1">
              <w:r w:rsidR="002F4FD4" w:rsidRPr="00154253">
                <w:rPr>
                  <w:rFonts w:eastAsia="Calibri"/>
                  <w:color w:val="0000FF"/>
                  <w:sz w:val="20"/>
                  <w:u w:val="single"/>
                </w:rPr>
                <w:t>2013 QCCA 834</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 dismissed</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August 16, 2013</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filed</w:t>
            </w:r>
          </w:p>
          <w:p w:rsidR="002F4FD4" w:rsidRPr="00154253" w:rsidRDefault="002F4FD4" w:rsidP="00E33C9D">
            <w:pPr>
              <w:jc w:val="both"/>
              <w:rPr>
                <w:rFonts w:eastAsia="Calibri"/>
                <w:sz w:val="20"/>
              </w:rPr>
            </w:pPr>
          </w:p>
        </w:tc>
      </w:tr>
    </w:tbl>
    <w:p w:rsidR="002F4FD4" w:rsidRDefault="002F4FD4" w:rsidP="002F4FD4">
      <w:pPr>
        <w:rPr>
          <w:sz w:val="20"/>
          <w:szCs w:val="20"/>
        </w:rPr>
      </w:pPr>
    </w:p>
    <w:p w:rsidR="002F4FD4" w:rsidRPr="00C50A5C" w:rsidRDefault="00714478" w:rsidP="002F4FD4">
      <w:pPr>
        <w:rPr>
          <w:sz w:val="20"/>
          <w:szCs w:val="20"/>
        </w:rPr>
      </w:pPr>
      <w:r>
        <w:rPr>
          <w:sz w:val="20"/>
          <w:szCs w:val="20"/>
          <w:lang w:val="fr-CA"/>
        </w:rPr>
        <w:pict>
          <v:rect id="_x0000_i1046" style="width:2in;height:1pt" o:hrpct="0" o:hralign="center" o:hrstd="t" o:hrnoshade="t" o:hr="t" fillcolor="black [3213]" stroked="f"/>
        </w:pict>
      </w:r>
    </w:p>
    <w:p w:rsidR="002F4FD4" w:rsidRDefault="002F4FD4" w:rsidP="002F4FD4">
      <w:pPr>
        <w:rPr>
          <w:sz w:val="20"/>
          <w:szCs w:val="20"/>
        </w:rPr>
      </w:pPr>
    </w:p>
    <w:p w:rsidR="008C097E" w:rsidRDefault="008C097E">
      <w:pPr>
        <w:rPr>
          <w:sz w:val="20"/>
          <w:szCs w:val="20"/>
          <w:u w:val="single"/>
          <w:lang w:val="fr-CA"/>
        </w:rPr>
      </w:pPr>
      <w:r>
        <w:rPr>
          <w:sz w:val="20"/>
          <w:szCs w:val="20"/>
          <w:u w:val="single"/>
          <w:lang w:val="fr-CA"/>
        </w:rPr>
        <w:br w:type="page"/>
      </w:r>
    </w:p>
    <w:p w:rsidR="002F4FD4" w:rsidRPr="001B157C" w:rsidRDefault="002F4FD4" w:rsidP="002F4FD4">
      <w:pPr>
        <w:rPr>
          <w:sz w:val="20"/>
          <w:szCs w:val="20"/>
          <w:u w:val="single"/>
          <w:lang w:val="fr-CA"/>
        </w:rPr>
      </w:pPr>
      <w:r w:rsidRPr="001B157C">
        <w:rPr>
          <w:sz w:val="20"/>
          <w:szCs w:val="20"/>
          <w:u w:val="single"/>
          <w:lang w:val="fr-CA"/>
        </w:rPr>
        <w:lastRenderedPageBreak/>
        <w:t>RÉSUMÉ DE L’AFFAIRE</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Droit criminel – Preuve – Admissibilité - Aveu ou déclaration de l’accusé – Caractère volontaire – Après avoir gagné la confiance du demandeur, des agents lui ont fait rencontrer le patron de l’organisation criminelle fictive à laquelle il s’était joint – Il avoue au patron avoir étranglé la victime - La Cour d’appel du Québec a-t-elle erré en droit en écartant l’application des principes de l’arrêt</w:t>
            </w:r>
            <w:r w:rsidRPr="00154253">
              <w:rPr>
                <w:rFonts w:eastAsia="Calibri"/>
                <w:i/>
                <w:sz w:val="20"/>
                <w:lang w:val="fr-CA"/>
              </w:rPr>
              <w:t xml:space="preserve"> Hart</w:t>
            </w:r>
            <w:r w:rsidRPr="00154253">
              <w:rPr>
                <w:rFonts w:eastAsia="Calibri"/>
                <w:sz w:val="20"/>
                <w:lang w:val="fr-CA"/>
              </w:rPr>
              <w:t xml:space="preserve"> (</w:t>
            </w:r>
            <w:r w:rsidRPr="00154253">
              <w:rPr>
                <w:rFonts w:eastAsia="Calibri"/>
                <w:i/>
                <w:sz w:val="20"/>
                <w:lang w:val="fr-CA"/>
              </w:rPr>
              <w:t xml:space="preserve">R. c. </w:t>
            </w:r>
            <w:r w:rsidRPr="00154253">
              <w:rPr>
                <w:rFonts w:eastAsia="Calibri"/>
                <w:sz w:val="20"/>
                <w:lang w:val="fr-CA"/>
              </w:rPr>
              <w:t>Hart, 2012 NLCA 61) à la présente affaire?</w:t>
            </w:r>
          </w:p>
        </w:tc>
      </w:tr>
      <w:tr w:rsidR="002F4FD4" w:rsidRPr="00714478" w:rsidTr="00E33C9D">
        <w:tc>
          <w:tcPr>
            <w:tcW w:w="5000" w:type="pct"/>
            <w:gridSpan w:val="3"/>
          </w:tcPr>
          <w:p w:rsidR="002F4FD4" w:rsidRPr="00154253" w:rsidRDefault="002F4FD4" w:rsidP="00E33C9D">
            <w:pPr>
              <w:jc w:val="both"/>
              <w:rPr>
                <w:rFonts w:eastAsia="Calibri"/>
                <w:sz w:val="20"/>
                <w:lang w:val="fr-CA"/>
              </w:rPr>
            </w:pPr>
          </w:p>
        </w:tc>
      </w:tr>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Le demandeur, Alain Perreault, a rencontré la victime, Lyne Massicotte, par Internet. Ils ont convenu d’une rencontre à l’appartement du demandeur. À la suite de la rencontre, la victime n’a jamais été revue vivante. Selon M. Perreault, elle serait allée chercher des cigarettes et ne serait jamais revenue. M. Perreault ayant été la dernière personne à avoir eu contact avec la victime, les forces policières ont entretenu de sérieux doutes quant à sa responsabilité. Ils ont donc décidé d’utiliser une technique spéciale d’enquête en simulant une organisation criminelle fictive à laquelle le demandeur s’est joint. Après avoir gagné la confiance de M. Perreault, les agents lui ont fait rencontrer le patron de l’organisation, à qui il a avoué avoir étranglé la victime après qu’elle ait refusé d’avoir une relation sexuelle avec lui. Il a donné de nombreux détails sur les événements et révélé des informations ne pouvant être connues que de l’assassin.</w:t>
            </w:r>
          </w:p>
          <w:p w:rsidR="002F4FD4" w:rsidRPr="00154253" w:rsidRDefault="002F4FD4" w:rsidP="00E33C9D">
            <w:pPr>
              <w:jc w:val="both"/>
              <w:rPr>
                <w:rFonts w:eastAsia="Calibri"/>
                <w:sz w:val="20"/>
                <w:lang w:val="fr-CA"/>
              </w:rPr>
            </w:pP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Le 11 février 2011</w:t>
            </w:r>
          </w:p>
          <w:p w:rsidR="002F4FD4" w:rsidRPr="00154253" w:rsidRDefault="002F4FD4" w:rsidP="00E33C9D">
            <w:pPr>
              <w:jc w:val="both"/>
              <w:rPr>
                <w:rFonts w:eastAsia="Calibri"/>
                <w:sz w:val="20"/>
                <w:lang w:val="fr-CA"/>
              </w:rPr>
            </w:pPr>
            <w:r w:rsidRPr="00154253">
              <w:rPr>
                <w:rFonts w:eastAsia="Calibri"/>
                <w:sz w:val="20"/>
                <w:lang w:val="fr-CA"/>
              </w:rPr>
              <w:t>Cour supérieure du Québec</w:t>
            </w:r>
          </w:p>
          <w:p w:rsidR="002F4FD4" w:rsidRPr="00154253" w:rsidRDefault="002F4FD4" w:rsidP="00E33C9D">
            <w:pPr>
              <w:jc w:val="both"/>
              <w:rPr>
                <w:rFonts w:eastAsia="Calibri"/>
                <w:sz w:val="20"/>
                <w:lang w:val="fr-CA"/>
              </w:rPr>
            </w:pPr>
            <w:r w:rsidRPr="00154253">
              <w:rPr>
                <w:rFonts w:eastAsia="Calibri"/>
                <w:sz w:val="20"/>
                <w:lang w:val="fr-CA"/>
              </w:rPr>
              <w:t>(Le juge Beaulieu)</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Déclaration de culpabilité: meurtre au premier degré</w:t>
            </w:r>
          </w:p>
          <w:p w:rsidR="002F4FD4" w:rsidRPr="00154253" w:rsidRDefault="002F4FD4" w:rsidP="00E33C9D">
            <w:pPr>
              <w:jc w:val="both"/>
              <w:rPr>
                <w:rFonts w:eastAsia="Calibri"/>
                <w:sz w:val="20"/>
                <w:lang w:val="fr-CA"/>
              </w:rPr>
            </w:pP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 xml:space="preserve">Le </w:t>
            </w:r>
            <w:r w:rsidR="008C097E">
              <w:rPr>
                <w:rFonts w:eastAsia="Calibri"/>
                <w:sz w:val="20"/>
                <w:lang w:val="fr-CA"/>
              </w:rPr>
              <w:t>7</w:t>
            </w:r>
            <w:r w:rsidRPr="00154253">
              <w:rPr>
                <w:rFonts w:eastAsia="Calibri"/>
                <w:sz w:val="20"/>
                <w:lang w:val="fr-CA"/>
              </w:rPr>
              <w:t xml:space="preserve"> mai 2013</w:t>
            </w:r>
          </w:p>
          <w:p w:rsidR="002F4FD4" w:rsidRPr="00154253" w:rsidRDefault="002F4FD4" w:rsidP="00E33C9D">
            <w:pPr>
              <w:jc w:val="both"/>
              <w:rPr>
                <w:rFonts w:eastAsia="Calibri"/>
                <w:sz w:val="20"/>
                <w:lang w:val="fr-CA"/>
              </w:rPr>
            </w:pPr>
            <w:r w:rsidRPr="00154253">
              <w:rPr>
                <w:rFonts w:eastAsia="Calibri"/>
                <w:sz w:val="20"/>
                <w:lang w:val="fr-CA"/>
              </w:rPr>
              <w:t>Cour d’appel du Québec (Québec)</w:t>
            </w:r>
          </w:p>
          <w:p w:rsidR="002F4FD4" w:rsidRPr="00154253" w:rsidRDefault="002F4FD4" w:rsidP="00E33C9D">
            <w:pPr>
              <w:jc w:val="both"/>
              <w:rPr>
                <w:rFonts w:eastAsia="Calibri"/>
                <w:sz w:val="20"/>
                <w:lang w:val="fr-CA"/>
              </w:rPr>
            </w:pPr>
            <w:r w:rsidRPr="00154253">
              <w:rPr>
                <w:rFonts w:eastAsia="Calibri"/>
                <w:sz w:val="20"/>
                <w:lang w:val="fr-CA"/>
              </w:rPr>
              <w:t>(Les juges Rochette, Doyon et Viens)</w:t>
            </w:r>
          </w:p>
          <w:p w:rsidR="002F4FD4" w:rsidRPr="00154253" w:rsidRDefault="00714478" w:rsidP="00E33C9D">
            <w:pPr>
              <w:jc w:val="both"/>
              <w:rPr>
                <w:rFonts w:eastAsia="Calibri"/>
                <w:sz w:val="20"/>
                <w:lang w:val="fr-CA"/>
              </w:rPr>
            </w:pPr>
            <w:hyperlink r:id="rId34" w:history="1">
              <w:r w:rsidR="002F4FD4" w:rsidRPr="00154253">
                <w:rPr>
                  <w:rFonts w:eastAsia="Calibri"/>
                  <w:color w:val="0000FF"/>
                  <w:sz w:val="20"/>
                  <w:u w:val="single"/>
                  <w:lang w:val="fr-CA"/>
                </w:rPr>
                <w:t>2013 QCCA 834</w:t>
              </w:r>
            </w:hyperlink>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Appel rejeté</w:t>
            </w:r>
          </w:p>
          <w:p w:rsidR="002F4FD4" w:rsidRPr="00154253" w:rsidRDefault="002F4FD4" w:rsidP="00E33C9D">
            <w:pPr>
              <w:jc w:val="both"/>
              <w:rPr>
                <w:rFonts w:eastAsia="Calibri"/>
                <w:sz w:val="20"/>
                <w:lang w:val="fr-CA"/>
              </w:rPr>
            </w:pP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Le 16 août 2013</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Demande d'autorisation d'appel déposée</w:t>
            </w:r>
          </w:p>
        </w:tc>
      </w:tr>
    </w:tbl>
    <w:p w:rsidR="002F4FD4" w:rsidRDefault="002F4FD4" w:rsidP="002F4FD4">
      <w:pPr>
        <w:rPr>
          <w:sz w:val="20"/>
          <w:szCs w:val="20"/>
        </w:rPr>
      </w:pPr>
    </w:p>
    <w:p w:rsidR="002F4FD4" w:rsidRDefault="00714478" w:rsidP="002F4FD4">
      <w:pPr>
        <w:rPr>
          <w:sz w:val="20"/>
          <w:szCs w:val="20"/>
        </w:rPr>
      </w:pPr>
      <w:r>
        <w:rPr>
          <w:sz w:val="20"/>
          <w:szCs w:val="20"/>
          <w:lang w:val="fr-CA"/>
        </w:rPr>
        <w:pict>
          <v:rect id="_x0000_i1047" style="width:2in;height:1pt" o:hrpct="0" o:hralign="center" o:hrstd="t" o:hrnoshade="t" o:hr="t" fillcolor="black [3213]" stroked="f"/>
        </w:pict>
      </w:r>
    </w:p>
    <w:p w:rsidR="002F4FD4" w:rsidRDefault="002F4FD4" w:rsidP="002F4FD4">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F4FD4" w:rsidRPr="00D963D2" w:rsidTr="00E33C9D">
        <w:trPr>
          <w:cantSplit/>
        </w:trPr>
        <w:tc>
          <w:tcPr>
            <w:tcW w:w="1458" w:type="dxa"/>
          </w:tcPr>
          <w:p w:rsidR="002F4FD4" w:rsidRPr="00D963D2" w:rsidRDefault="002F4FD4" w:rsidP="00E33C9D">
            <w:pPr>
              <w:rPr>
                <w:sz w:val="20"/>
              </w:rPr>
            </w:pPr>
            <w:r w:rsidRPr="00D963D2">
              <w:rPr>
                <w:b/>
                <w:sz w:val="20"/>
                <w:lang w:val="fr-CA"/>
              </w:rPr>
              <w:t>35503</w:t>
            </w:r>
          </w:p>
          <w:p w:rsidR="002F4FD4" w:rsidRPr="00D963D2" w:rsidRDefault="002F4FD4" w:rsidP="00E33C9D">
            <w:pPr>
              <w:rPr>
                <w:b/>
                <w:sz w:val="20"/>
                <w:lang w:val="fr-CA"/>
              </w:rPr>
            </w:pPr>
          </w:p>
        </w:tc>
        <w:tc>
          <w:tcPr>
            <w:tcW w:w="8118" w:type="dxa"/>
          </w:tcPr>
          <w:p w:rsidR="002F4FD4" w:rsidRPr="00D963D2" w:rsidRDefault="002F4FD4" w:rsidP="00E33C9D">
            <w:pPr>
              <w:jc w:val="both"/>
              <w:rPr>
                <w:sz w:val="20"/>
              </w:rPr>
            </w:pPr>
            <w:r w:rsidRPr="00D963D2">
              <w:rPr>
                <w:b/>
                <w:sz w:val="20"/>
                <w:u w:val="single"/>
              </w:rPr>
              <w:t xml:space="preserve">J. Yuen, in the capacity as a Dispute Resolution Officer under the </w:t>
            </w:r>
            <w:r w:rsidRPr="008F0CF8">
              <w:rPr>
                <w:b/>
                <w:i/>
                <w:sz w:val="20"/>
                <w:u w:val="single"/>
              </w:rPr>
              <w:t>Manufactured Home Park Tenancy Act</w:t>
            </w:r>
            <w:r w:rsidRPr="00D963D2">
              <w:rPr>
                <w:b/>
                <w:sz w:val="20"/>
                <w:u w:val="single"/>
              </w:rPr>
              <w:t xml:space="preserve"> v. Sechelt Indian Band</w:t>
            </w:r>
            <w:r w:rsidRPr="00D963D2">
              <w:rPr>
                <w:sz w:val="20"/>
              </w:rPr>
              <w:t xml:space="preserve"> (B.C.) (Civil) (By Leave)</w:t>
            </w:r>
          </w:p>
          <w:p w:rsidR="002F4FD4" w:rsidRPr="00D963D2" w:rsidRDefault="002F4FD4" w:rsidP="00E33C9D">
            <w:pPr>
              <w:jc w:val="both"/>
              <w:rPr>
                <w:sz w:val="20"/>
              </w:rPr>
            </w:pPr>
          </w:p>
        </w:tc>
      </w:tr>
      <w:tr w:rsidR="002F4FD4" w:rsidRPr="00D963D2" w:rsidTr="00E33C9D">
        <w:trPr>
          <w:cantSplit/>
        </w:trPr>
        <w:tc>
          <w:tcPr>
            <w:tcW w:w="1458" w:type="dxa"/>
          </w:tcPr>
          <w:p w:rsidR="002F4FD4" w:rsidRPr="00D963D2" w:rsidRDefault="002F4FD4" w:rsidP="00E33C9D">
            <w:pPr>
              <w:rPr>
                <w:sz w:val="20"/>
              </w:rPr>
            </w:pPr>
            <w:r w:rsidRPr="00D963D2">
              <w:rPr>
                <w:sz w:val="20"/>
              </w:rPr>
              <w:t>Coram :</w:t>
            </w:r>
          </w:p>
        </w:tc>
        <w:tc>
          <w:tcPr>
            <w:tcW w:w="8118" w:type="dxa"/>
          </w:tcPr>
          <w:p w:rsidR="002F4FD4" w:rsidRPr="00D963D2" w:rsidRDefault="002F4FD4" w:rsidP="00E33C9D">
            <w:pPr>
              <w:rPr>
                <w:sz w:val="20"/>
              </w:rPr>
            </w:pPr>
            <w:r w:rsidRPr="00D963D2">
              <w:rPr>
                <w:sz w:val="20"/>
                <w:u w:val="single"/>
              </w:rPr>
              <w:t>Abella, Rothstein and Moldaver JJ.</w:t>
            </w:r>
          </w:p>
          <w:p w:rsidR="002F4FD4" w:rsidRPr="00D963D2" w:rsidRDefault="002F4FD4" w:rsidP="00E33C9D">
            <w:pPr>
              <w:rPr>
                <w:sz w:val="20"/>
                <w:u w:val="single"/>
              </w:rPr>
            </w:pPr>
          </w:p>
        </w:tc>
      </w:tr>
      <w:tr w:rsidR="002F4FD4" w:rsidRPr="00714478" w:rsidTr="00E33C9D">
        <w:trPr>
          <w:cantSplit/>
        </w:trPr>
        <w:tc>
          <w:tcPr>
            <w:tcW w:w="9576" w:type="dxa"/>
            <w:gridSpan w:val="2"/>
          </w:tcPr>
          <w:p w:rsidR="002F4FD4" w:rsidRPr="00D963D2" w:rsidRDefault="002F4FD4" w:rsidP="00E33C9D">
            <w:pPr>
              <w:ind w:firstLine="720"/>
              <w:jc w:val="both"/>
              <w:rPr>
                <w:sz w:val="20"/>
              </w:rPr>
            </w:pPr>
            <w:r w:rsidRPr="00D963D2">
              <w:rPr>
                <w:sz w:val="20"/>
              </w:rPr>
              <w:t>The application for leave to appeal from the judgment of the Court of Appeal for British Columbia (Vancouver), Number CA040192, 2013 BCCA 262, dated June 5, 2013, is dismissed with costs.</w:t>
            </w:r>
          </w:p>
          <w:p w:rsidR="002F4FD4" w:rsidRPr="00D963D2" w:rsidRDefault="002F4FD4" w:rsidP="00E33C9D">
            <w:pPr>
              <w:jc w:val="both"/>
              <w:rPr>
                <w:sz w:val="20"/>
              </w:rPr>
            </w:pPr>
          </w:p>
          <w:p w:rsidR="002F4FD4" w:rsidRPr="00D963D2" w:rsidRDefault="002F4FD4" w:rsidP="00E33C9D">
            <w:pPr>
              <w:ind w:firstLine="720"/>
              <w:jc w:val="both"/>
              <w:rPr>
                <w:sz w:val="20"/>
                <w:lang w:val="fr-CA"/>
              </w:rPr>
            </w:pPr>
            <w:r w:rsidRPr="00D963D2">
              <w:rPr>
                <w:sz w:val="20"/>
                <w:lang w:val="fr-CA"/>
              </w:rPr>
              <w:t>La demande d’autorisation d’appel de l’arrêt de la Cour d’appel de la Colombie-Britannique (Vancouver), numéro CA040192, 2013 BCCA 262, daté du 5 juin 2013, est rejetée avec dépens.</w:t>
            </w:r>
          </w:p>
        </w:tc>
      </w:tr>
    </w:tbl>
    <w:p w:rsidR="002F4FD4" w:rsidRPr="00D963D2" w:rsidRDefault="002F4FD4" w:rsidP="002F4FD4">
      <w:pPr>
        <w:rPr>
          <w:sz w:val="20"/>
          <w:szCs w:val="20"/>
          <w:lang w:val="fr-CA"/>
        </w:rPr>
      </w:pPr>
    </w:p>
    <w:p w:rsidR="002F4FD4" w:rsidRPr="001B157C" w:rsidRDefault="002F4FD4" w:rsidP="002F4FD4">
      <w:pPr>
        <w:rPr>
          <w:sz w:val="20"/>
          <w:szCs w:val="20"/>
          <w:u w:val="single"/>
        </w:rPr>
      </w:pPr>
      <w:r w:rsidRPr="001B157C">
        <w:rPr>
          <w:sz w:val="20"/>
          <w:szCs w:val="20"/>
          <w:u w:val="single"/>
        </w:rPr>
        <w:t>CASE SUMMARY</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Constitutional law — Interjurisdictional immunity — Federal paramountcy — Property — Leases — Whether provincial act regulating landlord-tenant relationships with respect to manufactured homes applies to manufactured homes situated on former reserve lands that have since been transferred to a self-governing Band — Whether Court of Appeal erred in holding that Act was constitutionally inapplicable to those lands — Whether Court of Appeal erred in its application of constitutional law principles — </w:t>
            </w:r>
            <w:r w:rsidRPr="00154253">
              <w:rPr>
                <w:rFonts w:eastAsia="Calibri"/>
                <w:i/>
                <w:sz w:val="20"/>
              </w:rPr>
              <w:t>Manufactured Home Park Tenancy Act</w:t>
            </w:r>
            <w:r w:rsidRPr="00154253">
              <w:rPr>
                <w:rFonts w:eastAsia="Calibri"/>
                <w:sz w:val="20"/>
              </w:rPr>
              <w:t>, S.B.C. 2002, c. 77</w:t>
            </w:r>
          </w:p>
        </w:tc>
      </w:tr>
      <w:tr w:rsidR="002F4FD4" w:rsidRPr="00154253" w:rsidTr="00E33C9D">
        <w:tc>
          <w:tcPr>
            <w:tcW w:w="5000" w:type="pct"/>
            <w:gridSpan w:val="3"/>
          </w:tcPr>
          <w:p w:rsidR="002F4FD4" w:rsidRPr="00154253" w:rsidRDefault="002F4FD4" w:rsidP="00E33C9D">
            <w:pPr>
              <w:jc w:val="both"/>
              <w:rPr>
                <w:rFonts w:eastAsia="Calibri"/>
                <w:sz w:val="20"/>
              </w:rPr>
            </w:pPr>
          </w:p>
        </w:tc>
      </w:tr>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In 1986, the enactment of the </w:t>
            </w:r>
            <w:r w:rsidRPr="00154253">
              <w:rPr>
                <w:rFonts w:eastAsia="Calibri"/>
                <w:i/>
                <w:sz w:val="20"/>
              </w:rPr>
              <w:t>Sechelt Indian Band Self-Government Act</w:t>
            </w:r>
            <w:r w:rsidRPr="00154253">
              <w:rPr>
                <w:rFonts w:eastAsia="Calibri"/>
                <w:sz w:val="20"/>
              </w:rPr>
              <w:t xml:space="preserve">, S.C. 1986, c. 27 removed the Sechelt Indian Band from governance under the </w:t>
            </w:r>
            <w:r w:rsidRPr="00154253">
              <w:rPr>
                <w:rFonts w:eastAsia="Calibri"/>
                <w:i/>
                <w:sz w:val="20"/>
              </w:rPr>
              <w:t>Indian Act</w:t>
            </w:r>
            <w:r w:rsidRPr="00154253">
              <w:rPr>
                <w:rFonts w:eastAsia="Calibri"/>
                <w:sz w:val="20"/>
              </w:rPr>
              <w:t xml:space="preserve">, R.S.C. 1985, c. I-5.  By virtue of that Act, the reserve lands of the Band were transferred to it in fee simple.  </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r w:rsidRPr="00154253">
              <w:rPr>
                <w:rFonts w:eastAsia="Calibri"/>
                <w:sz w:val="20"/>
              </w:rPr>
              <w:t xml:space="preserve">In 2007, the Band sought to significantly increase the yearly rent to be paid by tenants of a manufactured home park situated on land owned by it.  These proposed rent increases exceeded the limits provided for under the </w:t>
            </w:r>
            <w:r w:rsidRPr="00154253">
              <w:rPr>
                <w:rFonts w:eastAsia="Calibri"/>
                <w:i/>
                <w:sz w:val="20"/>
              </w:rPr>
              <w:t>Manufactured Home Park Tenancy Act</w:t>
            </w:r>
            <w:r w:rsidRPr="00154253">
              <w:rPr>
                <w:rFonts w:eastAsia="Calibri"/>
                <w:sz w:val="20"/>
              </w:rPr>
              <w:t xml:space="preserve">, S.B.C. 2002, c. 77 (the “MHPTA.).  One of the tenants challenged the proposed increase before the provincial Residential Tenancy Board (the “RTB”), empowered under the MHPTA to consider and attempt to resolve disputes between landlords and tenants of manufactured home parks. </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r w:rsidRPr="00154253">
              <w:rPr>
                <w:rFonts w:eastAsia="Calibri"/>
                <w:sz w:val="20"/>
              </w:rPr>
              <w:t>The Band took the position that the RTB had no constitutional jurisdiction to hear this dispute as it concerned “Lands reserved for the Indians”, a matter of federal jurisdiction.  The Dispute Resolution Officer of the RTB ruled that she did possess constitutional competence to adjudicate the dispute.  She held that the proposed rent increases were ineffective.  The Band filed an application for judicial review of that decision.</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July 27, 2012</w:t>
            </w:r>
          </w:p>
          <w:p w:rsidR="002F4FD4" w:rsidRPr="00154253" w:rsidRDefault="002F4FD4" w:rsidP="00E33C9D">
            <w:pPr>
              <w:jc w:val="both"/>
              <w:rPr>
                <w:rFonts w:eastAsia="Calibri"/>
                <w:sz w:val="20"/>
              </w:rPr>
            </w:pPr>
            <w:r w:rsidRPr="00154253">
              <w:rPr>
                <w:rFonts w:eastAsia="Calibri"/>
                <w:sz w:val="20"/>
              </w:rPr>
              <w:t>Supreme Court of British Columbia</w:t>
            </w:r>
          </w:p>
          <w:p w:rsidR="002F4FD4" w:rsidRPr="00154253" w:rsidRDefault="002F4FD4" w:rsidP="00E33C9D">
            <w:pPr>
              <w:jc w:val="both"/>
              <w:rPr>
                <w:rFonts w:eastAsia="Calibri"/>
                <w:sz w:val="20"/>
              </w:rPr>
            </w:pPr>
            <w:r w:rsidRPr="00154253">
              <w:rPr>
                <w:rFonts w:eastAsia="Calibri"/>
                <w:sz w:val="20"/>
              </w:rPr>
              <w:t>(Silverman J.)</w:t>
            </w:r>
          </w:p>
          <w:p w:rsidR="002F4FD4" w:rsidRPr="00154253" w:rsidRDefault="002F4FD4" w:rsidP="00E33C9D">
            <w:pPr>
              <w:jc w:val="both"/>
              <w:rPr>
                <w:rFonts w:eastAsia="Calibri"/>
                <w:sz w:val="20"/>
              </w:rPr>
            </w:pPr>
            <w:r w:rsidRPr="00154253">
              <w:rPr>
                <w:rFonts w:eastAsia="Calibri"/>
                <w:sz w:val="20"/>
              </w:rPr>
              <w:t>Docket No. S112734</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judicial review of a decision of the Residential Tenancy Branch, dismissed</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June 5, 2013</w:t>
            </w:r>
          </w:p>
          <w:p w:rsidR="002F4FD4" w:rsidRPr="00154253" w:rsidRDefault="002F4FD4" w:rsidP="00E33C9D">
            <w:pPr>
              <w:jc w:val="both"/>
              <w:rPr>
                <w:rFonts w:eastAsia="Calibri"/>
                <w:sz w:val="20"/>
              </w:rPr>
            </w:pPr>
            <w:r w:rsidRPr="00154253">
              <w:rPr>
                <w:rFonts w:eastAsia="Calibri"/>
                <w:sz w:val="20"/>
              </w:rPr>
              <w:t xml:space="preserve">Court of Appeal for British Columbia </w:t>
            </w:r>
          </w:p>
          <w:p w:rsidR="002F4FD4" w:rsidRPr="00154253" w:rsidRDefault="002F4FD4" w:rsidP="00E33C9D">
            <w:pPr>
              <w:jc w:val="both"/>
              <w:rPr>
                <w:rFonts w:eastAsia="Calibri"/>
                <w:sz w:val="20"/>
              </w:rPr>
            </w:pPr>
            <w:r w:rsidRPr="00154253">
              <w:rPr>
                <w:rFonts w:eastAsia="Calibri"/>
                <w:sz w:val="20"/>
              </w:rPr>
              <w:t>(Vancouver)</w:t>
            </w:r>
          </w:p>
          <w:p w:rsidR="002F4FD4" w:rsidRPr="00154253" w:rsidRDefault="002F4FD4" w:rsidP="00E33C9D">
            <w:pPr>
              <w:jc w:val="both"/>
              <w:rPr>
                <w:rFonts w:eastAsia="Calibri"/>
                <w:sz w:val="20"/>
              </w:rPr>
            </w:pPr>
            <w:r w:rsidRPr="00154253">
              <w:rPr>
                <w:rFonts w:eastAsia="Calibri"/>
                <w:sz w:val="20"/>
              </w:rPr>
              <w:t>(Finch C.J.B.C. and Hall and Bennett JJ.A.)</w:t>
            </w:r>
          </w:p>
          <w:p w:rsidR="002F4FD4" w:rsidRPr="00154253" w:rsidRDefault="00714478" w:rsidP="00E33C9D">
            <w:pPr>
              <w:jc w:val="both"/>
              <w:rPr>
                <w:rFonts w:eastAsia="Calibri"/>
                <w:sz w:val="20"/>
              </w:rPr>
            </w:pPr>
            <w:hyperlink r:id="rId35" w:history="1">
              <w:r w:rsidR="002F4FD4" w:rsidRPr="00154253">
                <w:rPr>
                  <w:rFonts w:eastAsia="Calibri"/>
                  <w:color w:val="0000FF"/>
                  <w:sz w:val="20"/>
                  <w:u w:val="single"/>
                </w:rPr>
                <w:t>2013 BCCA 262</w:t>
              </w:r>
            </w:hyperlink>
            <w:r w:rsidR="002F4FD4" w:rsidRPr="00154253">
              <w:rPr>
                <w:rFonts w:eastAsia="Calibri"/>
                <w:sz w:val="20"/>
              </w:rPr>
              <w:t>; Docket No. CA040192</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 xml:space="preserve">Appeal allowed; Declaration that </w:t>
            </w:r>
            <w:r w:rsidRPr="00154253">
              <w:rPr>
                <w:rFonts w:eastAsia="Calibri"/>
                <w:i/>
                <w:sz w:val="20"/>
              </w:rPr>
              <w:t>Manufactured Home Park Tenancy Act</w:t>
            </w:r>
            <w:r w:rsidRPr="00154253">
              <w:rPr>
                <w:rFonts w:eastAsia="Calibri"/>
                <w:sz w:val="20"/>
              </w:rPr>
              <w:t xml:space="preserve"> constitutionally inapplicable to landlord-tenant relationships created by lease on “Indian lands”, issued</w:t>
            </w: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September 3, 2013</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filed</w:t>
            </w:r>
          </w:p>
        </w:tc>
      </w:tr>
    </w:tbl>
    <w:p w:rsidR="002F4FD4" w:rsidRDefault="002F4FD4" w:rsidP="002F4FD4">
      <w:pPr>
        <w:rPr>
          <w:sz w:val="20"/>
          <w:szCs w:val="20"/>
        </w:rPr>
      </w:pPr>
    </w:p>
    <w:p w:rsidR="002F4FD4" w:rsidRPr="00C50A5C" w:rsidRDefault="00714478" w:rsidP="002F4FD4">
      <w:pPr>
        <w:rPr>
          <w:sz w:val="20"/>
          <w:szCs w:val="20"/>
        </w:rPr>
      </w:pPr>
      <w:r>
        <w:rPr>
          <w:sz w:val="20"/>
          <w:szCs w:val="20"/>
          <w:lang w:val="fr-CA"/>
        </w:rPr>
        <w:pict>
          <v:rect id="_x0000_i1048" style="width:2in;height:1pt" o:hrpct="0" o:hralign="center" o:hrstd="t" o:hrnoshade="t" o:hr="t" fillcolor="black [3213]" stroked="f"/>
        </w:pict>
      </w:r>
    </w:p>
    <w:p w:rsidR="002F4FD4" w:rsidRDefault="002F4FD4" w:rsidP="002F4FD4">
      <w:pPr>
        <w:rPr>
          <w:sz w:val="20"/>
          <w:szCs w:val="20"/>
        </w:rPr>
      </w:pPr>
    </w:p>
    <w:p w:rsidR="002F4FD4" w:rsidRPr="001B157C" w:rsidRDefault="002F4FD4" w:rsidP="002F4FD4">
      <w:pPr>
        <w:rPr>
          <w:sz w:val="20"/>
          <w:szCs w:val="20"/>
          <w:u w:val="single"/>
          <w:lang w:val="fr-CA"/>
        </w:rPr>
      </w:pPr>
      <w:r w:rsidRPr="001B157C">
        <w:rPr>
          <w:sz w:val="20"/>
          <w:szCs w:val="20"/>
          <w:u w:val="single"/>
          <w:lang w:val="fr-CA"/>
        </w:rPr>
        <w:t>RÉSUMÉ DE L’AFFAIRE</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 xml:space="preserve">Droit constitutionnel — Exclusivité des compétences — Prépondérance fédérale — Biens — Baux — La loi provinciale régissant les rapports locateur-locataire à l’égard de maisons préfabriquées s'applique-t-elle aux maisons préfabriquées situées sur d'anciennes terres de réserve qui ont été transférées depuis à une bande autonome? — La Cour d'appel a-t-elle eu tort de statuer que cette loi était constitutionnellement inapplicable à ces terres? — La Cour d'appel a-t-elle commis une erreur dans son application des principes du droit constitutionnel? — </w:t>
            </w:r>
            <w:r w:rsidRPr="00154253">
              <w:rPr>
                <w:rFonts w:eastAsia="Calibri"/>
                <w:i/>
                <w:sz w:val="20"/>
                <w:lang w:val="fr-CA"/>
              </w:rPr>
              <w:t>Manufactured Home Park Tenancy Act</w:t>
            </w:r>
            <w:r w:rsidRPr="00154253">
              <w:rPr>
                <w:rFonts w:eastAsia="Calibri"/>
                <w:sz w:val="20"/>
                <w:lang w:val="fr-CA"/>
              </w:rPr>
              <w:t>, S.B.C. 2002, ch. 77</w:t>
            </w:r>
          </w:p>
        </w:tc>
      </w:tr>
      <w:tr w:rsidR="002F4FD4" w:rsidRPr="00714478" w:rsidTr="00E33C9D">
        <w:tc>
          <w:tcPr>
            <w:tcW w:w="5000" w:type="pct"/>
            <w:gridSpan w:val="3"/>
          </w:tcPr>
          <w:p w:rsidR="002F4FD4" w:rsidRPr="00154253" w:rsidRDefault="002F4FD4" w:rsidP="00E33C9D">
            <w:pPr>
              <w:jc w:val="both"/>
              <w:rPr>
                <w:rFonts w:eastAsia="Calibri"/>
                <w:sz w:val="20"/>
                <w:lang w:val="fr-CA"/>
              </w:rPr>
            </w:pPr>
          </w:p>
        </w:tc>
      </w:tr>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En 1986, la promulgation de la</w:t>
            </w:r>
            <w:r w:rsidRPr="00154253">
              <w:rPr>
                <w:rFonts w:eastAsia="Calibri"/>
                <w:i/>
                <w:sz w:val="20"/>
                <w:lang w:val="fr-CA"/>
              </w:rPr>
              <w:t xml:space="preserve"> Loi sur l'autonomie gouvernementale de la bande indienne sechelte</w:t>
            </w:r>
            <w:r w:rsidRPr="00154253">
              <w:rPr>
                <w:rFonts w:eastAsia="Calibri"/>
                <w:sz w:val="20"/>
                <w:lang w:val="fr-CA"/>
              </w:rPr>
              <w:t>, L.C. 1986, ch. 27 a eu pour effet de soustraire la bande indienne sechelte du régime de la</w:t>
            </w:r>
            <w:r w:rsidRPr="00154253">
              <w:rPr>
                <w:rFonts w:eastAsia="Calibri"/>
                <w:i/>
                <w:sz w:val="20"/>
                <w:lang w:val="fr-CA"/>
              </w:rPr>
              <w:t xml:space="preserve"> Loi sur les Indiens</w:t>
            </w:r>
            <w:r w:rsidRPr="00154253">
              <w:rPr>
                <w:rFonts w:eastAsia="Calibri"/>
                <w:sz w:val="20"/>
                <w:lang w:val="fr-CA"/>
              </w:rPr>
              <w:t xml:space="preserve">, L.R.C. 1985, ch. I-5.  En vertu de la première de ces lois, les terres de réserve de cette bande lui ont été transférées en fief simple.  </w:t>
            </w:r>
          </w:p>
          <w:p w:rsidR="002F4FD4" w:rsidRPr="00154253" w:rsidRDefault="002F4FD4" w:rsidP="00E33C9D">
            <w:pPr>
              <w:jc w:val="both"/>
              <w:rPr>
                <w:rFonts w:eastAsia="Calibri"/>
                <w:sz w:val="20"/>
                <w:lang w:val="fr-CA"/>
              </w:rPr>
            </w:pPr>
          </w:p>
          <w:p w:rsidR="002F4FD4" w:rsidRPr="00154253" w:rsidRDefault="002F4FD4" w:rsidP="00E33C9D">
            <w:pPr>
              <w:jc w:val="both"/>
              <w:rPr>
                <w:rFonts w:eastAsia="Calibri"/>
                <w:sz w:val="20"/>
                <w:lang w:val="fr-CA"/>
              </w:rPr>
            </w:pPr>
            <w:r w:rsidRPr="00154253">
              <w:rPr>
                <w:rFonts w:eastAsia="Calibri"/>
                <w:sz w:val="20"/>
                <w:lang w:val="fr-CA"/>
              </w:rPr>
              <w:t xml:space="preserve">En 2007, la bande a voulu augmenter considérablement le loyer annuel que devaient payer les locataires vivant dans un parc de maisons préfabriquées situé sur des terres lui appartenant.  Les augmentations de loyer demandées dépassaient les limites prévues dans la </w:t>
            </w:r>
            <w:r w:rsidRPr="00154253">
              <w:rPr>
                <w:rFonts w:eastAsia="Calibri"/>
                <w:i/>
                <w:sz w:val="20"/>
                <w:lang w:val="fr-CA"/>
              </w:rPr>
              <w:t>Manufactured Home Park Tenancy Act</w:t>
            </w:r>
            <w:r w:rsidRPr="00154253">
              <w:rPr>
                <w:rFonts w:eastAsia="Calibri"/>
                <w:sz w:val="20"/>
                <w:lang w:val="fr-CA"/>
              </w:rPr>
              <w:t xml:space="preserve">, S.B.C. 2002, ch. 77 (la « MHPTA »).  Un des locataires a contesté l'augmentation demandée devant la Residential Tenancy Board provinciale (la « RTB »), habilitée par la MHPTA à examiner et à tenter de régler les différends opposant les locataires et les locataires vivant dans les parcs de maisons préfabriquées. </w:t>
            </w:r>
          </w:p>
          <w:p w:rsidR="002F4FD4" w:rsidRPr="00154253" w:rsidRDefault="002F4FD4" w:rsidP="00E33C9D">
            <w:pPr>
              <w:jc w:val="both"/>
              <w:rPr>
                <w:rFonts w:eastAsia="Calibri"/>
                <w:sz w:val="20"/>
                <w:lang w:val="fr-CA"/>
              </w:rPr>
            </w:pPr>
          </w:p>
          <w:p w:rsidR="002F4FD4" w:rsidRPr="00154253" w:rsidRDefault="002F4FD4" w:rsidP="00E33C9D">
            <w:pPr>
              <w:jc w:val="both"/>
              <w:rPr>
                <w:rFonts w:eastAsia="Calibri"/>
                <w:sz w:val="20"/>
                <w:lang w:val="fr-CA"/>
              </w:rPr>
            </w:pPr>
            <w:r w:rsidRPr="00154253">
              <w:rPr>
                <w:rFonts w:eastAsia="Calibri"/>
                <w:sz w:val="20"/>
                <w:lang w:val="fr-CA"/>
              </w:rPr>
              <w:t>La bande a soutenu que la RTB n'avait aucune compétence constitutionnelle pour instruire ce différend, puisqu'il concernait des « terres réservées aux Indiens », une matière de compétence fédérale.  L'agente de règlement des différends de la RTB a statué qu'elle avait la compétence constitutionnelle pour trancher le différend.  Elle a statué que les augmentations de loyer demandées étaient sans effet. La bande a déposé une demande de contrôle judiciaire de cette décision.</w:t>
            </w:r>
          </w:p>
          <w:p w:rsidR="002F4FD4" w:rsidRPr="00154253" w:rsidRDefault="002F4FD4" w:rsidP="00E33C9D">
            <w:pPr>
              <w:jc w:val="both"/>
              <w:rPr>
                <w:rFonts w:eastAsia="Calibri"/>
                <w:sz w:val="20"/>
                <w:lang w:val="fr-CA"/>
              </w:rPr>
            </w:pP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lastRenderedPageBreak/>
              <w:t>27 juillet 2012</w:t>
            </w:r>
          </w:p>
          <w:p w:rsidR="002F4FD4" w:rsidRPr="00154253" w:rsidRDefault="002F4FD4" w:rsidP="00E33C9D">
            <w:pPr>
              <w:jc w:val="both"/>
              <w:rPr>
                <w:rFonts w:eastAsia="Calibri"/>
                <w:sz w:val="20"/>
                <w:lang w:val="fr-CA"/>
              </w:rPr>
            </w:pPr>
            <w:r w:rsidRPr="00154253">
              <w:rPr>
                <w:rFonts w:eastAsia="Calibri"/>
                <w:sz w:val="20"/>
                <w:lang w:val="fr-CA"/>
              </w:rPr>
              <w:t>Cour suprême de la Colombie-Britannique</w:t>
            </w:r>
          </w:p>
          <w:p w:rsidR="002F4FD4" w:rsidRPr="00154253" w:rsidRDefault="002F4FD4" w:rsidP="00E33C9D">
            <w:pPr>
              <w:jc w:val="both"/>
              <w:rPr>
                <w:rFonts w:eastAsia="Calibri"/>
                <w:sz w:val="20"/>
                <w:lang w:val="fr-CA"/>
              </w:rPr>
            </w:pPr>
            <w:r w:rsidRPr="00154253">
              <w:rPr>
                <w:rFonts w:eastAsia="Calibri"/>
                <w:sz w:val="20"/>
                <w:lang w:val="fr-CA"/>
              </w:rPr>
              <w:t>(Juge Silverman)</w:t>
            </w:r>
          </w:p>
          <w:p w:rsidR="002F4FD4" w:rsidRPr="00154253" w:rsidRDefault="002F4FD4" w:rsidP="00E33C9D">
            <w:pPr>
              <w:jc w:val="both"/>
              <w:rPr>
                <w:rFonts w:eastAsia="Calibri"/>
                <w:sz w:val="20"/>
                <w:lang w:val="fr-CA"/>
              </w:rPr>
            </w:pPr>
            <w:r w:rsidRPr="00154253">
              <w:rPr>
                <w:rFonts w:eastAsia="Calibri"/>
                <w:sz w:val="20"/>
                <w:lang w:val="fr-CA"/>
              </w:rPr>
              <w:t>N</w:t>
            </w:r>
            <w:r w:rsidRPr="00154253">
              <w:rPr>
                <w:rFonts w:eastAsia="Calibri"/>
                <w:sz w:val="20"/>
                <w:vertAlign w:val="superscript"/>
                <w:lang w:val="fr-CA"/>
              </w:rPr>
              <w:t>o</w:t>
            </w:r>
            <w:r w:rsidRPr="00154253">
              <w:rPr>
                <w:rFonts w:eastAsia="Calibri"/>
                <w:sz w:val="20"/>
                <w:lang w:val="fr-CA"/>
              </w:rPr>
              <w:t xml:space="preserve"> du greffe S112734</w:t>
            </w:r>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Demande de contrôle judiciaire d'une décision de la Residential Tenancy Branch, rejetée</w:t>
            </w:r>
          </w:p>
          <w:p w:rsidR="002F4FD4" w:rsidRPr="00154253" w:rsidRDefault="002F4FD4" w:rsidP="00E33C9D">
            <w:pPr>
              <w:jc w:val="both"/>
              <w:rPr>
                <w:rFonts w:eastAsia="Calibri"/>
                <w:sz w:val="20"/>
                <w:lang w:val="fr-CA"/>
              </w:rPr>
            </w:pP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5 juin 2013</w:t>
            </w:r>
          </w:p>
          <w:p w:rsidR="002F4FD4" w:rsidRPr="00154253" w:rsidRDefault="002F4FD4" w:rsidP="00E33C9D">
            <w:pPr>
              <w:jc w:val="both"/>
              <w:rPr>
                <w:rFonts w:eastAsia="Calibri"/>
                <w:sz w:val="20"/>
                <w:lang w:val="fr-CA"/>
              </w:rPr>
            </w:pPr>
            <w:r w:rsidRPr="00154253">
              <w:rPr>
                <w:rFonts w:eastAsia="Calibri"/>
                <w:sz w:val="20"/>
                <w:lang w:val="fr-CA"/>
              </w:rPr>
              <w:t>Cour d'appel de la Colombie-Britannique</w:t>
            </w:r>
          </w:p>
          <w:p w:rsidR="002F4FD4" w:rsidRPr="00154253" w:rsidRDefault="002F4FD4" w:rsidP="00E33C9D">
            <w:pPr>
              <w:jc w:val="both"/>
              <w:rPr>
                <w:rFonts w:eastAsia="Calibri"/>
                <w:sz w:val="20"/>
                <w:lang w:val="fr-CA"/>
              </w:rPr>
            </w:pPr>
            <w:r w:rsidRPr="00154253">
              <w:rPr>
                <w:rFonts w:eastAsia="Calibri"/>
                <w:sz w:val="20"/>
                <w:lang w:val="fr-CA"/>
              </w:rPr>
              <w:t>(Vancouver)</w:t>
            </w:r>
          </w:p>
          <w:p w:rsidR="002F4FD4" w:rsidRPr="00154253" w:rsidRDefault="002F4FD4" w:rsidP="00E33C9D">
            <w:pPr>
              <w:jc w:val="both"/>
              <w:rPr>
                <w:rFonts w:eastAsia="Calibri"/>
                <w:sz w:val="20"/>
                <w:lang w:val="fr-CA"/>
              </w:rPr>
            </w:pPr>
            <w:r w:rsidRPr="00154253">
              <w:rPr>
                <w:rFonts w:eastAsia="Calibri"/>
                <w:sz w:val="20"/>
                <w:lang w:val="fr-CA"/>
              </w:rPr>
              <w:t>(Juge en chef Finch, juges Hall et Bennett)</w:t>
            </w:r>
          </w:p>
          <w:p w:rsidR="002F4FD4" w:rsidRPr="00154253" w:rsidRDefault="00714478" w:rsidP="00E33C9D">
            <w:pPr>
              <w:jc w:val="both"/>
              <w:rPr>
                <w:rFonts w:eastAsia="Calibri"/>
                <w:sz w:val="20"/>
                <w:lang w:val="fr-CA"/>
              </w:rPr>
            </w:pPr>
            <w:hyperlink r:id="rId36" w:history="1">
              <w:r w:rsidR="002F4FD4" w:rsidRPr="00154253">
                <w:rPr>
                  <w:rFonts w:eastAsia="Calibri"/>
                  <w:color w:val="0000FF"/>
                  <w:sz w:val="20"/>
                  <w:u w:val="single"/>
                  <w:lang w:val="fr-CA"/>
                </w:rPr>
                <w:t>2013 BCCA 262</w:t>
              </w:r>
            </w:hyperlink>
            <w:r w:rsidR="002F4FD4" w:rsidRPr="00154253">
              <w:rPr>
                <w:rFonts w:eastAsia="Calibri"/>
                <w:sz w:val="20"/>
                <w:lang w:val="fr-CA"/>
              </w:rPr>
              <w:t>; N</w:t>
            </w:r>
            <w:r w:rsidR="002F4FD4" w:rsidRPr="00154253">
              <w:rPr>
                <w:rFonts w:eastAsia="Calibri"/>
                <w:sz w:val="20"/>
                <w:vertAlign w:val="superscript"/>
                <w:lang w:val="fr-CA"/>
              </w:rPr>
              <w:t>o</w:t>
            </w:r>
            <w:r w:rsidR="002F4FD4" w:rsidRPr="00154253">
              <w:rPr>
                <w:rFonts w:eastAsia="Calibri"/>
                <w:sz w:val="20"/>
                <w:lang w:val="fr-CA"/>
              </w:rPr>
              <w:t xml:space="preserve"> du greffe CA040192</w:t>
            </w:r>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 xml:space="preserve">Appel accueilli; jugement déclarant que la </w:t>
            </w:r>
            <w:r w:rsidRPr="00154253">
              <w:rPr>
                <w:rFonts w:eastAsia="Calibri"/>
                <w:i/>
                <w:sz w:val="20"/>
                <w:lang w:val="fr-CA"/>
              </w:rPr>
              <w:t>Manufactured Home Park Tenancy Act</w:t>
            </w:r>
            <w:r w:rsidRPr="00154253">
              <w:rPr>
                <w:rFonts w:eastAsia="Calibri"/>
                <w:sz w:val="20"/>
                <w:lang w:val="fr-CA"/>
              </w:rPr>
              <w:t xml:space="preserve"> était constitutionnellement inapplicable aux rapports locateur-locataire créés par un bail sur des « terres indiennes »</w:t>
            </w: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3 septembre 2013</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Demande d'autorisation d'appel, déposée</w:t>
            </w:r>
          </w:p>
        </w:tc>
      </w:tr>
    </w:tbl>
    <w:p w:rsidR="002F4FD4" w:rsidRDefault="002F4FD4" w:rsidP="002F4FD4">
      <w:pPr>
        <w:rPr>
          <w:sz w:val="20"/>
          <w:szCs w:val="20"/>
        </w:rPr>
      </w:pPr>
    </w:p>
    <w:p w:rsidR="002F4FD4" w:rsidRDefault="00714478" w:rsidP="002F4FD4">
      <w:pPr>
        <w:rPr>
          <w:sz w:val="20"/>
          <w:szCs w:val="20"/>
        </w:rPr>
      </w:pPr>
      <w:r>
        <w:rPr>
          <w:sz w:val="20"/>
          <w:szCs w:val="20"/>
          <w:lang w:val="fr-CA"/>
        </w:rPr>
        <w:pict>
          <v:rect id="_x0000_i1049" style="width:2in;height:1pt" o:hrpct="0" o:hralign="center" o:hrstd="t" o:hrnoshade="t" o:hr="t" fillcolor="black [3213]" stroked="f"/>
        </w:pict>
      </w:r>
    </w:p>
    <w:p w:rsidR="002F4FD4" w:rsidRDefault="002F4FD4" w:rsidP="002F4FD4">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F4FD4" w:rsidRPr="00D963D2" w:rsidTr="00E33C9D">
        <w:trPr>
          <w:cantSplit/>
        </w:trPr>
        <w:tc>
          <w:tcPr>
            <w:tcW w:w="1458" w:type="dxa"/>
          </w:tcPr>
          <w:p w:rsidR="002F4FD4" w:rsidRPr="00D963D2" w:rsidRDefault="002F4FD4" w:rsidP="00E33C9D">
            <w:pPr>
              <w:rPr>
                <w:sz w:val="20"/>
              </w:rPr>
            </w:pPr>
            <w:r w:rsidRPr="00D963D2">
              <w:rPr>
                <w:b/>
                <w:sz w:val="20"/>
                <w:lang w:val="fr-CA"/>
              </w:rPr>
              <w:t>35563</w:t>
            </w:r>
          </w:p>
          <w:p w:rsidR="002F4FD4" w:rsidRPr="00D963D2" w:rsidRDefault="002F4FD4" w:rsidP="00E33C9D">
            <w:pPr>
              <w:rPr>
                <w:b/>
                <w:sz w:val="20"/>
                <w:lang w:val="fr-CA"/>
              </w:rPr>
            </w:pPr>
          </w:p>
        </w:tc>
        <w:tc>
          <w:tcPr>
            <w:tcW w:w="8118" w:type="dxa"/>
          </w:tcPr>
          <w:p w:rsidR="002F4FD4" w:rsidRPr="00D963D2" w:rsidRDefault="002F4FD4" w:rsidP="00E33C9D">
            <w:pPr>
              <w:jc w:val="both"/>
              <w:rPr>
                <w:sz w:val="20"/>
              </w:rPr>
            </w:pPr>
            <w:r w:rsidRPr="00D963D2">
              <w:rPr>
                <w:b/>
                <w:sz w:val="20"/>
                <w:u w:val="single"/>
              </w:rPr>
              <w:t>Teal Cedar Products Ltd. v. Her Majesty the Queen in Right of the Province of British Columbia</w:t>
            </w:r>
            <w:r w:rsidRPr="00D963D2">
              <w:rPr>
                <w:sz w:val="20"/>
              </w:rPr>
              <w:t xml:space="preserve"> (B.C.) (Civil) (By Leave)</w:t>
            </w:r>
          </w:p>
          <w:p w:rsidR="002F4FD4" w:rsidRPr="00D963D2" w:rsidRDefault="002F4FD4" w:rsidP="00E33C9D">
            <w:pPr>
              <w:jc w:val="both"/>
              <w:rPr>
                <w:sz w:val="20"/>
              </w:rPr>
            </w:pPr>
          </w:p>
        </w:tc>
      </w:tr>
      <w:tr w:rsidR="002F4FD4" w:rsidRPr="00D963D2" w:rsidTr="00E33C9D">
        <w:trPr>
          <w:cantSplit/>
        </w:trPr>
        <w:tc>
          <w:tcPr>
            <w:tcW w:w="1458" w:type="dxa"/>
          </w:tcPr>
          <w:p w:rsidR="002F4FD4" w:rsidRPr="00D963D2" w:rsidRDefault="002F4FD4" w:rsidP="00E33C9D">
            <w:pPr>
              <w:rPr>
                <w:sz w:val="20"/>
              </w:rPr>
            </w:pPr>
            <w:r w:rsidRPr="00D963D2">
              <w:rPr>
                <w:sz w:val="20"/>
              </w:rPr>
              <w:t>Coram :</w:t>
            </w:r>
          </w:p>
        </w:tc>
        <w:tc>
          <w:tcPr>
            <w:tcW w:w="8118" w:type="dxa"/>
          </w:tcPr>
          <w:p w:rsidR="002F4FD4" w:rsidRPr="00D963D2" w:rsidRDefault="002F4FD4" w:rsidP="00E33C9D">
            <w:pPr>
              <w:rPr>
                <w:sz w:val="20"/>
              </w:rPr>
            </w:pPr>
            <w:r w:rsidRPr="00D963D2">
              <w:rPr>
                <w:sz w:val="20"/>
                <w:u w:val="single"/>
              </w:rPr>
              <w:t>McLachlin C.J. and Cromwell and Wagner JJ.</w:t>
            </w:r>
          </w:p>
          <w:p w:rsidR="002F4FD4" w:rsidRPr="00D963D2" w:rsidRDefault="002F4FD4" w:rsidP="00E33C9D">
            <w:pPr>
              <w:rPr>
                <w:sz w:val="20"/>
                <w:u w:val="single"/>
              </w:rPr>
            </w:pPr>
          </w:p>
        </w:tc>
      </w:tr>
      <w:tr w:rsidR="002F4FD4" w:rsidRPr="00714478" w:rsidTr="00E33C9D">
        <w:trPr>
          <w:cantSplit/>
        </w:trPr>
        <w:tc>
          <w:tcPr>
            <w:tcW w:w="9576" w:type="dxa"/>
            <w:gridSpan w:val="2"/>
          </w:tcPr>
          <w:p w:rsidR="002F4FD4" w:rsidRPr="00D963D2" w:rsidRDefault="002F4FD4" w:rsidP="00E33C9D">
            <w:pPr>
              <w:ind w:firstLine="720"/>
              <w:jc w:val="both"/>
              <w:rPr>
                <w:sz w:val="20"/>
              </w:rPr>
            </w:pPr>
            <w:r w:rsidRPr="00D963D2">
              <w:rPr>
                <w:sz w:val="20"/>
              </w:rPr>
              <w:t xml:space="preserve">The motion to file a joint application for leave to appeal is granted. Pursuant to subsection 43 (1.1) of the </w:t>
            </w:r>
            <w:r w:rsidRPr="007B051C">
              <w:rPr>
                <w:i/>
                <w:sz w:val="20"/>
              </w:rPr>
              <w:t>Supreme Court Act</w:t>
            </w:r>
            <w:r w:rsidRPr="00D963D2">
              <w:rPr>
                <w:sz w:val="20"/>
              </w:rPr>
              <w:t xml:space="preserve">, the case forming the basis of the application for leave to appeal from the judgment of the Court of Appeal of British Columbia (Vancouver), Numbers CA039893 and CA039894, 2013 BCCA 326, dated July, 10 2013, is remanded to the Court of Appeal of British Columbia for disposition in accordance with </w:t>
            </w:r>
            <w:r w:rsidRPr="007B051C">
              <w:rPr>
                <w:i/>
                <w:sz w:val="20"/>
              </w:rPr>
              <w:t>Sattva v. Creston Molly</w:t>
            </w:r>
            <w:r w:rsidRPr="00D963D2">
              <w:rPr>
                <w:sz w:val="20"/>
              </w:rPr>
              <w:t xml:space="preserve"> (35026).</w:t>
            </w:r>
          </w:p>
          <w:p w:rsidR="002F4FD4" w:rsidRPr="00D963D2" w:rsidRDefault="002F4FD4" w:rsidP="00E33C9D">
            <w:pPr>
              <w:jc w:val="both"/>
              <w:rPr>
                <w:sz w:val="20"/>
              </w:rPr>
            </w:pPr>
          </w:p>
          <w:p w:rsidR="002F4FD4" w:rsidRPr="00D963D2" w:rsidRDefault="002F4FD4" w:rsidP="00E33C9D">
            <w:pPr>
              <w:ind w:firstLine="720"/>
              <w:jc w:val="both"/>
              <w:rPr>
                <w:sz w:val="20"/>
                <w:lang w:val="fr-CA"/>
              </w:rPr>
            </w:pPr>
            <w:r w:rsidRPr="00D963D2">
              <w:rPr>
                <w:sz w:val="20"/>
                <w:lang w:val="fr-CA"/>
              </w:rPr>
              <w:t xml:space="preserve">La requête sollicitant une demande d’autorisation conjointe est accordée. Conformément au paragraphe 43 (1.1) de la </w:t>
            </w:r>
            <w:r w:rsidRPr="007B051C">
              <w:rPr>
                <w:i/>
                <w:sz w:val="20"/>
                <w:lang w:val="fr-CA"/>
              </w:rPr>
              <w:t>Loi sur la Cour suprême</w:t>
            </w:r>
            <w:r w:rsidRPr="00D963D2">
              <w:rPr>
                <w:sz w:val="20"/>
                <w:lang w:val="fr-CA"/>
              </w:rPr>
              <w:t>, l’affaire à l’origine de la demande d’autorisation d’appel de l’arrêt de la Cour d’appel de la Colombie- Britannique (Vancouver), numéros CA039893 et  CA039894, 2013 BCCA 326, daté du 10 juillet 2013, est renvoyée à la Cour d’appel de la Colombie</w:t>
            </w:r>
            <w:r>
              <w:rPr>
                <w:sz w:val="20"/>
                <w:lang w:val="fr-CA"/>
              </w:rPr>
              <w:noBreakHyphen/>
            </w:r>
            <w:r w:rsidRPr="00D963D2">
              <w:rPr>
                <w:sz w:val="20"/>
                <w:lang w:val="fr-CA"/>
              </w:rPr>
              <w:t xml:space="preserve">Britannique pour qu’elle statue en conformité avec l’arrêt </w:t>
            </w:r>
            <w:r w:rsidRPr="007B051C">
              <w:rPr>
                <w:i/>
                <w:sz w:val="20"/>
                <w:lang w:val="fr-CA"/>
              </w:rPr>
              <w:t>Sattva v. Creston Molly</w:t>
            </w:r>
            <w:r w:rsidRPr="00D963D2">
              <w:rPr>
                <w:sz w:val="20"/>
                <w:lang w:val="fr-CA"/>
              </w:rPr>
              <w:t xml:space="preserve"> (35026).</w:t>
            </w:r>
          </w:p>
        </w:tc>
      </w:tr>
    </w:tbl>
    <w:p w:rsidR="002F4FD4" w:rsidRPr="00D963D2" w:rsidRDefault="002F4FD4" w:rsidP="002F4FD4">
      <w:pPr>
        <w:rPr>
          <w:sz w:val="20"/>
          <w:szCs w:val="20"/>
          <w:lang w:val="fr-CA"/>
        </w:rPr>
      </w:pPr>
    </w:p>
    <w:p w:rsidR="002F4FD4" w:rsidRPr="001B157C" w:rsidRDefault="002F4FD4" w:rsidP="002F4FD4">
      <w:pPr>
        <w:rPr>
          <w:sz w:val="20"/>
          <w:szCs w:val="20"/>
          <w:u w:val="single"/>
        </w:rPr>
      </w:pPr>
      <w:r w:rsidRPr="001B157C">
        <w:rPr>
          <w:sz w:val="20"/>
          <w:szCs w:val="20"/>
          <w:u w:val="single"/>
        </w:rPr>
        <w:t>CASE SUMMARY</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Arbitration – Appeal on a question of law – Environmental law – Forests – Dispute arising between parties concerning compensation Province had to pay to applicant for “value of improvements made to Crown land” under s. 6(4) of </w:t>
            </w:r>
            <w:r w:rsidRPr="00154253">
              <w:rPr>
                <w:rFonts w:eastAsia="Calibri"/>
                <w:i/>
                <w:sz w:val="20"/>
              </w:rPr>
              <w:t>Forestry Revitalization Act</w:t>
            </w:r>
            <w:r w:rsidRPr="00154253">
              <w:rPr>
                <w:rFonts w:eastAsia="Calibri"/>
                <w:sz w:val="20"/>
              </w:rPr>
              <w:t xml:space="preserve"> – Arbitrator relying on expert evidence and choosing “cost savings approach” to valuation –</w:t>
            </w:r>
            <w:r w:rsidRPr="00154253">
              <w:rPr>
                <w:rFonts w:eastAsia="Calibri"/>
                <w:i/>
                <w:sz w:val="20"/>
              </w:rPr>
              <w:t xml:space="preserve"> </w:t>
            </w:r>
            <w:r w:rsidRPr="00154253">
              <w:rPr>
                <w:rFonts w:eastAsia="Calibri"/>
                <w:sz w:val="20"/>
              </w:rPr>
              <w:t>Extent to which an appellate court is permitted to interfere with or disregard an arbitrator’s assessment of the evidence when considering an appeal on a question or point of law</w:t>
            </w:r>
            <w:r w:rsidRPr="00154253">
              <w:rPr>
                <w:rFonts w:eastAsia="Calibri"/>
                <w:i/>
                <w:sz w:val="20"/>
              </w:rPr>
              <w:t xml:space="preserve"> </w:t>
            </w:r>
            <w:r w:rsidRPr="00154253">
              <w:rPr>
                <w:rFonts w:eastAsia="Calibri"/>
                <w:sz w:val="20"/>
              </w:rPr>
              <w:t>– Circumstances in which the interpretation of a contractual provision constitutes a question of law as opposed to a question of mixed fact and law</w:t>
            </w:r>
            <w:r w:rsidRPr="00154253">
              <w:rPr>
                <w:rFonts w:eastAsia="Calibri"/>
                <w:i/>
                <w:sz w:val="20"/>
              </w:rPr>
              <w:t xml:space="preserve"> </w:t>
            </w:r>
            <w:r w:rsidRPr="00154253">
              <w:rPr>
                <w:rFonts w:eastAsia="Calibri"/>
                <w:sz w:val="20"/>
              </w:rPr>
              <w:t xml:space="preserve">– </w:t>
            </w:r>
            <w:r w:rsidRPr="00154253">
              <w:rPr>
                <w:rFonts w:eastAsia="Calibri"/>
                <w:i/>
                <w:sz w:val="20"/>
              </w:rPr>
              <w:t>Forestry Revitalization Act</w:t>
            </w:r>
            <w:r w:rsidRPr="00154253">
              <w:rPr>
                <w:rFonts w:eastAsia="Calibri"/>
                <w:sz w:val="20"/>
              </w:rPr>
              <w:t xml:space="preserve">, S.B.C. 2003, c. 17, s. 6 – </w:t>
            </w:r>
            <w:r w:rsidRPr="00154253">
              <w:rPr>
                <w:rFonts w:eastAsia="Calibri"/>
                <w:i/>
                <w:sz w:val="20"/>
              </w:rPr>
              <w:t>Commercial Arbitration Act</w:t>
            </w:r>
            <w:r w:rsidRPr="00154253">
              <w:rPr>
                <w:rFonts w:eastAsia="Calibri"/>
                <w:sz w:val="20"/>
              </w:rPr>
              <w:t>, R.S.B.C. 1996, c. 55, s. 31.</w:t>
            </w:r>
          </w:p>
        </w:tc>
      </w:tr>
      <w:tr w:rsidR="002F4FD4" w:rsidRPr="00154253" w:rsidTr="00E33C9D">
        <w:tc>
          <w:tcPr>
            <w:tcW w:w="5000" w:type="pct"/>
            <w:gridSpan w:val="3"/>
          </w:tcPr>
          <w:p w:rsidR="002F4FD4" w:rsidRPr="00154253" w:rsidRDefault="002F4FD4" w:rsidP="00E33C9D">
            <w:pPr>
              <w:jc w:val="both"/>
              <w:rPr>
                <w:rFonts w:eastAsia="Calibri"/>
                <w:sz w:val="20"/>
              </w:rPr>
            </w:pPr>
          </w:p>
        </w:tc>
      </w:tr>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lastRenderedPageBreak/>
              <w:t xml:space="preserve">The parties settled the applicant's compensation under the </w:t>
            </w:r>
            <w:r w:rsidRPr="00154253">
              <w:rPr>
                <w:rFonts w:eastAsia="Calibri"/>
                <w:i/>
                <w:sz w:val="20"/>
              </w:rPr>
              <w:t>Forestry Revitalization Act</w:t>
            </w:r>
            <w:r w:rsidRPr="00154253">
              <w:rPr>
                <w:rFonts w:eastAsia="Calibri"/>
                <w:sz w:val="20"/>
              </w:rPr>
              <w:t xml:space="preserve"> for the value of lost harvesting rights but did not agree on the final compensation for the value of the related improvements.  The dispute went to arbitration.  The arbitrator relied on expert evidence and chose a “cost savings approach” to valuation.  He awarded the applicant $5,150,000, plus compound interest, in addition to the $4 million the Province had already advanced to the applicant as compensation for the improvements.  The arbitrator denied compensation for improvements relating to one of the applicant's forest licences.</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r w:rsidRPr="00154253">
              <w:rPr>
                <w:rFonts w:eastAsia="Calibri"/>
                <w:sz w:val="20"/>
              </w:rPr>
              <w:t>The chambers judge granted the Province's application for leave to appeal the arbitrator's choice of valuation method, but dismissed the appeal on its merits.  He also granted the applicant's application for leave to appeal the denial of compensation for improvements associated with one of its forest licences and allowed the appeal on its merits, remitting the matter to the arbitrator.  Finally, he refused the Province's application for leave to appeal the award of interest.  The Court of Appeal, in a majority decision, allowed the Province’s appeal.</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April 16, 2012</w:t>
            </w:r>
          </w:p>
          <w:p w:rsidR="002F4FD4" w:rsidRPr="00154253" w:rsidRDefault="002F4FD4" w:rsidP="00E33C9D">
            <w:pPr>
              <w:jc w:val="both"/>
              <w:rPr>
                <w:rFonts w:eastAsia="Calibri"/>
                <w:sz w:val="20"/>
              </w:rPr>
            </w:pPr>
            <w:r w:rsidRPr="00154253">
              <w:rPr>
                <w:rFonts w:eastAsia="Calibri"/>
                <w:sz w:val="20"/>
              </w:rPr>
              <w:t>Supreme Court of British Columbia</w:t>
            </w:r>
          </w:p>
          <w:p w:rsidR="002F4FD4" w:rsidRPr="00154253" w:rsidRDefault="002F4FD4" w:rsidP="00E33C9D">
            <w:pPr>
              <w:jc w:val="both"/>
              <w:rPr>
                <w:rFonts w:eastAsia="Calibri"/>
                <w:sz w:val="20"/>
              </w:rPr>
            </w:pPr>
            <w:r w:rsidRPr="00154253">
              <w:rPr>
                <w:rFonts w:eastAsia="Calibri"/>
                <w:sz w:val="20"/>
              </w:rPr>
              <w:t>(Bauman C.J.)</w:t>
            </w:r>
          </w:p>
          <w:p w:rsidR="002F4FD4" w:rsidRPr="00154253" w:rsidRDefault="00714478" w:rsidP="00E33C9D">
            <w:pPr>
              <w:jc w:val="both"/>
              <w:rPr>
                <w:rFonts w:eastAsia="Calibri"/>
                <w:sz w:val="20"/>
              </w:rPr>
            </w:pPr>
            <w:hyperlink r:id="rId37" w:history="1">
              <w:r w:rsidR="002F4FD4" w:rsidRPr="00154253">
                <w:rPr>
                  <w:rFonts w:eastAsia="Calibri"/>
                  <w:color w:val="0000FF"/>
                  <w:sz w:val="20"/>
                  <w:u w:val="single"/>
                </w:rPr>
                <w:t>2012 BCSC 543</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Portion of award set aside</w:t>
            </w: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July 10, 2013</w:t>
            </w:r>
          </w:p>
          <w:p w:rsidR="002F4FD4" w:rsidRPr="00154253" w:rsidRDefault="002F4FD4" w:rsidP="00E33C9D">
            <w:pPr>
              <w:jc w:val="both"/>
              <w:rPr>
                <w:rFonts w:eastAsia="Calibri"/>
                <w:sz w:val="20"/>
              </w:rPr>
            </w:pPr>
            <w:r w:rsidRPr="00154253">
              <w:rPr>
                <w:rFonts w:eastAsia="Calibri"/>
                <w:sz w:val="20"/>
              </w:rPr>
              <w:t xml:space="preserve">Court of Appeal for British Columbia </w:t>
            </w:r>
          </w:p>
          <w:p w:rsidR="002F4FD4" w:rsidRPr="00154253" w:rsidRDefault="002F4FD4" w:rsidP="00E33C9D">
            <w:pPr>
              <w:jc w:val="both"/>
              <w:rPr>
                <w:rFonts w:eastAsia="Calibri"/>
                <w:sz w:val="20"/>
              </w:rPr>
            </w:pPr>
            <w:r w:rsidRPr="00154253">
              <w:rPr>
                <w:rFonts w:eastAsia="Calibri"/>
                <w:sz w:val="20"/>
              </w:rPr>
              <w:t>(Finch C.J. (dissenting), Lowry and MacKenzie JJ.A.)</w:t>
            </w:r>
          </w:p>
          <w:p w:rsidR="002F4FD4" w:rsidRPr="00154253" w:rsidRDefault="00714478" w:rsidP="00E33C9D">
            <w:pPr>
              <w:jc w:val="both"/>
              <w:rPr>
                <w:rFonts w:eastAsia="Calibri"/>
                <w:sz w:val="20"/>
              </w:rPr>
            </w:pPr>
            <w:hyperlink r:id="rId38" w:history="1">
              <w:r w:rsidR="002F4FD4" w:rsidRPr="00154253">
                <w:rPr>
                  <w:rFonts w:eastAsia="Calibri"/>
                  <w:color w:val="0000FF"/>
                  <w:sz w:val="20"/>
                  <w:u w:val="single"/>
                </w:rPr>
                <w:t>2013 BCCA 326</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 allowed</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September 30, 2013</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and request to file a joint application for leave to appeal filed</w:t>
            </w:r>
          </w:p>
        </w:tc>
      </w:tr>
    </w:tbl>
    <w:p w:rsidR="002F4FD4" w:rsidRDefault="002F4FD4" w:rsidP="002F4FD4">
      <w:pPr>
        <w:rPr>
          <w:sz w:val="20"/>
          <w:szCs w:val="20"/>
        </w:rPr>
      </w:pPr>
    </w:p>
    <w:p w:rsidR="002F4FD4" w:rsidRPr="00C50A5C" w:rsidRDefault="00714478" w:rsidP="002F4FD4">
      <w:pPr>
        <w:rPr>
          <w:sz w:val="20"/>
          <w:szCs w:val="20"/>
        </w:rPr>
      </w:pPr>
      <w:r>
        <w:rPr>
          <w:sz w:val="20"/>
          <w:szCs w:val="20"/>
          <w:lang w:val="fr-CA"/>
        </w:rPr>
        <w:pict>
          <v:rect id="_x0000_i1050" style="width:2in;height:1pt" o:hrpct="0" o:hralign="center" o:hrstd="t" o:hrnoshade="t" o:hr="t" fillcolor="black [3213]" stroked="f"/>
        </w:pict>
      </w:r>
    </w:p>
    <w:p w:rsidR="002F4FD4" w:rsidRDefault="002F4FD4" w:rsidP="002F4FD4">
      <w:pPr>
        <w:rPr>
          <w:sz w:val="20"/>
          <w:szCs w:val="20"/>
        </w:rPr>
      </w:pPr>
    </w:p>
    <w:p w:rsidR="002F4FD4" w:rsidRPr="001B157C" w:rsidRDefault="002F4FD4" w:rsidP="002F4FD4">
      <w:pPr>
        <w:rPr>
          <w:sz w:val="20"/>
          <w:szCs w:val="20"/>
          <w:u w:val="single"/>
          <w:lang w:val="fr-CA"/>
        </w:rPr>
      </w:pPr>
      <w:r w:rsidRPr="001B157C">
        <w:rPr>
          <w:sz w:val="20"/>
          <w:szCs w:val="20"/>
          <w:u w:val="single"/>
          <w:lang w:val="fr-CA"/>
        </w:rPr>
        <w:t>RÉSUMÉ DE L’AFFAIRE</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Arbitrage – Appel sur une question de droit – Droit de l'environnement – Forêts – Différend opposant les parties relativement à l'indemnité que la province devait payer à la demanderesse au titre de la [</w:t>
            </w:r>
            <w:r w:rsidRPr="00154253">
              <w:rPr>
                <w:rFonts w:eastAsia="Calibri"/>
                <w:smallCaps/>
                <w:sz w:val="20"/>
                <w:lang w:val="fr-CA"/>
              </w:rPr>
              <w:t>traduction</w:t>
            </w:r>
            <w:r w:rsidRPr="00154253">
              <w:rPr>
                <w:rFonts w:eastAsia="Calibri"/>
                <w:sz w:val="20"/>
                <w:lang w:val="fr-CA"/>
              </w:rPr>
              <w:t xml:space="preserve">] « valeur des améliorations apportées aux terres publiques » en application du par. 6(4) de la </w:t>
            </w:r>
            <w:r w:rsidRPr="00154253">
              <w:rPr>
                <w:rFonts w:eastAsia="Calibri"/>
                <w:i/>
                <w:sz w:val="20"/>
                <w:lang w:val="fr-CA"/>
              </w:rPr>
              <w:t>Forestry Revitalization Act</w:t>
            </w:r>
            <w:r w:rsidRPr="00154253">
              <w:rPr>
                <w:rFonts w:eastAsia="Calibri"/>
                <w:sz w:val="20"/>
                <w:lang w:val="fr-CA"/>
              </w:rPr>
              <w:t xml:space="preserve"> – L'arbitre s'est appuyé sur une preuve d'expert et a choisi la méthode dite de « l'économie de coûts » pour faire l'évaluation – Mesure dans laquelle une cour d'appel peut rectifier l'évaluation de la preuve par l’arbitre ou ne pas en tenir compte lorsqu'elle examine un appel sur une question de droit – Situations dans lesquelles l'interprétation d'une disposition contractuelle constitue une question de droit par opposition à une question mixte de fait et de droit – </w:t>
            </w:r>
            <w:r w:rsidRPr="00154253">
              <w:rPr>
                <w:rFonts w:eastAsia="Calibri"/>
                <w:i/>
                <w:sz w:val="20"/>
                <w:lang w:val="fr-CA"/>
              </w:rPr>
              <w:t>Forestry Revitalization Act</w:t>
            </w:r>
            <w:r w:rsidRPr="00154253">
              <w:rPr>
                <w:rFonts w:eastAsia="Calibri"/>
                <w:sz w:val="20"/>
                <w:lang w:val="fr-CA"/>
              </w:rPr>
              <w:t xml:space="preserve">, S.B.C. 2003, ch. 17, art. 6 – </w:t>
            </w:r>
            <w:r w:rsidRPr="00154253">
              <w:rPr>
                <w:rFonts w:eastAsia="Calibri"/>
                <w:i/>
                <w:sz w:val="20"/>
                <w:lang w:val="fr-CA"/>
              </w:rPr>
              <w:t>Commercial Arbitration Act</w:t>
            </w:r>
            <w:r w:rsidRPr="00154253">
              <w:rPr>
                <w:rFonts w:eastAsia="Calibri"/>
                <w:sz w:val="20"/>
                <w:lang w:val="fr-CA"/>
              </w:rPr>
              <w:t>, R.S.B.C. 1996, ch. 55, art. 31.</w:t>
            </w:r>
          </w:p>
        </w:tc>
      </w:tr>
      <w:tr w:rsidR="002F4FD4" w:rsidRPr="00714478" w:rsidTr="00E33C9D">
        <w:tc>
          <w:tcPr>
            <w:tcW w:w="5000" w:type="pct"/>
            <w:gridSpan w:val="3"/>
          </w:tcPr>
          <w:p w:rsidR="002F4FD4" w:rsidRPr="00154253" w:rsidRDefault="002F4FD4" w:rsidP="00E33C9D">
            <w:pPr>
              <w:jc w:val="both"/>
              <w:rPr>
                <w:rFonts w:eastAsia="Calibri"/>
                <w:sz w:val="20"/>
                <w:lang w:val="fr-CA"/>
              </w:rPr>
            </w:pPr>
          </w:p>
        </w:tc>
      </w:tr>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 xml:space="preserve">Les parties ont conclu un règlement sur l'indemnité payable à la demanderesse en application de la </w:t>
            </w:r>
            <w:r w:rsidRPr="00154253">
              <w:rPr>
                <w:rFonts w:eastAsia="Calibri"/>
                <w:i/>
                <w:sz w:val="20"/>
                <w:lang w:val="fr-CA"/>
              </w:rPr>
              <w:t>Forestry Revitalization Act</w:t>
            </w:r>
            <w:r w:rsidRPr="00154253">
              <w:rPr>
                <w:rFonts w:eastAsia="Calibri"/>
                <w:sz w:val="20"/>
                <w:lang w:val="fr-CA"/>
              </w:rPr>
              <w:t xml:space="preserve"> au titre de la valeur des droits de récolte perdus, mais elles ne se sont pas entendues sur l'indemnité finale au titre de la valeur des améliorations connexes.  Le différend a été porté en arbitrage.  L'arbitre s'est appuyé sur une preuve d'expert et a choisi la méthode dite de « l'économie de coûts » pour faire l'évaluation.  Il a accordé à la demanderesse la somme de 5 150 000 $, intérêts composés en sus, en plus de la somme de 4 millions de dollars que la province avait déjà avancée à la demanderesse en indemnité au titre des améliorations.  L'arbitre a refusé d'accorder une indemnité au titre des améliorations liées à un des permis d’exploitation forestière de la demanderesse.</w:t>
            </w:r>
          </w:p>
          <w:p w:rsidR="002F4FD4" w:rsidRPr="00154253" w:rsidRDefault="002F4FD4" w:rsidP="00E33C9D">
            <w:pPr>
              <w:jc w:val="both"/>
              <w:rPr>
                <w:rFonts w:eastAsia="Calibri"/>
                <w:sz w:val="20"/>
                <w:lang w:val="fr-CA"/>
              </w:rPr>
            </w:pPr>
          </w:p>
          <w:p w:rsidR="002F4FD4" w:rsidRPr="00154253" w:rsidRDefault="002F4FD4" w:rsidP="00E33C9D">
            <w:pPr>
              <w:jc w:val="both"/>
              <w:rPr>
                <w:rFonts w:eastAsia="Calibri"/>
                <w:sz w:val="20"/>
                <w:lang w:val="fr-CA"/>
              </w:rPr>
            </w:pPr>
            <w:r w:rsidRPr="00154253">
              <w:rPr>
                <w:rFonts w:eastAsia="Calibri"/>
                <w:sz w:val="20"/>
                <w:lang w:val="fr-CA"/>
              </w:rPr>
              <w:t xml:space="preserve">Le juge en chambre a accueilli la demande d'autorisation d'appel de la Province portant sur le choix de la méthode d'évaluation de l'arbitre, mais a rejeté l'appel sur le fond.  Il a également accueilli la demande d'autorisation d'appel de la demanderesse portant sur le refus d'accorder une indemnité au titre des améliorations liées l’un de ses permis forestiers et a accueilli l'appel sur le fond, renvoyant l'affaire à l'arbitre.  Enfin, il a rejeté la demande d'autorisation </w:t>
            </w:r>
            <w:r w:rsidRPr="00154253">
              <w:rPr>
                <w:rFonts w:eastAsia="Calibri"/>
                <w:sz w:val="20"/>
                <w:lang w:val="fr-CA"/>
              </w:rPr>
              <w:lastRenderedPageBreak/>
              <w:t>d'appel de la Province portant sur la décision d’accorder les intérêts.  La Cour d'appel, dans une décision majoritaire, a accueilli l'appel de la Province.</w:t>
            </w:r>
          </w:p>
          <w:p w:rsidR="002F4FD4" w:rsidRPr="00154253" w:rsidRDefault="002F4FD4" w:rsidP="00E33C9D">
            <w:pPr>
              <w:jc w:val="both"/>
              <w:rPr>
                <w:rFonts w:eastAsia="Calibri"/>
                <w:sz w:val="20"/>
                <w:lang w:val="fr-CA"/>
              </w:rPr>
            </w:pPr>
          </w:p>
        </w:tc>
      </w:tr>
      <w:tr w:rsidR="002F4FD4" w:rsidRPr="00154253"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lastRenderedPageBreak/>
              <w:t>16 avril 2012</w:t>
            </w:r>
          </w:p>
          <w:p w:rsidR="002F4FD4" w:rsidRPr="00154253" w:rsidRDefault="002F4FD4" w:rsidP="00E33C9D">
            <w:pPr>
              <w:jc w:val="both"/>
              <w:rPr>
                <w:rFonts w:eastAsia="Calibri"/>
                <w:sz w:val="20"/>
                <w:lang w:val="fr-CA"/>
              </w:rPr>
            </w:pPr>
            <w:r w:rsidRPr="00154253">
              <w:rPr>
                <w:rFonts w:eastAsia="Calibri"/>
                <w:sz w:val="20"/>
                <w:lang w:val="fr-CA"/>
              </w:rPr>
              <w:t>Cour suprême de la Colombie-Britannique</w:t>
            </w:r>
          </w:p>
          <w:p w:rsidR="002F4FD4" w:rsidRPr="00154253" w:rsidRDefault="002F4FD4" w:rsidP="00E33C9D">
            <w:pPr>
              <w:jc w:val="both"/>
              <w:rPr>
                <w:rFonts w:eastAsia="Calibri"/>
                <w:sz w:val="20"/>
                <w:lang w:val="fr-CA"/>
              </w:rPr>
            </w:pPr>
            <w:r w:rsidRPr="00154253">
              <w:rPr>
                <w:rFonts w:eastAsia="Calibri"/>
                <w:sz w:val="20"/>
                <w:lang w:val="fr-CA"/>
              </w:rPr>
              <w:t>(Juge en chef Bauman)</w:t>
            </w:r>
          </w:p>
          <w:p w:rsidR="002F4FD4" w:rsidRPr="00154253" w:rsidRDefault="00714478" w:rsidP="00E33C9D">
            <w:pPr>
              <w:jc w:val="both"/>
              <w:rPr>
                <w:rFonts w:eastAsia="Calibri"/>
                <w:sz w:val="20"/>
                <w:lang w:val="fr-CA"/>
              </w:rPr>
            </w:pPr>
            <w:hyperlink r:id="rId39" w:history="1">
              <w:r w:rsidR="002F4FD4" w:rsidRPr="00154253">
                <w:rPr>
                  <w:rFonts w:eastAsia="Calibri"/>
                  <w:color w:val="0000FF"/>
                  <w:sz w:val="20"/>
                  <w:u w:val="single"/>
                  <w:lang w:val="fr-CA"/>
                </w:rPr>
                <w:t>2012 BCSC 543</w:t>
              </w:r>
            </w:hyperlink>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Sentence annulée en partie</w:t>
            </w:r>
          </w:p>
        </w:tc>
      </w:tr>
      <w:tr w:rsidR="002F4FD4" w:rsidRPr="00154253"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t>10 juillet 2013</w:t>
            </w:r>
          </w:p>
          <w:p w:rsidR="002F4FD4" w:rsidRPr="00154253" w:rsidRDefault="002F4FD4" w:rsidP="00E33C9D">
            <w:pPr>
              <w:jc w:val="both"/>
              <w:rPr>
                <w:rFonts w:eastAsia="Calibri"/>
                <w:sz w:val="20"/>
                <w:lang w:val="fr-CA"/>
              </w:rPr>
            </w:pPr>
            <w:r w:rsidRPr="00154253">
              <w:rPr>
                <w:rFonts w:eastAsia="Calibri"/>
                <w:sz w:val="20"/>
                <w:lang w:val="fr-CA"/>
              </w:rPr>
              <w:t>Cour d'appel de la Colombie-Britannique</w:t>
            </w:r>
          </w:p>
          <w:p w:rsidR="002F4FD4" w:rsidRPr="00154253" w:rsidRDefault="002F4FD4" w:rsidP="00E33C9D">
            <w:pPr>
              <w:jc w:val="both"/>
              <w:rPr>
                <w:rFonts w:eastAsia="Calibri"/>
                <w:sz w:val="20"/>
                <w:lang w:val="fr-CA"/>
              </w:rPr>
            </w:pPr>
            <w:r w:rsidRPr="00154253">
              <w:rPr>
                <w:rFonts w:eastAsia="Calibri"/>
                <w:sz w:val="20"/>
                <w:lang w:val="fr-CA"/>
              </w:rPr>
              <w:t>(Juge en chef Finch (dissident), juges Lowry et MacKenzie)</w:t>
            </w:r>
          </w:p>
          <w:p w:rsidR="002F4FD4" w:rsidRPr="00154253" w:rsidRDefault="00714478" w:rsidP="00E33C9D">
            <w:pPr>
              <w:jc w:val="both"/>
              <w:rPr>
                <w:rFonts w:eastAsia="Calibri"/>
                <w:sz w:val="20"/>
                <w:lang w:val="fr-CA"/>
              </w:rPr>
            </w:pPr>
            <w:hyperlink r:id="rId40" w:history="1">
              <w:r w:rsidR="002F4FD4" w:rsidRPr="00154253">
                <w:rPr>
                  <w:rFonts w:eastAsia="Calibri"/>
                  <w:color w:val="0000FF"/>
                  <w:sz w:val="20"/>
                  <w:u w:val="single"/>
                  <w:lang w:val="fr-CA"/>
                </w:rPr>
                <w:t>2013 BCCA 326</w:t>
              </w:r>
            </w:hyperlink>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Appel accueilli</w:t>
            </w:r>
          </w:p>
          <w:p w:rsidR="002F4FD4" w:rsidRPr="00154253" w:rsidRDefault="002F4FD4" w:rsidP="00E33C9D">
            <w:pPr>
              <w:jc w:val="both"/>
              <w:rPr>
                <w:rFonts w:eastAsia="Calibri"/>
                <w:sz w:val="20"/>
                <w:lang w:val="fr-CA"/>
              </w:rPr>
            </w:pPr>
          </w:p>
        </w:tc>
      </w:tr>
      <w:tr w:rsidR="002F4FD4" w:rsidRPr="00714478"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t>30 septembre 2013</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 xml:space="preserve">Demande d'autorisation d'appel et </w:t>
            </w:r>
            <w:r w:rsidRPr="00154253">
              <w:rPr>
                <w:rFonts w:eastAsia="Calibri"/>
                <w:bCs/>
                <w:sz w:val="20"/>
                <w:lang w:val="fr-CA"/>
              </w:rPr>
              <w:t>requête sollicitant la permission de présenter une demande d’autorisation d’appel conjointe</w:t>
            </w:r>
            <w:r w:rsidRPr="00154253">
              <w:rPr>
                <w:rFonts w:eastAsia="Calibri"/>
                <w:sz w:val="20"/>
                <w:lang w:val="fr-CA"/>
              </w:rPr>
              <w:t>, déposées</w:t>
            </w:r>
          </w:p>
        </w:tc>
      </w:tr>
    </w:tbl>
    <w:p w:rsidR="002F4FD4" w:rsidRPr="0051338E" w:rsidRDefault="002F4FD4" w:rsidP="002F4FD4">
      <w:pPr>
        <w:rPr>
          <w:sz w:val="20"/>
          <w:szCs w:val="20"/>
          <w:lang w:val="fr-CA"/>
        </w:rPr>
      </w:pPr>
    </w:p>
    <w:p w:rsidR="002F4FD4" w:rsidRDefault="00714478" w:rsidP="002F4FD4">
      <w:pPr>
        <w:rPr>
          <w:sz w:val="20"/>
          <w:szCs w:val="20"/>
        </w:rPr>
      </w:pPr>
      <w:r>
        <w:rPr>
          <w:sz w:val="20"/>
          <w:szCs w:val="20"/>
          <w:lang w:val="fr-CA"/>
        </w:rPr>
        <w:pict>
          <v:rect id="_x0000_i1051" style="width:2in;height:1pt" o:hrpct="0" o:hralign="center" o:hrstd="t" o:hrnoshade="t" o:hr="t" fillcolor="black [3213]" stroked="f"/>
        </w:pict>
      </w:r>
    </w:p>
    <w:p w:rsidR="002F4FD4" w:rsidRDefault="002F4FD4" w:rsidP="002F4FD4">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F4FD4" w:rsidRPr="00D963D2" w:rsidTr="00E33C9D">
        <w:trPr>
          <w:cantSplit/>
        </w:trPr>
        <w:tc>
          <w:tcPr>
            <w:tcW w:w="1458" w:type="dxa"/>
          </w:tcPr>
          <w:p w:rsidR="002F4FD4" w:rsidRPr="00D963D2" w:rsidRDefault="002F4FD4" w:rsidP="00E33C9D">
            <w:pPr>
              <w:rPr>
                <w:sz w:val="20"/>
              </w:rPr>
            </w:pPr>
            <w:r w:rsidRPr="00D963D2">
              <w:rPr>
                <w:b/>
                <w:sz w:val="20"/>
                <w:lang w:val="fr-CA"/>
              </w:rPr>
              <w:t>35773</w:t>
            </w:r>
          </w:p>
          <w:p w:rsidR="002F4FD4" w:rsidRPr="00D963D2" w:rsidRDefault="002F4FD4" w:rsidP="00E33C9D">
            <w:pPr>
              <w:rPr>
                <w:b/>
                <w:sz w:val="20"/>
                <w:lang w:val="fr-CA"/>
              </w:rPr>
            </w:pPr>
          </w:p>
        </w:tc>
        <w:tc>
          <w:tcPr>
            <w:tcW w:w="8118" w:type="dxa"/>
          </w:tcPr>
          <w:p w:rsidR="002F4FD4" w:rsidRPr="00D963D2" w:rsidRDefault="002F4FD4" w:rsidP="00E33C9D">
            <w:pPr>
              <w:jc w:val="both"/>
              <w:rPr>
                <w:sz w:val="20"/>
              </w:rPr>
            </w:pPr>
            <w:r w:rsidRPr="00D963D2">
              <w:rPr>
                <w:b/>
                <w:sz w:val="20"/>
                <w:u w:val="single"/>
              </w:rPr>
              <w:t>Bill James Jamieson v. Her Majesty the Queen</w:t>
            </w:r>
            <w:r>
              <w:rPr>
                <w:b/>
                <w:sz w:val="20"/>
                <w:u w:val="single"/>
              </w:rPr>
              <w:t xml:space="preserve"> and</w:t>
            </w:r>
            <w:r w:rsidRPr="00D963D2">
              <w:rPr>
                <w:b/>
                <w:sz w:val="20"/>
                <w:u w:val="single"/>
              </w:rPr>
              <w:t xml:space="preserve"> City of Toronto</w:t>
            </w:r>
            <w:r w:rsidRPr="00D963D2">
              <w:rPr>
                <w:sz w:val="20"/>
              </w:rPr>
              <w:t xml:space="preserve"> (Ont.) (Criminal) (By</w:t>
            </w:r>
            <w:r>
              <w:rPr>
                <w:sz w:val="20"/>
              </w:rPr>
              <w:t> </w:t>
            </w:r>
            <w:r w:rsidRPr="00D963D2">
              <w:rPr>
                <w:sz w:val="20"/>
              </w:rPr>
              <w:t>Leave)</w:t>
            </w:r>
          </w:p>
          <w:p w:rsidR="002F4FD4" w:rsidRPr="00D963D2" w:rsidRDefault="002F4FD4" w:rsidP="00E33C9D">
            <w:pPr>
              <w:jc w:val="both"/>
              <w:rPr>
                <w:sz w:val="20"/>
              </w:rPr>
            </w:pPr>
          </w:p>
        </w:tc>
      </w:tr>
      <w:tr w:rsidR="002F4FD4" w:rsidRPr="00D963D2" w:rsidTr="00E33C9D">
        <w:trPr>
          <w:cantSplit/>
        </w:trPr>
        <w:tc>
          <w:tcPr>
            <w:tcW w:w="1458" w:type="dxa"/>
          </w:tcPr>
          <w:p w:rsidR="002F4FD4" w:rsidRPr="00D963D2" w:rsidRDefault="002F4FD4" w:rsidP="00E33C9D">
            <w:pPr>
              <w:rPr>
                <w:sz w:val="20"/>
              </w:rPr>
            </w:pPr>
            <w:r w:rsidRPr="00D963D2">
              <w:rPr>
                <w:sz w:val="20"/>
              </w:rPr>
              <w:t>Coram :</w:t>
            </w:r>
          </w:p>
        </w:tc>
        <w:tc>
          <w:tcPr>
            <w:tcW w:w="8118" w:type="dxa"/>
          </w:tcPr>
          <w:p w:rsidR="002F4FD4" w:rsidRPr="00D963D2" w:rsidRDefault="002F4FD4" w:rsidP="00E33C9D">
            <w:pPr>
              <w:rPr>
                <w:sz w:val="20"/>
              </w:rPr>
            </w:pPr>
            <w:r w:rsidRPr="00D963D2">
              <w:rPr>
                <w:sz w:val="20"/>
                <w:u w:val="single"/>
              </w:rPr>
              <w:t>McLachlin C.J. and Cromwell and Wagner JJ.</w:t>
            </w:r>
          </w:p>
          <w:p w:rsidR="002F4FD4" w:rsidRPr="00D963D2" w:rsidRDefault="002F4FD4" w:rsidP="00E33C9D">
            <w:pPr>
              <w:rPr>
                <w:sz w:val="20"/>
                <w:u w:val="single"/>
              </w:rPr>
            </w:pPr>
          </w:p>
        </w:tc>
      </w:tr>
      <w:tr w:rsidR="002F4FD4" w:rsidRPr="00714478" w:rsidTr="00E33C9D">
        <w:trPr>
          <w:cantSplit/>
        </w:trPr>
        <w:tc>
          <w:tcPr>
            <w:tcW w:w="9576" w:type="dxa"/>
            <w:gridSpan w:val="2"/>
          </w:tcPr>
          <w:p w:rsidR="002F4FD4" w:rsidRPr="00D963D2" w:rsidRDefault="002F4FD4" w:rsidP="00E33C9D">
            <w:pPr>
              <w:ind w:firstLine="720"/>
              <w:jc w:val="both"/>
              <w:rPr>
                <w:sz w:val="20"/>
              </w:rPr>
            </w:pPr>
            <w:r w:rsidRPr="00D963D2">
              <w:rPr>
                <w:sz w:val="20"/>
              </w:rPr>
              <w:t>The motion to appoint counsel is dismissed.  The application for leave to appeal from the judgment of the Court of Appeal for Ontario, Numbers C53972 and C57091, 2013 ONCA 760, dated December 19, 2013, is dismissed without costs.</w:t>
            </w:r>
          </w:p>
          <w:p w:rsidR="002F4FD4" w:rsidRPr="00D963D2" w:rsidRDefault="002F4FD4" w:rsidP="00E33C9D">
            <w:pPr>
              <w:jc w:val="both"/>
              <w:rPr>
                <w:sz w:val="20"/>
              </w:rPr>
            </w:pPr>
          </w:p>
          <w:p w:rsidR="002F4FD4" w:rsidRPr="00D963D2" w:rsidRDefault="002F4FD4" w:rsidP="00E33C9D">
            <w:pPr>
              <w:ind w:firstLine="720"/>
              <w:jc w:val="both"/>
              <w:rPr>
                <w:sz w:val="20"/>
                <w:lang w:val="fr-CA"/>
              </w:rPr>
            </w:pPr>
            <w:r w:rsidRPr="00D963D2">
              <w:rPr>
                <w:sz w:val="20"/>
                <w:lang w:val="fr-CA"/>
              </w:rPr>
              <w:t>La requête pour la nomination d’un procureur est rejetée.  La demande d’autorisation d’appel de l’arrêt de la Cour d’appel de l’Ontario, numéros C53972 et C57091, 2013 ONCA 760, daté du 19 décembre 2013, est rejetée sans dépens.</w:t>
            </w:r>
          </w:p>
        </w:tc>
      </w:tr>
    </w:tbl>
    <w:p w:rsidR="002F4FD4" w:rsidRPr="0016547E" w:rsidRDefault="002F4FD4" w:rsidP="002F4FD4">
      <w:pPr>
        <w:rPr>
          <w:sz w:val="20"/>
          <w:szCs w:val="20"/>
          <w:lang w:val="fr-CA"/>
        </w:rPr>
      </w:pPr>
    </w:p>
    <w:p w:rsidR="002F4FD4" w:rsidRPr="001B157C" w:rsidRDefault="002F4FD4" w:rsidP="002F4FD4">
      <w:pPr>
        <w:rPr>
          <w:sz w:val="20"/>
          <w:szCs w:val="20"/>
          <w:u w:val="single"/>
        </w:rPr>
      </w:pPr>
      <w:r w:rsidRPr="001B157C">
        <w:rPr>
          <w:sz w:val="20"/>
          <w:szCs w:val="20"/>
          <w:u w:val="single"/>
        </w:rPr>
        <w:t>CASE SUMMARY</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Pr="00154253" w:rsidRDefault="002F4FD4" w:rsidP="00E33C9D">
            <w:pPr>
              <w:jc w:val="both"/>
              <w:rPr>
                <w:rFonts w:eastAsia="Calibri"/>
                <w:smallCaps/>
                <w:sz w:val="20"/>
              </w:rPr>
            </w:pPr>
            <w:r w:rsidRPr="00154253">
              <w:rPr>
                <w:rFonts w:eastAsia="Calibri"/>
                <w:i/>
                <w:sz w:val="20"/>
              </w:rPr>
              <w:t>Charter</w:t>
            </w:r>
            <w:r w:rsidRPr="00154253">
              <w:rPr>
                <w:rFonts w:eastAsia="Calibri"/>
                <w:sz w:val="20"/>
              </w:rPr>
              <w:t xml:space="preserve"> – Right to a fair hearing – Whether ss. 9.1 and 9.2 of the </w:t>
            </w:r>
            <w:r w:rsidRPr="00154253">
              <w:rPr>
                <w:rFonts w:eastAsia="Calibri"/>
                <w:i/>
                <w:sz w:val="20"/>
              </w:rPr>
              <w:t>Provincial Offences Act</w:t>
            </w:r>
            <w:r w:rsidRPr="00154253">
              <w:rPr>
                <w:rFonts w:eastAsia="Calibri"/>
                <w:sz w:val="20"/>
              </w:rPr>
              <w:t xml:space="preserve"> violate s. 11(d) of the </w:t>
            </w:r>
            <w:r w:rsidRPr="00154253">
              <w:rPr>
                <w:rFonts w:eastAsia="Calibri"/>
                <w:i/>
                <w:sz w:val="20"/>
              </w:rPr>
              <w:t>Charter</w:t>
            </w:r>
            <w:r w:rsidRPr="00154253">
              <w:rPr>
                <w:rFonts w:eastAsia="Calibri"/>
                <w:sz w:val="20"/>
              </w:rPr>
              <w:t xml:space="preserve"> and should be struck down.</w:t>
            </w:r>
          </w:p>
        </w:tc>
      </w:tr>
      <w:tr w:rsidR="002F4FD4" w:rsidRPr="00154253" w:rsidTr="00E33C9D">
        <w:tc>
          <w:tcPr>
            <w:tcW w:w="5000" w:type="pct"/>
            <w:gridSpan w:val="3"/>
          </w:tcPr>
          <w:p w:rsidR="002F4FD4" w:rsidRPr="00154253" w:rsidRDefault="002F4FD4" w:rsidP="00E33C9D">
            <w:pPr>
              <w:jc w:val="both"/>
              <w:rPr>
                <w:rFonts w:eastAsia="Calibri"/>
                <w:sz w:val="20"/>
              </w:rPr>
            </w:pPr>
          </w:p>
        </w:tc>
      </w:tr>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Mr. Jamieson, a driving instructor, was convicted on separate occasions of two provincial offences, one for providing driving instructions in a restricted area and one for failing to stop at a red light.  Both offences were entered under s. 9.1(1) of the </w:t>
            </w:r>
            <w:r w:rsidRPr="00154253">
              <w:rPr>
                <w:rFonts w:eastAsia="Calibri"/>
                <w:i/>
                <w:sz w:val="20"/>
              </w:rPr>
              <w:t>Provincial Offences Act</w:t>
            </w:r>
            <w:r w:rsidRPr="00154253">
              <w:rPr>
                <w:rFonts w:eastAsia="Calibri"/>
                <w:sz w:val="20"/>
              </w:rPr>
              <w:t>.  In both cases, Mr. Jamieson filed a standard form Notice of Intention to Appear (“NIA”) which indicated that:</w:t>
            </w:r>
          </w:p>
          <w:p w:rsidR="002F4FD4" w:rsidRPr="00154253" w:rsidRDefault="002F4FD4" w:rsidP="00E33C9D">
            <w:pPr>
              <w:jc w:val="both"/>
              <w:rPr>
                <w:rFonts w:eastAsia="Calibri"/>
                <w:sz w:val="20"/>
              </w:rPr>
            </w:pPr>
          </w:p>
          <w:p w:rsidR="002F4FD4" w:rsidRPr="00154253" w:rsidRDefault="002F4FD4" w:rsidP="00E33C9D">
            <w:pPr>
              <w:ind w:left="720"/>
              <w:jc w:val="both"/>
              <w:rPr>
                <w:rFonts w:eastAsia="Calibri"/>
                <w:sz w:val="20"/>
              </w:rPr>
            </w:pPr>
            <w:r w:rsidRPr="00154253">
              <w:rPr>
                <w:rFonts w:eastAsia="Calibri"/>
                <w:sz w:val="20"/>
              </w:rPr>
              <w:t xml:space="preserve">TAKE NOTICE THAT I Bill Jamieson . . . wish to give notice of my intention to appear in court for the purpose of entering a plea and having a trial respecting the charge set out . . . </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r w:rsidRPr="00154253">
              <w:rPr>
                <w:rFonts w:eastAsia="Calibri"/>
                <w:sz w:val="20"/>
              </w:rPr>
              <w:t>Mr. Jamieson also indicated on the NIA that he intended to challenge the evidence of the provincial offences officers who completed the certificates of offence.  The standard form NIA contained the following warning:</w:t>
            </w:r>
          </w:p>
          <w:p w:rsidR="002F4FD4" w:rsidRPr="00154253" w:rsidRDefault="002F4FD4" w:rsidP="00E33C9D">
            <w:pPr>
              <w:jc w:val="both"/>
              <w:rPr>
                <w:rFonts w:eastAsia="Calibri"/>
                <w:sz w:val="20"/>
              </w:rPr>
            </w:pPr>
          </w:p>
          <w:p w:rsidR="002F4FD4" w:rsidRPr="00154253" w:rsidRDefault="002F4FD4" w:rsidP="00E33C9D">
            <w:pPr>
              <w:ind w:left="720"/>
              <w:jc w:val="both"/>
              <w:rPr>
                <w:rFonts w:eastAsia="Calibri"/>
                <w:sz w:val="20"/>
              </w:rPr>
            </w:pPr>
            <w:r w:rsidRPr="00154253">
              <w:rPr>
                <w:rFonts w:eastAsia="Calibri"/>
                <w:sz w:val="20"/>
              </w:rPr>
              <w:t xml:space="preserve">IF YOU FAIL TO APPEAR AT THE TIME AND PLACE SET FOR YOUR TRIAL, YOU WILL BE </w:t>
            </w:r>
            <w:r w:rsidRPr="00154253">
              <w:rPr>
                <w:rFonts w:eastAsia="Calibri"/>
                <w:sz w:val="20"/>
              </w:rPr>
              <w:lastRenderedPageBreak/>
              <w:t>DEEMED NOT TO DISPUTE THE CHARGE, AND A CONVICTION MAY BE ENTERED IN YOUR ABSENCE, WITHOUT FURTHER NOTICE.</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r w:rsidRPr="00154253">
              <w:rPr>
                <w:rFonts w:eastAsia="Calibri"/>
                <w:sz w:val="20"/>
              </w:rPr>
              <w:t>Mr. Jamieson was also issued a standard from Notice of Trial (“NT”) which provided the date, time and location of his trial.  The NT warned about the consequences of not appearing:</w:t>
            </w:r>
          </w:p>
          <w:p w:rsidR="002F4FD4" w:rsidRPr="00154253" w:rsidRDefault="002F4FD4" w:rsidP="00E33C9D">
            <w:pPr>
              <w:jc w:val="both"/>
              <w:rPr>
                <w:rFonts w:eastAsia="Calibri"/>
                <w:sz w:val="20"/>
              </w:rPr>
            </w:pPr>
          </w:p>
          <w:p w:rsidR="002F4FD4" w:rsidRPr="00154253" w:rsidRDefault="002F4FD4" w:rsidP="00E33C9D">
            <w:pPr>
              <w:ind w:left="720"/>
              <w:jc w:val="both"/>
              <w:rPr>
                <w:rFonts w:eastAsia="Calibri"/>
                <w:sz w:val="20"/>
              </w:rPr>
            </w:pPr>
            <w:r w:rsidRPr="00154253">
              <w:rPr>
                <w:rFonts w:eastAsia="Calibri"/>
                <w:sz w:val="20"/>
              </w:rPr>
              <w:t>Your trial will be held on the date and time noted above at the Ontario Court of Justice shown.  You and your witnesses should be ready for your trial at that time.  If you do not appear, you will be deemed not to dispute the charge and the court may convict you in your absence without further notice.</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r w:rsidRPr="00154253">
              <w:rPr>
                <w:rFonts w:eastAsia="Calibri"/>
                <w:sz w:val="20"/>
              </w:rPr>
              <w:t>In both cases, the trials were adjourned a number of times and on the dates the matters were finally spoken to, Mr. Jamieson was not present.</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r w:rsidRPr="00154253">
              <w:rPr>
                <w:rFonts w:eastAsia="Calibri"/>
                <w:sz w:val="20"/>
              </w:rPr>
              <w:t xml:space="preserve">On the charge of instructing in a restricted area, the matter was spoken to at 9:18am on March 11, 2010.  Mr. Jamieson was not present.  After a review of the certificate of offence, he was convicted under s. 9.1 of the </w:t>
            </w:r>
            <w:r w:rsidRPr="00154253">
              <w:rPr>
                <w:rFonts w:eastAsia="Calibri"/>
                <w:i/>
                <w:sz w:val="20"/>
              </w:rPr>
              <w:t>POA</w:t>
            </w:r>
            <w:r w:rsidRPr="00154253">
              <w:rPr>
                <w:rFonts w:eastAsia="Calibri"/>
                <w:sz w:val="20"/>
              </w:rPr>
              <w:t>.  Mr. Jamieson arrived at the courthouse at 1:30pm later that day as there appeared to be confusion about whether he wrote down the right time, or whether he was given the right time for the trial at the previous attendance.  A judge of the Ontario Court of Justice refused Jamieson’s request to reopen the matter and Jamieson then filed an appeal with the Ontario Court of Justice which was dismissed.</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r w:rsidRPr="00154253">
              <w:rPr>
                <w:rFonts w:eastAsia="Calibri"/>
                <w:sz w:val="20"/>
              </w:rPr>
              <w:t>At a trial date on December 22, 2010, on the charge of failing to stop at a red light, Jamieson was deemed not to dispute the charge despite his vociferous protestations in court. His paralegal did not appear.  Jamieson later successfully reopened the matter and his conviction was struck out and he was provided with a new NT setting the trial date for July 21, 2011 at 3:00pm.  On that date, Jamieson did not appear but sent a friend to seek an adjournment.  The adjournment was refused and Jamieson was deemed not to dispute the charge and was convicted.  Jamieson’s appeal was dismissed.</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r w:rsidRPr="00154253">
              <w:rPr>
                <w:rFonts w:eastAsia="Calibri"/>
                <w:sz w:val="20"/>
              </w:rPr>
              <w:t xml:space="preserve">The two cases were heard together at the Ontario Court of Appeal. Jamieson challenged the constitutionality of s. 9.1 on the basis that it was used against him when he manifestly wanted a trial for each charge.  He asserted that he was denied the right to be presumed innocent until proven guilty according to law in a fair and public hearing by an independent and impartial tribunal, contrary to s. 11(d) of the </w:t>
            </w:r>
            <w:r w:rsidRPr="00154253">
              <w:rPr>
                <w:rFonts w:eastAsia="Calibri"/>
                <w:i/>
                <w:sz w:val="20"/>
              </w:rPr>
              <w:t>Charter of Rights and Freedoms</w:t>
            </w:r>
            <w:r w:rsidRPr="00154253">
              <w:rPr>
                <w:rFonts w:eastAsia="Calibri"/>
                <w:sz w:val="20"/>
              </w:rPr>
              <w:t>.  The Court of Appeal dismissed Mr. Jamieson’s constitutional challenge.  The City of Toronto, however conceded that Jamieson should have new trials on both matters because he did not receive a fair hearing on his appeals before the Ontario Court of Justice.  On that basis, the appeal was allowed.</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lastRenderedPageBreak/>
              <w:t>March 11, 2010</w:t>
            </w:r>
          </w:p>
          <w:p w:rsidR="002F4FD4" w:rsidRPr="00154253" w:rsidRDefault="002F4FD4" w:rsidP="00E33C9D">
            <w:pPr>
              <w:jc w:val="both"/>
              <w:rPr>
                <w:rFonts w:eastAsia="Calibri"/>
                <w:sz w:val="20"/>
              </w:rPr>
            </w:pPr>
            <w:r w:rsidRPr="00154253">
              <w:rPr>
                <w:rFonts w:eastAsia="Calibri"/>
                <w:sz w:val="20"/>
              </w:rPr>
              <w:t>Ontario Court of Justice</w:t>
            </w:r>
          </w:p>
          <w:p w:rsidR="002F4FD4" w:rsidRPr="00154253" w:rsidRDefault="002F4FD4" w:rsidP="00E33C9D">
            <w:pPr>
              <w:jc w:val="both"/>
              <w:rPr>
                <w:rFonts w:eastAsia="Calibri"/>
                <w:sz w:val="20"/>
              </w:rPr>
            </w:pPr>
            <w:r w:rsidRPr="00154253">
              <w:rPr>
                <w:rFonts w:eastAsia="Calibri"/>
                <w:sz w:val="20"/>
              </w:rPr>
              <w:t>(Hudson J.P.)</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Applicant convicted of giving driving instruction in a restricted area.</w:t>
            </w:r>
          </w:p>
          <w:p w:rsidR="002F4FD4" w:rsidRPr="00154253" w:rsidRDefault="002F4FD4" w:rsidP="00E33C9D">
            <w:pPr>
              <w:jc w:val="both"/>
              <w:rPr>
                <w:rFonts w:eastAsia="Calibri"/>
                <w:sz w:val="20"/>
              </w:rPr>
            </w:pPr>
            <w:r w:rsidRPr="00154253">
              <w:rPr>
                <w:rFonts w:eastAsia="Calibri"/>
                <w:sz w:val="20"/>
              </w:rPr>
              <w:t xml:space="preserve"> </w:t>
            </w: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June 8, 2010</w:t>
            </w:r>
          </w:p>
          <w:p w:rsidR="002F4FD4" w:rsidRPr="00154253" w:rsidRDefault="002F4FD4" w:rsidP="00E33C9D">
            <w:pPr>
              <w:jc w:val="both"/>
              <w:rPr>
                <w:rFonts w:eastAsia="Calibri"/>
                <w:sz w:val="20"/>
              </w:rPr>
            </w:pPr>
            <w:r w:rsidRPr="00154253">
              <w:rPr>
                <w:rFonts w:eastAsia="Calibri"/>
                <w:sz w:val="20"/>
              </w:rPr>
              <w:t>Ontario Court of Justice</w:t>
            </w:r>
          </w:p>
          <w:p w:rsidR="002F4FD4" w:rsidRPr="00154253" w:rsidRDefault="002F4FD4" w:rsidP="00E33C9D">
            <w:pPr>
              <w:jc w:val="both"/>
              <w:rPr>
                <w:rFonts w:eastAsia="Calibri"/>
                <w:sz w:val="20"/>
              </w:rPr>
            </w:pPr>
            <w:r w:rsidRPr="00154253">
              <w:rPr>
                <w:rFonts w:eastAsia="Calibri"/>
                <w:sz w:val="20"/>
              </w:rPr>
              <w:t>(Libman J.)</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 dismissed.</w:t>
            </w: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July 21, 2011</w:t>
            </w:r>
          </w:p>
          <w:p w:rsidR="002F4FD4" w:rsidRPr="00154253" w:rsidRDefault="002F4FD4" w:rsidP="00E33C9D">
            <w:pPr>
              <w:jc w:val="both"/>
              <w:rPr>
                <w:rFonts w:eastAsia="Calibri"/>
                <w:sz w:val="20"/>
              </w:rPr>
            </w:pPr>
            <w:r w:rsidRPr="00154253">
              <w:rPr>
                <w:rFonts w:eastAsia="Calibri"/>
                <w:sz w:val="20"/>
              </w:rPr>
              <w:t>Ontario Court of Justice</w:t>
            </w:r>
          </w:p>
          <w:p w:rsidR="002F4FD4" w:rsidRPr="00154253" w:rsidRDefault="002F4FD4" w:rsidP="00E33C9D">
            <w:pPr>
              <w:jc w:val="both"/>
              <w:rPr>
                <w:rFonts w:eastAsia="Calibri"/>
                <w:sz w:val="20"/>
              </w:rPr>
            </w:pPr>
            <w:r w:rsidRPr="00154253">
              <w:rPr>
                <w:rFonts w:eastAsia="Calibri"/>
                <w:sz w:val="20"/>
              </w:rPr>
              <w:t>(Frederick J.P.)</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Applicant convicted of failing to stop at a red light.</w:t>
            </w: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December 28, 2011</w:t>
            </w:r>
          </w:p>
          <w:p w:rsidR="002F4FD4" w:rsidRPr="00154253" w:rsidRDefault="002F4FD4" w:rsidP="00E33C9D">
            <w:pPr>
              <w:jc w:val="both"/>
              <w:rPr>
                <w:rFonts w:eastAsia="Calibri"/>
                <w:sz w:val="20"/>
              </w:rPr>
            </w:pPr>
            <w:r w:rsidRPr="00154253">
              <w:rPr>
                <w:rFonts w:eastAsia="Calibri"/>
                <w:sz w:val="20"/>
              </w:rPr>
              <w:t>Ontario Court of Justice</w:t>
            </w:r>
          </w:p>
          <w:p w:rsidR="002F4FD4" w:rsidRPr="00154253" w:rsidRDefault="002F4FD4" w:rsidP="00E33C9D">
            <w:pPr>
              <w:jc w:val="both"/>
              <w:rPr>
                <w:rFonts w:eastAsia="Calibri"/>
                <w:sz w:val="20"/>
              </w:rPr>
            </w:pPr>
            <w:r w:rsidRPr="00154253">
              <w:rPr>
                <w:rFonts w:eastAsia="Calibri"/>
                <w:sz w:val="20"/>
              </w:rPr>
              <w:t>(Libman J.)</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 dismissed.</w:t>
            </w:r>
          </w:p>
        </w:tc>
      </w:tr>
      <w:tr w:rsidR="002F4FD4" w:rsidRPr="00154253" w:rsidTr="008C097E">
        <w:trPr>
          <w:cantSplit/>
        </w:trPr>
        <w:tc>
          <w:tcPr>
            <w:tcW w:w="2427" w:type="pct"/>
          </w:tcPr>
          <w:p w:rsidR="002F4FD4" w:rsidRPr="00154253" w:rsidRDefault="002F4FD4" w:rsidP="00E33C9D">
            <w:pPr>
              <w:jc w:val="both"/>
              <w:rPr>
                <w:rFonts w:eastAsia="Calibri"/>
                <w:sz w:val="20"/>
              </w:rPr>
            </w:pPr>
            <w:r w:rsidRPr="00154253">
              <w:rPr>
                <w:rFonts w:eastAsia="Calibri"/>
                <w:sz w:val="20"/>
              </w:rPr>
              <w:lastRenderedPageBreak/>
              <w:t>December 19, 2013</w:t>
            </w:r>
          </w:p>
          <w:p w:rsidR="002F4FD4" w:rsidRPr="00154253" w:rsidRDefault="002F4FD4" w:rsidP="00E33C9D">
            <w:pPr>
              <w:jc w:val="both"/>
              <w:rPr>
                <w:rFonts w:eastAsia="Calibri"/>
                <w:sz w:val="20"/>
              </w:rPr>
            </w:pPr>
            <w:r w:rsidRPr="00154253">
              <w:rPr>
                <w:rFonts w:eastAsia="Calibri"/>
                <w:sz w:val="20"/>
              </w:rPr>
              <w:t>Court of Appeal for Ontario</w:t>
            </w:r>
          </w:p>
          <w:p w:rsidR="002F4FD4" w:rsidRPr="00154253" w:rsidRDefault="002F4FD4" w:rsidP="00E33C9D">
            <w:pPr>
              <w:jc w:val="both"/>
              <w:rPr>
                <w:rFonts w:eastAsia="Calibri"/>
                <w:sz w:val="20"/>
              </w:rPr>
            </w:pPr>
            <w:r w:rsidRPr="00154253">
              <w:rPr>
                <w:rFonts w:eastAsia="Calibri"/>
                <w:sz w:val="20"/>
              </w:rPr>
              <w:t>(MacFarland, Watt and Lauwers JJ.A.)</w:t>
            </w:r>
          </w:p>
          <w:p w:rsidR="002F4FD4" w:rsidRPr="00154253" w:rsidRDefault="00714478" w:rsidP="00E33C9D">
            <w:pPr>
              <w:jc w:val="both"/>
              <w:rPr>
                <w:rFonts w:eastAsia="Calibri"/>
                <w:sz w:val="20"/>
              </w:rPr>
            </w:pPr>
            <w:hyperlink r:id="rId41" w:history="1">
              <w:r w:rsidR="002F4FD4" w:rsidRPr="00154253">
                <w:rPr>
                  <w:rFonts w:eastAsia="Calibri"/>
                  <w:color w:val="0000FF"/>
                  <w:sz w:val="20"/>
                  <w:u w:val="single"/>
                </w:rPr>
                <w:t>2013 ONCA 760</w:t>
              </w:r>
            </w:hyperlink>
            <w:r w:rsidR="002F4FD4" w:rsidRPr="00154253">
              <w:rPr>
                <w:rFonts w:eastAsia="Calibri"/>
                <w:sz w:val="20"/>
              </w:rPr>
              <w:t>; C53972; C57091</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Appeals dismissed on constitutional ground; Appeals allowed on ground that applicant did not receive a fair hearing; New trials ordered.</w:t>
            </w:r>
          </w:p>
        </w:tc>
      </w:tr>
      <w:tr w:rsidR="002F4FD4" w:rsidRPr="00154253" w:rsidTr="008C097E">
        <w:trPr>
          <w:cantSplit/>
        </w:trPr>
        <w:tc>
          <w:tcPr>
            <w:tcW w:w="2427" w:type="pct"/>
          </w:tcPr>
          <w:p w:rsidR="002F4FD4" w:rsidRPr="00154253" w:rsidRDefault="002F4FD4" w:rsidP="00E33C9D">
            <w:pPr>
              <w:jc w:val="both"/>
              <w:rPr>
                <w:rFonts w:eastAsia="Calibri"/>
                <w:sz w:val="20"/>
              </w:rPr>
            </w:pPr>
            <w:r w:rsidRPr="00154253">
              <w:rPr>
                <w:rFonts w:eastAsia="Calibri"/>
                <w:sz w:val="20"/>
              </w:rPr>
              <w:t>February 19, 2014</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filed.</w:t>
            </w:r>
          </w:p>
        </w:tc>
      </w:tr>
    </w:tbl>
    <w:p w:rsidR="002F4FD4" w:rsidRDefault="002F4FD4" w:rsidP="002F4FD4">
      <w:pPr>
        <w:rPr>
          <w:sz w:val="20"/>
          <w:szCs w:val="20"/>
        </w:rPr>
      </w:pPr>
    </w:p>
    <w:p w:rsidR="002F4FD4" w:rsidRPr="00C50A5C" w:rsidRDefault="00714478" w:rsidP="002F4FD4">
      <w:pPr>
        <w:rPr>
          <w:sz w:val="20"/>
          <w:szCs w:val="20"/>
        </w:rPr>
      </w:pPr>
      <w:r>
        <w:rPr>
          <w:sz w:val="20"/>
          <w:szCs w:val="20"/>
          <w:lang w:val="fr-CA"/>
        </w:rPr>
        <w:pict>
          <v:rect id="_x0000_i1052" style="width:2in;height:1pt" o:hrpct="0" o:hralign="center" o:hrstd="t" o:hrnoshade="t" o:hr="t" fillcolor="black [3213]" stroked="f"/>
        </w:pict>
      </w:r>
    </w:p>
    <w:p w:rsidR="002F4FD4" w:rsidRDefault="002F4FD4" w:rsidP="002F4FD4">
      <w:pPr>
        <w:rPr>
          <w:sz w:val="20"/>
          <w:szCs w:val="20"/>
        </w:rPr>
      </w:pPr>
    </w:p>
    <w:p w:rsidR="002F4FD4" w:rsidRPr="001B157C" w:rsidRDefault="002F4FD4" w:rsidP="002F4FD4">
      <w:pPr>
        <w:rPr>
          <w:sz w:val="20"/>
          <w:szCs w:val="20"/>
          <w:u w:val="single"/>
          <w:lang w:val="fr-CA"/>
        </w:rPr>
      </w:pPr>
      <w:r w:rsidRPr="001B157C">
        <w:rPr>
          <w:sz w:val="20"/>
          <w:szCs w:val="20"/>
          <w:u w:val="single"/>
          <w:lang w:val="fr-CA"/>
        </w:rPr>
        <w:t>RÉSUMÉ DE L’AFFAIRE</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714478" w:rsidTr="00E33C9D">
        <w:tc>
          <w:tcPr>
            <w:tcW w:w="5000" w:type="pct"/>
            <w:gridSpan w:val="3"/>
          </w:tcPr>
          <w:p w:rsidR="002F4FD4" w:rsidRPr="00154253" w:rsidRDefault="002F4FD4" w:rsidP="00E33C9D">
            <w:pPr>
              <w:jc w:val="both"/>
              <w:rPr>
                <w:rFonts w:eastAsia="Calibri"/>
                <w:smallCaps/>
                <w:sz w:val="20"/>
                <w:lang w:val="fr-CA"/>
              </w:rPr>
            </w:pPr>
            <w:r w:rsidRPr="00154253">
              <w:rPr>
                <w:rFonts w:eastAsia="Calibri"/>
                <w:i/>
                <w:sz w:val="20"/>
                <w:lang w:val="fr-CA"/>
              </w:rPr>
              <w:t>Charte</w:t>
            </w:r>
            <w:r w:rsidRPr="00154253">
              <w:rPr>
                <w:rFonts w:eastAsia="Calibri"/>
                <w:sz w:val="20"/>
                <w:lang w:val="fr-CA"/>
              </w:rPr>
              <w:t xml:space="preserve"> – Procès équitable – Les articles 9.1 et 9.2 de la </w:t>
            </w:r>
            <w:r w:rsidRPr="00154253">
              <w:rPr>
                <w:rFonts w:eastAsia="Calibri"/>
                <w:i/>
                <w:sz w:val="20"/>
                <w:lang w:val="fr-CA"/>
              </w:rPr>
              <w:t xml:space="preserve">Loi sur les infractions provinciales </w:t>
            </w:r>
            <w:r w:rsidRPr="00154253">
              <w:rPr>
                <w:rFonts w:eastAsia="Calibri"/>
                <w:sz w:val="20"/>
                <w:lang w:val="fr-CA"/>
              </w:rPr>
              <w:t>violent-ils l’al. 11</w:t>
            </w:r>
            <w:r w:rsidRPr="00154253">
              <w:rPr>
                <w:rFonts w:eastAsia="Calibri"/>
                <w:i/>
                <w:sz w:val="20"/>
                <w:lang w:val="fr-CA"/>
              </w:rPr>
              <w:t>d</w:t>
            </w:r>
            <w:r w:rsidRPr="00154253">
              <w:rPr>
                <w:rFonts w:eastAsia="Calibri"/>
                <w:sz w:val="20"/>
                <w:lang w:val="fr-CA"/>
              </w:rPr>
              <w:t xml:space="preserve">) de la </w:t>
            </w:r>
            <w:r w:rsidRPr="00154253">
              <w:rPr>
                <w:rFonts w:eastAsia="Calibri"/>
                <w:i/>
                <w:sz w:val="20"/>
                <w:lang w:val="fr-CA"/>
              </w:rPr>
              <w:t>Charte</w:t>
            </w:r>
            <w:r w:rsidRPr="00154253">
              <w:rPr>
                <w:rFonts w:eastAsia="Calibri"/>
                <w:sz w:val="20"/>
                <w:lang w:val="fr-CA"/>
              </w:rPr>
              <w:t xml:space="preserve"> et devraient-ils être annulés?</w:t>
            </w:r>
          </w:p>
        </w:tc>
      </w:tr>
      <w:tr w:rsidR="002F4FD4" w:rsidRPr="00714478" w:rsidTr="00E33C9D">
        <w:tc>
          <w:tcPr>
            <w:tcW w:w="5000" w:type="pct"/>
            <w:gridSpan w:val="3"/>
          </w:tcPr>
          <w:p w:rsidR="002F4FD4" w:rsidRPr="00154253" w:rsidRDefault="002F4FD4" w:rsidP="00E33C9D">
            <w:pPr>
              <w:jc w:val="both"/>
              <w:rPr>
                <w:rFonts w:eastAsia="Calibri"/>
                <w:sz w:val="20"/>
                <w:lang w:val="fr-CA"/>
              </w:rPr>
            </w:pPr>
          </w:p>
        </w:tc>
      </w:tr>
      <w:tr w:rsidR="002F4FD4" w:rsidRPr="00154253"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 xml:space="preserve">À des occasions différentes, M. Jamieson, un moniteur d’auto-école, a été déclaré coupable de deux infractions provinciales : avoir donné des cours de conduite automobile dans une zone d’accès restreint et avoir omis de s’arrêter à un feu rouge.  Les deux infractions ont été inscrites en vertu du par. 9.1(1) de la </w:t>
            </w:r>
            <w:r w:rsidRPr="00154253">
              <w:rPr>
                <w:rFonts w:eastAsia="Calibri"/>
                <w:i/>
                <w:sz w:val="20"/>
                <w:lang w:val="fr-CA"/>
              </w:rPr>
              <w:t xml:space="preserve">Loi sur les infractions provinciales </w:t>
            </w:r>
            <w:r w:rsidRPr="00154253">
              <w:rPr>
                <w:rFonts w:eastAsia="Calibri"/>
                <w:sz w:val="20"/>
                <w:lang w:val="fr-CA"/>
              </w:rPr>
              <w:t>(la «</w:t>
            </w:r>
            <w:r w:rsidRPr="00154253">
              <w:rPr>
                <w:rFonts w:eastAsia="Calibri"/>
                <w:i/>
                <w:sz w:val="20"/>
                <w:lang w:val="fr-CA"/>
              </w:rPr>
              <w:t> LIP </w:t>
            </w:r>
            <w:r w:rsidRPr="00154253">
              <w:rPr>
                <w:rFonts w:eastAsia="Calibri"/>
                <w:sz w:val="20"/>
                <w:lang w:val="fr-CA"/>
              </w:rPr>
              <w:t>»</w:t>
            </w:r>
            <w:r w:rsidRPr="00154253">
              <w:rPr>
                <w:rFonts w:eastAsia="Calibri"/>
                <w:i/>
                <w:sz w:val="20"/>
                <w:lang w:val="fr-CA"/>
              </w:rPr>
              <w:t>)</w:t>
            </w:r>
            <w:r w:rsidRPr="00154253">
              <w:rPr>
                <w:rFonts w:eastAsia="Calibri"/>
                <w:sz w:val="20"/>
                <w:lang w:val="fr-CA"/>
              </w:rPr>
              <w:t>.  Dans les deux cas, M. Jamieson a déposé un avis type d’intention de comparaître (l’« AIC ») indiquant :</w:t>
            </w:r>
          </w:p>
          <w:p w:rsidR="002F4FD4" w:rsidRPr="00154253" w:rsidRDefault="002F4FD4" w:rsidP="00E33C9D">
            <w:pPr>
              <w:jc w:val="both"/>
              <w:rPr>
                <w:rFonts w:eastAsia="Calibri"/>
                <w:sz w:val="20"/>
                <w:lang w:val="fr-CA"/>
              </w:rPr>
            </w:pPr>
          </w:p>
          <w:p w:rsidR="002F4FD4" w:rsidRPr="00154253" w:rsidRDefault="002F4FD4" w:rsidP="00E33C9D">
            <w:pPr>
              <w:ind w:left="720"/>
              <w:jc w:val="both"/>
              <w:rPr>
                <w:rFonts w:eastAsia="Calibri"/>
                <w:sz w:val="20"/>
                <w:lang w:val="fr-CA"/>
              </w:rPr>
            </w:pPr>
            <w:r w:rsidRPr="00154253">
              <w:rPr>
                <w:rFonts w:eastAsia="Calibri"/>
                <w:sz w:val="20"/>
                <w:lang w:val="fr-CA"/>
              </w:rPr>
              <w:t>[</w:t>
            </w:r>
            <w:r w:rsidRPr="00154253">
              <w:rPr>
                <w:rFonts w:eastAsia="Calibri"/>
                <w:smallCaps/>
                <w:sz w:val="20"/>
                <w:lang w:val="fr-CA"/>
              </w:rPr>
              <w:t>traduction</w:t>
            </w:r>
            <w:r w:rsidRPr="00154253">
              <w:rPr>
                <w:rFonts w:eastAsia="Calibri"/>
                <w:sz w:val="20"/>
                <w:lang w:val="fr-CA"/>
              </w:rPr>
              <w:t xml:space="preserve">]  VEUILLEZ PRENDRE AVIS QUE JE, SOUSSIGNÉ(E), Bill Jamieson,  [. . .] désire aviser de mon intention de comparaître devant le tribunal pour inscrire un plaidoyer et faire instruire la question, en ce qui concerne l’accusation décrite [. . .] </w:t>
            </w:r>
          </w:p>
          <w:p w:rsidR="002F4FD4" w:rsidRPr="00154253" w:rsidRDefault="002F4FD4" w:rsidP="00E33C9D">
            <w:pPr>
              <w:jc w:val="both"/>
              <w:rPr>
                <w:rFonts w:eastAsia="Calibri"/>
                <w:sz w:val="20"/>
                <w:lang w:val="fr-CA"/>
              </w:rPr>
            </w:pPr>
          </w:p>
          <w:p w:rsidR="002F4FD4" w:rsidRPr="00154253" w:rsidRDefault="002F4FD4" w:rsidP="00E33C9D">
            <w:pPr>
              <w:jc w:val="both"/>
              <w:rPr>
                <w:rFonts w:eastAsia="Calibri"/>
                <w:sz w:val="20"/>
                <w:lang w:val="fr-CA"/>
              </w:rPr>
            </w:pPr>
            <w:r w:rsidRPr="00154253">
              <w:rPr>
                <w:rFonts w:eastAsia="Calibri"/>
                <w:sz w:val="20"/>
                <w:lang w:val="fr-CA"/>
              </w:rPr>
              <w:t>M. Jamieson a également indiqué sur l’AIC qu’il avait l’intention de contester la preuve des agents des infractions provinciales ayant dressé les procès-verbaux d’infraction.  L’AIC type comportait l’avertissement suivant :</w:t>
            </w:r>
          </w:p>
          <w:p w:rsidR="002F4FD4" w:rsidRPr="00154253" w:rsidRDefault="002F4FD4" w:rsidP="00E33C9D">
            <w:pPr>
              <w:jc w:val="both"/>
              <w:rPr>
                <w:rFonts w:eastAsia="Calibri"/>
                <w:sz w:val="20"/>
                <w:lang w:val="fr-CA"/>
              </w:rPr>
            </w:pPr>
          </w:p>
          <w:p w:rsidR="002F4FD4" w:rsidRPr="00154253" w:rsidRDefault="002F4FD4" w:rsidP="00E33C9D">
            <w:pPr>
              <w:ind w:left="720"/>
              <w:jc w:val="both"/>
              <w:rPr>
                <w:rFonts w:eastAsia="Calibri"/>
                <w:sz w:val="20"/>
                <w:lang w:val="fr-CA"/>
              </w:rPr>
            </w:pPr>
            <w:r w:rsidRPr="00154253">
              <w:rPr>
                <w:rFonts w:eastAsia="Calibri"/>
                <w:sz w:val="20"/>
                <w:lang w:val="fr-CA"/>
              </w:rPr>
              <w:t>[</w:t>
            </w:r>
            <w:r w:rsidRPr="00154253">
              <w:rPr>
                <w:rFonts w:eastAsia="Calibri"/>
                <w:smallCaps/>
                <w:sz w:val="20"/>
                <w:lang w:val="fr-CA"/>
              </w:rPr>
              <w:t>traduction</w:t>
            </w:r>
            <w:r w:rsidRPr="00154253">
              <w:rPr>
                <w:rFonts w:eastAsia="Calibri"/>
                <w:sz w:val="20"/>
                <w:lang w:val="fr-CA"/>
              </w:rPr>
              <w:t>]  SI VOUS NE COMPARAISSEZ PAS À L’HEURE, À LA DATE ET AU LIEU FIXÉS POUR VOTRE PROCÈS, VOUS SEREZ RÉPUTÉ(E) NE PAS CONTESTER L’ACCUSATION, ET UNE DÉCLARATION DE CULPABILITÉ POURRA ÊTRE INSCRITE CONTRE VOUS EN VOTRE ABSENCE, SANS AUTRE AVIS.</w:t>
            </w:r>
          </w:p>
          <w:p w:rsidR="002F4FD4" w:rsidRPr="00154253" w:rsidRDefault="002F4FD4" w:rsidP="00E33C9D">
            <w:pPr>
              <w:jc w:val="both"/>
              <w:rPr>
                <w:rFonts w:eastAsia="Calibri"/>
                <w:sz w:val="20"/>
                <w:lang w:val="fr-CA"/>
              </w:rPr>
            </w:pPr>
          </w:p>
          <w:p w:rsidR="002F4FD4" w:rsidRPr="00154253" w:rsidRDefault="002F4FD4" w:rsidP="00E33C9D">
            <w:pPr>
              <w:jc w:val="both"/>
              <w:rPr>
                <w:rFonts w:eastAsia="Calibri"/>
                <w:sz w:val="20"/>
                <w:lang w:val="fr-CA"/>
              </w:rPr>
            </w:pPr>
            <w:r w:rsidRPr="00154253">
              <w:rPr>
                <w:rFonts w:eastAsia="Calibri"/>
                <w:sz w:val="20"/>
                <w:lang w:val="fr-CA"/>
              </w:rPr>
              <w:t>On a également envoyé à M. Jamieson un avis de procès type (l’« AP »), prévoyant la date, l’heure et le lieu du procès.  L’AP le prévenait des conséquences d’une non-comparution :</w:t>
            </w:r>
          </w:p>
          <w:p w:rsidR="002F4FD4" w:rsidRPr="00154253" w:rsidRDefault="002F4FD4" w:rsidP="00E33C9D">
            <w:pPr>
              <w:jc w:val="both"/>
              <w:rPr>
                <w:rFonts w:eastAsia="Calibri"/>
                <w:sz w:val="20"/>
                <w:lang w:val="fr-CA"/>
              </w:rPr>
            </w:pPr>
          </w:p>
          <w:p w:rsidR="002F4FD4" w:rsidRPr="00154253" w:rsidRDefault="002F4FD4" w:rsidP="00E33C9D">
            <w:pPr>
              <w:ind w:left="720"/>
              <w:jc w:val="both"/>
              <w:rPr>
                <w:rFonts w:eastAsia="Calibri"/>
                <w:sz w:val="20"/>
                <w:lang w:val="fr-CA"/>
              </w:rPr>
            </w:pPr>
            <w:r w:rsidRPr="00154253">
              <w:rPr>
                <w:rFonts w:eastAsia="Calibri"/>
                <w:sz w:val="20"/>
                <w:lang w:val="fr-CA"/>
              </w:rPr>
              <w:t>Votre procès se tiendra à la date et à l’heure mentionnées ci-dessus à la Cour de justice de l’Ontario susmentionnée.  Vos témoins et vous-même devrez être prêts pour votre procès à cette date.  Si vous ne comparaissez pas, vous serez réputé(e) ne pas contester l’accusation, et le tribunal pourra vous déclarer coupable en votre absence, sans autre avis.</w:t>
            </w:r>
          </w:p>
          <w:p w:rsidR="002F4FD4" w:rsidRPr="00154253" w:rsidRDefault="002F4FD4" w:rsidP="00E33C9D">
            <w:pPr>
              <w:jc w:val="both"/>
              <w:rPr>
                <w:rFonts w:eastAsia="Calibri"/>
                <w:sz w:val="20"/>
                <w:lang w:val="fr-CA"/>
              </w:rPr>
            </w:pPr>
          </w:p>
          <w:p w:rsidR="002F4FD4" w:rsidRPr="00154253" w:rsidRDefault="002F4FD4" w:rsidP="00E33C9D">
            <w:pPr>
              <w:jc w:val="both"/>
              <w:rPr>
                <w:rFonts w:eastAsia="Calibri"/>
                <w:sz w:val="20"/>
                <w:lang w:val="fr-CA"/>
              </w:rPr>
            </w:pPr>
            <w:r w:rsidRPr="00154253">
              <w:rPr>
                <w:rFonts w:eastAsia="Calibri"/>
                <w:sz w:val="20"/>
                <w:lang w:val="fr-CA"/>
              </w:rPr>
              <w:t>Dans les deux cas, le procès a été ajourné plusieurs fois et, lorsque les affaires ont finalement été entendues, M. Jamieson était absent.</w:t>
            </w:r>
          </w:p>
          <w:p w:rsidR="002F4FD4" w:rsidRPr="00154253" w:rsidRDefault="002F4FD4" w:rsidP="00E33C9D">
            <w:pPr>
              <w:jc w:val="both"/>
              <w:rPr>
                <w:rFonts w:eastAsia="Calibri"/>
                <w:sz w:val="20"/>
                <w:lang w:val="fr-CA"/>
              </w:rPr>
            </w:pPr>
          </w:p>
          <w:p w:rsidR="002F4FD4" w:rsidRPr="00154253" w:rsidRDefault="002F4FD4" w:rsidP="00E33C9D">
            <w:pPr>
              <w:keepNext/>
              <w:jc w:val="both"/>
              <w:rPr>
                <w:rFonts w:eastAsia="Calibri"/>
                <w:sz w:val="20"/>
                <w:lang w:val="fr-CA"/>
              </w:rPr>
            </w:pPr>
            <w:r w:rsidRPr="00154253">
              <w:rPr>
                <w:rFonts w:eastAsia="Calibri"/>
                <w:sz w:val="20"/>
                <w:lang w:val="fr-CA"/>
              </w:rPr>
              <w:t xml:space="preserve">L’affaire relative à l’accusation d’avoir donné des cours de conduite dans une zone d’accès restreint a été entendue à 9 h 18 le 11 mars 2010.  M. Jamieson était absent.  Après avoir examiné le procès-verbal d’infraction, le tribunal l’a déclaré coupable en vertu de l’art. 9.1 de la </w:t>
            </w:r>
            <w:r w:rsidRPr="00154253">
              <w:rPr>
                <w:rFonts w:eastAsia="Calibri"/>
                <w:i/>
                <w:sz w:val="20"/>
                <w:lang w:val="fr-CA"/>
              </w:rPr>
              <w:t>LIP</w:t>
            </w:r>
            <w:r w:rsidRPr="00154253">
              <w:rPr>
                <w:rFonts w:eastAsia="Calibri"/>
                <w:sz w:val="20"/>
                <w:lang w:val="fr-CA"/>
              </w:rPr>
              <w:t>.  M. Jamieson est arrivé au palais de justice à 13 h 30 cette journée-là, parce qu’il y aurait apparemment eu confusion quant à savoir s’il avait noté ou si on lui avait donné la bonne heure de la tenue du procès à sa dernière comparution.  Un juge de la Cour de justice de l’Ontario a rejeté sa demande de réouverture de l’affaire.  M. Jamieson a alors interjeté appel devant la Cour de justice de l’Ontario, appel qui a été rejeté.</w:t>
            </w:r>
          </w:p>
          <w:p w:rsidR="002F4FD4" w:rsidRPr="00154253" w:rsidRDefault="002F4FD4" w:rsidP="00E33C9D">
            <w:pPr>
              <w:jc w:val="both"/>
              <w:rPr>
                <w:rFonts w:eastAsia="Calibri"/>
                <w:sz w:val="20"/>
                <w:lang w:val="fr-CA"/>
              </w:rPr>
            </w:pPr>
          </w:p>
          <w:p w:rsidR="002F4FD4" w:rsidRPr="00154253" w:rsidRDefault="002F4FD4" w:rsidP="00E33C9D">
            <w:pPr>
              <w:jc w:val="both"/>
              <w:rPr>
                <w:rFonts w:eastAsia="Calibri"/>
                <w:sz w:val="20"/>
                <w:lang w:val="fr-CA"/>
              </w:rPr>
            </w:pPr>
            <w:r w:rsidRPr="00154253">
              <w:rPr>
                <w:rFonts w:eastAsia="Calibri"/>
                <w:sz w:val="20"/>
                <w:lang w:val="fr-CA"/>
              </w:rPr>
              <w:t xml:space="preserve">Le 22 décembre 2010, date fixée pour le procès relatif à l’accusation d’avoir omis de s’arrêter à un feu rouge, </w:t>
            </w:r>
            <w:r w:rsidRPr="00154253">
              <w:rPr>
                <w:rFonts w:eastAsia="Calibri"/>
                <w:sz w:val="20"/>
                <w:lang w:val="fr-CA"/>
              </w:rPr>
              <w:lastRenderedPageBreak/>
              <w:t>M. Jamieson a été réputé ne pas contester l’accusation malgré ses protestations bruyantes en cour.  Son parajuriste n’a pas comparu.  M. Jamieson a par la suite réussi à faire rouvrir le dossier et sa déclaration de culpabilité a été annulée.  On lui envoyé un nouvel AP indiquant que l’affaire serait instruite le 21 juillet 2011 à 15 h.  M. Jamieson n’a pas comparu à cette date, mais a envoyé un ami demander un ajournement.  L’ajournement a été refusé; M. Jamieson a été réputé ne pas contester l’accusation et déclaré coupable.  L’appel interjeté par M. Jamieson a été rejeté.</w:t>
            </w:r>
          </w:p>
          <w:p w:rsidR="002F4FD4" w:rsidRPr="00154253" w:rsidRDefault="002F4FD4" w:rsidP="00E33C9D">
            <w:pPr>
              <w:jc w:val="both"/>
              <w:rPr>
                <w:rFonts w:eastAsia="Calibri"/>
                <w:sz w:val="20"/>
                <w:lang w:val="fr-CA"/>
              </w:rPr>
            </w:pPr>
          </w:p>
          <w:p w:rsidR="002F4FD4" w:rsidRPr="00154253" w:rsidRDefault="002F4FD4" w:rsidP="00E33C9D">
            <w:pPr>
              <w:jc w:val="both"/>
              <w:rPr>
                <w:rFonts w:eastAsia="Calibri"/>
                <w:sz w:val="20"/>
                <w:lang w:val="fr-CA"/>
              </w:rPr>
            </w:pPr>
            <w:r w:rsidRPr="00154253">
              <w:rPr>
                <w:rFonts w:eastAsia="Calibri"/>
                <w:sz w:val="20"/>
                <w:lang w:val="fr-CA"/>
              </w:rPr>
              <w:t>La Cour d’appel de l’Ontario a entendu ensemble les deux affaires.  M. Jamieson a contesté la constitutionnalité de l’art. 9.1 en soutenant que cette disposition avait été utilisée contre lui alors qu’il désirait manifestement la tenue d’un procès pour chacune des accusations dont il faisait l’objet.  Il a affirmé avoir été privé, en contravention de l’al. 11</w:t>
            </w:r>
            <w:r w:rsidRPr="00154253">
              <w:rPr>
                <w:rFonts w:eastAsia="Calibri"/>
                <w:i/>
                <w:sz w:val="20"/>
                <w:lang w:val="fr-CA"/>
              </w:rPr>
              <w:t>d</w:t>
            </w:r>
            <w:r w:rsidRPr="00154253">
              <w:rPr>
                <w:rFonts w:eastAsia="Calibri"/>
                <w:sz w:val="20"/>
                <w:lang w:val="fr-CA"/>
              </w:rPr>
              <w:t xml:space="preserve">) de la </w:t>
            </w:r>
            <w:r w:rsidRPr="00154253">
              <w:rPr>
                <w:rFonts w:eastAsia="Calibri"/>
                <w:i/>
                <w:sz w:val="20"/>
                <w:lang w:val="fr-CA"/>
              </w:rPr>
              <w:t>Charte des droits et libertés</w:t>
            </w:r>
            <w:r w:rsidRPr="00154253">
              <w:rPr>
                <w:rFonts w:eastAsia="Calibri"/>
                <w:sz w:val="20"/>
                <w:lang w:val="fr-CA"/>
              </w:rPr>
              <w:t>, de son droit d’être présumé innocent tant qu’il n’est pas déclaré coupable, conformément à la loi, par un tribunal indépendant et impartial à l’issue d’un procès public et équitable.  La Cour d’appel a rejeté la contestation constitutionnelle de M. Jamieson.  La Ville de Toronto a toutefois concédé que M. Jamieson devait subir de nouveaux procès dans les deux dossiers parce qu’il n’avait pas bénéficié d’une audition équitable de ses appels devant la Cour de justice de l’Ontario.  À cet égard, l’appel a été accueilli.</w:t>
            </w:r>
          </w:p>
          <w:p w:rsidR="002F4FD4" w:rsidRPr="00154253" w:rsidRDefault="002F4FD4" w:rsidP="00E33C9D">
            <w:pPr>
              <w:jc w:val="both"/>
              <w:rPr>
                <w:rFonts w:eastAsia="Calibri"/>
                <w:sz w:val="20"/>
                <w:lang w:val="fr-CA"/>
              </w:rPr>
            </w:pP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lastRenderedPageBreak/>
              <w:t>11 mars 2010</w:t>
            </w:r>
          </w:p>
          <w:p w:rsidR="002F4FD4" w:rsidRPr="00154253" w:rsidRDefault="002F4FD4" w:rsidP="00E33C9D">
            <w:pPr>
              <w:jc w:val="both"/>
              <w:rPr>
                <w:rFonts w:eastAsia="Calibri"/>
                <w:sz w:val="20"/>
                <w:lang w:val="fr-CA"/>
              </w:rPr>
            </w:pPr>
            <w:r w:rsidRPr="00154253">
              <w:rPr>
                <w:rFonts w:eastAsia="Calibri"/>
                <w:sz w:val="20"/>
                <w:lang w:val="fr-CA"/>
              </w:rPr>
              <w:t>Cour de justice de l’Ontario</w:t>
            </w:r>
          </w:p>
          <w:p w:rsidR="002F4FD4" w:rsidRPr="00154253" w:rsidRDefault="002F4FD4" w:rsidP="00E33C9D">
            <w:pPr>
              <w:jc w:val="both"/>
              <w:rPr>
                <w:rFonts w:eastAsia="Calibri"/>
                <w:sz w:val="20"/>
                <w:lang w:val="fr-CA"/>
              </w:rPr>
            </w:pPr>
            <w:r w:rsidRPr="00154253">
              <w:rPr>
                <w:rFonts w:eastAsia="Calibri"/>
                <w:sz w:val="20"/>
                <w:lang w:val="fr-CA"/>
              </w:rPr>
              <w:t xml:space="preserve">(Juge de paix Hudson) </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Demandeur déclaré coupable d’avoir donné des cours de conduite dans une zone d’accès restreint.</w:t>
            </w:r>
          </w:p>
          <w:p w:rsidR="002F4FD4" w:rsidRPr="00154253" w:rsidRDefault="002F4FD4" w:rsidP="00E33C9D">
            <w:pPr>
              <w:jc w:val="both"/>
              <w:rPr>
                <w:rFonts w:eastAsia="Calibri"/>
                <w:sz w:val="20"/>
                <w:lang w:val="fr-CA"/>
              </w:rPr>
            </w:pPr>
            <w:r w:rsidRPr="00154253">
              <w:rPr>
                <w:rFonts w:eastAsia="Calibri"/>
                <w:sz w:val="20"/>
                <w:lang w:val="fr-CA"/>
              </w:rPr>
              <w:t xml:space="preserve"> </w:t>
            </w: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8 juin 2010</w:t>
            </w:r>
          </w:p>
          <w:p w:rsidR="002F4FD4" w:rsidRPr="00154253" w:rsidRDefault="002F4FD4" w:rsidP="00E33C9D">
            <w:pPr>
              <w:jc w:val="both"/>
              <w:rPr>
                <w:rFonts w:eastAsia="Calibri"/>
                <w:sz w:val="20"/>
                <w:lang w:val="fr-CA"/>
              </w:rPr>
            </w:pPr>
            <w:r w:rsidRPr="00154253">
              <w:rPr>
                <w:rFonts w:eastAsia="Calibri"/>
                <w:sz w:val="20"/>
                <w:lang w:val="fr-CA"/>
              </w:rPr>
              <w:t>Cour de justice de l’Ontario</w:t>
            </w:r>
          </w:p>
          <w:p w:rsidR="002F4FD4" w:rsidRPr="00154253" w:rsidRDefault="002F4FD4" w:rsidP="00E33C9D">
            <w:pPr>
              <w:jc w:val="both"/>
              <w:rPr>
                <w:rFonts w:eastAsia="Calibri"/>
                <w:sz w:val="20"/>
                <w:lang w:val="fr-CA"/>
              </w:rPr>
            </w:pPr>
            <w:r w:rsidRPr="00154253">
              <w:rPr>
                <w:rFonts w:eastAsia="Calibri"/>
                <w:sz w:val="20"/>
                <w:lang w:val="fr-CA"/>
              </w:rPr>
              <w:t>(Juge Libman)</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lang w:val="fr-CA"/>
              </w:rPr>
              <w:t>Appel rejeté.</w:t>
            </w: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21 juillet 2011</w:t>
            </w:r>
          </w:p>
          <w:p w:rsidR="002F4FD4" w:rsidRPr="00154253" w:rsidRDefault="002F4FD4" w:rsidP="00E33C9D">
            <w:pPr>
              <w:jc w:val="both"/>
              <w:rPr>
                <w:rFonts w:eastAsia="Calibri"/>
                <w:sz w:val="20"/>
                <w:lang w:val="fr-CA"/>
              </w:rPr>
            </w:pPr>
            <w:r w:rsidRPr="00154253">
              <w:rPr>
                <w:rFonts w:eastAsia="Calibri"/>
                <w:sz w:val="20"/>
                <w:lang w:val="fr-CA"/>
              </w:rPr>
              <w:t>Cour de justice de l’Ontario</w:t>
            </w:r>
          </w:p>
          <w:p w:rsidR="002F4FD4" w:rsidRPr="00154253" w:rsidRDefault="002F4FD4" w:rsidP="00E33C9D">
            <w:pPr>
              <w:jc w:val="both"/>
              <w:rPr>
                <w:rFonts w:eastAsia="Calibri"/>
                <w:sz w:val="20"/>
                <w:lang w:val="fr-CA"/>
              </w:rPr>
            </w:pPr>
            <w:r w:rsidRPr="00154253">
              <w:rPr>
                <w:rFonts w:eastAsia="Calibri"/>
                <w:sz w:val="20"/>
                <w:lang w:val="fr-CA"/>
              </w:rPr>
              <w:t>(Juge de paix Frederick)</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Demandeur déclaré coupable d’avoir omis de s’arrêter à un feu rouge.</w:t>
            </w: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28 décembre 2011</w:t>
            </w:r>
          </w:p>
          <w:p w:rsidR="002F4FD4" w:rsidRPr="00154253" w:rsidRDefault="002F4FD4" w:rsidP="00E33C9D">
            <w:pPr>
              <w:jc w:val="both"/>
              <w:rPr>
                <w:rFonts w:eastAsia="Calibri"/>
                <w:sz w:val="20"/>
                <w:lang w:val="fr-CA"/>
              </w:rPr>
            </w:pPr>
            <w:r w:rsidRPr="00154253">
              <w:rPr>
                <w:rFonts w:eastAsia="Calibri"/>
                <w:sz w:val="20"/>
                <w:lang w:val="fr-CA"/>
              </w:rPr>
              <w:t>Cour de justice de l’Ontario</w:t>
            </w:r>
          </w:p>
          <w:p w:rsidR="002F4FD4" w:rsidRPr="00154253" w:rsidRDefault="002F4FD4" w:rsidP="00E33C9D">
            <w:pPr>
              <w:jc w:val="both"/>
              <w:rPr>
                <w:rFonts w:eastAsia="Calibri"/>
                <w:sz w:val="20"/>
                <w:lang w:val="fr-CA"/>
              </w:rPr>
            </w:pPr>
            <w:r w:rsidRPr="00154253">
              <w:rPr>
                <w:rFonts w:eastAsia="Calibri"/>
                <w:sz w:val="20"/>
                <w:lang w:val="fr-CA"/>
              </w:rPr>
              <w:t xml:space="preserve">(Juge Libman) </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lang w:val="fr-CA"/>
              </w:rPr>
              <w:t>Appel rejeté.</w:t>
            </w: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19 décembre 2013</w:t>
            </w:r>
          </w:p>
          <w:p w:rsidR="002F4FD4" w:rsidRPr="00154253" w:rsidRDefault="002F4FD4" w:rsidP="00E33C9D">
            <w:pPr>
              <w:jc w:val="both"/>
              <w:rPr>
                <w:rFonts w:eastAsia="Calibri"/>
                <w:sz w:val="20"/>
                <w:lang w:val="fr-CA"/>
              </w:rPr>
            </w:pPr>
            <w:r w:rsidRPr="00154253">
              <w:rPr>
                <w:rFonts w:eastAsia="Calibri"/>
                <w:sz w:val="20"/>
                <w:lang w:val="fr-CA"/>
              </w:rPr>
              <w:t>Cour d’appel de l’Ontario</w:t>
            </w:r>
          </w:p>
          <w:p w:rsidR="002F4FD4" w:rsidRPr="00154253" w:rsidRDefault="002F4FD4" w:rsidP="00E33C9D">
            <w:pPr>
              <w:jc w:val="both"/>
              <w:rPr>
                <w:rFonts w:eastAsia="Calibri"/>
                <w:sz w:val="20"/>
                <w:lang w:val="fr-CA"/>
              </w:rPr>
            </w:pPr>
            <w:r w:rsidRPr="00154253">
              <w:rPr>
                <w:rFonts w:eastAsia="Calibri"/>
                <w:sz w:val="20"/>
                <w:lang w:val="fr-CA"/>
              </w:rPr>
              <w:t>(Juges MacFarland, Watt et Lauwers)</w:t>
            </w:r>
          </w:p>
          <w:p w:rsidR="002F4FD4" w:rsidRPr="00154253" w:rsidRDefault="00714478" w:rsidP="00E33C9D">
            <w:pPr>
              <w:jc w:val="both"/>
              <w:rPr>
                <w:rFonts w:eastAsia="Calibri"/>
                <w:sz w:val="20"/>
              </w:rPr>
            </w:pPr>
            <w:hyperlink r:id="rId42" w:history="1">
              <w:r w:rsidR="002F4FD4" w:rsidRPr="00154253">
                <w:rPr>
                  <w:rFonts w:eastAsia="Calibri"/>
                  <w:color w:val="0000FF"/>
                  <w:sz w:val="20"/>
                  <w:u w:val="single"/>
                </w:rPr>
                <w:t>2013 ONCA 760</w:t>
              </w:r>
            </w:hyperlink>
            <w:r w:rsidR="002F4FD4" w:rsidRPr="00154253">
              <w:rPr>
                <w:rFonts w:eastAsia="Calibri"/>
                <w:sz w:val="20"/>
              </w:rPr>
              <w:t>; C53972; C57091</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Appels rejetés en ce qui concerne le moyen d’ordre constitutionnel; appels accueillis au motif que le demandeur n’a pas eu un procès équitable; nouveaux procès ordonnés.</w:t>
            </w:r>
          </w:p>
          <w:p w:rsidR="002F4FD4" w:rsidRPr="00154253" w:rsidRDefault="002F4FD4" w:rsidP="00E33C9D">
            <w:pPr>
              <w:jc w:val="both"/>
              <w:rPr>
                <w:rFonts w:eastAsia="Calibri"/>
                <w:sz w:val="20"/>
                <w:lang w:val="fr-CA"/>
              </w:rPr>
            </w:pP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19 février 2014</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Demande d’autorisation d’appel déposée.</w:t>
            </w:r>
          </w:p>
        </w:tc>
      </w:tr>
    </w:tbl>
    <w:p w:rsidR="002F4FD4" w:rsidRDefault="002F4FD4" w:rsidP="002F4FD4">
      <w:pPr>
        <w:rPr>
          <w:sz w:val="20"/>
          <w:szCs w:val="20"/>
        </w:rPr>
      </w:pPr>
    </w:p>
    <w:p w:rsidR="002F4FD4" w:rsidRDefault="00714478" w:rsidP="002F4FD4">
      <w:pPr>
        <w:rPr>
          <w:sz w:val="20"/>
          <w:szCs w:val="20"/>
        </w:rPr>
      </w:pPr>
      <w:r>
        <w:rPr>
          <w:sz w:val="20"/>
          <w:szCs w:val="20"/>
          <w:lang w:val="fr-CA"/>
        </w:rPr>
        <w:pict>
          <v:rect id="_x0000_i1053" style="width:2in;height:1pt" o:hrpct="0" o:hralign="center" o:hrstd="t" o:hrnoshade="t" o:hr="t" fillcolor="black [3213]" stroked="f"/>
        </w:pict>
      </w:r>
    </w:p>
    <w:p w:rsidR="002F4FD4" w:rsidRDefault="002F4FD4" w:rsidP="002F4FD4">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F4FD4" w:rsidRPr="00D963D2" w:rsidTr="00E33C9D">
        <w:trPr>
          <w:cantSplit/>
        </w:trPr>
        <w:tc>
          <w:tcPr>
            <w:tcW w:w="1458" w:type="dxa"/>
          </w:tcPr>
          <w:p w:rsidR="002F4FD4" w:rsidRPr="00D963D2" w:rsidRDefault="002F4FD4" w:rsidP="00E33C9D">
            <w:pPr>
              <w:rPr>
                <w:sz w:val="20"/>
              </w:rPr>
            </w:pPr>
            <w:r w:rsidRPr="00D963D2">
              <w:rPr>
                <w:b/>
                <w:sz w:val="20"/>
                <w:lang w:val="fr-CA"/>
              </w:rPr>
              <w:t>35809</w:t>
            </w:r>
          </w:p>
          <w:p w:rsidR="002F4FD4" w:rsidRPr="00D963D2" w:rsidRDefault="002F4FD4" w:rsidP="00E33C9D">
            <w:pPr>
              <w:rPr>
                <w:b/>
                <w:sz w:val="20"/>
                <w:lang w:val="fr-CA"/>
              </w:rPr>
            </w:pPr>
          </w:p>
        </w:tc>
        <w:tc>
          <w:tcPr>
            <w:tcW w:w="8118" w:type="dxa"/>
          </w:tcPr>
          <w:p w:rsidR="002F4FD4" w:rsidRPr="00D963D2" w:rsidRDefault="002F4FD4" w:rsidP="00E33C9D">
            <w:pPr>
              <w:rPr>
                <w:sz w:val="20"/>
                <w:lang w:val="fr-CA"/>
              </w:rPr>
            </w:pPr>
            <w:r w:rsidRPr="00D963D2">
              <w:rPr>
                <w:b/>
                <w:sz w:val="20"/>
                <w:u w:val="single"/>
                <w:lang w:val="fr-CA"/>
              </w:rPr>
              <w:t>Roger Couture</w:t>
            </w:r>
            <w:r>
              <w:rPr>
                <w:b/>
                <w:sz w:val="20"/>
                <w:u w:val="single"/>
                <w:lang w:val="fr-CA"/>
              </w:rPr>
              <w:t xml:space="preserve"> et</w:t>
            </w:r>
            <w:r w:rsidRPr="00D963D2">
              <w:rPr>
                <w:b/>
                <w:sz w:val="20"/>
                <w:u w:val="single"/>
                <w:lang w:val="fr-CA"/>
              </w:rPr>
              <w:t xml:space="preserve"> Christiane Jobin c. Sa Majesté la Reine</w:t>
            </w:r>
            <w:r w:rsidRPr="00D963D2">
              <w:rPr>
                <w:sz w:val="20"/>
                <w:lang w:val="fr-CA"/>
              </w:rPr>
              <w:t xml:space="preserve"> (C.F.) (Civile) (Autorisation)</w:t>
            </w:r>
          </w:p>
          <w:p w:rsidR="002F4FD4" w:rsidRPr="00D963D2" w:rsidRDefault="002F4FD4" w:rsidP="00E33C9D">
            <w:pPr>
              <w:rPr>
                <w:sz w:val="20"/>
                <w:lang w:val="fr-CA"/>
              </w:rPr>
            </w:pPr>
          </w:p>
        </w:tc>
      </w:tr>
      <w:tr w:rsidR="002F4FD4" w:rsidRPr="00714478" w:rsidTr="00E33C9D">
        <w:trPr>
          <w:cantSplit/>
        </w:trPr>
        <w:tc>
          <w:tcPr>
            <w:tcW w:w="1458" w:type="dxa"/>
          </w:tcPr>
          <w:p w:rsidR="002F4FD4" w:rsidRPr="00D963D2" w:rsidRDefault="002F4FD4" w:rsidP="00E33C9D">
            <w:pPr>
              <w:rPr>
                <w:sz w:val="20"/>
                <w:lang w:val="fr-CA"/>
              </w:rPr>
            </w:pPr>
            <w:r w:rsidRPr="00D963D2">
              <w:rPr>
                <w:sz w:val="20"/>
                <w:lang w:val="fr-CA"/>
              </w:rPr>
              <w:t>Coram :</w:t>
            </w:r>
          </w:p>
        </w:tc>
        <w:tc>
          <w:tcPr>
            <w:tcW w:w="8118" w:type="dxa"/>
          </w:tcPr>
          <w:p w:rsidR="002F4FD4" w:rsidRPr="00D963D2" w:rsidRDefault="002F4FD4" w:rsidP="00E33C9D">
            <w:pPr>
              <w:rPr>
                <w:sz w:val="20"/>
                <w:lang w:val="fr-CA"/>
              </w:rPr>
            </w:pPr>
            <w:r w:rsidRPr="00D963D2">
              <w:rPr>
                <w:sz w:val="20"/>
                <w:u w:val="single"/>
                <w:lang w:val="fr-CA"/>
              </w:rPr>
              <w:t>La juge en chef McLachlin et les juges Cromwell et Wagner</w:t>
            </w:r>
          </w:p>
          <w:p w:rsidR="002F4FD4" w:rsidRPr="00D963D2" w:rsidRDefault="002F4FD4" w:rsidP="00E33C9D">
            <w:pPr>
              <w:rPr>
                <w:sz w:val="20"/>
                <w:u w:val="single"/>
                <w:lang w:val="fr-CA"/>
              </w:rPr>
            </w:pPr>
          </w:p>
        </w:tc>
      </w:tr>
      <w:tr w:rsidR="002F4FD4" w:rsidRPr="00D963D2" w:rsidTr="00E33C9D">
        <w:trPr>
          <w:cantSplit/>
        </w:trPr>
        <w:tc>
          <w:tcPr>
            <w:tcW w:w="9576" w:type="dxa"/>
            <w:gridSpan w:val="2"/>
          </w:tcPr>
          <w:p w:rsidR="002F4FD4" w:rsidRPr="00D963D2" w:rsidRDefault="002F4FD4" w:rsidP="00E33C9D">
            <w:pPr>
              <w:ind w:firstLine="720"/>
              <w:jc w:val="both"/>
              <w:rPr>
                <w:sz w:val="20"/>
                <w:lang w:val="fr-CA"/>
              </w:rPr>
            </w:pPr>
            <w:r w:rsidRPr="00D963D2">
              <w:rPr>
                <w:sz w:val="20"/>
                <w:lang w:val="fr-CA"/>
              </w:rPr>
              <w:t>La demande d’autorisation d’appel de l’arrêt de la Cour d’appel fédérale, numéro A-155-12, 2014 CAF 35, daté du 6 février 2014, est rejetée avec dépens.</w:t>
            </w:r>
          </w:p>
          <w:p w:rsidR="002F4FD4" w:rsidRPr="00D963D2" w:rsidRDefault="002F4FD4" w:rsidP="00E33C9D">
            <w:pPr>
              <w:jc w:val="both"/>
              <w:rPr>
                <w:sz w:val="20"/>
                <w:lang w:val="fr-CA"/>
              </w:rPr>
            </w:pPr>
          </w:p>
          <w:p w:rsidR="002F4FD4" w:rsidRPr="00D963D2" w:rsidRDefault="002F4FD4" w:rsidP="00E33C9D">
            <w:pPr>
              <w:ind w:firstLine="720"/>
              <w:jc w:val="both"/>
              <w:rPr>
                <w:sz w:val="20"/>
              </w:rPr>
            </w:pPr>
            <w:r w:rsidRPr="00D963D2">
              <w:rPr>
                <w:sz w:val="20"/>
              </w:rPr>
              <w:t>The application for leave to appeal from the judgment of the Federal Court of Appeal, Number A-155-12, 2014 CAF 35, dated February 6, 2014, is dismissed with costs.</w:t>
            </w:r>
          </w:p>
        </w:tc>
      </w:tr>
    </w:tbl>
    <w:p w:rsidR="002F4FD4" w:rsidRDefault="002F4FD4" w:rsidP="002F4FD4">
      <w:pPr>
        <w:rPr>
          <w:sz w:val="20"/>
          <w:szCs w:val="20"/>
          <w:u w:val="single"/>
        </w:rPr>
      </w:pPr>
    </w:p>
    <w:p w:rsidR="002F4FD4" w:rsidRPr="001B157C" w:rsidRDefault="002F4FD4" w:rsidP="002F4FD4">
      <w:pPr>
        <w:rPr>
          <w:sz w:val="20"/>
          <w:szCs w:val="20"/>
          <w:u w:val="single"/>
        </w:rPr>
      </w:pPr>
      <w:r w:rsidRPr="001B157C">
        <w:rPr>
          <w:sz w:val="20"/>
          <w:szCs w:val="20"/>
          <w:u w:val="single"/>
        </w:rPr>
        <w:t>CASE SUMMARY</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Legislation – Interpretation – Taxation – Constitutional law – Goods and services tax – Subdivision of land in Quebec – Sale of lots – GST on sale claimed by tax authorities – Challenge by taxpayers – Seizure before judgment – Whether land was taxable supply – Whether land was exempt supply – Whether application of GST as sought would amount to successive direct taxation – Whether Federal Court of Appeal decision inconsistent with Court’s decisions, including </w:t>
            </w:r>
            <w:r w:rsidRPr="00154253">
              <w:rPr>
                <w:rFonts w:eastAsia="Calibri"/>
                <w:i/>
                <w:color w:val="191919"/>
                <w:sz w:val="20"/>
              </w:rPr>
              <w:t>Reference re Goods and Services Tax</w:t>
            </w:r>
            <w:r w:rsidRPr="00154253">
              <w:rPr>
                <w:rFonts w:eastAsia="Calibri"/>
                <w:color w:val="191919"/>
                <w:sz w:val="20"/>
              </w:rPr>
              <w:t xml:space="preserve">, [1992] 2 S.C.R. 445 </w:t>
            </w:r>
            <w:r w:rsidRPr="00154253">
              <w:rPr>
                <w:rFonts w:eastAsia="Calibri"/>
                <w:sz w:val="20"/>
              </w:rPr>
              <w:t xml:space="preserve">– </w:t>
            </w:r>
            <w:r w:rsidRPr="00154253">
              <w:rPr>
                <w:rFonts w:eastAsia="Calibri"/>
                <w:i/>
                <w:sz w:val="20"/>
              </w:rPr>
              <w:t>Excise Tax Act</w:t>
            </w:r>
            <w:r w:rsidRPr="00154253">
              <w:rPr>
                <w:rFonts w:eastAsia="Calibri"/>
                <w:sz w:val="20"/>
              </w:rPr>
              <w:t xml:space="preserve">, R.S.C. 1985, c. E-15, ss. 123(1) and 165(1) and Schedule V – </w:t>
            </w:r>
            <w:r w:rsidRPr="00154253">
              <w:rPr>
                <w:rFonts w:eastAsia="Calibri"/>
                <w:i/>
                <w:sz w:val="20"/>
              </w:rPr>
              <w:t>Constitution Act, 1867</w:t>
            </w:r>
            <w:r w:rsidRPr="00154253">
              <w:rPr>
                <w:rFonts w:eastAsia="Calibri"/>
                <w:sz w:val="20"/>
              </w:rPr>
              <w:t>, s. 91(3).</w:t>
            </w:r>
          </w:p>
        </w:tc>
      </w:tr>
      <w:tr w:rsidR="002F4FD4" w:rsidRPr="00154253" w:rsidTr="00E33C9D">
        <w:tc>
          <w:tcPr>
            <w:tcW w:w="5000" w:type="pct"/>
            <w:gridSpan w:val="3"/>
          </w:tcPr>
          <w:p w:rsidR="002F4FD4" w:rsidRPr="00154253" w:rsidRDefault="002F4FD4" w:rsidP="00E33C9D">
            <w:pPr>
              <w:jc w:val="both"/>
              <w:rPr>
                <w:rFonts w:eastAsia="Calibri"/>
                <w:sz w:val="20"/>
              </w:rPr>
            </w:pPr>
          </w:p>
        </w:tc>
      </w:tr>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In 1988, the applicants purchased a large piece of land near the Magog River with the intention of building a real estate development accompanied by a marina; cadastral subdivisions were even made for that purpose.  However, when their plan did not materialize, they sold nine of the lots at a loss between 2003 and 2008.  On the basis of expert advice, they believed that they did not have to collect or remit GST on those sales.  The tax authorities did not agree and, in 2009, issued an assessment against the applicants as suppliers of “taxable supplies” for a total of $17,059; in 2013, they made a seizure before judgment of each applicant’s movable property and bank accounts for the total amount.</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April 30, 2012</w:t>
            </w:r>
          </w:p>
          <w:p w:rsidR="002F4FD4" w:rsidRPr="00154253" w:rsidRDefault="002F4FD4" w:rsidP="00E33C9D">
            <w:pPr>
              <w:jc w:val="both"/>
              <w:rPr>
                <w:rFonts w:eastAsia="Calibri"/>
                <w:sz w:val="20"/>
              </w:rPr>
            </w:pPr>
            <w:r w:rsidRPr="00154253">
              <w:rPr>
                <w:rFonts w:eastAsia="Calibri"/>
                <w:sz w:val="20"/>
              </w:rPr>
              <w:t>Tax Court of Canada</w:t>
            </w:r>
          </w:p>
          <w:p w:rsidR="002F4FD4" w:rsidRPr="00154253" w:rsidRDefault="002F4FD4" w:rsidP="00E33C9D">
            <w:pPr>
              <w:jc w:val="both"/>
              <w:rPr>
                <w:rFonts w:eastAsia="Calibri"/>
                <w:sz w:val="20"/>
              </w:rPr>
            </w:pPr>
            <w:r w:rsidRPr="00154253">
              <w:rPr>
                <w:rFonts w:eastAsia="Calibri"/>
                <w:sz w:val="20"/>
              </w:rPr>
              <w:t>(Archambault J.)</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 from administrative review of assessments dismissed</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February 6, 2014</w:t>
            </w:r>
          </w:p>
          <w:p w:rsidR="002F4FD4" w:rsidRPr="00154253" w:rsidRDefault="002F4FD4" w:rsidP="00E33C9D">
            <w:pPr>
              <w:jc w:val="both"/>
              <w:rPr>
                <w:rFonts w:eastAsia="Calibri"/>
                <w:sz w:val="20"/>
              </w:rPr>
            </w:pPr>
            <w:r w:rsidRPr="00154253">
              <w:rPr>
                <w:rFonts w:eastAsia="Calibri"/>
                <w:sz w:val="20"/>
              </w:rPr>
              <w:t>Federal Court of Appeal</w:t>
            </w:r>
          </w:p>
          <w:p w:rsidR="002F4FD4" w:rsidRPr="00154253" w:rsidRDefault="002F4FD4" w:rsidP="00E33C9D">
            <w:pPr>
              <w:jc w:val="both"/>
              <w:rPr>
                <w:rFonts w:eastAsia="Calibri"/>
                <w:sz w:val="20"/>
              </w:rPr>
            </w:pPr>
            <w:r w:rsidRPr="00154253">
              <w:rPr>
                <w:rFonts w:eastAsia="Calibri"/>
                <w:sz w:val="20"/>
              </w:rPr>
              <w:t>(Pelletier, Trudel and Mainville JJ.A.)</w:t>
            </w:r>
          </w:p>
          <w:p w:rsidR="002F4FD4" w:rsidRPr="00154253" w:rsidRDefault="00714478" w:rsidP="00E33C9D">
            <w:pPr>
              <w:jc w:val="both"/>
              <w:rPr>
                <w:rFonts w:eastAsia="Calibri"/>
                <w:sz w:val="20"/>
              </w:rPr>
            </w:pPr>
            <w:hyperlink r:id="rId43" w:history="1">
              <w:r w:rsidR="002F4FD4" w:rsidRPr="00154253">
                <w:rPr>
                  <w:rFonts w:eastAsia="Calibri"/>
                  <w:color w:val="0000FF"/>
                  <w:sz w:val="20"/>
                  <w:u w:val="single"/>
                </w:rPr>
                <w:t>2014 FCA 35</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 dismissed</w:t>
            </w: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April 2, 2014</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filed</w:t>
            </w:r>
          </w:p>
        </w:tc>
      </w:tr>
    </w:tbl>
    <w:p w:rsidR="002F4FD4" w:rsidRDefault="002F4FD4" w:rsidP="002F4FD4">
      <w:pPr>
        <w:rPr>
          <w:sz w:val="20"/>
          <w:szCs w:val="20"/>
        </w:rPr>
      </w:pPr>
    </w:p>
    <w:p w:rsidR="002F4FD4" w:rsidRPr="00C50A5C" w:rsidRDefault="00714478" w:rsidP="002F4FD4">
      <w:pPr>
        <w:rPr>
          <w:sz w:val="20"/>
          <w:szCs w:val="20"/>
        </w:rPr>
      </w:pPr>
      <w:r>
        <w:rPr>
          <w:sz w:val="20"/>
          <w:szCs w:val="20"/>
          <w:lang w:val="fr-CA"/>
        </w:rPr>
        <w:pict>
          <v:rect id="_x0000_i1054" style="width:2in;height:1pt" o:hrpct="0" o:hralign="center" o:hrstd="t" o:hrnoshade="t" o:hr="t" fillcolor="black [3213]" stroked="f"/>
        </w:pict>
      </w:r>
    </w:p>
    <w:p w:rsidR="002F4FD4" w:rsidRDefault="002F4FD4" w:rsidP="002F4FD4">
      <w:pPr>
        <w:rPr>
          <w:sz w:val="20"/>
          <w:szCs w:val="20"/>
        </w:rPr>
      </w:pPr>
    </w:p>
    <w:p w:rsidR="002F4FD4" w:rsidRPr="001B157C" w:rsidRDefault="002F4FD4" w:rsidP="002F4FD4">
      <w:pPr>
        <w:rPr>
          <w:sz w:val="20"/>
          <w:szCs w:val="20"/>
          <w:u w:val="single"/>
          <w:lang w:val="fr-CA"/>
        </w:rPr>
      </w:pPr>
      <w:r w:rsidRPr="001B157C">
        <w:rPr>
          <w:sz w:val="20"/>
          <w:szCs w:val="20"/>
          <w:u w:val="single"/>
          <w:lang w:val="fr-CA"/>
        </w:rPr>
        <w:t>RÉSUMÉ DE L’AFFAIRE</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 xml:space="preserve">Législation – Interprétation – Droit fiscal – Droit constitutionnel – Taxe sur les produits et services – Lotissement d’un terrain situé au Québec – Vente de lots – Réclamation par le fisc de TPS sur la vente – Contestation par les contribuables – Saisie avant jugement – Les terrains constituent-ils une fourniture taxable? – Les terrains constituent-ils une fourniture exonérée? – L’application réclamée de TPS équivaudrait-elle à une taxation successive directe? – La décision de la Cour d’appel fédérale entre-t-elle en contradiction avec la jurisprudence de la Cour dont le </w:t>
            </w:r>
            <w:r w:rsidRPr="00154253">
              <w:rPr>
                <w:rFonts w:eastAsia="Calibri"/>
                <w:i/>
                <w:color w:val="191919"/>
                <w:sz w:val="20"/>
                <w:lang w:val="fr-FR"/>
              </w:rPr>
              <w:t xml:space="preserve">Renvoi relatif à la taxe sur </w:t>
            </w:r>
            <w:r w:rsidRPr="00154253">
              <w:rPr>
                <w:rFonts w:eastAsia="Calibri"/>
                <w:i/>
                <w:color w:val="090909"/>
                <w:sz w:val="20"/>
                <w:lang w:val="fr-FR"/>
              </w:rPr>
              <w:t xml:space="preserve">les </w:t>
            </w:r>
            <w:r w:rsidRPr="00154253">
              <w:rPr>
                <w:rFonts w:eastAsia="Calibri"/>
                <w:i/>
                <w:color w:val="191919"/>
                <w:sz w:val="20"/>
                <w:lang w:val="fr-FR"/>
              </w:rPr>
              <w:t>produits et services</w:t>
            </w:r>
            <w:r w:rsidRPr="00154253">
              <w:rPr>
                <w:rFonts w:eastAsia="Calibri"/>
                <w:color w:val="191919"/>
                <w:sz w:val="20"/>
                <w:lang w:val="fr-FR"/>
              </w:rPr>
              <w:t xml:space="preserve">, </w:t>
            </w:r>
            <w:r w:rsidRPr="00154253">
              <w:rPr>
                <w:rFonts w:eastAsia="Calibri"/>
                <w:color w:val="090909"/>
                <w:sz w:val="20"/>
                <w:lang w:val="fr-FR"/>
              </w:rPr>
              <w:t xml:space="preserve">1992 </w:t>
            </w:r>
            <w:r w:rsidRPr="00154253">
              <w:rPr>
                <w:rFonts w:eastAsia="Calibri"/>
                <w:color w:val="191919"/>
                <w:sz w:val="20"/>
                <w:lang w:val="fr-FR"/>
              </w:rPr>
              <w:t xml:space="preserve">RCS 445? </w:t>
            </w:r>
            <w:r w:rsidRPr="00154253">
              <w:rPr>
                <w:rFonts w:eastAsia="Calibri"/>
                <w:sz w:val="20"/>
                <w:lang w:val="fr-CA"/>
              </w:rPr>
              <w:t xml:space="preserve">– </w:t>
            </w:r>
            <w:r w:rsidRPr="00154253">
              <w:rPr>
                <w:rFonts w:eastAsia="Calibri"/>
                <w:i/>
                <w:sz w:val="20"/>
                <w:lang w:val="fr-CA"/>
              </w:rPr>
              <w:t>Loi sur la taxe d’accise</w:t>
            </w:r>
            <w:r w:rsidRPr="00154253">
              <w:rPr>
                <w:rFonts w:eastAsia="Calibri"/>
                <w:sz w:val="20"/>
                <w:lang w:val="fr-CA"/>
              </w:rPr>
              <w:t xml:space="preserve">, L.R.C. (1985) ch. E-15, par. 123 (1), 165 (1) et Annexe V – </w:t>
            </w:r>
            <w:r w:rsidRPr="00154253">
              <w:rPr>
                <w:rFonts w:eastAsia="Calibri"/>
                <w:i/>
                <w:sz w:val="20"/>
                <w:lang w:val="fr-CA"/>
              </w:rPr>
              <w:t>Loi constitutionnelle de 1867</w:t>
            </w:r>
            <w:r w:rsidRPr="00154253">
              <w:rPr>
                <w:rFonts w:eastAsia="Calibri"/>
                <w:sz w:val="20"/>
                <w:lang w:val="fr-CA"/>
              </w:rPr>
              <w:t>, par. 91 (3).</w:t>
            </w:r>
          </w:p>
        </w:tc>
      </w:tr>
      <w:tr w:rsidR="002F4FD4" w:rsidRPr="00154253" w:rsidTr="00E33C9D">
        <w:tc>
          <w:tcPr>
            <w:tcW w:w="5000" w:type="pct"/>
            <w:gridSpan w:val="3"/>
          </w:tcPr>
          <w:p w:rsidR="002F4FD4" w:rsidRPr="00154253" w:rsidRDefault="002F4FD4" w:rsidP="00E33C9D">
            <w:pPr>
              <w:jc w:val="both"/>
              <w:rPr>
                <w:rFonts w:eastAsia="Calibri"/>
                <w:sz w:val="20"/>
                <w:lang w:val="fr-CA"/>
              </w:rPr>
            </w:pPr>
          </w:p>
        </w:tc>
      </w:tr>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En 1988, les demandeurs ont acquis un grand terrain à proximité de la rivière Magog, avec l'intention de construire un développement immobilier agrémenté d’une marina; des subdivisions cadastrales ont même été effectuées à cette fin. Leur projet ne s’étant toutefois pas matérialisé, ils vendent à perte, entre 2003 et 2008, neuf des lots. Conseils d’experts à l’appui, ils n’estiment pas devoir percevoir ni remettre de TPS sur ces ventes. Le fisc, d’une autre opinion en 2009, établit une cotisation visant les demandeurs en tant que fournisseurs de « fournitures taxables », au montant total de 17 059$; en 2013, il saisit avant jugement les biens meubles et comptes bancaires de chacun des demandeurs pour le montant total.</w:t>
            </w:r>
          </w:p>
          <w:p w:rsidR="002F4FD4" w:rsidRPr="00154253" w:rsidRDefault="002F4FD4" w:rsidP="00E33C9D">
            <w:pPr>
              <w:jc w:val="both"/>
              <w:rPr>
                <w:rFonts w:eastAsia="Calibri"/>
                <w:sz w:val="20"/>
                <w:lang w:val="fr-CA"/>
              </w:rPr>
            </w:pPr>
          </w:p>
        </w:tc>
      </w:tr>
      <w:tr w:rsidR="002F4FD4" w:rsidRPr="00714478"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lastRenderedPageBreak/>
              <w:t>Le 30 avril 2012</w:t>
            </w:r>
          </w:p>
          <w:p w:rsidR="002F4FD4" w:rsidRPr="00154253" w:rsidRDefault="002F4FD4" w:rsidP="00E33C9D">
            <w:pPr>
              <w:jc w:val="both"/>
              <w:rPr>
                <w:rFonts w:eastAsia="Calibri"/>
                <w:sz w:val="20"/>
                <w:lang w:val="fr-CA"/>
              </w:rPr>
            </w:pPr>
            <w:r w:rsidRPr="00154253">
              <w:rPr>
                <w:rFonts w:eastAsia="Calibri"/>
                <w:sz w:val="20"/>
                <w:lang w:val="fr-CA"/>
              </w:rPr>
              <w:t>Cour canadienne de l’impôt</w:t>
            </w:r>
          </w:p>
          <w:p w:rsidR="002F4FD4" w:rsidRPr="00154253" w:rsidRDefault="002F4FD4" w:rsidP="00E33C9D">
            <w:pPr>
              <w:jc w:val="both"/>
              <w:rPr>
                <w:rFonts w:eastAsia="Calibri"/>
                <w:sz w:val="20"/>
                <w:lang w:val="fr-CA"/>
              </w:rPr>
            </w:pPr>
            <w:r w:rsidRPr="00154253">
              <w:rPr>
                <w:rFonts w:eastAsia="Calibri"/>
                <w:sz w:val="20"/>
                <w:lang w:val="fr-CA"/>
              </w:rPr>
              <w:t>(Le juge Archambault)</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Rejet de l’appel de la révision administrative des cotisations.</w:t>
            </w:r>
          </w:p>
          <w:p w:rsidR="002F4FD4" w:rsidRPr="00154253" w:rsidRDefault="002F4FD4" w:rsidP="00E33C9D">
            <w:pPr>
              <w:jc w:val="both"/>
              <w:rPr>
                <w:rFonts w:eastAsia="Calibri"/>
                <w:sz w:val="20"/>
                <w:lang w:val="fr-CA"/>
              </w:rPr>
            </w:pPr>
          </w:p>
        </w:tc>
      </w:tr>
      <w:tr w:rsidR="002F4FD4" w:rsidRPr="00154253"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t>Le 6 février 2014</w:t>
            </w:r>
          </w:p>
          <w:p w:rsidR="002F4FD4" w:rsidRPr="00154253" w:rsidRDefault="002F4FD4" w:rsidP="00E33C9D">
            <w:pPr>
              <w:jc w:val="both"/>
              <w:rPr>
                <w:rFonts w:eastAsia="Calibri"/>
                <w:sz w:val="20"/>
                <w:lang w:val="fr-CA"/>
              </w:rPr>
            </w:pPr>
            <w:r w:rsidRPr="00154253">
              <w:rPr>
                <w:rFonts w:eastAsia="Calibri"/>
                <w:sz w:val="20"/>
                <w:lang w:val="fr-CA"/>
              </w:rPr>
              <w:t>Cour d’appel fédérale</w:t>
            </w:r>
          </w:p>
          <w:p w:rsidR="002F4FD4" w:rsidRPr="00154253" w:rsidRDefault="002F4FD4" w:rsidP="00E33C9D">
            <w:pPr>
              <w:jc w:val="both"/>
              <w:rPr>
                <w:rFonts w:eastAsia="Calibri"/>
                <w:sz w:val="20"/>
                <w:lang w:val="fr-CA"/>
              </w:rPr>
            </w:pPr>
            <w:r w:rsidRPr="00154253">
              <w:rPr>
                <w:rFonts w:eastAsia="Calibri"/>
                <w:sz w:val="20"/>
                <w:lang w:val="fr-CA"/>
              </w:rPr>
              <w:t>(Les juges Pelletier, Trudel et Mainville)</w:t>
            </w:r>
          </w:p>
          <w:p w:rsidR="002F4FD4" w:rsidRPr="00154253" w:rsidRDefault="00714478" w:rsidP="00E33C9D">
            <w:pPr>
              <w:jc w:val="both"/>
              <w:rPr>
                <w:rFonts w:eastAsia="Calibri"/>
                <w:sz w:val="20"/>
              </w:rPr>
            </w:pPr>
            <w:hyperlink r:id="rId44" w:history="1">
              <w:r w:rsidR="002F4FD4" w:rsidRPr="00154253">
                <w:rPr>
                  <w:rFonts w:eastAsia="Calibri"/>
                  <w:color w:val="0000FF"/>
                  <w:sz w:val="20"/>
                  <w:u w:val="single"/>
                </w:rPr>
                <w:t>2014 CAF 35</w:t>
              </w:r>
            </w:hyperlink>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Rejet de l’appel.</w:t>
            </w:r>
          </w:p>
        </w:tc>
      </w:tr>
      <w:tr w:rsidR="002F4FD4" w:rsidRPr="00714478"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t>Le 2 avril 2014</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Dépôt de la demande d'autorisation d'appel.</w:t>
            </w:r>
          </w:p>
        </w:tc>
      </w:tr>
    </w:tbl>
    <w:p w:rsidR="002F4FD4" w:rsidRPr="0051338E" w:rsidRDefault="002F4FD4" w:rsidP="002F4FD4">
      <w:pPr>
        <w:rPr>
          <w:sz w:val="20"/>
          <w:szCs w:val="20"/>
          <w:lang w:val="fr-CA"/>
        </w:rPr>
      </w:pPr>
    </w:p>
    <w:p w:rsidR="002F4FD4" w:rsidRDefault="00714478" w:rsidP="002F4FD4">
      <w:pPr>
        <w:rPr>
          <w:sz w:val="20"/>
          <w:szCs w:val="20"/>
        </w:rPr>
      </w:pPr>
      <w:r>
        <w:rPr>
          <w:sz w:val="20"/>
          <w:szCs w:val="20"/>
          <w:lang w:val="fr-CA"/>
        </w:rPr>
        <w:pict>
          <v:rect id="_x0000_i1055" style="width:2in;height:1pt" o:hrpct="0" o:hralign="center" o:hrstd="t" o:hrnoshade="t" o:hr="t" fillcolor="black [3213]" stroked="f"/>
        </w:pict>
      </w:r>
    </w:p>
    <w:p w:rsidR="002F4FD4" w:rsidRDefault="002F4FD4" w:rsidP="002F4FD4">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F4FD4" w:rsidRPr="00D963D2" w:rsidTr="00E33C9D">
        <w:trPr>
          <w:cantSplit/>
        </w:trPr>
        <w:tc>
          <w:tcPr>
            <w:tcW w:w="1458" w:type="dxa"/>
          </w:tcPr>
          <w:p w:rsidR="002F4FD4" w:rsidRPr="00D963D2" w:rsidRDefault="002F4FD4" w:rsidP="00E33C9D">
            <w:pPr>
              <w:rPr>
                <w:sz w:val="20"/>
              </w:rPr>
            </w:pPr>
            <w:r w:rsidRPr="00D963D2">
              <w:rPr>
                <w:b/>
                <w:sz w:val="20"/>
                <w:lang w:val="fr-CA"/>
              </w:rPr>
              <w:t>35838</w:t>
            </w:r>
          </w:p>
          <w:p w:rsidR="002F4FD4" w:rsidRPr="00D963D2" w:rsidRDefault="002F4FD4" w:rsidP="00E33C9D">
            <w:pPr>
              <w:rPr>
                <w:b/>
                <w:sz w:val="20"/>
                <w:lang w:val="fr-CA"/>
              </w:rPr>
            </w:pPr>
          </w:p>
        </w:tc>
        <w:tc>
          <w:tcPr>
            <w:tcW w:w="8118" w:type="dxa"/>
          </w:tcPr>
          <w:p w:rsidR="002F4FD4" w:rsidRPr="00D963D2" w:rsidRDefault="002F4FD4" w:rsidP="00E33C9D">
            <w:pPr>
              <w:jc w:val="both"/>
              <w:rPr>
                <w:sz w:val="20"/>
              </w:rPr>
            </w:pPr>
            <w:r w:rsidRPr="00D963D2">
              <w:rPr>
                <w:b/>
                <w:sz w:val="20"/>
                <w:u w:val="single"/>
              </w:rPr>
              <w:t>M.M. v. Minister of Justice Canada on behalf of the United States of America</w:t>
            </w:r>
            <w:r w:rsidRPr="00D963D2">
              <w:rPr>
                <w:sz w:val="20"/>
              </w:rPr>
              <w:t xml:space="preserve"> (Que.) (Criminal) (By Leave)</w:t>
            </w:r>
          </w:p>
          <w:p w:rsidR="002F4FD4" w:rsidRPr="00D963D2" w:rsidRDefault="002F4FD4" w:rsidP="00E33C9D">
            <w:pPr>
              <w:jc w:val="both"/>
              <w:rPr>
                <w:sz w:val="20"/>
              </w:rPr>
            </w:pPr>
          </w:p>
        </w:tc>
      </w:tr>
      <w:tr w:rsidR="002F4FD4" w:rsidRPr="00D963D2" w:rsidTr="00E33C9D">
        <w:trPr>
          <w:cantSplit/>
        </w:trPr>
        <w:tc>
          <w:tcPr>
            <w:tcW w:w="1458" w:type="dxa"/>
          </w:tcPr>
          <w:p w:rsidR="002F4FD4" w:rsidRPr="00D963D2" w:rsidRDefault="002F4FD4" w:rsidP="00E33C9D">
            <w:pPr>
              <w:rPr>
                <w:sz w:val="20"/>
              </w:rPr>
            </w:pPr>
            <w:r w:rsidRPr="00D963D2">
              <w:rPr>
                <w:sz w:val="20"/>
              </w:rPr>
              <w:t>Coram :</w:t>
            </w:r>
          </w:p>
        </w:tc>
        <w:tc>
          <w:tcPr>
            <w:tcW w:w="8118" w:type="dxa"/>
          </w:tcPr>
          <w:p w:rsidR="002F4FD4" w:rsidRPr="00D963D2" w:rsidRDefault="002F4FD4" w:rsidP="00E33C9D">
            <w:pPr>
              <w:rPr>
                <w:sz w:val="20"/>
              </w:rPr>
            </w:pPr>
            <w:r w:rsidRPr="00D963D2">
              <w:rPr>
                <w:sz w:val="20"/>
                <w:u w:val="single"/>
              </w:rPr>
              <w:t>Abella, Rothstein and Moldaver JJ.</w:t>
            </w:r>
          </w:p>
          <w:p w:rsidR="002F4FD4" w:rsidRPr="00D963D2" w:rsidRDefault="002F4FD4" w:rsidP="00E33C9D">
            <w:pPr>
              <w:rPr>
                <w:sz w:val="20"/>
                <w:u w:val="single"/>
              </w:rPr>
            </w:pPr>
          </w:p>
        </w:tc>
      </w:tr>
      <w:tr w:rsidR="002F4FD4" w:rsidRPr="00714478" w:rsidTr="00E33C9D">
        <w:trPr>
          <w:cantSplit/>
        </w:trPr>
        <w:tc>
          <w:tcPr>
            <w:tcW w:w="9576" w:type="dxa"/>
            <w:gridSpan w:val="2"/>
          </w:tcPr>
          <w:p w:rsidR="002F4FD4" w:rsidRPr="00D963D2" w:rsidRDefault="002F4FD4" w:rsidP="00E33C9D">
            <w:pPr>
              <w:ind w:firstLine="720"/>
              <w:jc w:val="both"/>
              <w:rPr>
                <w:sz w:val="20"/>
              </w:rPr>
            </w:pPr>
            <w:r w:rsidRPr="00D963D2">
              <w:rPr>
                <w:sz w:val="20"/>
              </w:rPr>
              <w:t>The motion for an extension of time to serve and file an application for leave to appeal from the judgment of the Court of Appeal of Quebec (Montréal), Number 500-10-005000-110, 2012 QCCA 1142, dated June 15, 2014, is granted. The application for leave to appeal from the judgments of the Court of Appeal of Quebec (Montréal), Numbers 500-10-005000-110 and 500-10-005343-130, 2012 QCCA 1142 and 2014 QCCA 681, dated respectively June 15, 2012 and April 4, 2014, is granted with costs in the cause.</w:t>
            </w:r>
          </w:p>
          <w:p w:rsidR="002F4FD4" w:rsidRPr="00D963D2" w:rsidRDefault="002F4FD4" w:rsidP="00E33C9D">
            <w:pPr>
              <w:jc w:val="both"/>
              <w:rPr>
                <w:sz w:val="20"/>
              </w:rPr>
            </w:pPr>
          </w:p>
          <w:p w:rsidR="002F4FD4" w:rsidRPr="00D963D2" w:rsidRDefault="002F4FD4" w:rsidP="00E33C9D">
            <w:pPr>
              <w:ind w:firstLine="720"/>
              <w:jc w:val="both"/>
              <w:rPr>
                <w:sz w:val="20"/>
                <w:lang w:val="fr-CA"/>
              </w:rPr>
            </w:pPr>
            <w:r w:rsidRPr="00D963D2">
              <w:rPr>
                <w:sz w:val="20"/>
                <w:lang w:val="fr-CA"/>
              </w:rPr>
              <w:t>La requête en prorogation du délai de signification et de dépôt de la demande d’autorisation d’appel de l’arrêt de la Cour d’appel du Québec (Montréal), numéro 500-10-005000-110, 2012 QCCA 1142, daté du 15 juin 2012, est accueillie. La demande d’autorisation d’appel des arrêts de la Cour d’appel du Québec (Montréal), numéros 500-10-005000-110 et 500-10-005343-130, 2012 QCCA et 2014 QCCA 681, datés respectivement du 15 juin 2012 et du 4 avril 2014, est accueillie avec dépens selon l’issue de la cause.</w:t>
            </w:r>
          </w:p>
        </w:tc>
      </w:tr>
    </w:tbl>
    <w:p w:rsidR="002F4FD4" w:rsidRPr="0016547E" w:rsidRDefault="002F4FD4" w:rsidP="002F4FD4">
      <w:pPr>
        <w:rPr>
          <w:sz w:val="20"/>
          <w:szCs w:val="20"/>
          <w:lang w:val="fr-CA"/>
        </w:rPr>
      </w:pPr>
    </w:p>
    <w:p w:rsidR="002F4FD4" w:rsidRPr="001B157C" w:rsidRDefault="002F4FD4" w:rsidP="002F4FD4">
      <w:pPr>
        <w:rPr>
          <w:sz w:val="20"/>
          <w:szCs w:val="20"/>
          <w:u w:val="single"/>
        </w:rPr>
      </w:pPr>
      <w:r w:rsidRPr="001B157C">
        <w:rPr>
          <w:sz w:val="20"/>
          <w:szCs w:val="20"/>
          <w:u w:val="single"/>
        </w:rPr>
        <w:t>CASE SUMMARY</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Pr="00154253" w:rsidRDefault="002F4FD4" w:rsidP="00E33C9D">
            <w:pPr>
              <w:jc w:val="both"/>
              <w:rPr>
                <w:rFonts w:eastAsia="Calibri"/>
                <w:smallCaps/>
                <w:sz w:val="20"/>
              </w:rPr>
            </w:pPr>
            <w:r w:rsidRPr="00154253">
              <w:rPr>
                <w:rFonts w:eastAsia="Calibri"/>
                <w:smallCaps/>
                <w:sz w:val="20"/>
              </w:rPr>
              <w:t xml:space="preserve">(Publication </w:t>
            </w:r>
            <w:r>
              <w:rPr>
                <w:rFonts w:eastAsia="Calibri"/>
                <w:smallCaps/>
                <w:sz w:val="20"/>
              </w:rPr>
              <w:t>B</w:t>
            </w:r>
            <w:r w:rsidRPr="00154253">
              <w:rPr>
                <w:rFonts w:eastAsia="Calibri"/>
                <w:smallCaps/>
                <w:sz w:val="20"/>
              </w:rPr>
              <w:t xml:space="preserve">an in </w:t>
            </w:r>
            <w:r>
              <w:rPr>
                <w:rFonts w:eastAsia="Calibri"/>
                <w:smallCaps/>
                <w:sz w:val="20"/>
              </w:rPr>
              <w:t>C</w:t>
            </w:r>
            <w:r w:rsidRPr="00154253">
              <w:rPr>
                <w:rFonts w:eastAsia="Calibri"/>
                <w:smallCaps/>
                <w:sz w:val="20"/>
              </w:rPr>
              <w:t xml:space="preserve">ase) (Publication </w:t>
            </w:r>
            <w:r>
              <w:rPr>
                <w:rFonts w:eastAsia="Calibri"/>
                <w:smallCaps/>
                <w:sz w:val="20"/>
              </w:rPr>
              <w:t>B</w:t>
            </w:r>
            <w:r w:rsidRPr="00154253">
              <w:rPr>
                <w:rFonts w:eastAsia="Calibri"/>
                <w:smallCaps/>
                <w:sz w:val="20"/>
              </w:rPr>
              <w:t xml:space="preserve">an on </w:t>
            </w:r>
            <w:r>
              <w:rPr>
                <w:rFonts w:eastAsia="Calibri"/>
                <w:smallCaps/>
                <w:sz w:val="20"/>
              </w:rPr>
              <w:t>P</w:t>
            </w:r>
            <w:r w:rsidRPr="00154253">
              <w:rPr>
                <w:rFonts w:eastAsia="Calibri"/>
                <w:smallCaps/>
                <w:sz w:val="20"/>
              </w:rPr>
              <w:t>arty)</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r w:rsidRPr="00154253">
              <w:rPr>
                <w:rFonts w:eastAsia="Calibri"/>
                <w:sz w:val="20"/>
              </w:rPr>
              <w:t xml:space="preserve">Extradition – Principle of double criminality – Availability of defence in requesting country – Defence of necessity – Best interests of child – Whether s. 285 of the </w:t>
            </w:r>
            <w:r w:rsidRPr="00154253">
              <w:rPr>
                <w:rFonts w:eastAsia="Calibri"/>
                <w:i/>
                <w:sz w:val="20"/>
              </w:rPr>
              <w:t>Criminal Code</w:t>
            </w:r>
            <w:r w:rsidRPr="00154253">
              <w:rPr>
                <w:rFonts w:eastAsia="Calibri"/>
                <w:sz w:val="20"/>
              </w:rPr>
              <w:t xml:space="preserve"> negates existence of </w:t>
            </w:r>
            <w:r w:rsidRPr="00154253">
              <w:rPr>
                <w:rFonts w:eastAsia="Calibri"/>
                <w:i/>
                <w:sz w:val="20"/>
              </w:rPr>
              <w:t>mens rea</w:t>
            </w:r>
            <w:r w:rsidRPr="00154253">
              <w:rPr>
                <w:rFonts w:eastAsia="Calibri"/>
                <w:sz w:val="20"/>
              </w:rPr>
              <w:t xml:space="preserve"> required for charges of abduction such that principle of double criminality cannot be made out? – Whether surrender for extradition must be refused where defence available in Canada is unavailable in requesting state? – Whether Minister of Justice failed to properly take into account best interest of applicant’s children? – </w:t>
            </w:r>
            <w:r w:rsidRPr="00154253">
              <w:rPr>
                <w:rFonts w:eastAsia="Calibri"/>
                <w:i/>
                <w:sz w:val="20"/>
              </w:rPr>
              <w:t>Criminal Code</w:t>
            </w:r>
            <w:r w:rsidRPr="00154253">
              <w:rPr>
                <w:rFonts w:eastAsia="Calibri"/>
                <w:sz w:val="20"/>
              </w:rPr>
              <w:t>, ss. 285.</w:t>
            </w:r>
          </w:p>
        </w:tc>
      </w:tr>
      <w:tr w:rsidR="002F4FD4" w:rsidRPr="00154253" w:rsidTr="00E33C9D">
        <w:tc>
          <w:tcPr>
            <w:tcW w:w="5000" w:type="pct"/>
            <w:gridSpan w:val="3"/>
          </w:tcPr>
          <w:p w:rsidR="002F4FD4" w:rsidRPr="00154253" w:rsidRDefault="002F4FD4" w:rsidP="00E33C9D">
            <w:pPr>
              <w:jc w:val="both"/>
              <w:rPr>
                <w:rFonts w:eastAsia="Calibri"/>
                <w:sz w:val="20"/>
              </w:rPr>
            </w:pPr>
          </w:p>
        </w:tc>
      </w:tr>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In October 2010, the applicant’s ex-husband reported the couple’s three minor children missing in the United States of America.  He had sole custody of the children while the applicant had no visitation rights.  The children later testified that they had run away from their father’s home and later contacted their mother.  In December 2010, Georgia police located the applicant and the children in a battered women’s shelter in the Province of Quebec.  The applicant was arrested.</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r w:rsidRPr="00154253">
              <w:rPr>
                <w:rFonts w:eastAsia="Calibri"/>
                <w:sz w:val="20"/>
              </w:rPr>
              <w:t xml:space="preserve">The United States of America sought the extradition of the applicant to face charges in the State of Georgia for Interstate Interference with Custody.  An Authority to Proceed was issued in February 2011, listing the Canadian offences of abduction in contravention of a custody order and abduction of a person under sixteen.  The applicant now </w:t>
            </w:r>
            <w:r w:rsidRPr="00154253">
              <w:rPr>
                <w:rFonts w:eastAsia="Calibri"/>
                <w:sz w:val="20"/>
              </w:rPr>
              <w:lastRenderedPageBreak/>
              <w:t>seeks leave to appeal two decisions, one dating from 2012 ordering her committal into custody and the second, ordering her surrender for extradition.</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lastRenderedPageBreak/>
              <w:t>August 10, 2011</w:t>
            </w:r>
          </w:p>
          <w:p w:rsidR="002F4FD4" w:rsidRPr="00154253" w:rsidRDefault="002F4FD4" w:rsidP="00E33C9D">
            <w:pPr>
              <w:jc w:val="both"/>
              <w:rPr>
                <w:rFonts w:eastAsia="Calibri"/>
                <w:sz w:val="20"/>
              </w:rPr>
            </w:pPr>
            <w:r w:rsidRPr="00154253">
              <w:rPr>
                <w:rFonts w:eastAsia="Calibri"/>
                <w:sz w:val="20"/>
              </w:rPr>
              <w:t xml:space="preserve">Superior Court of Quebec </w:t>
            </w:r>
          </w:p>
          <w:p w:rsidR="002F4FD4" w:rsidRPr="00154253" w:rsidRDefault="002F4FD4" w:rsidP="00E33C9D">
            <w:pPr>
              <w:jc w:val="both"/>
              <w:rPr>
                <w:rFonts w:eastAsia="Calibri"/>
                <w:sz w:val="20"/>
              </w:rPr>
            </w:pPr>
            <w:r w:rsidRPr="00154253">
              <w:rPr>
                <w:rFonts w:eastAsia="Calibri"/>
                <w:sz w:val="20"/>
              </w:rPr>
              <w:t>(Cohen J.)</w:t>
            </w:r>
          </w:p>
          <w:p w:rsidR="002F4FD4" w:rsidRPr="00154253" w:rsidRDefault="00714478" w:rsidP="00E33C9D">
            <w:pPr>
              <w:jc w:val="both"/>
              <w:rPr>
                <w:rFonts w:eastAsia="Calibri"/>
                <w:sz w:val="20"/>
              </w:rPr>
            </w:pPr>
            <w:hyperlink r:id="rId45" w:history="1">
              <w:r w:rsidR="002F4FD4" w:rsidRPr="00154253">
                <w:rPr>
                  <w:rFonts w:eastAsia="Calibri"/>
                  <w:color w:val="0000FF"/>
                  <w:sz w:val="20"/>
                  <w:u w:val="single"/>
                </w:rPr>
                <w:t>2011 QCCS 4800</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lang w:val="fr-FR"/>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an order committing the applicant for the purpose of extradition, dismissed</w:t>
            </w: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June 15, 2012</w:t>
            </w:r>
          </w:p>
          <w:p w:rsidR="002F4FD4" w:rsidRPr="00154253" w:rsidRDefault="002F4FD4" w:rsidP="00E33C9D">
            <w:pPr>
              <w:jc w:val="both"/>
              <w:rPr>
                <w:rFonts w:eastAsia="Calibri"/>
                <w:sz w:val="20"/>
              </w:rPr>
            </w:pPr>
            <w:r w:rsidRPr="00154253">
              <w:rPr>
                <w:rFonts w:eastAsia="Calibri"/>
                <w:sz w:val="20"/>
              </w:rPr>
              <w:t>Court of Appeal of Quebec (Montreal)</w:t>
            </w:r>
          </w:p>
          <w:p w:rsidR="002F4FD4" w:rsidRPr="00154253" w:rsidRDefault="002F4FD4" w:rsidP="00E33C9D">
            <w:pPr>
              <w:jc w:val="both"/>
              <w:rPr>
                <w:rFonts w:eastAsia="Calibri"/>
                <w:sz w:val="20"/>
              </w:rPr>
            </w:pPr>
            <w:r w:rsidRPr="00154253">
              <w:rPr>
                <w:rFonts w:eastAsia="Calibri"/>
                <w:sz w:val="20"/>
              </w:rPr>
              <w:t>(Morissette, Gagnon and Gascon JJ.A.)</w:t>
            </w:r>
          </w:p>
          <w:bookmarkStart w:id="3" w:name="reflex-caselaw-23653373"/>
          <w:bookmarkEnd w:id="3"/>
          <w:p w:rsidR="002F4FD4" w:rsidRPr="00154253" w:rsidRDefault="00A4467E" w:rsidP="00E33C9D">
            <w:pPr>
              <w:jc w:val="both"/>
              <w:rPr>
                <w:rFonts w:eastAsia="Calibri"/>
                <w:sz w:val="20"/>
              </w:rPr>
            </w:pPr>
            <w:r w:rsidRPr="00154253">
              <w:rPr>
                <w:rFonts w:eastAsia="Calibri"/>
                <w:sz w:val="20"/>
              </w:rPr>
              <w:fldChar w:fldCharType="begin"/>
            </w:r>
            <w:r w:rsidR="002F4FD4" w:rsidRPr="00154253">
              <w:rPr>
                <w:rFonts w:eastAsia="Calibri"/>
                <w:sz w:val="20"/>
              </w:rPr>
              <w:instrText xml:space="preserve"> HYPERLINK "http://www.canlii.org/en/qc/qcca/doc/2012/2012qcca1142/2012qcca1142.html" </w:instrText>
            </w:r>
            <w:r w:rsidR="00714478" w:rsidRPr="00154253">
              <w:rPr>
                <w:rFonts w:eastAsia="Calibri"/>
                <w:sz w:val="20"/>
              </w:rPr>
            </w:r>
            <w:r w:rsidRPr="00154253">
              <w:rPr>
                <w:rFonts w:eastAsia="Calibri"/>
                <w:sz w:val="20"/>
              </w:rPr>
              <w:fldChar w:fldCharType="separate"/>
            </w:r>
            <w:r w:rsidR="002F4FD4" w:rsidRPr="00154253">
              <w:rPr>
                <w:rFonts w:eastAsia="Calibri"/>
                <w:color w:val="0000FF"/>
                <w:sz w:val="20"/>
                <w:u w:val="single"/>
              </w:rPr>
              <w:t>2012 QCCA 1142</w:t>
            </w:r>
            <w:r w:rsidRPr="00154253">
              <w:rPr>
                <w:rFonts w:eastAsia="Calibri"/>
                <w:sz w:val="20"/>
              </w:rPr>
              <w:fldChar w:fldCharType="end"/>
            </w:r>
          </w:p>
          <w:p w:rsidR="002F4FD4" w:rsidRPr="00154253" w:rsidRDefault="002F4FD4" w:rsidP="00E33C9D">
            <w:pPr>
              <w:jc w:val="both"/>
              <w:rPr>
                <w:rFonts w:eastAsia="Calibri"/>
                <w:sz w:val="20"/>
              </w:rPr>
            </w:pPr>
            <w:r w:rsidRPr="00154253">
              <w:rPr>
                <w:rFonts w:eastAsia="Calibri"/>
                <w:sz w:val="20"/>
              </w:rPr>
              <w:t>Docket No. 500-10-005000-110</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 allowed; applicant’s committal into custody, ordered</w:t>
            </w: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April 4, 2014</w:t>
            </w:r>
          </w:p>
          <w:p w:rsidR="002F4FD4" w:rsidRPr="00154253" w:rsidRDefault="002F4FD4" w:rsidP="00E33C9D">
            <w:pPr>
              <w:jc w:val="both"/>
              <w:rPr>
                <w:rFonts w:eastAsia="Calibri"/>
                <w:sz w:val="20"/>
              </w:rPr>
            </w:pPr>
            <w:r w:rsidRPr="00154253">
              <w:rPr>
                <w:rFonts w:eastAsia="Calibri"/>
                <w:sz w:val="20"/>
              </w:rPr>
              <w:t>Court of Appeal of Quebec (Montreal)</w:t>
            </w:r>
          </w:p>
          <w:p w:rsidR="002F4FD4" w:rsidRPr="00154253" w:rsidRDefault="002F4FD4" w:rsidP="00E33C9D">
            <w:pPr>
              <w:jc w:val="both"/>
              <w:rPr>
                <w:rFonts w:eastAsia="Calibri"/>
                <w:sz w:val="20"/>
              </w:rPr>
            </w:pPr>
            <w:r w:rsidRPr="00154253">
              <w:rPr>
                <w:rFonts w:eastAsia="Calibri"/>
                <w:sz w:val="20"/>
              </w:rPr>
              <w:t>(Thibault, Doyon and Dutil J.J.A.)</w:t>
            </w:r>
          </w:p>
          <w:p w:rsidR="002F4FD4" w:rsidRPr="00154253" w:rsidRDefault="00714478" w:rsidP="00E33C9D">
            <w:pPr>
              <w:jc w:val="both"/>
              <w:rPr>
                <w:rFonts w:eastAsia="Calibri"/>
                <w:sz w:val="20"/>
              </w:rPr>
            </w:pPr>
            <w:hyperlink r:id="rId46" w:history="1">
              <w:r w:rsidR="002F4FD4" w:rsidRPr="00154253">
                <w:rPr>
                  <w:rFonts w:eastAsia="Calibri"/>
                  <w:color w:val="0000FF"/>
                  <w:sz w:val="20"/>
                  <w:u w:val="single"/>
                </w:rPr>
                <w:t>2014 QCCA 681</w:t>
              </w:r>
            </w:hyperlink>
          </w:p>
          <w:p w:rsidR="002F4FD4" w:rsidRPr="00154253" w:rsidRDefault="002F4FD4" w:rsidP="00E33C9D">
            <w:pPr>
              <w:jc w:val="both"/>
              <w:rPr>
                <w:rFonts w:eastAsia="Calibri"/>
                <w:sz w:val="20"/>
              </w:rPr>
            </w:pPr>
            <w:r w:rsidRPr="00154253">
              <w:rPr>
                <w:rFonts w:eastAsia="Calibri"/>
                <w:sz w:val="20"/>
              </w:rPr>
              <w:t>Docket No. 500-10-005343-130</w:t>
            </w:r>
          </w:p>
          <w:p w:rsidR="002F4FD4" w:rsidRPr="00154253" w:rsidRDefault="002F4FD4" w:rsidP="00E33C9D">
            <w:pPr>
              <w:jc w:val="both"/>
              <w:rPr>
                <w:rFonts w:eastAsia="Calibri"/>
                <w:sz w:val="20"/>
                <w:lang w:val="fr-FR"/>
              </w:rPr>
            </w:pPr>
          </w:p>
        </w:tc>
        <w:tc>
          <w:tcPr>
            <w:tcW w:w="243" w:type="pct"/>
          </w:tcPr>
          <w:p w:rsidR="002F4FD4" w:rsidRPr="00154253" w:rsidRDefault="002F4FD4" w:rsidP="00E33C9D">
            <w:pPr>
              <w:jc w:val="both"/>
              <w:rPr>
                <w:rFonts w:eastAsia="Calibri"/>
                <w:sz w:val="20"/>
                <w:lang w:val="fr-FR"/>
              </w:rPr>
            </w:pPr>
          </w:p>
        </w:tc>
        <w:tc>
          <w:tcPr>
            <w:tcW w:w="2330" w:type="pct"/>
          </w:tcPr>
          <w:p w:rsidR="002F4FD4" w:rsidRPr="00154253" w:rsidRDefault="002F4FD4" w:rsidP="00E33C9D">
            <w:pPr>
              <w:jc w:val="both"/>
              <w:rPr>
                <w:rFonts w:eastAsia="Calibri"/>
                <w:sz w:val="20"/>
              </w:rPr>
            </w:pPr>
            <w:r w:rsidRPr="00154253">
              <w:rPr>
                <w:rFonts w:eastAsia="Calibri"/>
                <w:sz w:val="20"/>
              </w:rPr>
              <w:t>Motion for judicial review of decision of the Minister of Justice, dated November 28 2012,  ordering the applicant’s surrender for extradition, dismissed</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May 30, 2014</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judgments of the Quebec Court of Appeal dated June 15, 2012 and April 4, 2014, filed</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July 4, 2014</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Motion for an extension of time to serve and file an application seeking leave to appeal the June 15, 2012 decision of the Quebec Court of Appeal, filed</w:t>
            </w:r>
          </w:p>
        </w:tc>
      </w:tr>
    </w:tbl>
    <w:p w:rsidR="002F4FD4" w:rsidRDefault="002F4FD4" w:rsidP="002F4FD4">
      <w:pPr>
        <w:rPr>
          <w:sz w:val="20"/>
          <w:szCs w:val="20"/>
        </w:rPr>
      </w:pPr>
    </w:p>
    <w:p w:rsidR="002F4FD4" w:rsidRPr="00C50A5C" w:rsidRDefault="00714478" w:rsidP="002F4FD4">
      <w:pPr>
        <w:rPr>
          <w:sz w:val="20"/>
          <w:szCs w:val="20"/>
        </w:rPr>
      </w:pPr>
      <w:r>
        <w:rPr>
          <w:sz w:val="20"/>
          <w:szCs w:val="20"/>
          <w:lang w:val="fr-CA"/>
        </w:rPr>
        <w:pict>
          <v:rect id="_x0000_i1056" style="width:2in;height:1pt" o:hrpct="0" o:hralign="center" o:hrstd="t" o:hrnoshade="t" o:hr="t" fillcolor="black [3213]" stroked="f"/>
        </w:pict>
      </w:r>
    </w:p>
    <w:p w:rsidR="002F4FD4" w:rsidRDefault="002F4FD4" w:rsidP="002F4FD4">
      <w:pPr>
        <w:rPr>
          <w:sz w:val="20"/>
          <w:szCs w:val="20"/>
        </w:rPr>
      </w:pPr>
    </w:p>
    <w:p w:rsidR="002F4FD4" w:rsidRPr="001B157C" w:rsidRDefault="002F4FD4" w:rsidP="002F4FD4">
      <w:pPr>
        <w:rPr>
          <w:sz w:val="20"/>
          <w:szCs w:val="20"/>
          <w:u w:val="single"/>
          <w:lang w:val="fr-CA"/>
        </w:rPr>
      </w:pPr>
      <w:r w:rsidRPr="001B157C">
        <w:rPr>
          <w:sz w:val="20"/>
          <w:szCs w:val="20"/>
          <w:u w:val="single"/>
          <w:lang w:val="fr-CA"/>
        </w:rPr>
        <w:t>RÉSUMÉ DE L’AFFAIRE</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714478" w:rsidTr="00E33C9D">
        <w:tc>
          <w:tcPr>
            <w:tcW w:w="5000" w:type="pct"/>
            <w:gridSpan w:val="3"/>
          </w:tcPr>
          <w:p w:rsidR="002F4FD4" w:rsidRPr="00154253" w:rsidRDefault="002F4FD4" w:rsidP="00E33C9D">
            <w:pPr>
              <w:widowControl w:val="0"/>
              <w:jc w:val="both"/>
              <w:rPr>
                <w:rFonts w:eastAsia="Calibri"/>
                <w:smallCaps/>
                <w:sz w:val="20"/>
                <w:lang w:val="fr-CA"/>
              </w:rPr>
            </w:pPr>
            <w:r w:rsidRPr="00154253">
              <w:rPr>
                <w:rFonts w:eastAsia="Calibri"/>
                <w:smallCaps/>
                <w:sz w:val="20"/>
                <w:lang w:val="fr-CA"/>
              </w:rPr>
              <w:t>(Ordonnance de non-publication dans le dossier)</w:t>
            </w:r>
          </w:p>
          <w:p w:rsidR="002F4FD4" w:rsidRPr="00154253" w:rsidRDefault="002F4FD4" w:rsidP="00E33C9D">
            <w:pPr>
              <w:jc w:val="both"/>
              <w:rPr>
                <w:rFonts w:eastAsia="Calibri"/>
                <w:smallCaps/>
                <w:sz w:val="20"/>
                <w:lang w:val="fr-CA"/>
              </w:rPr>
            </w:pPr>
            <w:r w:rsidRPr="00154253">
              <w:rPr>
                <w:rFonts w:eastAsia="Calibri"/>
                <w:smallCaps/>
                <w:sz w:val="20"/>
                <w:lang w:val="fr-CA"/>
              </w:rPr>
              <w:t xml:space="preserve">(Ordonnance de non-publication visant une partie) </w:t>
            </w:r>
          </w:p>
          <w:p w:rsidR="002F4FD4" w:rsidRPr="00154253" w:rsidRDefault="002F4FD4" w:rsidP="00E33C9D">
            <w:pPr>
              <w:jc w:val="both"/>
              <w:rPr>
                <w:rFonts w:eastAsia="Calibri"/>
                <w:smallCaps/>
                <w:sz w:val="20"/>
                <w:lang w:val="fr-CA"/>
              </w:rPr>
            </w:pPr>
          </w:p>
          <w:p w:rsidR="002F4FD4" w:rsidRPr="00154253" w:rsidRDefault="002F4FD4" w:rsidP="00E33C9D">
            <w:pPr>
              <w:jc w:val="both"/>
              <w:rPr>
                <w:rFonts w:eastAsia="Calibri"/>
                <w:sz w:val="20"/>
                <w:lang w:val="fr-CA"/>
              </w:rPr>
            </w:pPr>
            <w:r w:rsidRPr="00154253">
              <w:rPr>
                <w:rFonts w:eastAsia="Calibri"/>
                <w:sz w:val="20"/>
                <w:lang w:val="fr-CA"/>
              </w:rPr>
              <w:t xml:space="preserve">Extradition – Principe de la double incrimination – Moyens de défense ouverts dans le pays requérant – Moyen de défense fondé sur la nécessité – Intérêt supérieur de l’enfant – Est-ce que l’art. 285 du </w:t>
            </w:r>
            <w:r w:rsidRPr="00154253">
              <w:rPr>
                <w:rFonts w:eastAsia="Calibri"/>
                <w:i/>
                <w:sz w:val="20"/>
                <w:lang w:val="fr-CA"/>
              </w:rPr>
              <w:t xml:space="preserve">Code criminel </w:t>
            </w:r>
            <w:r w:rsidRPr="00154253">
              <w:rPr>
                <w:rFonts w:eastAsia="Calibri"/>
                <w:sz w:val="20"/>
                <w:lang w:val="fr-CA"/>
              </w:rPr>
              <w:t xml:space="preserve">annule l’existence de la </w:t>
            </w:r>
            <w:r w:rsidRPr="00154253">
              <w:rPr>
                <w:rFonts w:eastAsia="Calibri"/>
                <w:i/>
                <w:sz w:val="20"/>
                <w:lang w:val="fr-CA"/>
              </w:rPr>
              <w:t>mens rea</w:t>
            </w:r>
            <w:r w:rsidRPr="00154253">
              <w:rPr>
                <w:rFonts w:eastAsia="Calibri"/>
                <w:sz w:val="20"/>
                <w:lang w:val="fr-CA"/>
              </w:rPr>
              <w:t xml:space="preserve"> qui est nécessaire pour une accusation d’enlèvement de sorte que le principe de la double incrimination ne peut pas être invoquée? – Est-ce que le renvoi pour extradition doit être refusé lorsqu’un moyen de défense ouvert au Canada ne l’est pas dans le pays requérant? – Est-ce que le ministre de la Justice a omis de prendre dûment en compte l’intérêt supérieur des enfants de la demanderesse? – </w:t>
            </w:r>
            <w:r w:rsidRPr="00154253">
              <w:rPr>
                <w:rFonts w:eastAsia="Calibri"/>
                <w:i/>
                <w:sz w:val="20"/>
                <w:lang w:val="fr-CA"/>
              </w:rPr>
              <w:t>Code criminel</w:t>
            </w:r>
            <w:r w:rsidRPr="00154253">
              <w:rPr>
                <w:rFonts w:eastAsia="Calibri"/>
                <w:sz w:val="20"/>
                <w:lang w:val="fr-CA"/>
              </w:rPr>
              <w:t>, art. 285.</w:t>
            </w:r>
          </w:p>
        </w:tc>
      </w:tr>
      <w:tr w:rsidR="002F4FD4" w:rsidRPr="00714478" w:rsidTr="00E33C9D">
        <w:tc>
          <w:tcPr>
            <w:tcW w:w="5000" w:type="pct"/>
            <w:gridSpan w:val="3"/>
          </w:tcPr>
          <w:p w:rsidR="002F4FD4" w:rsidRPr="00154253" w:rsidRDefault="002F4FD4" w:rsidP="00E33C9D">
            <w:pPr>
              <w:jc w:val="both"/>
              <w:rPr>
                <w:rFonts w:eastAsia="Calibri"/>
                <w:sz w:val="20"/>
                <w:lang w:val="fr-CA"/>
              </w:rPr>
            </w:pPr>
          </w:p>
        </w:tc>
      </w:tr>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 xml:space="preserve">En octobre 2010, l’ex-mari de la demanderesse a porté disparus les trois enfants mineurs du couple aux États-Unis d’Amérique.  Il avait la garde exclusive des enfants et la demanderesse n’avait pas de droits de visite.  Les enfants ont plus tard déclaré dans leur témoignage qu’ils ont fugué de la maison de leur père et qu’ils ont par la suite contacté leur mère.  En décembre 2010, la police de l’État de la Georgie a retrouvé la demanderesse et les enfants dans un refuge pour femmes battues dans la province de Québec.  La demanderesse a été arrêtée.  </w:t>
            </w:r>
          </w:p>
          <w:p w:rsidR="002F4FD4" w:rsidRPr="00154253" w:rsidRDefault="002F4FD4" w:rsidP="00E33C9D">
            <w:pPr>
              <w:jc w:val="both"/>
              <w:rPr>
                <w:rFonts w:eastAsia="Calibri"/>
                <w:sz w:val="20"/>
                <w:lang w:val="fr-CA"/>
              </w:rPr>
            </w:pPr>
          </w:p>
          <w:p w:rsidR="002F4FD4" w:rsidRPr="00154253" w:rsidRDefault="002F4FD4" w:rsidP="00E33C9D">
            <w:pPr>
              <w:jc w:val="both"/>
              <w:rPr>
                <w:rFonts w:eastAsia="Calibri"/>
                <w:sz w:val="20"/>
                <w:lang w:val="fr-CA"/>
              </w:rPr>
            </w:pPr>
            <w:r w:rsidRPr="00154253">
              <w:rPr>
                <w:rFonts w:eastAsia="Calibri"/>
                <w:sz w:val="20"/>
                <w:lang w:val="fr-CA"/>
              </w:rPr>
              <w:t xml:space="preserve">Les États-Unis d’Amérique ont demandé l’extradition de la demanderesse pour qu’elle réponde d’accusations d’obstruction « interétatique » de droits de garde dans l’État de la Georgie.  Un arrêté introductif d’instance a été pris </w:t>
            </w:r>
            <w:r w:rsidRPr="00154253">
              <w:rPr>
                <w:rFonts w:eastAsia="Calibri"/>
                <w:sz w:val="20"/>
                <w:lang w:val="fr-CA"/>
              </w:rPr>
              <w:lastRenderedPageBreak/>
              <w:t>en février 2011 énumérant les infractions canadiennes d’enlèvement en contravention à une ordonnance de garde et d’enlèvement d’une personne âgée de moins de 16 ans.  La demanderesse veut interjeter appel de deux décisions : une ordonnance de 2012 enjoignant son incarcération et une décision ordonnant son renvoi pour extradition.</w:t>
            </w:r>
          </w:p>
          <w:p w:rsidR="002F4FD4" w:rsidRPr="00154253" w:rsidRDefault="002F4FD4" w:rsidP="00E33C9D">
            <w:pPr>
              <w:jc w:val="both"/>
              <w:rPr>
                <w:rFonts w:eastAsia="Calibri"/>
                <w:sz w:val="20"/>
                <w:lang w:val="fr-CA"/>
              </w:rPr>
            </w:pP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lastRenderedPageBreak/>
              <w:t>10 août 2011</w:t>
            </w:r>
          </w:p>
          <w:p w:rsidR="002F4FD4" w:rsidRPr="00154253" w:rsidRDefault="002F4FD4" w:rsidP="00E33C9D">
            <w:pPr>
              <w:jc w:val="both"/>
              <w:rPr>
                <w:rFonts w:eastAsia="Calibri"/>
                <w:sz w:val="20"/>
                <w:lang w:val="fr-CA"/>
              </w:rPr>
            </w:pPr>
            <w:r w:rsidRPr="00154253">
              <w:rPr>
                <w:rFonts w:eastAsia="Calibri"/>
                <w:sz w:val="20"/>
                <w:lang w:val="fr-CA"/>
              </w:rPr>
              <w:t xml:space="preserve">Cour supérieure du Québec </w:t>
            </w:r>
          </w:p>
          <w:p w:rsidR="002F4FD4" w:rsidRPr="00154253" w:rsidRDefault="002F4FD4" w:rsidP="00E33C9D">
            <w:pPr>
              <w:jc w:val="both"/>
              <w:rPr>
                <w:rFonts w:eastAsia="Calibri"/>
                <w:sz w:val="20"/>
                <w:lang w:val="fr-CA"/>
              </w:rPr>
            </w:pPr>
            <w:r w:rsidRPr="00154253">
              <w:rPr>
                <w:rFonts w:eastAsia="Calibri"/>
                <w:sz w:val="20"/>
                <w:lang w:val="fr-CA"/>
              </w:rPr>
              <w:t>(Juge Cohen)</w:t>
            </w:r>
          </w:p>
          <w:p w:rsidR="002F4FD4" w:rsidRPr="00154253" w:rsidRDefault="00714478" w:rsidP="00E33C9D">
            <w:pPr>
              <w:jc w:val="both"/>
              <w:rPr>
                <w:rFonts w:eastAsia="Calibri"/>
                <w:sz w:val="20"/>
              </w:rPr>
            </w:pPr>
            <w:hyperlink r:id="rId47" w:history="1">
              <w:r w:rsidR="002F4FD4" w:rsidRPr="00154253">
                <w:rPr>
                  <w:rFonts w:eastAsia="Calibri"/>
                  <w:color w:val="0000FF"/>
                  <w:sz w:val="20"/>
                  <w:u w:val="single"/>
                </w:rPr>
                <w:t>2011 QCCS 4800</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lang w:val="fr-FR"/>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Demande d’</w:t>
            </w:r>
            <w:r w:rsidRPr="00154253">
              <w:rPr>
                <w:rFonts w:ascii="CG Times" w:eastAsia="Calibri" w:hAnsi="CG Times"/>
                <w:spacing w:val="-3"/>
                <w:sz w:val="20"/>
                <w:lang w:val="fr-CA"/>
              </w:rPr>
              <w:t xml:space="preserve">ordonnance enjoignant d'incarcérer la demanderesse en vue de son extradition, rejetée </w:t>
            </w: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15 juin 2012</w:t>
            </w:r>
          </w:p>
          <w:p w:rsidR="002F4FD4" w:rsidRPr="00154253" w:rsidRDefault="002F4FD4" w:rsidP="00E33C9D">
            <w:pPr>
              <w:jc w:val="both"/>
              <w:rPr>
                <w:rFonts w:eastAsia="Calibri"/>
                <w:sz w:val="20"/>
                <w:lang w:val="fr-CA"/>
              </w:rPr>
            </w:pPr>
            <w:r w:rsidRPr="00154253">
              <w:rPr>
                <w:rFonts w:eastAsia="Calibri"/>
                <w:sz w:val="20"/>
                <w:lang w:val="fr-CA"/>
              </w:rPr>
              <w:t>Cour d’appel du Québec (Montréal)</w:t>
            </w:r>
          </w:p>
          <w:p w:rsidR="002F4FD4" w:rsidRPr="00154253" w:rsidRDefault="002F4FD4" w:rsidP="00E33C9D">
            <w:pPr>
              <w:jc w:val="both"/>
              <w:rPr>
                <w:rFonts w:eastAsia="Calibri"/>
                <w:sz w:val="20"/>
                <w:lang w:val="fr-CA"/>
              </w:rPr>
            </w:pPr>
            <w:r w:rsidRPr="00154253">
              <w:rPr>
                <w:rFonts w:eastAsia="Calibri"/>
                <w:sz w:val="20"/>
                <w:lang w:val="fr-CA"/>
              </w:rPr>
              <w:t>(Juges Morissette, Gagnon et Gascon)</w:t>
            </w:r>
          </w:p>
          <w:p w:rsidR="002F4FD4" w:rsidRPr="00154253" w:rsidRDefault="00714478" w:rsidP="00E33C9D">
            <w:pPr>
              <w:jc w:val="both"/>
              <w:rPr>
                <w:rFonts w:eastAsia="Calibri"/>
                <w:sz w:val="20"/>
              </w:rPr>
            </w:pPr>
            <w:hyperlink r:id="rId48" w:history="1">
              <w:r w:rsidR="002F4FD4" w:rsidRPr="00154253">
                <w:rPr>
                  <w:rFonts w:eastAsia="Calibri"/>
                  <w:color w:val="0000FF"/>
                  <w:sz w:val="20"/>
                  <w:u w:val="single"/>
                </w:rPr>
                <w:t>2012 QCCA 1142</w:t>
              </w:r>
            </w:hyperlink>
          </w:p>
          <w:p w:rsidR="002F4FD4" w:rsidRPr="00154253" w:rsidRDefault="002F4FD4" w:rsidP="00E33C9D">
            <w:pPr>
              <w:jc w:val="both"/>
              <w:rPr>
                <w:rFonts w:eastAsia="Calibri"/>
                <w:sz w:val="20"/>
              </w:rPr>
            </w:pPr>
            <w:r w:rsidRPr="00154253">
              <w:rPr>
                <w:rFonts w:eastAsia="Calibri"/>
                <w:sz w:val="20"/>
              </w:rPr>
              <w:t>Numéro de dossier 500-10-005000-110</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 xml:space="preserve">Appel accueilli; ordonnance enjoignant l’incarcération de la demanderesse, ordonnée </w:t>
            </w: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4 avril 2014</w:t>
            </w:r>
          </w:p>
          <w:p w:rsidR="002F4FD4" w:rsidRPr="00154253" w:rsidRDefault="002F4FD4" w:rsidP="00E33C9D">
            <w:pPr>
              <w:jc w:val="both"/>
              <w:rPr>
                <w:rFonts w:eastAsia="Calibri"/>
                <w:sz w:val="20"/>
                <w:lang w:val="fr-CA"/>
              </w:rPr>
            </w:pPr>
            <w:r w:rsidRPr="00154253">
              <w:rPr>
                <w:rFonts w:eastAsia="Calibri"/>
                <w:sz w:val="20"/>
                <w:lang w:val="fr-CA"/>
              </w:rPr>
              <w:t>Cour d’appel du Québec (Montréal)</w:t>
            </w:r>
          </w:p>
          <w:p w:rsidR="002F4FD4" w:rsidRPr="00154253" w:rsidRDefault="002F4FD4" w:rsidP="00E33C9D">
            <w:pPr>
              <w:jc w:val="both"/>
              <w:rPr>
                <w:rFonts w:eastAsia="Calibri"/>
                <w:sz w:val="20"/>
                <w:lang w:val="fr-CA"/>
              </w:rPr>
            </w:pPr>
            <w:r w:rsidRPr="00154253">
              <w:rPr>
                <w:rFonts w:eastAsia="Calibri"/>
                <w:sz w:val="20"/>
                <w:lang w:val="fr-CA"/>
              </w:rPr>
              <w:t>(Juges Thibault, Doyon et Dutil)</w:t>
            </w:r>
          </w:p>
          <w:p w:rsidR="002F4FD4" w:rsidRPr="00154253" w:rsidRDefault="00714478" w:rsidP="00E33C9D">
            <w:pPr>
              <w:jc w:val="both"/>
              <w:rPr>
                <w:rFonts w:eastAsia="Calibri"/>
                <w:sz w:val="20"/>
              </w:rPr>
            </w:pPr>
            <w:hyperlink r:id="rId49" w:history="1">
              <w:r w:rsidR="002F4FD4" w:rsidRPr="00154253">
                <w:rPr>
                  <w:rFonts w:eastAsia="Calibri"/>
                  <w:color w:val="0000FF"/>
                  <w:sz w:val="20"/>
                  <w:u w:val="single"/>
                </w:rPr>
                <w:t>2014 QCCA 681</w:t>
              </w:r>
            </w:hyperlink>
          </w:p>
          <w:p w:rsidR="002F4FD4" w:rsidRPr="00154253" w:rsidRDefault="002F4FD4" w:rsidP="00E33C9D">
            <w:pPr>
              <w:jc w:val="both"/>
              <w:rPr>
                <w:rFonts w:eastAsia="Calibri"/>
                <w:sz w:val="20"/>
              </w:rPr>
            </w:pPr>
            <w:r w:rsidRPr="00154253">
              <w:rPr>
                <w:rFonts w:eastAsia="Calibri"/>
                <w:sz w:val="20"/>
              </w:rPr>
              <w:t>Numéro de dossier 500-10-005343-130</w:t>
            </w:r>
          </w:p>
          <w:p w:rsidR="002F4FD4" w:rsidRPr="00154253" w:rsidRDefault="002F4FD4" w:rsidP="00E33C9D">
            <w:pPr>
              <w:jc w:val="both"/>
              <w:rPr>
                <w:rFonts w:eastAsia="Calibri"/>
                <w:sz w:val="20"/>
                <w:lang w:val="fr-FR"/>
              </w:rPr>
            </w:pPr>
          </w:p>
        </w:tc>
        <w:tc>
          <w:tcPr>
            <w:tcW w:w="243" w:type="pct"/>
          </w:tcPr>
          <w:p w:rsidR="002F4FD4" w:rsidRPr="00154253" w:rsidRDefault="002F4FD4" w:rsidP="00E33C9D">
            <w:pPr>
              <w:jc w:val="both"/>
              <w:rPr>
                <w:rFonts w:eastAsia="Calibri"/>
                <w:sz w:val="20"/>
                <w:lang w:val="fr-FR"/>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Requête en révision judiciaire de la décision du ministre de la Justice, datée du 28 novembre 2012, ordonnant le renvoi pour extradition de la demanderesse, rejetée</w:t>
            </w:r>
          </w:p>
          <w:p w:rsidR="002F4FD4" w:rsidRPr="00154253" w:rsidRDefault="002F4FD4" w:rsidP="00E33C9D">
            <w:pPr>
              <w:jc w:val="both"/>
              <w:rPr>
                <w:rFonts w:eastAsia="Calibri"/>
                <w:sz w:val="20"/>
                <w:lang w:val="fr-CA"/>
              </w:rPr>
            </w:pP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30 mai 2014</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Demande d’autorisation d’appel des décisions de la Cour d’appel du Québec datées du 15 juin 2012 et du 4 avril 2014, déposée</w:t>
            </w:r>
          </w:p>
          <w:p w:rsidR="002F4FD4" w:rsidRPr="00154253" w:rsidRDefault="002F4FD4" w:rsidP="00E33C9D">
            <w:pPr>
              <w:jc w:val="both"/>
              <w:rPr>
                <w:rFonts w:eastAsia="Calibri"/>
                <w:sz w:val="20"/>
                <w:lang w:val="fr-CA"/>
              </w:rPr>
            </w:pP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4 juillet 2014</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 xml:space="preserve">Requête en prorogation du délai de signification et de dépôt de la demande d’autorisation d’appel de la décision de la Cour d’appel datée du 15 juin 2012, déposée </w:t>
            </w:r>
          </w:p>
        </w:tc>
      </w:tr>
    </w:tbl>
    <w:p w:rsidR="002F4FD4" w:rsidRPr="0051338E" w:rsidRDefault="002F4FD4" w:rsidP="002F4FD4">
      <w:pPr>
        <w:rPr>
          <w:sz w:val="20"/>
          <w:szCs w:val="20"/>
          <w:lang w:val="fr-CA"/>
        </w:rPr>
      </w:pPr>
    </w:p>
    <w:p w:rsidR="002F4FD4" w:rsidRDefault="00714478" w:rsidP="002F4FD4">
      <w:pPr>
        <w:rPr>
          <w:sz w:val="20"/>
          <w:szCs w:val="20"/>
        </w:rPr>
      </w:pPr>
      <w:r>
        <w:rPr>
          <w:sz w:val="20"/>
          <w:szCs w:val="20"/>
          <w:lang w:val="fr-CA"/>
        </w:rPr>
        <w:pict>
          <v:rect id="_x0000_i1057" style="width:2in;height:1pt" o:hrpct="0" o:hralign="center" o:hrstd="t" o:hrnoshade="t" o:hr="t" fillcolor="black [3213]" stroked="f"/>
        </w:pict>
      </w:r>
    </w:p>
    <w:p w:rsidR="002F4FD4" w:rsidRDefault="002F4FD4" w:rsidP="002F4FD4">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F4FD4" w:rsidRPr="00D963D2" w:rsidTr="00E33C9D">
        <w:trPr>
          <w:cantSplit/>
        </w:trPr>
        <w:tc>
          <w:tcPr>
            <w:tcW w:w="1458" w:type="dxa"/>
          </w:tcPr>
          <w:p w:rsidR="002F4FD4" w:rsidRPr="00D963D2" w:rsidRDefault="002F4FD4" w:rsidP="00E33C9D">
            <w:pPr>
              <w:rPr>
                <w:sz w:val="20"/>
              </w:rPr>
            </w:pPr>
            <w:r w:rsidRPr="00D963D2">
              <w:rPr>
                <w:b/>
                <w:sz w:val="20"/>
                <w:lang w:val="fr-CA"/>
              </w:rPr>
              <w:t>35854</w:t>
            </w:r>
          </w:p>
          <w:p w:rsidR="002F4FD4" w:rsidRPr="00D963D2" w:rsidRDefault="002F4FD4" w:rsidP="00E33C9D">
            <w:pPr>
              <w:rPr>
                <w:b/>
                <w:sz w:val="20"/>
                <w:lang w:val="fr-CA"/>
              </w:rPr>
            </w:pPr>
          </w:p>
        </w:tc>
        <w:tc>
          <w:tcPr>
            <w:tcW w:w="8118" w:type="dxa"/>
          </w:tcPr>
          <w:p w:rsidR="002F4FD4" w:rsidRPr="00D963D2" w:rsidRDefault="002F4FD4" w:rsidP="00E33C9D">
            <w:pPr>
              <w:rPr>
                <w:sz w:val="20"/>
              </w:rPr>
            </w:pPr>
            <w:r w:rsidRPr="00D963D2">
              <w:rPr>
                <w:b/>
                <w:sz w:val="20"/>
                <w:u w:val="single"/>
              </w:rPr>
              <w:t>Alnoor Somji v. Earl C. Wilson, Field LLP</w:t>
            </w:r>
            <w:r>
              <w:rPr>
                <w:b/>
                <w:sz w:val="20"/>
                <w:u w:val="single"/>
              </w:rPr>
              <w:t xml:space="preserve"> and</w:t>
            </w:r>
            <w:r w:rsidRPr="00D963D2">
              <w:rPr>
                <w:b/>
                <w:sz w:val="20"/>
                <w:u w:val="single"/>
              </w:rPr>
              <w:t xml:space="preserve"> James M. Doyle</w:t>
            </w:r>
            <w:r w:rsidRPr="00D963D2">
              <w:rPr>
                <w:sz w:val="20"/>
              </w:rPr>
              <w:t xml:space="preserve"> (Alta.) (Civil) (By Leave)</w:t>
            </w:r>
          </w:p>
          <w:p w:rsidR="002F4FD4" w:rsidRPr="00D963D2" w:rsidRDefault="002F4FD4" w:rsidP="00E33C9D">
            <w:pPr>
              <w:rPr>
                <w:sz w:val="20"/>
              </w:rPr>
            </w:pPr>
          </w:p>
        </w:tc>
      </w:tr>
      <w:tr w:rsidR="002F4FD4" w:rsidRPr="00D963D2" w:rsidTr="00E33C9D">
        <w:trPr>
          <w:cantSplit/>
        </w:trPr>
        <w:tc>
          <w:tcPr>
            <w:tcW w:w="1458" w:type="dxa"/>
          </w:tcPr>
          <w:p w:rsidR="002F4FD4" w:rsidRPr="00D963D2" w:rsidRDefault="002F4FD4" w:rsidP="00E33C9D">
            <w:pPr>
              <w:rPr>
                <w:sz w:val="20"/>
              </w:rPr>
            </w:pPr>
            <w:r w:rsidRPr="00D963D2">
              <w:rPr>
                <w:sz w:val="20"/>
              </w:rPr>
              <w:t>Coram :</w:t>
            </w:r>
          </w:p>
        </w:tc>
        <w:tc>
          <w:tcPr>
            <w:tcW w:w="8118" w:type="dxa"/>
          </w:tcPr>
          <w:p w:rsidR="002F4FD4" w:rsidRPr="00D963D2" w:rsidRDefault="002F4FD4" w:rsidP="00E33C9D">
            <w:pPr>
              <w:rPr>
                <w:sz w:val="20"/>
              </w:rPr>
            </w:pPr>
            <w:r w:rsidRPr="00D963D2">
              <w:rPr>
                <w:sz w:val="20"/>
                <w:u w:val="single"/>
              </w:rPr>
              <w:t>McLachlin C.J. and Cromwell and Wagner JJ.</w:t>
            </w:r>
          </w:p>
          <w:p w:rsidR="002F4FD4" w:rsidRPr="00D963D2" w:rsidRDefault="002F4FD4" w:rsidP="00E33C9D">
            <w:pPr>
              <w:rPr>
                <w:sz w:val="20"/>
                <w:u w:val="single"/>
              </w:rPr>
            </w:pPr>
          </w:p>
        </w:tc>
      </w:tr>
      <w:tr w:rsidR="002F4FD4" w:rsidRPr="00714478" w:rsidTr="00E33C9D">
        <w:trPr>
          <w:cantSplit/>
        </w:trPr>
        <w:tc>
          <w:tcPr>
            <w:tcW w:w="9576" w:type="dxa"/>
            <w:gridSpan w:val="2"/>
          </w:tcPr>
          <w:p w:rsidR="002F4FD4" w:rsidRPr="00D963D2" w:rsidRDefault="002F4FD4" w:rsidP="00E33C9D">
            <w:pPr>
              <w:ind w:firstLine="720"/>
              <w:jc w:val="both"/>
              <w:rPr>
                <w:sz w:val="20"/>
              </w:rPr>
            </w:pPr>
            <w:r w:rsidRPr="00D963D2">
              <w:rPr>
                <w:sz w:val="20"/>
              </w:rPr>
              <w:t>The motion for an extension of time to serve and file the response of the respondent Earl C. Wilson is granted.  The application for leave to appeal from the judgment of the Court of Appeal of Alberta (Calgary), Number 1301-0073-AC, 2014 ABCA 35, dated January 30, 2014, is dismissed with costs.</w:t>
            </w:r>
          </w:p>
          <w:p w:rsidR="002F4FD4" w:rsidRPr="00D963D2" w:rsidRDefault="002F4FD4" w:rsidP="00E33C9D">
            <w:pPr>
              <w:jc w:val="both"/>
              <w:rPr>
                <w:sz w:val="20"/>
              </w:rPr>
            </w:pPr>
          </w:p>
          <w:p w:rsidR="002F4FD4" w:rsidRPr="00D963D2" w:rsidRDefault="002F4FD4" w:rsidP="00E33C9D">
            <w:pPr>
              <w:ind w:firstLine="720"/>
              <w:jc w:val="both"/>
              <w:rPr>
                <w:sz w:val="20"/>
                <w:lang w:val="fr-CA"/>
              </w:rPr>
            </w:pPr>
            <w:r w:rsidRPr="00D963D2">
              <w:rPr>
                <w:sz w:val="20"/>
                <w:lang w:val="fr-CA"/>
              </w:rPr>
              <w:t>La requête en prorogation du délai de signification et de dépôt de la réponse de l’intimé Earl C. Wilson est accueillie.  La demande d’autorisation d’appel de l’arrêt de la Cour d'appel de l’Alberta (Calgary), numéro 1301-0073-AC, 2014 ABCA 35, daté du 30 janvier 2014, est rejetée avec dépens.</w:t>
            </w:r>
          </w:p>
        </w:tc>
      </w:tr>
    </w:tbl>
    <w:p w:rsidR="002F4FD4" w:rsidRPr="0016547E" w:rsidRDefault="002F4FD4" w:rsidP="002F4FD4">
      <w:pPr>
        <w:rPr>
          <w:sz w:val="20"/>
          <w:szCs w:val="20"/>
          <w:lang w:val="fr-CA"/>
        </w:rPr>
      </w:pPr>
    </w:p>
    <w:p w:rsidR="002F4FD4" w:rsidRPr="001B157C" w:rsidRDefault="002F4FD4" w:rsidP="002F4FD4">
      <w:pPr>
        <w:rPr>
          <w:sz w:val="20"/>
          <w:szCs w:val="20"/>
          <w:u w:val="single"/>
        </w:rPr>
      </w:pPr>
      <w:r w:rsidRPr="001B157C">
        <w:rPr>
          <w:sz w:val="20"/>
          <w:szCs w:val="20"/>
          <w:u w:val="single"/>
        </w:rPr>
        <w:t>CASE SUMMARY</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Civil procedure – Motion to strike pleadings – Judicial immunity –Negligence – Duty of Care –Whether the lower courts erred in finding that the respondent judge had jurisdiction to hear the application to set aside the default judgments – Whether the lower courts relied upon the wrong Rule – Whether the lower courts erred by relying on the wrong judicial precedents – Whether the defense of judicial immunity applies in the absence of a Statement of </w:t>
            </w:r>
            <w:r w:rsidRPr="00154253">
              <w:rPr>
                <w:rFonts w:eastAsia="Calibri"/>
                <w:sz w:val="20"/>
              </w:rPr>
              <w:lastRenderedPageBreak/>
              <w:t xml:space="preserve">Defence – </w:t>
            </w:r>
            <w:r w:rsidRPr="00154253">
              <w:rPr>
                <w:rFonts w:eastAsia="Calibri"/>
                <w:i/>
                <w:sz w:val="20"/>
              </w:rPr>
              <w:t>Alberta Rules of Court</w:t>
            </w:r>
            <w:r w:rsidRPr="00154253">
              <w:rPr>
                <w:rFonts w:eastAsia="Calibri"/>
                <w:sz w:val="20"/>
              </w:rPr>
              <w:t>, Alta Reg 124/2010, Rules 3.68, 9.15 and 9.16.</w:t>
            </w:r>
          </w:p>
        </w:tc>
      </w:tr>
      <w:tr w:rsidR="002F4FD4" w:rsidRPr="00154253" w:rsidTr="00E33C9D">
        <w:tc>
          <w:tcPr>
            <w:tcW w:w="5000" w:type="pct"/>
            <w:gridSpan w:val="3"/>
          </w:tcPr>
          <w:p w:rsidR="002F4FD4" w:rsidRPr="00154253" w:rsidRDefault="002F4FD4" w:rsidP="00E33C9D">
            <w:pPr>
              <w:jc w:val="both"/>
              <w:rPr>
                <w:rFonts w:eastAsia="Calibri"/>
                <w:sz w:val="20"/>
              </w:rPr>
            </w:pPr>
          </w:p>
        </w:tc>
      </w:tr>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In a previous action, the applicant noted in default certain defendants and obtained default judgments from Wilson J. of the Court of Queen’s Bench of Alberta.  The respondent law firm and lawyer, acting as counsel for those defendants, brought an application to set aside the default judgments on the basis of Rules 9.15(1)(a) and 9.16, arguing that the defendants had not been served notice.  Wilson J. set aside the default judgments.  The applicant appealed that decision but subsequently discontinued the appeal. The applicant now brings an action against the respondents alleging that the counsel had acted deceitfully to obtain the setting aside of the default judgments and that Wilson J. was </w:t>
            </w:r>
            <w:r w:rsidRPr="00154253">
              <w:rPr>
                <w:rFonts w:eastAsia="Calibri"/>
                <w:i/>
                <w:sz w:val="20"/>
              </w:rPr>
              <w:t>functus</w:t>
            </w:r>
            <w:r w:rsidRPr="00154253">
              <w:rPr>
                <w:rFonts w:eastAsia="Calibri"/>
                <w:sz w:val="20"/>
              </w:rPr>
              <w:t xml:space="preserve"> </w:t>
            </w:r>
            <w:r w:rsidRPr="00154253">
              <w:rPr>
                <w:rFonts w:eastAsia="Calibri"/>
                <w:i/>
                <w:sz w:val="20"/>
              </w:rPr>
              <w:t>officio</w:t>
            </w:r>
            <w:r w:rsidRPr="00154253">
              <w:rPr>
                <w:rFonts w:eastAsia="Calibri"/>
                <w:sz w:val="20"/>
              </w:rPr>
              <w:t xml:space="preserve"> and had no capacity to set them aside.  The respondents brought separate applications to strike the Statement of Claim.  The Court of Queen’s Bench of Alberta struck the claims against Wilson J. on the basis of Rules 9.15 and 9.16 and also due to judicial immunity.  It further found that since the other respondents owed no duty to the applicant, no reasonable claim against them could be made.  The Alberta Court of Appeal dismissed the appeal.</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March 1, 2013</w:t>
            </w:r>
          </w:p>
          <w:p w:rsidR="002F4FD4" w:rsidRPr="00154253" w:rsidRDefault="002F4FD4" w:rsidP="00E33C9D">
            <w:pPr>
              <w:jc w:val="both"/>
              <w:rPr>
                <w:rFonts w:eastAsia="Calibri"/>
                <w:sz w:val="20"/>
              </w:rPr>
            </w:pPr>
            <w:r w:rsidRPr="00154253">
              <w:rPr>
                <w:rFonts w:eastAsia="Calibri"/>
                <w:sz w:val="20"/>
              </w:rPr>
              <w:t>Court of Queen’s Bench of Alberta</w:t>
            </w:r>
          </w:p>
          <w:p w:rsidR="002F4FD4" w:rsidRPr="00154253" w:rsidRDefault="002F4FD4" w:rsidP="00E33C9D">
            <w:pPr>
              <w:jc w:val="both"/>
              <w:rPr>
                <w:rFonts w:eastAsia="Calibri"/>
                <w:sz w:val="20"/>
              </w:rPr>
            </w:pPr>
            <w:r w:rsidRPr="00154253">
              <w:rPr>
                <w:rFonts w:eastAsia="Calibri"/>
                <w:sz w:val="20"/>
              </w:rPr>
              <w:t>(Jones J.)</w:t>
            </w:r>
          </w:p>
          <w:p w:rsidR="002F4FD4" w:rsidRPr="00154253" w:rsidRDefault="002F4FD4" w:rsidP="00E33C9D">
            <w:pPr>
              <w:jc w:val="both"/>
              <w:rPr>
                <w:rFonts w:eastAsia="Calibri"/>
                <w:sz w:val="20"/>
              </w:rPr>
            </w:pPr>
            <w:r w:rsidRPr="00154253">
              <w:rPr>
                <w:rFonts w:eastAsia="Calibri"/>
                <w:sz w:val="20"/>
              </w:rPr>
              <w:t>1301-00178</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Applicant’s Statement of Claim struck out in its entirety against the respondents Field LLP and Doyle and action against respondent Wilson struck out</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January 30, 2014</w:t>
            </w:r>
          </w:p>
          <w:p w:rsidR="002F4FD4" w:rsidRPr="00154253" w:rsidRDefault="002F4FD4" w:rsidP="00E33C9D">
            <w:pPr>
              <w:jc w:val="both"/>
              <w:rPr>
                <w:rFonts w:eastAsia="Calibri"/>
                <w:sz w:val="20"/>
              </w:rPr>
            </w:pPr>
            <w:r w:rsidRPr="00154253">
              <w:rPr>
                <w:rFonts w:eastAsia="Calibri"/>
                <w:sz w:val="20"/>
              </w:rPr>
              <w:t>Court of Appeal of Alberta (Calgary)</w:t>
            </w:r>
          </w:p>
          <w:p w:rsidR="002F4FD4" w:rsidRPr="00154253" w:rsidRDefault="002F4FD4" w:rsidP="00E33C9D">
            <w:pPr>
              <w:jc w:val="both"/>
              <w:rPr>
                <w:rFonts w:eastAsia="Calibri"/>
                <w:sz w:val="20"/>
              </w:rPr>
            </w:pPr>
            <w:r w:rsidRPr="00154253">
              <w:rPr>
                <w:rFonts w:eastAsia="Calibri"/>
                <w:sz w:val="20"/>
              </w:rPr>
              <w:t>(Conrad, Berger and Costigan JJ.A.)</w:t>
            </w:r>
          </w:p>
          <w:p w:rsidR="002F4FD4" w:rsidRPr="00154253" w:rsidRDefault="00714478" w:rsidP="00E33C9D">
            <w:pPr>
              <w:jc w:val="both"/>
              <w:rPr>
                <w:rFonts w:eastAsia="Calibri"/>
                <w:sz w:val="20"/>
              </w:rPr>
            </w:pPr>
            <w:hyperlink r:id="rId50" w:history="1">
              <w:r w:rsidR="002F4FD4" w:rsidRPr="00154253">
                <w:rPr>
                  <w:rFonts w:eastAsia="Calibri"/>
                  <w:color w:val="0000FF"/>
                  <w:sz w:val="20"/>
                  <w:u w:val="single"/>
                </w:rPr>
                <w:t>2014 ABCA 35</w:t>
              </w:r>
            </w:hyperlink>
            <w:r w:rsidR="002F4FD4" w:rsidRPr="00154253">
              <w:rPr>
                <w:rFonts w:eastAsia="Calibri"/>
                <w:sz w:val="20"/>
              </w:rPr>
              <w:t>; 1301-0073-AC</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 dismissed</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March 31, 2014</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filed</w:t>
            </w:r>
          </w:p>
        </w:tc>
      </w:tr>
    </w:tbl>
    <w:p w:rsidR="002F4FD4" w:rsidRDefault="002F4FD4" w:rsidP="002F4FD4">
      <w:pPr>
        <w:rPr>
          <w:sz w:val="20"/>
          <w:szCs w:val="20"/>
        </w:rPr>
      </w:pPr>
    </w:p>
    <w:p w:rsidR="002F4FD4" w:rsidRPr="00C50A5C" w:rsidRDefault="00714478" w:rsidP="002F4FD4">
      <w:pPr>
        <w:rPr>
          <w:sz w:val="20"/>
          <w:szCs w:val="20"/>
        </w:rPr>
      </w:pPr>
      <w:r>
        <w:rPr>
          <w:sz w:val="20"/>
          <w:szCs w:val="20"/>
          <w:lang w:val="fr-CA"/>
        </w:rPr>
        <w:pict>
          <v:rect id="_x0000_i1058" style="width:2in;height:1pt" o:hrpct="0" o:hralign="center" o:hrstd="t" o:hrnoshade="t" o:hr="t" fillcolor="black [3213]" stroked="f"/>
        </w:pict>
      </w:r>
    </w:p>
    <w:p w:rsidR="002F4FD4" w:rsidRDefault="002F4FD4" w:rsidP="002F4FD4">
      <w:pPr>
        <w:rPr>
          <w:sz w:val="20"/>
          <w:szCs w:val="20"/>
        </w:rPr>
      </w:pPr>
    </w:p>
    <w:p w:rsidR="002F4FD4" w:rsidRPr="001B157C" w:rsidRDefault="002F4FD4" w:rsidP="002F4FD4">
      <w:pPr>
        <w:rPr>
          <w:sz w:val="20"/>
          <w:szCs w:val="20"/>
          <w:u w:val="single"/>
          <w:lang w:val="fr-CA"/>
        </w:rPr>
      </w:pPr>
      <w:r w:rsidRPr="001B157C">
        <w:rPr>
          <w:sz w:val="20"/>
          <w:szCs w:val="20"/>
          <w:u w:val="single"/>
          <w:lang w:val="fr-CA"/>
        </w:rPr>
        <w:t>RÉSUMÉ DE L’AFFAIRE</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 xml:space="preserve">Procédure civile – Requête en radiation d’un acte de procédure – Immunité judiciaire –Négligence – Obligation de diligence – Est-ce que les juridictions inférieures ont fait erreur en concluant que le juge intimé avait compétence pour instruire la demande d’annulation des jugements par défaut? – Est-ce que les juridictions inférieures se sont fondées sur la bonne règle? – Est-ce que les juridictions inférieures ont commis une erreur en ne se fondant pas sur les bons précédents? – Est-ce que le moyen de défense d’immunité judiciaire s’applique en l’absence d’une défense? – </w:t>
            </w:r>
            <w:r w:rsidRPr="00154253">
              <w:rPr>
                <w:rFonts w:eastAsia="Calibri"/>
                <w:i/>
                <w:sz w:val="20"/>
                <w:lang w:val="fr-CA"/>
              </w:rPr>
              <w:t>Alberta Rules of Court</w:t>
            </w:r>
            <w:r w:rsidRPr="00154253">
              <w:rPr>
                <w:rFonts w:eastAsia="Calibri"/>
                <w:sz w:val="20"/>
                <w:lang w:val="fr-CA"/>
              </w:rPr>
              <w:t>, Alta Reg 124/2010, règles 3.68, 9.15 et 9.16.</w:t>
            </w:r>
          </w:p>
        </w:tc>
      </w:tr>
      <w:tr w:rsidR="002F4FD4" w:rsidRPr="00714478" w:rsidTr="00E33C9D">
        <w:tc>
          <w:tcPr>
            <w:tcW w:w="5000" w:type="pct"/>
            <w:gridSpan w:val="3"/>
          </w:tcPr>
          <w:p w:rsidR="002F4FD4" w:rsidRPr="00154253" w:rsidRDefault="002F4FD4" w:rsidP="00E33C9D">
            <w:pPr>
              <w:jc w:val="both"/>
              <w:rPr>
                <w:rFonts w:eastAsia="Calibri"/>
                <w:sz w:val="20"/>
                <w:lang w:val="fr-CA"/>
              </w:rPr>
            </w:pPr>
          </w:p>
        </w:tc>
      </w:tr>
      <w:tr w:rsidR="002F4FD4" w:rsidRPr="00154253"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 xml:space="preserve">Dans une action précédente, le demandeur a fait constater le défaut de certains défendeurs et a obtenu des jugements par défaut du juge Wilson de la Cour du Banc de la Reine de l’Alberta.  Le cabinet d’avocats intimé et l’avocat intimé, agissant comme avocats pour ces défendeurs, ont présenté une demande en vue de faire annuler les jugements par défaut en se fondant sur les règles 9.15(1)a) et 9.16, soutenant que l’avis n’avait pas été signifié aux défendeurs.  Le juge Wilson a annulé les jugements par défaut.  Le demandeur a interjeté appel de cette décision et a par la suite mis fin à l’appel.  Maintenant le demandeur entame une action contre les intimés soutenant que les avocats avaient agi de façon trompeuse pour obtenir l’annulation des jugements par défaut et que le juge Wilson était </w:t>
            </w:r>
            <w:r w:rsidRPr="00154253">
              <w:rPr>
                <w:rFonts w:eastAsia="Calibri"/>
                <w:i/>
                <w:sz w:val="20"/>
                <w:lang w:val="fr-CA"/>
              </w:rPr>
              <w:t>functus</w:t>
            </w:r>
            <w:r w:rsidRPr="00154253">
              <w:rPr>
                <w:rFonts w:eastAsia="Calibri"/>
                <w:sz w:val="20"/>
                <w:lang w:val="fr-CA"/>
              </w:rPr>
              <w:t> </w:t>
            </w:r>
            <w:r w:rsidRPr="00154253">
              <w:rPr>
                <w:rFonts w:eastAsia="Calibri"/>
                <w:i/>
                <w:sz w:val="20"/>
                <w:lang w:val="fr-CA"/>
              </w:rPr>
              <w:t>officio</w:t>
            </w:r>
            <w:r w:rsidRPr="00154253">
              <w:rPr>
                <w:rFonts w:eastAsia="Calibri"/>
                <w:sz w:val="20"/>
                <w:lang w:val="fr-CA"/>
              </w:rPr>
              <w:t xml:space="preserve"> et qu’il n’avait donc pas compétence pour annuler ces jugements.  Les intimés ont présenté séparément des demandes de radiation de la déclaration.  La Cour du Banc de la Reine de l’Alberta a radié les allégations formées contre le juge Wilson en se fondant sur les règles 9.15 et 9.16 et sur l’immunité judiciaire.  La Cour a aussi conclu que parce que les autres intimés n’avaient pas d’obligation de diligence envers le demandeur, aucune demande raisonnable ne pouvait donc être faite contre eux.  La Cour d’appel de l’Alberta a rejeté l’appel.</w:t>
            </w:r>
          </w:p>
          <w:p w:rsidR="002F4FD4" w:rsidRPr="00154253" w:rsidRDefault="002F4FD4" w:rsidP="00E33C9D">
            <w:pPr>
              <w:jc w:val="both"/>
              <w:rPr>
                <w:rFonts w:eastAsia="Calibri"/>
                <w:sz w:val="20"/>
                <w:lang w:val="fr-CA"/>
              </w:rPr>
            </w:pP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lastRenderedPageBreak/>
              <w:t>1</w:t>
            </w:r>
            <w:r w:rsidRPr="003432C9">
              <w:rPr>
                <w:rFonts w:eastAsia="Calibri"/>
                <w:sz w:val="20"/>
                <w:vertAlign w:val="superscript"/>
                <w:lang w:val="fr-CA"/>
              </w:rPr>
              <w:t>er</w:t>
            </w:r>
            <w:r w:rsidRPr="00154253">
              <w:rPr>
                <w:rFonts w:eastAsia="Calibri"/>
                <w:sz w:val="20"/>
                <w:lang w:val="fr-CA"/>
              </w:rPr>
              <w:t xml:space="preserve"> mars 2013</w:t>
            </w:r>
          </w:p>
          <w:p w:rsidR="002F4FD4" w:rsidRPr="00154253" w:rsidRDefault="002F4FD4" w:rsidP="00E33C9D">
            <w:pPr>
              <w:jc w:val="both"/>
              <w:rPr>
                <w:rFonts w:eastAsia="Calibri"/>
                <w:sz w:val="20"/>
                <w:lang w:val="fr-CA"/>
              </w:rPr>
            </w:pPr>
            <w:r w:rsidRPr="00154253">
              <w:rPr>
                <w:rFonts w:eastAsia="Calibri"/>
                <w:sz w:val="20"/>
                <w:lang w:val="fr-CA"/>
              </w:rPr>
              <w:t>Cour du Banc de la Reine de l’Alberta</w:t>
            </w:r>
          </w:p>
          <w:p w:rsidR="002F4FD4" w:rsidRPr="00154253" w:rsidRDefault="002F4FD4" w:rsidP="00E33C9D">
            <w:pPr>
              <w:jc w:val="both"/>
              <w:rPr>
                <w:rFonts w:eastAsia="Calibri"/>
                <w:sz w:val="20"/>
              </w:rPr>
            </w:pPr>
            <w:r w:rsidRPr="00154253">
              <w:rPr>
                <w:rFonts w:eastAsia="Calibri"/>
                <w:sz w:val="20"/>
              </w:rPr>
              <w:t>(Juge Jones)</w:t>
            </w:r>
          </w:p>
          <w:p w:rsidR="002F4FD4" w:rsidRPr="00154253" w:rsidRDefault="002F4FD4" w:rsidP="00E33C9D">
            <w:pPr>
              <w:jc w:val="both"/>
              <w:rPr>
                <w:rFonts w:eastAsia="Calibri"/>
                <w:sz w:val="20"/>
              </w:rPr>
            </w:pPr>
            <w:r w:rsidRPr="00154253">
              <w:rPr>
                <w:rFonts w:eastAsia="Calibri"/>
                <w:sz w:val="20"/>
              </w:rPr>
              <w:t>1301-00178</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 xml:space="preserve">La déclaration du demandeur est entièrement radiée à l’égard des intimés Field LLP et Doyle et l’action contre l’intimé Wilson est radiée </w:t>
            </w:r>
          </w:p>
          <w:p w:rsidR="002F4FD4" w:rsidRPr="00154253" w:rsidRDefault="002F4FD4" w:rsidP="00E33C9D">
            <w:pPr>
              <w:jc w:val="both"/>
              <w:rPr>
                <w:rFonts w:eastAsia="Calibri"/>
                <w:sz w:val="20"/>
                <w:lang w:val="fr-CA"/>
              </w:rPr>
            </w:pP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30 janvier 2014</w:t>
            </w:r>
          </w:p>
          <w:p w:rsidR="002F4FD4" w:rsidRPr="00154253" w:rsidRDefault="002F4FD4" w:rsidP="00E33C9D">
            <w:pPr>
              <w:jc w:val="both"/>
              <w:rPr>
                <w:rFonts w:eastAsia="Calibri"/>
                <w:sz w:val="20"/>
                <w:lang w:val="fr-CA"/>
              </w:rPr>
            </w:pPr>
            <w:r w:rsidRPr="00154253">
              <w:rPr>
                <w:rFonts w:eastAsia="Calibri"/>
                <w:sz w:val="20"/>
                <w:lang w:val="fr-CA"/>
              </w:rPr>
              <w:t>Cour d’appel de l’Alberta (Calgary)</w:t>
            </w:r>
          </w:p>
          <w:p w:rsidR="002F4FD4" w:rsidRPr="00154253" w:rsidRDefault="002F4FD4" w:rsidP="00E33C9D">
            <w:pPr>
              <w:jc w:val="both"/>
              <w:rPr>
                <w:rFonts w:eastAsia="Calibri"/>
                <w:sz w:val="20"/>
                <w:lang w:val="fr-CA"/>
              </w:rPr>
            </w:pPr>
            <w:r w:rsidRPr="00154253">
              <w:rPr>
                <w:rFonts w:eastAsia="Calibri"/>
                <w:sz w:val="20"/>
                <w:lang w:val="fr-CA"/>
              </w:rPr>
              <w:t>(Juges Conrad, Berger et Costigan)</w:t>
            </w:r>
          </w:p>
          <w:p w:rsidR="002F4FD4" w:rsidRPr="00154253" w:rsidRDefault="00714478" w:rsidP="00E33C9D">
            <w:pPr>
              <w:jc w:val="both"/>
              <w:rPr>
                <w:rFonts w:eastAsia="Calibri"/>
                <w:sz w:val="20"/>
              </w:rPr>
            </w:pPr>
            <w:hyperlink r:id="rId51" w:history="1">
              <w:r w:rsidR="002F4FD4" w:rsidRPr="00154253">
                <w:rPr>
                  <w:rFonts w:eastAsia="Calibri"/>
                  <w:color w:val="0000FF"/>
                  <w:sz w:val="20"/>
                  <w:u w:val="single"/>
                </w:rPr>
                <w:t>2014 ABCA 35</w:t>
              </w:r>
            </w:hyperlink>
            <w:r w:rsidR="002F4FD4" w:rsidRPr="00154253">
              <w:rPr>
                <w:rFonts w:eastAsia="Calibri"/>
                <w:sz w:val="20"/>
              </w:rPr>
              <w:t>; 1301-0073-AC</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Appel rejeté</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31 mars 2014</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rPr>
            </w:pPr>
            <w:r w:rsidRPr="00154253">
              <w:rPr>
                <w:rFonts w:eastAsia="Calibri"/>
                <w:sz w:val="20"/>
              </w:rPr>
              <w:t xml:space="preserve">Demande d’autorisation d’appel déposée </w:t>
            </w:r>
          </w:p>
        </w:tc>
      </w:tr>
    </w:tbl>
    <w:p w:rsidR="002F4FD4" w:rsidRDefault="002F4FD4" w:rsidP="002F4FD4">
      <w:pPr>
        <w:rPr>
          <w:sz w:val="20"/>
          <w:szCs w:val="20"/>
        </w:rPr>
      </w:pPr>
    </w:p>
    <w:p w:rsidR="002F4FD4" w:rsidRDefault="00714478" w:rsidP="002F4FD4">
      <w:pPr>
        <w:rPr>
          <w:sz w:val="20"/>
          <w:szCs w:val="20"/>
        </w:rPr>
      </w:pPr>
      <w:r>
        <w:rPr>
          <w:sz w:val="20"/>
          <w:szCs w:val="20"/>
          <w:lang w:val="fr-CA"/>
        </w:rPr>
        <w:pict>
          <v:rect id="_x0000_i1059" style="width:2in;height:1pt" o:hrpct="0" o:hralign="center" o:hrstd="t" o:hrnoshade="t" o:hr="t" fillcolor="black [3213]" stroked="f"/>
        </w:pict>
      </w:r>
    </w:p>
    <w:p w:rsidR="002F4FD4" w:rsidRDefault="002F4FD4" w:rsidP="002F4FD4">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F4FD4" w:rsidRPr="00D963D2" w:rsidTr="00E33C9D">
        <w:trPr>
          <w:cantSplit/>
        </w:trPr>
        <w:tc>
          <w:tcPr>
            <w:tcW w:w="1458" w:type="dxa"/>
          </w:tcPr>
          <w:p w:rsidR="002F4FD4" w:rsidRPr="00D963D2" w:rsidRDefault="002F4FD4" w:rsidP="00E33C9D">
            <w:pPr>
              <w:rPr>
                <w:sz w:val="20"/>
              </w:rPr>
            </w:pPr>
            <w:r w:rsidRPr="00D963D2">
              <w:rPr>
                <w:b/>
                <w:sz w:val="20"/>
                <w:lang w:val="fr-CA"/>
              </w:rPr>
              <w:t>35916</w:t>
            </w:r>
          </w:p>
          <w:p w:rsidR="002F4FD4" w:rsidRPr="00D963D2" w:rsidRDefault="002F4FD4" w:rsidP="00E33C9D">
            <w:pPr>
              <w:rPr>
                <w:b/>
                <w:sz w:val="20"/>
                <w:lang w:val="fr-CA"/>
              </w:rPr>
            </w:pPr>
          </w:p>
        </w:tc>
        <w:tc>
          <w:tcPr>
            <w:tcW w:w="8118" w:type="dxa"/>
          </w:tcPr>
          <w:p w:rsidR="002F4FD4" w:rsidRPr="00D963D2" w:rsidRDefault="002F4FD4" w:rsidP="00E33C9D">
            <w:pPr>
              <w:jc w:val="both"/>
              <w:rPr>
                <w:sz w:val="20"/>
              </w:rPr>
            </w:pPr>
            <w:r w:rsidRPr="00D963D2">
              <w:rPr>
                <w:b/>
                <w:sz w:val="20"/>
                <w:u w:val="single"/>
              </w:rPr>
              <w:t>Sundance Saloon Limited</w:t>
            </w:r>
            <w:r>
              <w:rPr>
                <w:b/>
                <w:sz w:val="20"/>
                <w:u w:val="single"/>
              </w:rPr>
              <w:t xml:space="preserve"> and</w:t>
            </w:r>
            <w:r w:rsidRPr="00D963D2">
              <w:rPr>
                <w:b/>
                <w:sz w:val="20"/>
                <w:u w:val="single"/>
              </w:rPr>
              <w:t xml:space="preserve"> Big Ben</w:t>
            </w:r>
            <w:r>
              <w:rPr>
                <w:b/>
                <w:sz w:val="20"/>
                <w:u w:val="single"/>
              </w:rPr>
              <w:t>’</w:t>
            </w:r>
            <w:r w:rsidRPr="00D963D2">
              <w:rPr>
                <w:b/>
                <w:sz w:val="20"/>
                <w:u w:val="single"/>
              </w:rPr>
              <w:t>s Limited v. Her Majesty the Queen in Right of Newfoundland and Labrador, as Represented by the Minister of Finance</w:t>
            </w:r>
            <w:r>
              <w:rPr>
                <w:b/>
                <w:sz w:val="20"/>
                <w:u w:val="single"/>
              </w:rPr>
              <w:t xml:space="preserve"> and</w:t>
            </w:r>
            <w:r w:rsidRPr="00D963D2">
              <w:rPr>
                <w:b/>
                <w:sz w:val="20"/>
                <w:u w:val="single"/>
              </w:rPr>
              <w:t xml:space="preserve"> Newfoundland and Labrador Liquor Corporation</w:t>
            </w:r>
            <w:r w:rsidRPr="00D963D2">
              <w:rPr>
                <w:sz w:val="20"/>
              </w:rPr>
              <w:t xml:space="preserve"> (N.L.) (Civil) (By Leave)</w:t>
            </w:r>
          </w:p>
          <w:p w:rsidR="002F4FD4" w:rsidRPr="00D963D2" w:rsidRDefault="002F4FD4" w:rsidP="00E33C9D">
            <w:pPr>
              <w:jc w:val="both"/>
              <w:rPr>
                <w:sz w:val="20"/>
              </w:rPr>
            </w:pPr>
          </w:p>
        </w:tc>
      </w:tr>
      <w:tr w:rsidR="002F4FD4" w:rsidRPr="00D963D2" w:rsidTr="00E33C9D">
        <w:trPr>
          <w:cantSplit/>
        </w:trPr>
        <w:tc>
          <w:tcPr>
            <w:tcW w:w="1458" w:type="dxa"/>
          </w:tcPr>
          <w:p w:rsidR="002F4FD4" w:rsidRPr="00D963D2" w:rsidRDefault="002F4FD4" w:rsidP="00E33C9D">
            <w:pPr>
              <w:rPr>
                <w:sz w:val="20"/>
              </w:rPr>
            </w:pPr>
            <w:r w:rsidRPr="00D963D2">
              <w:rPr>
                <w:sz w:val="20"/>
              </w:rPr>
              <w:t>Coram :</w:t>
            </w:r>
          </w:p>
        </w:tc>
        <w:tc>
          <w:tcPr>
            <w:tcW w:w="8118" w:type="dxa"/>
          </w:tcPr>
          <w:p w:rsidR="002F4FD4" w:rsidRPr="00D963D2" w:rsidRDefault="002F4FD4" w:rsidP="00E33C9D">
            <w:pPr>
              <w:rPr>
                <w:sz w:val="20"/>
              </w:rPr>
            </w:pPr>
            <w:r w:rsidRPr="00D963D2">
              <w:rPr>
                <w:sz w:val="20"/>
                <w:u w:val="single"/>
              </w:rPr>
              <w:t>Abella, Rothstein and Moldaver JJ.</w:t>
            </w:r>
          </w:p>
          <w:p w:rsidR="002F4FD4" w:rsidRPr="00D963D2" w:rsidRDefault="002F4FD4" w:rsidP="00E33C9D">
            <w:pPr>
              <w:rPr>
                <w:sz w:val="20"/>
                <w:u w:val="single"/>
              </w:rPr>
            </w:pPr>
          </w:p>
        </w:tc>
      </w:tr>
      <w:tr w:rsidR="002F4FD4" w:rsidRPr="00714478" w:rsidTr="00E33C9D">
        <w:trPr>
          <w:cantSplit/>
        </w:trPr>
        <w:tc>
          <w:tcPr>
            <w:tcW w:w="9576" w:type="dxa"/>
            <w:gridSpan w:val="2"/>
          </w:tcPr>
          <w:p w:rsidR="002F4FD4" w:rsidRPr="00D963D2" w:rsidRDefault="002F4FD4" w:rsidP="00E33C9D">
            <w:pPr>
              <w:ind w:firstLine="720"/>
              <w:jc w:val="both"/>
              <w:rPr>
                <w:sz w:val="20"/>
              </w:rPr>
            </w:pPr>
            <w:r w:rsidRPr="00D963D2">
              <w:rPr>
                <w:sz w:val="20"/>
              </w:rPr>
              <w:t>The application for leave to appeal and the applications for leave to cross appeal from the judgment of the Supreme Court of Newfoundland and Labrador - Court of Appeal, Number 12/27, 2014 NLCA 15, dated March 31, 2014 are dismissed with costs.</w:t>
            </w:r>
          </w:p>
          <w:p w:rsidR="002F4FD4" w:rsidRPr="00D963D2" w:rsidRDefault="002F4FD4" w:rsidP="00E33C9D">
            <w:pPr>
              <w:jc w:val="both"/>
              <w:rPr>
                <w:sz w:val="20"/>
              </w:rPr>
            </w:pPr>
          </w:p>
          <w:p w:rsidR="002F4FD4" w:rsidRPr="00D963D2" w:rsidRDefault="002F4FD4" w:rsidP="00E33C9D">
            <w:pPr>
              <w:ind w:firstLine="720"/>
              <w:jc w:val="both"/>
              <w:rPr>
                <w:sz w:val="20"/>
                <w:lang w:val="fr-CA"/>
              </w:rPr>
            </w:pPr>
            <w:r w:rsidRPr="00D963D2">
              <w:rPr>
                <w:sz w:val="20"/>
                <w:lang w:val="fr-CA"/>
              </w:rPr>
              <w:t>La demande d’autorisation d’appel et les demandes d’autorisation d’appel incident  de l’arrêt de la Cour suprême de Terre-Neuve-et-Labrador - Cour d'appel, numéro 12/27, 2014 NLCA 15, daté du 31 mars 2014, sont rejetées avec dépens.</w:t>
            </w:r>
          </w:p>
        </w:tc>
      </w:tr>
    </w:tbl>
    <w:p w:rsidR="002F4FD4" w:rsidRPr="00D963D2" w:rsidRDefault="002F4FD4" w:rsidP="002F4FD4">
      <w:pPr>
        <w:rPr>
          <w:sz w:val="20"/>
          <w:szCs w:val="20"/>
          <w:lang w:val="fr-CA"/>
        </w:rPr>
      </w:pPr>
    </w:p>
    <w:p w:rsidR="002F4FD4" w:rsidRPr="001B157C" w:rsidRDefault="002F4FD4" w:rsidP="002F4FD4">
      <w:pPr>
        <w:rPr>
          <w:sz w:val="20"/>
          <w:szCs w:val="20"/>
          <w:u w:val="single"/>
        </w:rPr>
      </w:pPr>
      <w:r w:rsidRPr="001B157C">
        <w:rPr>
          <w:sz w:val="20"/>
          <w:szCs w:val="20"/>
          <w:u w:val="single"/>
        </w:rPr>
        <w:t>CASE SUMMARY</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Constitutional Law – Taxation – Scope and application of a province’s taxing powers – Distinction between indirect and direct taxation – Whether Legislature may retain monies taken from one group of taxpayers pursuant to an unconstitutional indirect tax as satisfaction for a retroactive direct tax levied on a different group of taxpayers – Whether a Legislature may justify the confiscation of an </w:t>
            </w:r>
            <w:r w:rsidRPr="00154253">
              <w:rPr>
                <w:rFonts w:eastAsia="Calibri"/>
                <w:i/>
                <w:sz w:val="20"/>
              </w:rPr>
              <w:t>ultra vires</w:t>
            </w:r>
            <w:r w:rsidRPr="00154253">
              <w:rPr>
                <w:rFonts w:eastAsia="Calibri"/>
                <w:sz w:val="20"/>
              </w:rPr>
              <w:t xml:space="preserve"> tax on one taxpayer by passing legislation against a different taxpayer in an attempt to give effect to an </w:t>
            </w:r>
            <w:r w:rsidRPr="00154253">
              <w:rPr>
                <w:rFonts w:eastAsia="Calibri"/>
                <w:i/>
                <w:sz w:val="20"/>
              </w:rPr>
              <w:t>ultra vires</w:t>
            </w:r>
            <w:r w:rsidRPr="00154253">
              <w:rPr>
                <w:rFonts w:eastAsia="Calibri"/>
                <w:sz w:val="20"/>
              </w:rPr>
              <w:t xml:space="preserve"> tax – Whether allowing “passing on” as a defence barring restitution of monies collected pursuant to an unconstitutional tax conflicts with </w:t>
            </w:r>
            <w:r w:rsidRPr="00154253">
              <w:rPr>
                <w:rFonts w:eastAsia="Calibri"/>
                <w:i/>
                <w:sz w:val="20"/>
              </w:rPr>
              <w:t>Kingstreet Investments Ltd. v. New Brunswick (Department of Finance)</w:t>
            </w:r>
            <w:r w:rsidRPr="00154253">
              <w:rPr>
                <w:rFonts w:eastAsia="Calibri"/>
                <w:sz w:val="20"/>
              </w:rPr>
              <w:t>, 2007 SCC 1, [2007] 1 S.C.R. 3.</w:t>
            </w:r>
          </w:p>
        </w:tc>
      </w:tr>
      <w:tr w:rsidR="002F4FD4" w:rsidRPr="00154253" w:rsidTr="00E33C9D">
        <w:tc>
          <w:tcPr>
            <w:tcW w:w="5000" w:type="pct"/>
            <w:gridSpan w:val="3"/>
          </w:tcPr>
          <w:p w:rsidR="002F4FD4" w:rsidRPr="00154253" w:rsidRDefault="002F4FD4" w:rsidP="00E33C9D">
            <w:pPr>
              <w:jc w:val="both"/>
              <w:rPr>
                <w:rFonts w:eastAsia="Calibri"/>
                <w:sz w:val="20"/>
              </w:rPr>
            </w:pPr>
          </w:p>
        </w:tc>
      </w:tr>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The applicants are lounges in the Province of Newfoundland and Labrador, licensed to purchase wines and spirits from the Newfoundland and Labrador Liquor Corporation for re-sale to customers.  They paid a 10% levy to the Province on all of their purchases of wines and spirits between 2001 and 2006.  On February 16, 2007, the class filed a Statement of Claim seeking a declaration that the levy was </w:t>
            </w:r>
            <w:r w:rsidRPr="00154253">
              <w:rPr>
                <w:rFonts w:eastAsia="Calibri"/>
                <w:i/>
                <w:sz w:val="20"/>
              </w:rPr>
              <w:t>ultra vires</w:t>
            </w:r>
            <w:r w:rsidRPr="00154253">
              <w:rPr>
                <w:rFonts w:eastAsia="Calibri"/>
                <w:sz w:val="20"/>
              </w:rPr>
              <w:t xml:space="preserve"> the Province and seeking restitution of the monies paid under the levy.  In 2008, in </w:t>
            </w:r>
            <w:r w:rsidRPr="00154253">
              <w:rPr>
                <w:rFonts w:eastAsia="Calibri"/>
                <w:i/>
                <w:sz w:val="20"/>
              </w:rPr>
              <w:t>An Act to Amend the Liquor Control Act</w:t>
            </w:r>
            <w:r w:rsidRPr="00154253">
              <w:rPr>
                <w:rFonts w:eastAsia="Calibri"/>
                <w:sz w:val="20"/>
              </w:rPr>
              <w:t xml:space="preserve">, S.N.L. 2008 c. 14, the Legislature amended the </w:t>
            </w:r>
            <w:r w:rsidRPr="00154253">
              <w:rPr>
                <w:rFonts w:eastAsia="Calibri"/>
                <w:i/>
                <w:sz w:val="20"/>
              </w:rPr>
              <w:t>Liquor Control Act</w:t>
            </w:r>
            <w:r w:rsidRPr="00154253">
              <w:rPr>
                <w:rFonts w:eastAsia="Calibri"/>
                <w:sz w:val="20"/>
              </w:rPr>
              <w:t>, R.S.N.L. 1990, c. L-18, and introduced, in s. 56.1, a retroactive tax on purchases of spirits and wines by the class members’ customers during the same time period as the levy.  The amendments require the class to collect and remit the tax to the Province.  The tax is calculated on retail sales prices but the Legislature deemed the amounts paid by the class pursuant to the levy to be payment in full for the tax.</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lastRenderedPageBreak/>
              <w:t>January 30, 2012</w:t>
            </w:r>
          </w:p>
          <w:p w:rsidR="002F4FD4" w:rsidRPr="00154253" w:rsidRDefault="002F4FD4" w:rsidP="00E33C9D">
            <w:pPr>
              <w:jc w:val="both"/>
              <w:rPr>
                <w:rFonts w:eastAsia="Calibri"/>
                <w:sz w:val="20"/>
              </w:rPr>
            </w:pPr>
            <w:r w:rsidRPr="00154253">
              <w:rPr>
                <w:rFonts w:eastAsia="Calibri"/>
                <w:sz w:val="20"/>
              </w:rPr>
              <w:t>Supreme Court of Newfoundland &amp; Labrador</w:t>
            </w:r>
          </w:p>
          <w:p w:rsidR="002F4FD4" w:rsidRPr="00154253" w:rsidRDefault="002F4FD4" w:rsidP="00E33C9D">
            <w:pPr>
              <w:jc w:val="both"/>
              <w:rPr>
                <w:rFonts w:eastAsia="Calibri"/>
                <w:sz w:val="20"/>
              </w:rPr>
            </w:pPr>
            <w:r w:rsidRPr="00154253">
              <w:rPr>
                <w:rFonts w:eastAsia="Calibri"/>
                <w:sz w:val="20"/>
              </w:rPr>
              <w:t>Trial Division</w:t>
            </w:r>
          </w:p>
          <w:p w:rsidR="002F4FD4" w:rsidRPr="00154253" w:rsidRDefault="002F4FD4" w:rsidP="00E33C9D">
            <w:pPr>
              <w:jc w:val="both"/>
              <w:rPr>
                <w:rFonts w:eastAsia="Calibri"/>
                <w:sz w:val="20"/>
              </w:rPr>
            </w:pPr>
            <w:r w:rsidRPr="00154253">
              <w:rPr>
                <w:rFonts w:eastAsia="Calibri"/>
                <w:sz w:val="20"/>
              </w:rPr>
              <w:t>(Thompson J.)</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Action dismissed</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March 31, 2014</w:t>
            </w:r>
          </w:p>
          <w:p w:rsidR="002F4FD4" w:rsidRPr="00154253" w:rsidRDefault="002F4FD4" w:rsidP="00E33C9D">
            <w:pPr>
              <w:jc w:val="both"/>
              <w:rPr>
                <w:rFonts w:eastAsia="Calibri"/>
                <w:sz w:val="20"/>
              </w:rPr>
            </w:pPr>
            <w:r w:rsidRPr="00154253">
              <w:rPr>
                <w:rFonts w:eastAsia="Calibri"/>
                <w:sz w:val="20"/>
              </w:rPr>
              <w:t xml:space="preserve">Supreme Court of Newfoundland and </w:t>
            </w:r>
          </w:p>
          <w:p w:rsidR="002F4FD4" w:rsidRPr="00154253" w:rsidRDefault="002F4FD4" w:rsidP="00E33C9D">
            <w:pPr>
              <w:jc w:val="both"/>
              <w:rPr>
                <w:rFonts w:eastAsia="Calibri"/>
                <w:sz w:val="20"/>
              </w:rPr>
            </w:pPr>
            <w:r w:rsidRPr="00154253">
              <w:rPr>
                <w:rFonts w:eastAsia="Calibri"/>
                <w:sz w:val="20"/>
              </w:rPr>
              <w:t>Labrador - Court of Appeal</w:t>
            </w:r>
          </w:p>
          <w:p w:rsidR="002F4FD4" w:rsidRPr="00154253" w:rsidRDefault="002F4FD4" w:rsidP="00E33C9D">
            <w:pPr>
              <w:jc w:val="both"/>
              <w:rPr>
                <w:rFonts w:eastAsia="Calibri"/>
                <w:sz w:val="20"/>
              </w:rPr>
            </w:pPr>
            <w:r w:rsidRPr="00154253">
              <w:rPr>
                <w:rFonts w:eastAsia="Calibri"/>
                <w:sz w:val="20"/>
              </w:rPr>
              <w:t>(Green, Welsh, Rowe JJ.A.)</w:t>
            </w:r>
          </w:p>
          <w:p w:rsidR="002F4FD4" w:rsidRPr="00154253" w:rsidRDefault="002F4FD4" w:rsidP="00E33C9D">
            <w:pPr>
              <w:jc w:val="both"/>
              <w:rPr>
                <w:rFonts w:eastAsia="Calibri"/>
                <w:sz w:val="20"/>
              </w:rPr>
            </w:pPr>
            <w:r w:rsidRPr="00154253">
              <w:rPr>
                <w:rFonts w:eastAsia="Calibri"/>
                <w:sz w:val="20"/>
              </w:rPr>
              <w:t>2014 NLCA 15</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 dismissed</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May 29, 2014</w:t>
            </w:r>
          </w:p>
          <w:p w:rsidR="002F4FD4" w:rsidRPr="00154253" w:rsidRDefault="002F4FD4" w:rsidP="00E33C9D">
            <w:pPr>
              <w:jc w:val="both"/>
              <w:rPr>
                <w:rFonts w:eastAsia="Calibri"/>
                <w:sz w:val="20"/>
              </w:rPr>
            </w:pPr>
            <w:r w:rsidRPr="00154253">
              <w:rPr>
                <w:rFonts w:eastAsia="Calibri"/>
                <w:sz w:val="20"/>
              </w:rPr>
              <w:t>Supreme Court of Canada</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filed</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June 17, 2014</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Applications for leave to cross-appeal filed</w:t>
            </w:r>
          </w:p>
        </w:tc>
      </w:tr>
    </w:tbl>
    <w:p w:rsidR="002F4FD4" w:rsidRDefault="002F4FD4" w:rsidP="002F4FD4">
      <w:pPr>
        <w:rPr>
          <w:sz w:val="20"/>
          <w:szCs w:val="20"/>
        </w:rPr>
      </w:pPr>
    </w:p>
    <w:p w:rsidR="002F4FD4" w:rsidRPr="00C50A5C" w:rsidRDefault="00714478" w:rsidP="002F4FD4">
      <w:pPr>
        <w:rPr>
          <w:sz w:val="20"/>
          <w:szCs w:val="20"/>
        </w:rPr>
      </w:pPr>
      <w:r>
        <w:rPr>
          <w:sz w:val="20"/>
          <w:szCs w:val="20"/>
          <w:lang w:val="fr-CA"/>
        </w:rPr>
        <w:pict>
          <v:rect id="_x0000_i1060" style="width:2in;height:1pt" o:hrpct="0" o:hralign="center" o:hrstd="t" o:hrnoshade="t" o:hr="t" fillcolor="black [3213]" stroked="f"/>
        </w:pict>
      </w:r>
    </w:p>
    <w:p w:rsidR="002F4FD4" w:rsidRDefault="002F4FD4" w:rsidP="002F4FD4">
      <w:pPr>
        <w:rPr>
          <w:sz w:val="20"/>
          <w:szCs w:val="20"/>
        </w:rPr>
      </w:pPr>
    </w:p>
    <w:p w:rsidR="002F4FD4" w:rsidRPr="001B157C" w:rsidRDefault="002F4FD4" w:rsidP="002F4FD4">
      <w:pPr>
        <w:rPr>
          <w:sz w:val="20"/>
          <w:szCs w:val="20"/>
          <w:u w:val="single"/>
          <w:lang w:val="fr-CA"/>
        </w:rPr>
      </w:pPr>
      <w:r w:rsidRPr="001B157C">
        <w:rPr>
          <w:sz w:val="20"/>
          <w:szCs w:val="20"/>
          <w:u w:val="single"/>
          <w:lang w:val="fr-CA"/>
        </w:rPr>
        <w:t>RÉSUMÉ DE L’AFFAIRE</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 xml:space="preserve">Droit constitutionnel – Fiscalité – Portée et application du pouvoir de taxation d’une province – Distinction entre taxation indirecte et taxation directe – Est-ce que le législateur peut conserver les sommes d’argent provenant d’un groupe de contribuables aux termes d’une taxe indirecte inconstitutionnelle en compensation pour une taxe directe rétroactive prélevée d’un autre groupe de contribuables? – Est-ce que le législateur peut justifier la confiscation d’une taxe invalide d’un contribuable en adoptant une loi contre un autre contribuable pour tenter de donner effet à une taxe invalide? – Est-ce que de permettre que le moyen de défense fondé sur le “transfert de la perte” empêche la restitution des sommes d’argent perçues aux termes d’une taxe inconstitutionnelle entre en conflit avec l’arrêt </w:t>
            </w:r>
            <w:r w:rsidRPr="00154253">
              <w:rPr>
                <w:rFonts w:eastAsia="Calibri"/>
                <w:i/>
                <w:sz w:val="20"/>
                <w:lang w:val="fr-CA"/>
              </w:rPr>
              <w:t>Kingstreet Investments Ltd. c. Nouveau-Brunswick (Finances)</w:t>
            </w:r>
            <w:r w:rsidRPr="00154253">
              <w:rPr>
                <w:rFonts w:eastAsia="Calibri"/>
                <w:sz w:val="20"/>
                <w:lang w:val="fr-CA"/>
              </w:rPr>
              <w:t>, [2007] 1 R.C.S. 3, 2007 CSC 1?</w:t>
            </w:r>
          </w:p>
        </w:tc>
      </w:tr>
      <w:tr w:rsidR="002F4FD4" w:rsidRPr="00714478" w:rsidTr="00E33C9D">
        <w:tc>
          <w:tcPr>
            <w:tcW w:w="5000" w:type="pct"/>
            <w:gridSpan w:val="3"/>
          </w:tcPr>
          <w:p w:rsidR="002F4FD4" w:rsidRPr="00154253" w:rsidRDefault="002F4FD4" w:rsidP="00E33C9D">
            <w:pPr>
              <w:jc w:val="both"/>
              <w:rPr>
                <w:rFonts w:eastAsia="Calibri"/>
                <w:sz w:val="20"/>
                <w:lang w:val="fr-CA"/>
              </w:rPr>
            </w:pPr>
          </w:p>
        </w:tc>
      </w:tr>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 xml:space="preserve">Les demandeurs sont des bars-salons situés dans la province de Terre-Neuve et Labrador qui sont titulaires d’une licence les autorisant à acheter des vins et spiritueux de la Newfoundland and Labrador Liquor Corporation pour la revente aux clients.  Ils ont payé une redevance de 10% à la province sur tous leurs achats de vins et spiritueux entre 2001 et 2006.  Le 16 février 2007, le groupe (de demandeurs) a déposé une demande introductive d’instance en vue d’obtenir une déclaration à l’effet que cette redevance excède la compétence de la province et la restitution des sommes d’argent payées en vertu de la redevance.  En 2008, par la </w:t>
            </w:r>
            <w:r w:rsidRPr="00154253">
              <w:rPr>
                <w:rFonts w:eastAsia="Calibri"/>
                <w:i/>
                <w:sz w:val="20"/>
                <w:lang w:val="fr-CA"/>
              </w:rPr>
              <w:t>An Act to Amend the Liquor Control Act</w:t>
            </w:r>
            <w:r w:rsidRPr="00154253">
              <w:rPr>
                <w:rFonts w:eastAsia="Calibri"/>
                <w:sz w:val="20"/>
                <w:lang w:val="fr-CA"/>
              </w:rPr>
              <w:t xml:space="preserve">, S.N.L. 2008 c. 14, le législateur a modifié la </w:t>
            </w:r>
            <w:r w:rsidRPr="00154253">
              <w:rPr>
                <w:rFonts w:eastAsia="Calibri"/>
                <w:i/>
                <w:sz w:val="20"/>
                <w:lang w:val="fr-CA"/>
              </w:rPr>
              <w:t>Liquor Control Act</w:t>
            </w:r>
            <w:r w:rsidRPr="00154253">
              <w:rPr>
                <w:rFonts w:eastAsia="Calibri"/>
                <w:sz w:val="20"/>
                <w:lang w:val="fr-CA"/>
              </w:rPr>
              <w:t>, R.S.N.L. 1990, c. L-18, et a introduit, à l’art. 56.1, une taxe rétroactive sur les achats de vins et spiritueux faits par les clients des membres du groupe durant la même période d’application que celle de la redevance.  Les modifications exigent que le groupe perçoive la taxe et la remette à la province.  La taxe est calculée sur le prix de la vente au détail, mais le législateur a considéré les sommes payées par le groupe en vertu de la redevance comme des paiements en totalité pour la taxe.</w:t>
            </w:r>
          </w:p>
          <w:p w:rsidR="002F4FD4" w:rsidRPr="00154253" w:rsidRDefault="002F4FD4" w:rsidP="00E33C9D">
            <w:pPr>
              <w:jc w:val="both"/>
              <w:rPr>
                <w:rFonts w:eastAsia="Calibri"/>
                <w:sz w:val="20"/>
                <w:lang w:val="fr-CA"/>
              </w:rPr>
            </w:pP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30 janvier 2012</w:t>
            </w:r>
          </w:p>
          <w:p w:rsidR="002F4FD4" w:rsidRPr="00154253" w:rsidRDefault="002F4FD4" w:rsidP="00E33C9D">
            <w:pPr>
              <w:jc w:val="both"/>
              <w:rPr>
                <w:rFonts w:eastAsia="Calibri"/>
                <w:sz w:val="20"/>
                <w:lang w:val="fr-CA"/>
              </w:rPr>
            </w:pPr>
            <w:r w:rsidRPr="00154253">
              <w:rPr>
                <w:rFonts w:eastAsia="Calibri"/>
                <w:sz w:val="20"/>
                <w:lang w:val="fr-CA"/>
              </w:rPr>
              <w:t xml:space="preserve">Cour suprême de Terre-Neuve et Labrador </w:t>
            </w:r>
          </w:p>
          <w:p w:rsidR="002F4FD4" w:rsidRPr="00154253" w:rsidRDefault="002F4FD4" w:rsidP="00E33C9D">
            <w:pPr>
              <w:jc w:val="both"/>
              <w:rPr>
                <w:rFonts w:eastAsia="Calibri"/>
                <w:sz w:val="20"/>
                <w:lang w:val="fr-CA"/>
              </w:rPr>
            </w:pPr>
            <w:r w:rsidRPr="00154253">
              <w:rPr>
                <w:rFonts w:eastAsia="Calibri"/>
                <w:sz w:val="20"/>
                <w:lang w:val="fr-CA"/>
              </w:rPr>
              <w:t>Division de première instance</w:t>
            </w:r>
          </w:p>
          <w:p w:rsidR="002F4FD4" w:rsidRPr="00154253" w:rsidRDefault="002F4FD4" w:rsidP="00E33C9D">
            <w:pPr>
              <w:jc w:val="both"/>
              <w:rPr>
                <w:rFonts w:eastAsia="Calibri"/>
                <w:sz w:val="20"/>
                <w:lang w:val="fr-CA"/>
              </w:rPr>
            </w:pPr>
            <w:r w:rsidRPr="00154253">
              <w:rPr>
                <w:rFonts w:eastAsia="Calibri"/>
                <w:sz w:val="20"/>
                <w:lang w:val="fr-CA"/>
              </w:rPr>
              <w:t>(Juge Thompson)</w:t>
            </w:r>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rPr>
            </w:pPr>
            <w:r w:rsidRPr="00154253">
              <w:rPr>
                <w:rFonts w:eastAsia="Calibri"/>
                <w:sz w:val="20"/>
              </w:rPr>
              <w:t>Action rejetée</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lastRenderedPageBreak/>
              <w:t>31 mars 2014</w:t>
            </w:r>
          </w:p>
          <w:p w:rsidR="002F4FD4" w:rsidRPr="00154253" w:rsidRDefault="002F4FD4" w:rsidP="00E33C9D">
            <w:pPr>
              <w:jc w:val="both"/>
              <w:rPr>
                <w:rFonts w:eastAsia="Calibri"/>
                <w:sz w:val="20"/>
                <w:lang w:val="fr-CA"/>
              </w:rPr>
            </w:pPr>
            <w:r w:rsidRPr="00154253">
              <w:rPr>
                <w:rFonts w:eastAsia="Calibri"/>
                <w:sz w:val="20"/>
                <w:lang w:val="fr-CA"/>
              </w:rPr>
              <w:t>Cour suprême de Terre-Neuve et Labrador  Cour d’appel</w:t>
            </w:r>
          </w:p>
          <w:p w:rsidR="002F4FD4" w:rsidRPr="00154253" w:rsidRDefault="002F4FD4" w:rsidP="00E33C9D">
            <w:pPr>
              <w:jc w:val="both"/>
              <w:rPr>
                <w:rFonts w:eastAsia="Calibri"/>
                <w:sz w:val="20"/>
              </w:rPr>
            </w:pPr>
            <w:r w:rsidRPr="00154253">
              <w:rPr>
                <w:rFonts w:eastAsia="Calibri"/>
                <w:sz w:val="20"/>
              </w:rPr>
              <w:t>(Juges Green, Welsh et Rowe)</w:t>
            </w:r>
          </w:p>
          <w:p w:rsidR="002F4FD4" w:rsidRPr="00154253" w:rsidRDefault="002F4FD4" w:rsidP="00E33C9D">
            <w:pPr>
              <w:jc w:val="both"/>
              <w:rPr>
                <w:rFonts w:eastAsia="Calibri"/>
                <w:sz w:val="20"/>
              </w:rPr>
            </w:pPr>
            <w:r w:rsidRPr="00154253">
              <w:rPr>
                <w:rFonts w:eastAsia="Calibri"/>
                <w:sz w:val="20"/>
              </w:rPr>
              <w:t>2014 NLCA 15</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Appel rejeté</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t>29 mai 2014</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rPr>
            </w:pPr>
            <w:r w:rsidRPr="00154253">
              <w:rPr>
                <w:rFonts w:eastAsia="Calibri"/>
                <w:sz w:val="20"/>
              </w:rPr>
              <w:t>Demande d’autorisation d’appel déposée</w:t>
            </w:r>
          </w:p>
          <w:p w:rsidR="002F4FD4" w:rsidRPr="00154253" w:rsidRDefault="002F4FD4" w:rsidP="00E33C9D">
            <w:pPr>
              <w:jc w:val="both"/>
              <w:rPr>
                <w:rFonts w:eastAsia="Calibri"/>
                <w:sz w:val="20"/>
              </w:rPr>
            </w:pPr>
          </w:p>
        </w:tc>
      </w:tr>
      <w:tr w:rsidR="002F4FD4" w:rsidRPr="00714478"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t>17 juin 2014</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 xml:space="preserve">Demandes d’autorisation d’appel incident déposées </w:t>
            </w:r>
          </w:p>
        </w:tc>
      </w:tr>
    </w:tbl>
    <w:p w:rsidR="002F4FD4" w:rsidRPr="003432C9" w:rsidRDefault="002F4FD4" w:rsidP="002F4FD4">
      <w:pPr>
        <w:rPr>
          <w:sz w:val="20"/>
          <w:szCs w:val="20"/>
          <w:lang w:val="fr-CA"/>
        </w:rPr>
      </w:pPr>
    </w:p>
    <w:p w:rsidR="002F4FD4" w:rsidRDefault="00714478" w:rsidP="002F4FD4">
      <w:pPr>
        <w:rPr>
          <w:sz w:val="20"/>
          <w:szCs w:val="20"/>
        </w:rPr>
      </w:pPr>
      <w:r>
        <w:rPr>
          <w:sz w:val="20"/>
          <w:szCs w:val="20"/>
          <w:lang w:val="fr-CA"/>
        </w:rPr>
        <w:pict>
          <v:rect id="_x0000_i1061" style="width:2in;height:1pt" o:hrpct="0" o:hralign="center" o:hrstd="t" o:hrnoshade="t" o:hr="t" fillcolor="black [3213]" stroked="f"/>
        </w:pict>
      </w:r>
    </w:p>
    <w:p w:rsidR="002F4FD4" w:rsidRDefault="002F4FD4" w:rsidP="002F4FD4">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F4FD4" w:rsidRPr="00D963D2" w:rsidTr="00E33C9D">
        <w:trPr>
          <w:cantSplit/>
        </w:trPr>
        <w:tc>
          <w:tcPr>
            <w:tcW w:w="1458" w:type="dxa"/>
          </w:tcPr>
          <w:p w:rsidR="002F4FD4" w:rsidRPr="00D963D2" w:rsidRDefault="002F4FD4" w:rsidP="00E33C9D">
            <w:pPr>
              <w:rPr>
                <w:sz w:val="20"/>
              </w:rPr>
            </w:pPr>
            <w:r w:rsidRPr="00D963D2">
              <w:rPr>
                <w:b/>
                <w:sz w:val="20"/>
                <w:lang w:val="fr-CA"/>
              </w:rPr>
              <w:t>35929</w:t>
            </w:r>
          </w:p>
          <w:p w:rsidR="002F4FD4" w:rsidRPr="00D963D2" w:rsidRDefault="002F4FD4" w:rsidP="00E33C9D">
            <w:pPr>
              <w:rPr>
                <w:b/>
                <w:sz w:val="20"/>
                <w:lang w:val="fr-CA"/>
              </w:rPr>
            </w:pPr>
          </w:p>
        </w:tc>
        <w:tc>
          <w:tcPr>
            <w:tcW w:w="8118" w:type="dxa"/>
          </w:tcPr>
          <w:p w:rsidR="002F4FD4" w:rsidRPr="00D963D2" w:rsidRDefault="002F4FD4" w:rsidP="00E33C9D">
            <w:pPr>
              <w:rPr>
                <w:sz w:val="20"/>
              </w:rPr>
            </w:pPr>
            <w:r w:rsidRPr="00D963D2">
              <w:rPr>
                <w:b/>
                <w:sz w:val="20"/>
                <w:u w:val="single"/>
              </w:rPr>
              <w:t>Robert Badgerow v. Her Majesty the Queen</w:t>
            </w:r>
            <w:r w:rsidRPr="00D963D2">
              <w:rPr>
                <w:sz w:val="20"/>
              </w:rPr>
              <w:t xml:space="preserve"> (Ont.) (Criminal) (By Leave)</w:t>
            </w:r>
          </w:p>
          <w:p w:rsidR="002F4FD4" w:rsidRPr="00D963D2" w:rsidRDefault="002F4FD4" w:rsidP="00E33C9D">
            <w:pPr>
              <w:rPr>
                <w:sz w:val="20"/>
              </w:rPr>
            </w:pPr>
          </w:p>
        </w:tc>
      </w:tr>
      <w:tr w:rsidR="002F4FD4" w:rsidRPr="00D963D2" w:rsidTr="00E33C9D">
        <w:trPr>
          <w:cantSplit/>
        </w:trPr>
        <w:tc>
          <w:tcPr>
            <w:tcW w:w="1458" w:type="dxa"/>
          </w:tcPr>
          <w:p w:rsidR="002F4FD4" w:rsidRPr="00D963D2" w:rsidRDefault="002F4FD4" w:rsidP="00E33C9D">
            <w:pPr>
              <w:rPr>
                <w:sz w:val="20"/>
              </w:rPr>
            </w:pPr>
            <w:r w:rsidRPr="00D963D2">
              <w:rPr>
                <w:sz w:val="20"/>
              </w:rPr>
              <w:t>Coram :</w:t>
            </w:r>
          </w:p>
        </w:tc>
        <w:tc>
          <w:tcPr>
            <w:tcW w:w="8118" w:type="dxa"/>
          </w:tcPr>
          <w:p w:rsidR="002F4FD4" w:rsidRPr="00D963D2" w:rsidRDefault="002F4FD4" w:rsidP="00E33C9D">
            <w:pPr>
              <w:rPr>
                <w:sz w:val="20"/>
              </w:rPr>
            </w:pPr>
            <w:r w:rsidRPr="00D963D2">
              <w:rPr>
                <w:sz w:val="20"/>
                <w:u w:val="single"/>
              </w:rPr>
              <w:t>Abella, Rothstein and Moldaver JJ.</w:t>
            </w:r>
          </w:p>
          <w:p w:rsidR="002F4FD4" w:rsidRPr="00D963D2" w:rsidRDefault="002F4FD4" w:rsidP="00E33C9D">
            <w:pPr>
              <w:rPr>
                <w:sz w:val="20"/>
                <w:u w:val="single"/>
              </w:rPr>
            </w:pPr>
          </w:p>
        </w:tc>
      </w:tr>
      <w:tr w:rsidR="002F4FD4" w:rsidRPr="00714478" w:rsidTr="00E33C9D">
        <w:trPr>
          <w:cantSplit/>
        </w:trPr>
        <w:tc>
          <w:tcPr>
            <w:tcW w:w="9576" w:type="dxa"/>
            <w:gridSpan w:val="2"/>
          </w:tcPr>
          <w:p w:rsidR="002F4FD4" w:rsidRPr="00D963D2" w:rsidRDefault="002F4FD4" w:rsidP="00E33C9D">
            <w:pPr>
              <w:ind w:firstLine="720"/>
              <w:jc w:val="both"/>
              <w:rPr>
                <w:sz w:val="20"/>
              </w:rPr>
            </w:pPr>
            <w:r w:rsidRPr="00D963D2">
              <w:rPr>
                <w:sz w:val="20"/>
              </w:rPr>
              <w:t>The application for leave to appeal from the judgment of the Court of Appeal for Ontario, Number C56067, 2014 ONCA 272, dated April 8, 2014, is dismissed without costs.</w:t>
            </w:r>
          </w:p>
          <w:p w:rsidR="002F4FD4" w:rsidRPr="00D963D2" w:rsidRDefault="002F4FD4" w:rsidP="00E33C9D">
            <w:pPr>
              <w:jc w:val="both"/>
              <w:rPr>
                <w:sz w:val="20"/>
              </w:rPr>
            </w:pPr>
          </w:p>
          <w:p w:rsidR="002F4FD4" w:rsidRPr="00D963D2" w:rsidRDefault="002F4FD4" w:rsidP="008C097E">
            <w:pPr>
              <w:ind w:firstLine="720"/>
              <w:jc w:val="both"/>
              <w:rPr>
                <w:sz w:val="20"/>
                <w:lang w:val="fr-CA"/>
              </w:rPr>
            </w:pPr>
            <w:r w:rsidRPr="00D963D2">
              <w:rPr>
                <w:sz w:val="20"/>
                <w:lang w:val="fr-CA"/>
              </w:rPr>
              <w:t>La demande d’autorisation d’appel de l’arrêt de la Cour d’appel de l’Ontario, numéro C56067, 2014 ONCA 272, daté du 8 avril 2014, est rejetée sans d</w:t>
            </w:r>
            <w:r w:rsidR="008C097E">
              <w:rPr>
                <w:sz w:val="20"/>
                <w:lang w:val="fr-CA"/>
              </w:rPr>
              <w:t>é</w:t>
            </w:r>
            <w:r w:rsidRPr="00D963D2">
              <w:rPr>
                <w:sz w:val="20"/>
                <w:lang w:val="fr-CA"/>
              </w:rPr>
              <w:t>pens.</w:t>
            </w:r>
          </w:p>
        </w:tc>
      </w:tr>
    </w:tbl>
    <w:p w:rsidR="002F4FD4" w:rsidRPr="0016547E" w:rsidRDefault="002F4FD4" w:rsidP="002F4FD4">
      <w:pPr>
        <w:rPr>
          <w:sz w:val="20"/>
          <w:szCs w:val="20"/>
          <w:lang w:val="fr-CA"/>
        </w:rPr>
      </w:pPr>
    </w:p>
    <w:p w:rsidR="002F4FD4" w:rsidRPr="001B157C" w:rsidRDefault="002F4FD4" w:rsidP="002F4FD4">
      <w:pPr>
        <w:rPr>
          <w:sz w:val="20"/>
          <w:szCs w:val="20"/>
          <w:u w:val="single"/>
        </w:rPr>
      </w:pPr>
      <w:r w:rsidRPr="001B157C">
        <w:rPr>
          <w:sz w:val="20"/>
          <w:szCs w:val="20"/>
          <w:u w:val="single"/>
        </w:rPr>
        <w:t>CASE SUMMARY</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Default="002F4FD4" w:rsidP="00E33C9D">
            <w:pPr>
              <w:jc w:val="both"/>
              <w:rPr>
                <w:rFonts w:eastAsia="Calibri"/>
                <w:sz w:val="20"/>
              </w:rPr>
            </w:pPr>
            <w:r w:rsidRPr="00154253">
              <w:rPr>
                <w:rFonts w:eastAsia="Calibri"/>
                <w:i/>
                <w:sz w:val="20"/>
              </w:rPr>
              <w:t>Charter of Rights and Freedoms</w:t>
            </w:r>
            <w:r w:rsidRPr="00154253">
              <w:rPr>
                <w:rFonts w:eastAsia="Calibri"/>
                <w:sz w:val="20"/>
              </w:rPr>
              <w:t xml:space="preserve"> – Fundamental Justice – Criminal Law – What is the governing test for an abuse of process based on multiple re-trials? – What kind of exceptional circumstances justify a fourth trial? – Whether the Court of Appeal erred in treating abuse motions based on multiple retrials as residual category cases in the test for a stay of proceedings.</w:t>
            </w:r>
          </w:p>
          <w:p w:rsidR="002F4FD4" w:rsidRPr="00154253" w:rsidRDefault="002F4FD4" w:rsidP="00E33C9D">
            <w:pPr>
              <w:jc w:val="both"/>
              <w:rPr>
                <w:rFonts w:eastAsia="Calibri"/>
                <w:sz w:val="20"/>
              </w:rPr>
            </w:pPr>
          </w:p>
        </w:tc>
      </w:tr>
      <w:tr w:rsidR="002F4FD4" w:rsidRPr="00154253" w:rsidTr="00E33C9D">
        <w:tc>
          <w:tcPr>
            <w:tcW w:w="5000" w:type="pct"/>
            <w:gridSpan w:val="3"/>
          </w:tcPr>
          <w:p w:rsidR="002F4FD4" w:rsidRPr="00154253" w:rsidRDefault="002F4FD4" w:rsidP="00E33C9D">
            <w:pPr>
              <w:autoSpaceDE w:val="0"/>
              <w:autoSpaceDN w:val="0"/>
              <w:adjustRightInd w:val="0"/>
              <w:jc w:val="both"/>
              <w:rPr>
                <w:rFonts w:eastAsia="Calibri"/>
                <w:sz w:val="20"/>
              </w:rPr>
            </w:pPr>
            <w:r w:rsidRPr="00154253">
              <w:rPr>
                <w:rFonts w:eastAsia="Calibri"/>
                <w:sz w:val="20"/>
              </w:rPr>
              <w:t xml:space="preserve">The applicant has been tried three times for a murder that occurred in 1981.  A conviction was quashed on appeal and two trials resulted in mistrials.  Someone with knowledge of the murder called 911 two days after the murder.  The Crown has not been allowed to lead evidence that the call was traced to a phone booth outside the applicant’s place of work.  The Crown has commenced trial for a fourth time proceedings and will seek to put the call-trace evidence before a jury.  A motions judge held that a fourth trial will breach s. 7 of the </w:t>
            </w:r>
            <w:r w:rsidRPr="00154253">
              <w:rPr>
                <w:rFonts w:eastAsia="Calibri"/>
                <w:i/>
                <w:sz w:val="20"/>
              </w:rPr>
              <w:t>Charter</w:t>
            </w:r>
            <w:r w:rsidRPr="00154253">
              <w:rPr>
                <w:rFonts w:eastAsia="Calibri"/>
                <w:sz w:val="20"/>
              </w:rPr>
              <w:t xml:space="preserve"> and stayed proceedings.  The Court of Appeal allowed an appeal and held that the call-trace evidence is admissible.</w:t>
            </w:r>
          </w:p>
          <w:p w:rsidR="002F4FD4" w:rsidRPr="00154253" w:rsidRDefault="002F4FD4" w:rsidP="00E33C9D">
            <w:pPr>
              <w:autoSpaceDE w:val="0"/>
              <w:autoSpaceDN w:val="0"/>
              <w:adjustRightInd w:val="0"/>
              <w:jc w:val="both"/>
              <w:rPr>
                <w:rFonts w:eastAsia="Calibri"/>
                <w:sz w:val="20"/>
              </w:rPr>
            </w:pPr>
          </w:p>
        </w:tc>
      </w:tr>
      <w:tr w:rsidR="002F4FD4" w:rsidRPr="00154253" w:rsidTr="00E33C9D">
        <w:trPr>
          <w:trHeight w:val="1152"/>
        </w:trPr>
        <w:tc>
          <w:tcPr>
            <w:tcW w:w="2427" w:type="pct"/>
          </w:tcPr>
          <w:p w:rsidR="002F4FD4" w:rsidRPr="00154253" w:rsidRDefault="002F4FD4" w:rsidP="00E33C9D">
            <w:pPr>
              <w:jc w:val="both"/>
              <w:rPr>
                <w:rFonts w:eastAsia="PMingLiU"/>
                <w:sz w:val="20"/>
              </w:rPr>
            </w:pPr>
            <w:r w:rsidRPr="00154253">
              <w:rPr>
                <w:rFonts w:eastAsia="PMingLiU"/>
                <w:sz w:val="20"/>
              </w:rPr>
              <w:t>April 13, 2001</w:t>
            </w:r>
          </w:p>
          <w:p w:rsidR="002F4FD4" w:rsidRPr="00154253" w:rsidRDefault="002F4FD4" w:rsidP="00E33C9D">
            <w:pPr>
              <w:jc w:val="both"/>
              <w:rPr>
                <w:rFonts w:eastAsia="PMingLiU"/>
                <w:sz w:val="20"/>
              </w:rPr>
            </w:pPr>
            <w:r w:rsidRPr="00154253">
              <w:rPr>
                <w:rFonts w:eastAsia="PMingLiU"/>
                <w:sz w:val="20"/>
              </w:rPr>
              <w:t>Ontario Superior Court of Justice</w:t>
            </w:r>
          </w:p>
          <w:p w:rsidR="002F4FD4" w:rsidRPr="00154253" w:rsidRDefault="002F4FD4" w:rsidP="00E33C9D">
            <w:pPr>
              <w:jc w:val="both"/>
              <w:rPr>
                <w:rFonts w:eastAsia="PMingLiU"/>
                <w:sz w:val="20"/>
              </w:rPr>
            </w:pPr>
            <w:r w:rsidRPr="00154253">
              <w:rPr>
                <w:rFonts w:eastAsia="PMingLiU"/>
                <w:sz w:val="20"/>
              </w:rPr>
              <w:t>(Lofchik J.)</w:t>
            </w:r>
          </w:p>
          <w:p w:rsidR="002F4FD4" w:rsidRPr="00154253" w:rsidRDefault="002F4FD4" w:rsidP="00E33C9D">
            <w:pPr>
              <w:jc w:val="both"/>
              <w:rPr>
                <w:rFonts w:eastAsia="PMingLiU"/>
                <w:sz w:val="20"/>
              </w:rPr>
            </w:pPr>
            <w:r w:rsidRPr="00154253">
              <w:rPr>
                <w:rFonts w:eastAsia="PMingLiU"/>
                <w:sz w:val="20"/>
              </w:rPr>
              <w:t>[2008] O.J. No. 3416</w:t>
            </w:r>
          </w:p>
          <w:p w:rsidR="002F4FD4" w:rsidRPr="00154253" w:rsidRDefault="002F4FD4" w:rsidP="00E33C9D">
            <w:pPr>
              <w:jc w:val="both"/>
              <w:rPr>
                <w:rFonts w:eastAsia="PMingLiU"/>
                <w:sz w:val="20"/>
              </w:rPr>
            </w:pPr>
          </w:p>
        </w:tc>
        <w:tc>
          <w:tcPr>
            <w:tcW w:w="243" w:type="pct"/>
          </w:tcPr>
          <w:p w:rsidR="002F4FD4" w:rsidRPr="00154253" w:rsidRDefault="002F4FD4" w:rsidP="00E33C9D">
            <w:pPr>
              <w:jc w:val="both"/>
              <w:rPr>
                <w:rFonts w:eastAsia="PMingLiU"/>
                <w:sz w:val="20"/>
              </w:rPr>
            </w:pPr>
          </w:p>
        </w:tc>
        <w:tc>
          <w:tcPr>
            <w:tcW w:w="2330" w:type="pct"/>
          </w:tcPr>
          <w:p w:rsidR="002F4FD4" w:rsidRPr="00154253" w:rsidRDefault="002F4FD4" w:rsidP="00E33C9D">
            <w:pPr>
              <w:jc w:val="both"/>
              <w:rPr>
                <w:rFonts w:eastAsia="PMingLiU"/>
                <w:sz w:val="20"/>
              </w:rPr>
            </w:pPr>
            <w:r w:rsidRPr="00154253">
              <w:rPr>
                <w:rFonts w:eastAsia="PMingLiU"/>
                <w:sz w:val="20"/>
              </w:rPr>
              <w:t>Conviction by jury of first degree murder</w:t>
            </w:r>
          </w:p>
        </w:tc>
      </w:tr>
      <w:tr w:rsidR="002F4FD4" w:rsidRPr="00154253" w:rsidTr="00E33C9D">
        <w:tc>
          <w:tcPr>
            <w:tcW w:w="2427" w:type="pct"/>
          </w:tcPr>
          <w:p w:rsidR="002F4FD4" w:rsidRPr="00154253" w:rsidRDefault="002F4FD4" w:rsidP="00E33C9D">
            <w:pPr>
              <w:jc w:val="both"/>
              <w:rPr>
                <w:rFonts w:eastAsia="PMingLiU"/>
                <w:sz w:val="20"/>
              </w:rPr>
            </w:pPr>
            <w:r w:rsidRPr="00154253">
              <w:rPr>
                <w:rFonts w:eastAsia="PMingLiU"/>
                <w:sz w:val="20"/>
              </w:rPr>
              <w:t>September 5, 2008</w:t>
            </w:r>
          </w:p>
          <w:p w:rsidR="002F4FD4" w:rsidRPr="00154253" w:rsidRDefault="002F4FD4" w:rsidP="00E33C9D">
            <w:pPr>
              <w:jc w:val="both"/>
              <w:rPr>
                <w:rFonts w:eastAsia="PMingLiU"/>
                <w:sz w:val="20"/>
              </w:rPr>
            </w:pPr>
            <w:r w:rsidRPr="00154253">
              <w:rPr>
                <w:rFonts w:eastAsia="PMingLiU"/>
                <w:sz w:val="20"/>
              </w:rPr>
              <w:t>Court of Appeal for Ontario</w:t>
            </w:r>
          </w:p>
          <w:p w:rsidR="002F4FD4" w:rsidRPr="00154253" w:rsidRDefault="002F4FD4" w:rsidP="00E33C9D">
            <w:pPr>
              <w:jc w:val="both"/>
              <w:rPr>
                <w:rFonts w:eastAsia="PMingLiU"/>
                <w:sz w:val="20"/>
              </w:rPr>
            </w:pPr>
            <w:r w:rsidRPr="00154253">
              <w:rPr>
                <w:rFonts w:eastAsia="PMingLiU"/>
                <w:sz w:val="20"/>
              </w:rPr>
              <w:t>(Rosenberg, Simmons and LaForme JJ.A.)</w:t>
            </w:r>
          </w:p>
          <w:p w:rsidR="002F4FD4" w:rsidRPr="00154253" w:rsidRDefault="002F4FD4" w:rsidP="00E33C9D">
            <w:pPr>
              <w:jc w:val="both"/>
              <w:rPr>
                <w:rFonts w:eastAsia="PMingLiU"/>
                <w:sz w:val="20"/>
              </w:rPr>
            </w:pPr>
            <w:r w:rsidRPr="00154253">
              <w:rPr>
                <w:rFonts w:eastAsia="PMingLiU"/>
                <w:sz w:val="20"/>
              </w:rPr>
              <w:t>2008 ONCA 605</w:t>
            </w:r>
          </w:p>
          <w:p w:rsidR="002F4FD4" w:rsidRPr="00154253" w:rsidRDefault="002F4FD4" w:rsidP="00E33C9D">
            <w:pPr>
              <w:jc w:val="both"/>
              <w:rPr>
                <w:rFonts w:eastAsia="PMingLiU"/>
                <w:sz w:val="20"/>
              </w:rPr>
            </w:pPr>
          </w:p>
        </w:tc>
        <w:tc>
          <w:tcPr>
            <w:tcW w:w="243" w:type="pct"/>
          </w:tcPr>
          <w:p w:rsidR="002F4FD4" w:rsidRPr="00154253" w:rsidRDefault="002F4FD4" w:rsidP="00E33C9D">
            <w:pPr>
              <w:jc w:val="both"/>
              <w:rPr>
                <w:rFonts w:eastAsia="PMingLiU"/>
                <w:sz w:val="20"/>
              </w:rPr>
            </w:pPr>
          </w:p>
        </w:tc>
        <w:tc>
          <w:tcPr>
            <w:tcW w:w="2330" w:type="pct"/>
          </w:tcPr>
          <w:p w:rsidR="002F4FD4" w:rsidRPr="00154253" w:rsidRDefault="002F4FD4" w:rsidP="00E33C9D">
            <w:pPr>
              <w:jc w:val="both"/>
              <w:rPr>
                <w:rFonts w:eastAsia="PMingLiU"/>
                <w:sz w:val="20"/>
              </w:rPr>
            </w:pPr>
            <w:r w:rsidRPr="00154253">
              <w:rPr>
                <w:rFonts w:eastAsia="PMingLiU"/>
                <w:sz w:val="20"/>
              </w:rPr>
              <w:t>Appeal allowed,  conviction quashed, new trial ordered</w:t>
            </w: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lastRenderedPageBreak/>
              <w:t>February 5, 2009</w:t>
            </w:r>
          </w:p>
          <w:p w:rsidR="002F4FD4" w:rsidRPr="00154253" w:rsidRDefault="002F4FD4" w:rsidP="00E33C9D">
            <w:pPr>
              <w:jc w:val="both"/>
              <w:rPr>
                <w:rFonts w:eastAsia="Calibri"/>
                <w:sz w:val="20"/>
              </w:rPr>
            </w:pPr>
            <w:r w:rsidRPr="00154253">
              <w:rPr>
                <w:rFonts w:eastAsia="Calibri"/>
                <w:sz w:val="20"/>
              </w:rPr>
              <w:t>Supreme Court of Canada</w:t>
            </w:r>
          </w:p>
          <w:p w:rsidR="002F4FD4" w:rsidRPr="00154253" w:rsidRDefault="002F4FD4" w:rsidP="00E33C9D">
            <w:pPr>
              <w:jc w:val="both"/>
              <w:rPr>
                <w:rFonts w:eastAsia="Calibri"/>
                <w:sz w:val="20"/>
              </w:rPr>
            </w:pPr>
            <w:r w:rsidRPr="00154253">
              <w:rPr>
                <w:rFonts w:eastAsia="Calibri"/>
                <w:sz w:val="20"/>
              </w:rPr>
              <w:t>(</w:t>
            </w:r>
            <w:r w:rsidRPr="00154253">
              <w:rPr>
                <w:rFonts w:eastAsia="PMingLiU"/>
                <w:sz w:val="20"/>
              </w:rPr>
              <w:t>McLachlin C.J., Fish and Rothstein JJ.</w:t>
            </w:r>
            <w:r w:rsidRPr="00154253">
              <w:rPr>
                <w:rFonts w:eastAsia="Calibri"/>
                <w:sz w:val="20"/>
              </w:rPr>
              <w:t>)</w:t>
            </w:r>
          </w:p>
          <w:p w:rsidR="002F4FD4" w:rsidRPr="00154253" w:rsidRDefault="002F4FD4" w:rsidP="00E33C9D">
            <w:pPr>
              <w:jc w:val="both"/>
              <w:rPr>
                <w:rFonts w:eastAsia="Calibri"/>
                <w:sz w:val="20"/>
              </w:rPr>
            </w:pPr>
            <w:r w:rsidRPr="00154253">
              <w:rPr>
                <w:rFonts w:eastAsia="Calibri"/>
                <w:sz w:val="20"/>
              </w:rPr>
              <w:t>(32869)</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dismissed</w:t>
            </w:r>
          </w:p>
        </w:tc>
      </w:tr>
      <w:tr w:rsidR="002F4FD4" w:rsidRPr="00154253" w:rsidTr="00E33C9D">
        <w:trPr>
          <w:cantSplit/>
        </w:trPr>
        <w:tc>
          <w:tcPr>
            <w:tcW w:w="2427" w:type="pct"/>
          </w:tcPr>
          <w:p w:rsidR="002F4FD4" w:rsidRPr="00154253" w:rsidRDefault="002F4FD4" w:rsidP="00E33C9D">
            <w:pPr>
              <w:jc w:val="both"/>
              <w:rPr>
                <w:rFonts w:eastAsia="PMingLiU"/>
                <w:sz w:val="20"/>
              </w:rPr>
            </w:pPr>
            <w:r w:rsidRPr="00154253">
              <w:rPr>
                <w:rFonts w:eastAsia="Calibri"/>
                <w:sz w:val="20"/>
              </w:rPr>
              <w:t>June 14, 2010</w:t>
            </w:r>
            <w:r w:rsidRPr="00154253">
              <w:rPr>
                <w:rFonts w:eastAsia="PMingLiU"/>
                <w:sz w:val="20"/>
              </w:rPr>
              <w:t xml:space="preserve"> </w:t>
            </w:r>
          </w:p>
          <w:p w:rsidR="002F4FD4" w:rsidRPr="00154253" w:rsidRDefault="002F4FD4" w:rsidP="00E33C9D">
            <w:pPr>
              <w:jc w:val="both"/>
              <w:rPr>
                <w:rFonts w:eastAsia="PMingLiU"/>
                <w:sz w:val="20"/>
              </w:rPr>
            </w:pPr>
            <w:r w:rsidRPr="00154253">
              <w:rPr>
                <w:rFonts w:eastAsia="PMingLiU"/>
                <w:sz w:val="20"/>
              </w:rPr>
              <w:t>Ontario Superior Court of Justice</w:t>
            </w:r>
          </w:p>
          <w:p w:rsidR="002F4FD4" w:rsidRPr="00154253" w:rsidRDefault="002F4FD4" w:rsidP="00E33C9D">
            <w:pPr>
              <w:jc w:val="both"/>
              <w:rPr>
                <w:rFonts w:eastAsia="PMingLiU"/>
                <w:sz w:val="20"/>
              </w:rPr>
            </w:pPr>
            <w:r w:rsidRPr="00154253">
              <w:rPr>
                <w:rFonts w:eastAsia="PMingLiU"/>
                <w:sz w:val="20"/>
              </w:rPr>
              <w:t>(Taylor J.)</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Mistrial declared</w:t>
            </w: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December 9, 2011</w:t>
            </w:r>
          </w:p>
          <w:p w:rsidR="002F4FD4" w:rsidRPr="00154253" w:rsidRDefault="002F4FD4" w:rsidP="00E33C9D">
            <w:pPr>
              <w:jc w:val="both"/>
              <w:rPr>
                <w:rFonts w:eastAsia="PMingLiU"/>
                <w:sz w:val="20"/>
              </w:rPr>
            </w:pPr>
            <w:r w:rsidRPr="00154253">
              <w:rPr>
                <w:rFonts w:eastAsia="PMingLiU"/>
                <w:sz w:val="20"/>
              </w:rPr>
              <w:t>Ontario Superior Court of Justice</w:t>
            </w:r>
          </w:p>
          <w:p w:rsidR="002F4FD4" w:rsidRPr="00154253" w:rsidRDefault="002F4FD4" w:rsidP="00E33C9D">
            <w:pPr>
              <w:jc w:val="both"/>
              <w:rPr>
                <w:rFonts w:eastAsia="PMingLiU"/>
                <w:sz w:val="20"/>
              </w:rPr>
            </w:pPr>
            <w:r w:rsidRPr="00154253">
              <w:rPr>
                <w:rFonts w:eastAsia="PMingLiU"/>
                <w:sz w:val="20"/>
              </w:rPr>
              <w:t>(Taylor J.)</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Mistrial declared</w:t>
            </w: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September 6, 2012</w:t>
            </w:r>
          </w:p>
          <w:p w:rsidR="002F4FD4" w:rsidRPr="00154253" w:rsidRDefault="002F4FD4" w:rsidP="00E33C9D">
            <w:pPr>
              <w:jc w:val="both"/>
              <w:rPr>
                <w:rFonts w:eastAsia="Calibri"/>
                <w:sz w:val="20"/>
              </w:rPr>
            </w:pPr>
            <w:r w:rsidRPr="00154253">
              <w:rPr>
                <w:rFonts w:eastAsia="Calibri"/>
                <w:sz w:val="20"/>
              </w:rPr>
              <w:t>Ontario Superior Court of Justice</w:t>
            </w:r>
          </w:p>
          <w:p w:rsidR="002F4FD4" w:rsidRPr="00154253" w:rsidRDefault="002F4FD4" w:rsidP="00E33C9D">
            <w:pPr>
              <w:jc w:val="both"/>
              <w:rPr>
                <w:rFonts w:eastAsia="Calibri"/>
                <w:sz w:val="20"/>
              </w:rPr>
            </w:pPr>
            <w:r w:rsidRPr="00154253">
              <w:rPr>
                <w:rFonts w:eastAsia="Calibri"/>
                <w:sz w:val="20"/>
              </w:rPr>
              <w:t>(Taylor J.)</w:t>
            </w:r>
          </w:p>
          <w:p w:rsidR="002F4FD4" w:rsidRPr="00154253" w:rsidRDefault="00714478" w:rsidP="00E33C9D">
            <w:pPr>
              <w:jc w:val="both"/>
              <w:rPr>
                <w:rFonts w:eastAsia="Calibri"/>
                <w:sz w:val="20"/>
              </w:rPr>
            </w:pPr>
            <w:hyperlink r:id="rId52" w:history="1">
              <w:r w:rsidR="002F4FD4" w:rsidRPr="00154253">
                <w:rPr>
                  <w:rFonts w:eastAsia="Calibri"/>
                  <w:color w:val="0000FF"/>
                  <w:sz w:val="20"/>
                  <w:u w:val="single"/>
                </w:rPr>
                <w:t>2012 ONSC 4829</w:t>
              </w:r>
            </w:hyperlink>
            <w:r w:rsidR="002F4FD4" w:rsidRPr="00154253">
              <w:rPr>
                <w:rFonts w:eastAsia="Calibri"/>
                <w:sz w:val="20"/>
              </w:rPr>
              <w:t xml:space="preserve"> </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Motion to stay fourth trial as an abuse of process granted</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April 8, 2014</w:t>
            </w:r>
          </w:p>
          <w:p w:rsidR="002F4FD4" w:rsidRPr="00154253" w:rsidRDefault="002F4FD4" w:rsidP="00E33C9D">
            <w:pPr>
              <w:jc w:val="both"/>
              <w:rPr>
                <w:rFonts w:eastAsia="Calibri"/>
                <w:sz w:val="20"/>
              </w:rPr>
            </w:pPr>
            <w:r w:rsidRPr="00154253">
              <w:rPr>
                <w:rFonts w:eastAsia="Calibri"/>
                <w:sz w:val="20"/>
              </w:rPr>
              <w:t>Court of Appeal for Ontario</w:t>
            </w:r>
          </w:p>
          <w:p w:rsidR="002F4FD4" w:rsidRPr="00154253" w:rsidRDefault="002F4FD4" w:rsidP="00E33C9D">
            <w:pPr>
              <w:jc w:val="both"/>
              <w:rPr>
                <w:rFonts w:eastAsia="Calibri"/>
                <w:sz w:val="20"/>
              </w:rPr>
            </w:pPr>
            <w:r w:rsidRPr="00154253">
              <w:rPr>
                <w:rFonts w:eastAsia="Calibri"/>
                <w:sz w:val="20"/>
              </w:rPr>
              <w:t>(Hoy A.C.J., Gillese and Strathy JJ.A.)</w:t>
            </w:r>
          </w:p>
          <w:p w:rsidR="002F4FD4" w:rsidRPr="00154253" w:rsidRDefault="002F4FD4" w:rsidP="00E33C9D">
            <w:pPr>
              <w:jc w:val="both"/>
              <w:rPr>
                <w:rFonts w:eastAsia="Calibri"/>
                <w:sz w:val="20"/>
              </w:rPr>
            </w:pPr>
            <w:r w:rsidRPr="00154253">
              <w:rPr>
                <w:rFonts w:eastAsia="Calibri"/>
                <w:sz w:val="20"/>
              </w:rPr>
              <w:t xml:space="preserve">C56067; </w:t>
            </w:r>
            <w:hyperlink r:id="rId53" w:history="1">
              <w:r w:rsidRPr="00154253">
                <w:rPr>
                  <w:rFonts w:eastAsia="Calibri"/>
                  <w:color w:val="0000FF"/>
                  <w:sz w:val="20"/>
                  <w:u w:val="single"/>
                </w:rPr>
                <w:t>2014 ONCA 272</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 allowed</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June 6, 2014</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filed</w:t>
            </w:r>
          </w:p>
        </w:tc>
      </w:tr>
    </w:tbl>
    <w:p w:rsidR="002F4FD4" w:rsidRDefault="002F4FD4" w:rsidP="002F4FD4">
      <w:pPr>
        <w:rPr>
          <w:sz w:val="20"/>
          <w:szCs w:val="20"/>
        </w:rPr>
      </w:pPr>
    </w:p>
    <w:p w:rsidR="002F4FD4" w:rsidRPr="00C50A5C" w:rsidRDefault="00714478" w:rsidP="002F4FD4">
      <w:pPr>
        <w:rPr>
          <w:sz w:val="20"/>
          <w:szCs w:val="20"/>
        </w:rPr>
      </w:pPr>
      <w:r>
        <w:rPr>
          <w:sz w:val="20"/>
          <w:szCs w:val="20"/>
          <w:lang w:val="fr-CA"/>
        </w:rPr>
        <w:pict>
          <v:rect id="_x0000_i1062" style="width:2in;height:1pt" o:hrpct="0" o:hralign="center" o:hrstd="t" o:hrnoshade="t" o:hr="t" fillcolor="black [3213]" stroked="f"/>
        </w:pict>
      </w:r>
    </w:p>
    <w:p w:rsidR="002F4FD4" w:rsidRDefault="002F4FD4" w:rsidP="002F4FD4">
      <w:pPr>
        <w:rPr>
          <w:sz w:val="20"/>
          <w:szCs w:val="20"/>
        </w:rPr>
      </w:pPr>
    </w:p>
    <w:p w:rsidR="002F4FD4" w:rsidRPr="001B157C" w:rsidRDefault="002F4FD4" w:rsidP="002F4FD4">
      <w:pPr>
        <w:rPr>
          <w:sz w:val="20"/>
          <w:szCs w:val="20"/>
          <w:u w:val="single"/>
          <w:lang w:val="fr-CA"/>
        </w:rPr>
      </w:pPr>
      <w:r w:rsidRPr="001B157C">
        <w:rPr>
          <w:sz w:val="20"/>
          <w:szCs w:val="20"/>
          <w:u w:val="single"/>
          <w:lang w:val="fr-CA"/>
        </w:rPr>
        <w:t>RÉSUMÉ DE L’AFFAIRE</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714478" w:rsidTr="00E33C9D">
        <w:trPr>
          <w:trHeight w:val="1242"/>
        </w:trPr>
        <w:tc>
          <w:tcPr>
            <w:tcW w:w="5000" w:type="pct"/>
            <w:gridSpan w:val="3"/>
          </w:tcPr>
          <w:p w:rsidR="002F4FD4" w:rsidRPr="00154253" w:rsidRDefault="002F4FD4" w:rsidP="00E33C9D">
            <w:pPr>
              <w:jc w:val="both"/>
              <w:rPr>
                <w:rFonts w:eastAsia="Calibri"/>
                <w:sz w:val="20"/>
                <w:lang w:val="fr-CA"/>
              </w:rPr>
            </w:pPr>
            <w:r w:rsidRPr="00154253">
              <w:rPr>
                <w:rFonts w:eastAsia="Calibri"/>
                <w:i/>
                <w:sz w:val="20"/>
                <w:lang w:val="fr-CA"/>
              </w:rPr>
              <w:t>Charte des droits et libertés</w:t>
            </w:r>
            <w:r w:rsidRPr="00154253">
              <w:rPr>
                <w:rFonts w:eastAsia="Calibri"/>
                <w:sz w:val="20"/>
                <w:lang w:val="fr-CA"/>
              </w:rPr>
              <w:t xml:space="preserve"> – Justice fondamentale – Droit criminel – Quel est le critère principal régissant les abus de procédure fondés sur de multiples nouveaux procès? – Quel type de circonstances exceptionnelles justifie un quatrième procès? – La Cour d’appel a-t-elle eu tort de traiter les motions en abus de procédure fondées sur de multiples nouveaux procès comme faisant partie de la catégorie résiduelle des affaires aux fins du critère régissant l’arrêt des procédures?</w:t>
            </w:r>
          </w:p>
        </w:tc>
      </w:tr>
      <w:tr w:rsidR="002F4FD4" w:rsidRPr="00714478" w:rsidTr="00E33C9D">
        <w:tc>
          <w:tcPr>
            <w:tcW w:w="5000" w:type="pct"/>
            <w:gridSpan w:val="3"/>
          </w:tcPr>
          <w:p w:rsidR="002F4FD4" w:rsidRPr="00154253" w:rsidRDefault="002F4FD4" w:rsidP="00E33C9D">
            <w:pPr>
              <w:autoSpaceDE w:val="0"/>
              <w:autoSpaceDN w:val="0"/>
              <w:adjustRightInd w:val="0"/>
              <w:jc w:val="both"/>
              <w:rPr>
                <w:rFonts w:eastAsia="Calibri"/>
                <w:sz w:val="20"/>
                <w:lang w:val="fr-CA"/>
              </w:rPr>
            </w:pPr>
            <w:r w:rsidRPr="00154253">
              <w:rPr>
                <w:rFonts w:eastAsia="Calibri"/>
                <w:sz w:val="20"/>
                <w:lang w:val="fr-CA"/>
              </w:rPr>
              <w:t xml:space="preserve">Le demandeur a subi trois procès pour un meurtre qui a eu lieu en 1981.  Une déclaration de culpabilité a été annulée en appel et deux procès ont été annulés.  Une personne qui avait eu connaissance du meurtre a composé le 911 deux jours après le meurtre.  Le ministère public n’avait pas été autorisé à présenter une preuve établissant que l’appel provenait d’une cabine téléphonique située à l’extérieur du lieu de travail du demandeur.  Le ministère public a entrepris un procès pour une quatrième fois et tentera de présenter la preuve de la provenance de l’appel.  Un juge de première instance a statué qu’un quatrième procès violera l’art. 7 de la </w:t>
            </w:r>
            <w:r w:rsidRPr="00154253">
              <w:rPr>
                <w:rFonts w:eastAsia="Calibri"/>
                <w:i/>
                <w:sz w:val="20"/>
                <w:lang w:val="fr-CA"/>
              </w:rPr>
              <w:t>Charte</w:t>
            </w:r>
            <w:r w:rsidRPr="00154253">
              <w:rPr>
                <w:rFonts w:eastAsia="Calibri"/>
                <w:sz w:val="20"/>
                <w:lang w:val="fr-CA"/>
              </w:rPr>
              <w:t xml:space="preserve"> et a ordonné l’arrêt des procédures.  La Cour d’appel a accueilli un appel et a statué que la preuve de la provenance de l’appel était recevable.</w:t>
            </w:r>
          </w:p>
          <w:p w:rsidR="002F4FD4" w:rsidRPr="00154253" w:rsidRDefault="002F4FD4" w:rsidP="00E33C9D">
            <w:pPr>
              <w:autoSpaceDE w:val="0"/>
              <w:autoSpaceDN w:val="0"/>
              <w:adjustRightInd w:val="0"/>
              <w:jc w:val="both"/>
              <w:rPr>
                <w:rFonts w:eastAsia="Calibri"/>
                <w:sz w:val="20"/>
                <w:lang w:val="fr-CA"/>
              </w:rPr>
            </w:pPr>
          </w:p>
        </w:tc>
      </w:tr>
      <w:tr w:rsidR="002F4FD4" w:rsidRPr="00714478" w:rsidTr="00E33C9D">
        <w:trPr>
          <w:trHeight w:val="1152"/>
        </w:trPr>
        <w:tc>
          <w:tcPr>
            <w:tcW w:w="2427" w:type="pct"/>
          </w:tcPr>
          <w:p w:rsidR="002F4FD4" w:rsidRPr="00154253" w:rsidRDefault="002F4FD4" w:rsidP="00E33C9D">
            <w:pPr>
              <w:jc w:val="both"/>
              <w:rPr>
                <w:rFonts w:eastAsia="PMingLiU"/>
                <w:sz w:val="20"/>
                <w:lang w:val="fr-CA"/>
              </w:rPr>
            </w:pPr>
            <w:r w:rsidRPr="00154253">
              <w:rPr>
                <w:rFonts w:eastAsia="PMingLiU"/>
                <w:sz w:val="20"/>
                <w:lang w:val="fr-CA"/>
              </w:rPr>
              <w:t>13 avril 2001</w:t>
            </w:r>
          </w:p>
          <w:p w:rsidR="002F4FD4" w:rsidRPr="00154253" w:rsidRDefault="002F4FD4" w:rsidP="00E33C9D">
            <w:pPr>
              <w:jc w:val="both"/>
              <w:rPr>
                <w:rFonts w:eastAsia="PMingLiU"/>
                <w:sz w:val="20"/>
                <w:lang w:val="fr-CA"/>
              </w:rPr>
            </w:pPr>
            <w:r w:rsidRPr="00154253">
              <w:rPr>
                <w:rFonts w:eastAsia="PMingLiU"/>
                <w:sz w:val="20"/>
                <w:lang w:val="fr-CA"/>
              </w:rPr>
              <w:t>Cour supérieure de justice de l’Ontario</w:t>
            </w:r>
          </w:p>
          <w:p w:rsidR="002F4FD4" w:rsidRPr="00154253" w:rsidRDefault="002F4FD4" w:rsidP="00E33C9D">
            <w:pPr>
              <w:jc w:val="both"/>
              <w:rPr>
                <w:rFonts w:eastAsia="PMingLiU"/>
                <w:sz w:val="20"/>
              </w:rPr>
            </w:pPr>
            <w:r w:rsidRPr="00154253">
              <w:rPr>
                <w:rFonts w:eastAsia="PMingLiU"/>
                <w:sz w:val="20"/>
              </w:rPr>
              <w:t>(Juge Lofchik)</w:t>
            </w:r>
          </w:p>
          <w:p w:rsidR="002F4FD4" w:rsidRPr="00154253" w:rsidRDefault="002F4FD4" w:rsidP="00E33C9D">
            <w:pPr>
              <w:jc w:val="both"/>
              <w:rPr>
                <w:rFonts w:eastAsia="PMingLiU"/>
                <w:sz w:val="20"/>
              </w:rPr>
            </w:pPr>
            <w:r w:rsidRPr="00154253">
              <w:rPr>
                <w:rFonts w:eastAsia="PMingLiU"/>
                <w:sz w:val="20"/>
              </w:rPr>
              <w:t>[2008] O.J. No. 3416</w:t>
            </w:r>
          </w:p>
          <w:p w:rsidR="002F4FD4" w:rsidRPr="00154253" w:rsidRDefault="002F4FD4" w:rsidP="00E33C9D">
            <w:pPr>
              <w:jc w:val="both"/>
              <w:rPr>
                <w:rFonts w:eastAsia="PMingLiU"/>
                <w:sz w:val="20"/>
              </w:rPr>
            </w:pPr>
          </w:p>
        </w:tc>
        <w:tc>
          <w:tcPr>
            <w:tcW w:w="243" w:type="pct"/>
          </w:tcPr>
          <w:p w:rsidR="002F4FD4" w:rsidRPr="00154253" w:rsidRDefault="002F4FD4" w:rsidP="00E33C9D">
            <w:pPr>
              <w:jc w:val="both"/>
              <w:rPr>
                <w:rFonts w:eastAsia="PMingLiU"/>
                <w:sz w:val="20"/>
              </w:rPr>
            </w:pPr>
          </w:p>
        </w:tc>
        <w:tc>
          <w:tcPr>
            <w:tcW w:w="2330" w:type="pct"/>
          </w:tcPr>
          <w:p w:rsidR="002F4FD4" w:rsidRPr="00154253" w:rsidRDefault="002F4FD4" w:rsidP="00E33C9D">
            <w:pPr>
              <w:jc w:val="both"/>
              <w:rPr>
                <w:rFonts w:eastAsia="PMingLiU"/>
                <w:sz w:val="20"/>
                <w:lang w:val="fr-CA"/>
              </w:rPr>
            </w:pPr>
            <w:r w:rsidRPr="00154253">
              <w:rPr>
                <w:rFonts w:eastAsia="PMingLiU"/>
                <w:sz w:val="20"/>
                <w:lang w:val="fr-CA"/>
              </w:rPr>
              <w:t>Déclaration de culpabilité par un jury de meurtre au premier degré</w:t>
            </w:r>
          </w:p>
        </w:tc>
      </w:tr>
      <w:tr w:rsidR="002F4FD4" w:rsidRPr="00714478" w:rsidTr="00E33C9D">
        <w:trPr>
          <w:cantSplit/>
        </w:trPr>
        <w:tc>
          <w:tcPr>
            <w:tcW w:w="2427" w:type="pct"/>
          </w:tcPr>
          <w:p w:rsidR="002F4FD4" w:rsidRPr="00154253" w:rsidRDefault="002F4FD4" w:rsidP="00E33C9D">
            <w:pPr>
              <w:jc w:val="both"/>
              <w:rPr>
                <w:rFonts w:eastAsia="PMingLiU"/>
                <w:sz w:val="20"/>
                <w:lang w:val="fr-CA"/>
              </w:rPr>
            </w:pPr>
            <w:r w:rsidRPr="00154253">
              <w:rPr>
                <w:rFonts w:eastAsia="PMingLiU"/>
                <w:sz w:val="20"/>
                <w:lang w:val="fr-CA"/>
              </w:rPr>
              <w:lastRenderedPageBreak/>
              <w:t>5 septembre 2008</w:t>
            </w:r>
          </w:p>
          <w:p w:rsidR="002F4FD4" w:rsidRPr="00154253" w:rsidRDefault="002F4FD4" w:rsidP="00E33C9D">
            <w:pPr>
              <w:jc w:val="both"/>
              <w:rPr>
                <w:rFonts w:eastAsia="PMingLiU"/>
                <w:sz w:val="20"/>
                <w:lang w:val="fr-CA"/>
              </w:rPr>
            </w:pPr>
            <w:r w:rsidRPr="00154253">
              <w:rPr>
                <w:rFonts w:eastAsia="PMingLiU"/>
                <w:sz w:val="20"/>
                <w:lang w:val="fr-CA"/>
              </w:rPr>
              <w:t>Cour d’appel de l’Ontario</w:t>
            </w:r>
          </w:p>
          <w:p w:rsidR="002F4FD4" w:rsidRPr="00154253" w:rsidRDefault="002F4FD4" w:rsidP="00E33C9D">
            <w:pPr>
              <w:jc w:val="both"/>
              <w:rPr>
                <w:rFonts w:eastAsia="PMingLiU"/>
                <w:sz w:val="20"/>
                <w:lang w:val="fr-CA"/>
              </w:rPr>
            </w:pPr>
            <w:r w:rsidRPr="00154253">
              <w:rPr>
                <w:rFonts w:eastAsia="PMingLiU"/>
                <w:sz w:val="20"/>
                <w:lang w:val="fr-CA"/>
              </w:rPr>
              <w:t>(Juges Rosenberg, Simmons et LaForme)</w:t>
            </w:r>
          </w:p>
          <w:p w:rsidR="002F4FD4" w:rsidRPr="00154253" w:rsidRDefault="002F4FD4" w:rsidP="00E33C9D">
            <w:pPr>
              <w:jc w:val="both"/>
              <w:rPr>
                <w:rFonts w:eastAsia="PMingLiU"/>
                <w:sz w:val="20"/>
                <w:lang w:val="fr-CA"/>
              </w:rPr>
            </w:pPr>
            <w:r w:rsidRPr="00154253">
              <w:rPr>
                <w:rFonts w:eastAsia="PMingLiU"/>
                <w:sz w:val="20"/>
                <w:lang w:val="fr-CA"/>
              </w:rPr>
              <w:t>2008 ONCA 605</w:t>
            </w:r>
          </w:p>
          <w:p w:rsidR="002F4FD4" w:rsidRPr="00154253" w:rsidRDefault="002F4FD4" w:rsidP="00E33C9D">
            <w:pPr>
              <w:jc w:val="both"/>
              <w:rPr>
                <w:rFonts w:eastAsia="PMingLiU"/>
                <w:sz w:val="20"/>
                <w:lang w:val="fr-CA"/>
              </w:rPr>
            </w:pPr>
          </w:p>
        </w:tc>
        <w:tc>
          <w:tcPr>
            <w:tcW w:w="243" w:type="pct"/>
          </w:tcPr>
          <w:p w:rsidR="002F4FD4" w:rsidRPr="00154253" w:rsidRDefault="002F4FD4" w:rsidP="00E33C9D">
            <w:pPr>
              <w:jc w:val="both"/>
              <w:rPr>
                <w:rFonts w:eastAsia="PMingLiU"/>
                <w:sz w:val="20"/>
                <w:lang w:val="fr-CA"/>
              </w:rPr>
            </w:pPr>
          </w:p>
        </w:tc>
        <w:tc>
          <w:tcPr>
            <w:tcW w:w="2330" w:type="pct"/>
          </w:tcPr>
          <w:p w:rsidR="002F4FD4" w:rsidRPr="00154253" w:rsidRDefault="002F4FD4" w:rsidP="00E33C9D">
            <w:pPr>
              <w:jc w:val="both"/>
              <w:rPr>
                <w:rFonts w:eastAsia="PMingLiU"/>
                <w:sz w:val="20"/>
                <w:lang w:val="fr-CA"/>
              </w:rPr>
            </w:pPr>
            <w:r w:rsidRPr="00154253">
              <w:rPr>
                <w:rFonts w:eastAsia="PMingLiU"/>
                <w:sz w:val="20"/>
                <w:lang w:val="fr-CA"/>
              </w:rPr>
              <w:t>Appel accueilli,  déclaration de culpabilité annulée, nouveau procès ordonné</w:t>
            </w:r>
          </w:p>
        </w:tc>
      </w:tr>
      <w:tr w:rsidR="002F4FD4" w:rsidRPr="00154253"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t>5 février 2009</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p w:rsidR="002F4FD4" w:rsidRPr="00154253" w:rsidRDefault="002F4FD4" w:rsidP="00E33C9D">
            <w:pPr>
              <w:jc w:val="both"/>
              <w:rPr>
                <w:rFonts w:eastAsia="Calibri"/>
                <w:sz w:val="20"/>
                <w:lang w:val="fr-CA"/>
              </w:rPr>
            </w:pPr>
            <w:r w:rsidRPr="00154253">
              <w:rPr>
                <w:rFonts w:eastAsia="Calibri"/>
                <w:sz w:val="20"/>
                <w:lang w:val="fr-CA"/>
              </w:rPr>
              <w:t xml:space="preserve">(Juge en chef </w:t>
            </w:r>
            <w:r w:rsidRPr="00154253">
              <w:rPr>
                <w:rFonts w:eastAsia="PMingLiU"/>
                <w:sz w:val="20"/>
                <w:lang w:val="fr-CA"/>
              </w:rPr>
              <w:t>McLachlin, juges Fish et Rothstein</w:t>
            </w:r>
            <w:r w:rsidRPr="00154253">
              <w:rPr>
                <w:rFonts w:eastAsia="Calibri"/>
                <w:sz w:val="20"/>
                <w:lang w:val="fr-CA"/>
              </w:rPr>
              <w:t>)</w:t>
            </w:r>
          </w:p>
          <w:p w:rsidR="002F4FD4" w:rsidRPr="00154253" w:rsidRDefault="002F4FD4" w:rsidP="00E33C9D">
            <w:pPr>
              <w:jc w:val="both"/>
              <w:rPr>
                <w:rFonts w:eastAsia="Calibri"/>
                <w:sz w:val="20"/>
                <w:lang w:val="fr-CA"/>
              </w:rPr>
            </w:pPr>
            <w:r w:rsidRPr="00154253">
              <w:rPr>
                <w:rFonts w:eastAsia="Calibri"/>
                <w:sz w:val="20"/>
                <w:lang w:val="fr-CA"/>
              </w:rPr>
              <w:t>(32869)</w:t>
            </w:r>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Demande d’autorisation d’appel, rejetée</w:t>
            </w:r>
          </w:p>
        </w:tc>
      </w:tr>
      <w:tr w:rsidR="002F4FD4" w:rsidRPr="00154253" w:rsidTr="00E33C9D">
        <w:trPr>
          <w:cantSplit/>
        </w:trPr>
        <w:tc>
          <w:tcPr>
            <w:tcW w:w="2427" w:type="pct"/>
          </w:tcPr>
          <w:p w:rsidR="002F4FD4" w:rsidRPr="00154253" w:rsidRDefault="002F4FD4" w:rsidP="00E33C9D">
            <w:pPr>
              <w:jc w:val="both"/>
              <w:rPr>
                <w:rFonts w:eastAsia="PMingLiU"/>
                <w:sz w:val="20"/>
                <w:lang w:val="fr-CA"/>
              </w:rPr>
            </w:pPr>
            <w:r w:rsidRPr="00154253">
              <w:rPr>
                <w:rFonts w:eastAsia="Calibri"/>
                <w:sz w:val="20"/>
                <w:lang w:val="fr-CA"/>
              </w:rPr>
              <w:t>14 juin 2010</w:t>
            </w:r>
            <w:r w:rsidRPr="00154253">
              <w:rPr>
                <w:rFonts w:eastAsia="PMingLiU"/>
                <w:sz w:val="20"/>
                <w:lang w:val="fr-CA"/>
              </w:rPr>
              <w:t xml:space="preserve"> </w:t>
            </w:r>
          </w:p>
          <w:p w:rsidR="002F4FD4" w:rsidRPr="00154253" w:rsidRDefault="002F4FD4" w:rsidP="00E33C9D">
            <w:pPr>
              <w:jc w:val="both"/>
              <w:rPr>
                <w:rFonts w:eastAsia="PMingLiU"/>
                <w:sz w:val="20"/>
                <w:lang w:val="fr-CA"/>
              </w:rPr>
            </w:pPr>
            <w:r w:rsidRPr="00154253">
              <w:rPr>
                <w:rFonts w:eastAsia="PMingLiU"/>
                <w:sz w:val="20"/>
                <w:lang w:val="fr-CA"/>
              </w:rPr>
              <w:t>Cour supérieure de justice de l’Ontario</w:t>
            </w:r>
          </w:p>
          <w:p w:rsidR="002F4FD4" w:rsidRPr="00154253" w:rsidRDefault="002F4FD4" w:rsidP="00E33C9D">
            <w:pPr>
              <w:jc w:val="both"/>
              <w:rPr>
                <w:rFonts w:eastAsia="PMingLiU"/>
                <w:sz w:val="20"/>
                <w:lang w:val="fr-CA"/>
              </w:rPr>
            </w:pPr>
            <w:r w:rsidRPr="00154253">
              <w:rPr>
                <w:rFonts w:eastAsia="PMingLiU"/>
                <w:sz w:val="20"/>
                <w:lang w:val="fr-CA"/>
              </w:rPr>
              <w:t>(Juge Taylor)</w:t>
            </w:r>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Nullité du procès prononcée</w:t>
            </w:r>
          </w:p>
        </w:tc>
      </w:tr>
      <w:tr w:rsidR="002F4FD4" w:rsidRPr="00154253"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t>9 décembre 2011</w:t>
            </w:r>
          </w:p>
          <w:p w:rsidR="002F4FD4" w:rsidRPr="00154253" w:rsidRDefault="002F4FD4" w:rsidP="00E33C9D">
            <w:pPr>
              <w:jc w:val="both"/>
              <w:rPr>
                <w:rFonts w:eastAsia="PMingLiU"/>
                <w:sz w:val="20"/>
                <w:lang w:val="fr-CA"/>
              </w:rPr>
            </w:pPr>
            <w:r w:rsidRPr="00154253">
              <w:rPr>
                <w:rFonts w:eastAsia="PMingLiU"/>
                <w:sz w:val="20"/>
                <w:lang w:val="fr-CA"/>
              </w:rPr>
              <w:t>Cour supérieure de justice de l’Ontario</w:t>
            </w:r>
          </w:p>
          <w:p w:rsidR="002F4FD4" w:rsidRPr="00154253" w:rsidRDefault="002F4FD4" w:rsidP="00E33C9D">
            <w:pPr>
              <w:jc w:val="both"/>
              <w:rPr>
                <w:rFonts w:eastAsia="PMingLiU"/>
                <w:sz w:val="20"/>
                <w:lang w:val="fr-CA"/>
              </w:rPr>
            </w:pPr>
            <w:r w:rsidRPr="00154253">
              <w:rPr>
                <w:rFonts w:eastAsia="PMingLiU"/>
                <w:sz w:val="20"/>
                <w:lang w:val="fr-CA"/>
              </w:rPr>
              <w:t>(Juge Taylor)</w:t>
            </w:r>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Nullité du procès prononcée</w:t>
            </w:r>
          </w:p>
        </w:tc>
      </w:tr>
      <w:tr w:rsidR="002F4FD4" w:rsidRPr="00714478"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t>6 septembre 2012</w:t>
            </w:r>
          </w:p>
          <w:p w:rsidR="002F4FD4" w:rsidRPr="00154253" w:rsidRDefault="002F4FD4" w:rsidP="00E33C9D">
            <w:pPr>
              <w:jc w:val="both"/>
              <w:rPr>
                <w:rFonts w:eastAsia="Calibri"/>
                <w:sz w:val="20"/>
                <w:lang w:val="fr-CA"/>
              </w:rPr>
            </w:pPr>
            <w:r w:rsidRPr="00154253">
              <w:rPr>
                <w:rFonts w:eastAsia="Calibri"/>
                <w:sz w:val="20"/>
                <w:lang w:val="fr-CA"/>
              </w:rPr>
              <w:t>Cour supérieure de justice de l’Ontario</w:t>
            </w:r>
          </w:p>
          <w:p w:rsidR="002F4FD4" w:rsidRPr="00154253" w:rsidRDefault="002F4FD4" w:rsidP="00E33C9D">
            <w:pPr>
              <w:jc w:val="both"/>
              <w:rPr>
                <w:rFonts w:eastAsia="Calibri"/>
                <w:sz w:val="20"/>
                <w:lang w:val="fr-CA"/>
              </w:rPr>
            </w:pPr>
            <w:r w:rsidRPr="00154253">
              <w:rPr>
                <w:rFonts w:eastAsia="Calibri"/>
                <w:sz w:val="20"/>
                <w:lang w:val="fr-CA"/>
              </w:rPr>
              <w:t>(Juge Taylor)</w:t>
            </w:r>
          </w:p>
          <w:p w:rsidR="002F4FD4" w:rsidRPr="00154253" w:rsidRDefault="00714478" w:rsidP="00E33C9D">
            <w:pPr>
              <w:jc w:val="both"/>
              <w:rPr>
                <w:rFonts w:eastAsia="Calibri"/>
                <w:sz w:val="20"/>
                <w:lang w:val="fr-CA"/>
              </w:rPr>
            </w:pPr>
            <w:hyperlink r:id="rId54" w:history="1">
              <w:r w:rsidR="002F4FD4" w:rsidRPr="00154253">
                <w:rPr>
                  <w:rFonts w:eastAsia="Calibri"/>
                  <w:color w:val="0000FF"/>
                  <w:sz w:val="20"/>
                  <w:u w:val="single"/>
                  <w:lang w:val="fr-CA"/>
                </w:rPr>
                <w:t>2012 ONSC 4829</w:t>
              </w:r>
            </w:hyperlink>
            <w:r w:rsidR="002F4FD4" w:rsidRPr="00154253">
              <w:rPr>
                <w:rFonts w:eastAsia="Calibri"/>
                <w:sz w:val="20"/>
                <w:lang w:val="fr-CA"/>
              </w:rPr>
              <w:t xml:space="preserve"> </w:t>
            </w:r>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Motion en suspension du quatrième procès en tant qu’abus de procédure</w:t>
            </w:r>
          </w:p>
          <w:p w:rsidR="002F4FD4" w:rsidRPr="00154253" w:rsidRDefault="002F4FD4" w:rsidP="00E33C9D">
            <w:pPr>
              <w:jc w:val="both"/>
              <w:rPr>
                <w:rFonts w:eastAsia="Calibri"/>
                <w:sz w:val="20"/>
                <w:lang w:val="fr-CA"/>
              </w:rPr>
            </w:pPr>
          </w:p>
        </w:tc>
      </w:tr>
      <w:tr w:rsidR="002F4FD4" w:rsidRPr="00154253"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t>8 avril 2014</w:t>
            </w:r>
          </w:p>
          <w:p w:rsidR="002F4FD4" w:rsidRPr="00154253" w:rsidRDefault="002F4FD4" w:rsidP="00E33C9D">
            <w:pPr>
              <w:jc w:val="both"/>
              <w:rPr>
                <w:rFonts w:eastAsia="Calibri"/>
                <w:sz w:val="20"/>
                <w:lang w:val="fr-CA"/>
              </w:rPr>
            </w:pPr>
            <w:r w:rsidRPr="00154253">
              <w:rPr>
                <w:rFonts w:eastAsia="Calibri"/>
                <w:sz w:val="20"/>
                <w:lang w:val="fr-CA"/>
              </w:rPr>
              <w:t>Cour d’appel de l’Ontario</w:t>
            </w:r>
          </w:p>
          <w:p w:rsidR="002F4FD4" w:rsidRPr="00154253" w:rsidRDefault="002F4FD4" w:rsidP="00E33C9D">
            <w:pPr>
              <w:jc w:val="both"/>
              <w:rPr>
                <w:rFonts w:eastAsia="Calibri"/>
                <w:sz w:val="20"/>
                <w:lang w:val="fr-CA"/>
              </w:rPr>
            </w:pPr>
            <w:r w:rsidRPr="00154253">
              <w:rPr>
                <w:rFonts w:eastAsia="Calibri"/>
                <w:sz w:val="20"/>
                <w:lang w:val="fr-CA"/>
              </w:rPr>
              <w:t>(Juge en chef adjoint Hoy, juges Gillese et Strathy)</w:t>
            </w:r>
          </w:p>
          <w:p w:rsidR="002F4FD4" w:rsidRPr="00154253" w:rsidRDefault="002F4FD4" w:rsidP="00E33C9D">
            <w:pPr>
              <w:jc w:val="both"/>
              <w:rPr>
                <w:rFonts w:eastAsia="Calibri"/>
                <w:sz w:val="20"/>
                <w:lang w:val="fr-CA"/>
              </w:rPr>
            </w:pPr>
            <w:r w:rsidRPr="00154253">
              <w:rPr>
                <w:rFonts w:eastAsia="Calibri"/>
                <w:sz w:val="20"/>
                <w:lang w:val="fr-CA"/>
              </w:rPr>
              <w:t xml:space="preserve">C56067; </w:t>
            </w:r>
            <w:hyperlink r:id="rId55" w:history="1">
              <w:r w:rsidRPr="00154253">
                <w:rPr>
                  <w:rFonts w:eastAsia="Calibri"/>
                  <w:color w:val="0000FF"/>
                  <w:sz w:val="20"/>
                  <w:u w:val="single"/>
                  <w:lang w:val="fr-CA"/>
                </w:rPr>
                <w:t>2014 ONCA 272</w:t>
              </w:r>
            </w:hyperlink>
          </w:p>
          <w:p w:rsidR="002F4FD4" w:rsidRPr="00154253" w:rsidRDefault="002F4FD4" w:rsidP="00E33C9D">
            <w:pPr>
              <w:jc w:val="both"/>
              <w:rPr>
                <w:rFonts w:eastAsia="Calibri"/>
                <w:sz w:val="20"/>
                <w:lang w:val="fr-CA"/>
              </w:rPr>
            </w:pP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Appel accueilli</w:t>
            </w:r>
          </w:p>
          <w:p w:rsidR="002F4FD4" w:rsidRPr="00154253" w:rsidRDefault="002F4FD4" w:rsidP="00E33C9D">
            <w:pPr>
              <w:jc w:val="both"/>
              <w:rPr>
                <w:rFonts w:eastAsia="Calibri"/>
                <w:sz w:val="20"/>
                <w:lang w:val="fr-CA"/>
              </w:rPr>
            </w:pPr>
          </w:p>
        </w:tc>
      </w:tr>
      <w:tr w:rsidR="002F4FD4" w:rsidRPr="00154253" w:rsidTr="00E33C9D">
        <w:trPr>
          <w:cantSplit/>
        </w:trPr>
        <w:tc>
          <w:tcPr>
            <w:tcW w:w="2427" w:type="pct"/>
          </w:tcPr>
          <w:p w:rsidR="002F4FD4" w:rsidRPr="00154253" w:rsidRDefault="002F4FD4" w:rsidP="00E33C9D">
            <w:pPr>
              <w:jc w:val="both"/>
              <w:rPr>
                <w:rFonts w:eastAsia="Calibri"/>
                <w:sz w:val="20"/>
                <w:lang w:val="fr-CA"/>
              </w:rPr>
            </w:pPr>
            <w:r w:rsidRPr="00154253">
              <w:rPr>
                <w:rFonts w:eastAsia="Calibri"/>
                <w:sz w:val="20"/>
                <w:lang w:val="fr-CA"/>
              </w:rPr>
              <w:t>6 juin 2014</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Demande d’autorisation d’appel, déposée</w:t>
            </w:r>
          </w:p>
        </w:tc>
      </w:tr>
    </w:tbl>
    <w:p w:rsidR="002F4FD4" w:rsidRDefault="002F4FD4" w:rsidP="002F4FD4">
      <w:pPr>
        <w:rPr>
          <w:sz w:val="20"/>
          <w:szCs w:val="20"/>
        </w:rPr>
      </w:pPr>
    </w:p>
    <w:p w:rsidR="002F4FD4" w:rsidRDefault="00714478" w:rsidP="002F4FD4">
      <w:pPr>
        <w:rPr>
          <w:sz w:val="20"/>
          <w:szCs w:val="20"/>
        </w:rPr>
      </w:pPr>
      <w:r>
        <w:rPr>
          <w:sz w:val="20"/>
          <w:szCs w:val="20"/>
          <w:lang w:val="fr-CA"/>
        </w:rPr>
        <w:pict>
          <v:rect id="_x0000_i1063" style="width:2in;height:1pt" o:hrpct="0" o:hralign="center" o:hrstd="t" o:hrnoshade="t" o:hr="t" fillcolor="black [3213]" stroked="f"/>
        </w:pict>
      </w:r>
    </w:p>
    <w:p w:rsidR="002F4FD4" w:rsidRDefault="002F4FD4" w:rsidP="002F4FD4">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F4FD4" w:rsidRPr="00D963D2" w:rsidTr="00E33C9D">
        <w:trPr>
          <w:cantSplit/>
        </w:trPr>
        <w:tc>
          <w:tcPr>
            <w:tcW w:w="1458" w:type="dxa"/>
          </w:tcPr>
          <w:p w:rsidR="002F4FD4" w:rsidRPr="00D963D2" w:rsidRDefault="002F4FD4" w:rsidP="00E33C9D">
            <w:pPr>
              <w:rPr>
                <w:sz w:val="20"/>
              </w:rPr>
            </w:pPr>
            <w:r w:rsidRPr="00D963D2">
              <w:rPr>
                <w:b/>
                <w:sz w:val="20"/>
                <w:lang w:val="fr-CA"/>
              </w:rPr>
              <w:t>35930</w:t>
            </w:r>
          </w:p>
          <w:p w:rsidR="002F4FD4" w:rsidRPr="00D963D2" w:rsidRDefault="002F4FD4" w:rsidP="00E33C9D">
            <w:pPr>
              <w:rPr>
                <w:b/>
                <w:sz w:val="20"/>
                <w:lang w:val="fr-CA"/>
              </w:rPr>
            </w:pPr>
          </w:p>
        </w:tc>
        <w:tc>
          <w:tcPr>
            <w:tcW w:w="8118" w:type="dxa"/>
          </w:tcPr>
          <w:p w:rsidR="002F4FD4" w:rsidRPr="00D963D2" w:rsidRDefault="002F4FD4" w:rsidP="00E33C9D">
            <w:pPr>
              <w:rPr>
                <w:sz w:val="20"/>
              </w:rPr>
            </w:pPr>
            <w:r w:rsidRPr="00D963D2">
              <w:rPr>
                <w:b/>
                <w:sz w:val="20"/>
                <w:u w:val="single"/>
              </w:rPr>
              <w:t>Aubrey Levin v. Her Majesty the Queen</w:t>
            </w:r>
            <w:r w:rsidRPr="00D963D2">
              <w:rPr>
                <w:sz w:val="20"/>
              </w:rPr>
              <w:t xml:space="preserve"> (Alta.) (Criminal) (By Leave)</w:t>
            </w:r>
          </w:p>
          <w:p w:rsidR="002F4FD4" w:rsidRPr="00D963D2" w:rsidRDefault="002F4FD4" w:rsidP="00E33C9D">
            <w:pPr>
              <w:rPr>
                <w:sz w:val="20"/>
              </w:rPr>
            </w:pPr>
          </w:p>
        </w:tc>
      </w:tr>
      <w:tr w:rsidR="002F4FD4" w:rsidRPr="00D963D2" w:rsidTr="00E33C9D">
        <w:trPr>
          <w:cantSplit/>
        </w:trPr>
        <w:tc>
          <w:tcPr>
            <w:tcW w:w="1458" w:type="dxa"/>
          </w:tcPr>
          <w:p w:rsidR="002F4FD4" w:rsidRPr="00D963D2" w:rsidRDefault="002F4FD4" w:rsidP="00E33C9D">
            <w:pPr>
              <w:rPr>
                <w:sz w:val="20"/>
              </w:rPr>
            </w:pPr>
            <w:r w:rsidRPr="00D963D2">
              <w:rPr>
                <w:sz w:val="20"/>
              </w:rPr>
              <w:t>Coram :</w:t>
            </w:r>
          </w:p>
        </w:tc>
        <w:tc>
          <w:tcPr>
            <w:tcW w:w="8118" w:type="dxa"/>
          </w:tcPr>
          <w:p w:rsidR="002F4FD4" w:rsidRPr="00D963D2" w:rsidRDefault="002F4FD4" w:rsidP="00E33C9D">
            <w:pPr>
              <w:rPr>
                <w:sz w:val="20"/>
              </w:rPr>
            </w:pPr>
            <w:r w:rsidRPr="00D963D2">
              <w:rPr>
                <w:sz w:val="20"/>
                <w:u w:val="single"/>
              </w:rPr>
              <w:t>McLachlin C.J. and Cromwell and Wagner JJ.</w:t>
            </w:r>
          </w:p>
          <w:p w:rsidR="002F4FD4" w:rsidRPr="00D963D2" w:rsidRDefault="002F4FD4" w:rsidP="00E33C9D">
            <w:pPr>
              <w:rPr>
                <w:sz w:val="20"/>
                <w:u w:val="single"/>
              </w:rPr>
            </w:pPr>
          </w:p>
        </w:tc>
      </w:tr>
      <w:tr w:rsidR="002F4FD4" w:rsidRPr="00714478" w:rsidTr="00E33C9D">
        <w:trPr>
          <w:cantSplit/>
        </w:trPr>
        <w:tc>
          <w:tcPr>
            <w:tcW w:w="9576" w:type="dxa"/>
            <w:gridSpan w:val="2"/>
          </w:tcPr>
          <w:p w:rsidR="002F4FD4" w:rsidRPr="00D963D2" w:rsidRDefault="002F4FD4" w:rsidP="00E33C9D">
            <w:pPr>
              <w:ind w:firstLine="720"/>
              <w:jc w:val="both"/>
              <w:rPr>
                <w:sz w:val="20"/>
              </w:rPr>
            </w:pPr>
            <w:r w:rsidRPr="00D963D2">
              <w:rPr>
                <w:sz w:val="20"/>
              </w:rPr>
              <w:t>The application for leave to appeal from the judgment of the Court of Appeal of Alberta (Calgary), Number 1301-0019-A, 2014 ABCA 142, dated April 23, 2014, is dismissed without costs.</w:t>
            </w:r>
          </w:p>
          <w:p w:rsidR="002F4FD4" w:rsidRPr="00D963D2" w:rsidRDefault="002F4FD4" w:rsidP="00E33C9D">
            <w:pPr>
              <w:jc w:val="both"/>
              <w:rPr>
                <w:sz w:val="20"/>
              </w:rPr>
            </w:pPr>
          </w:p>
          <w:p w:rsidR="002F4FD4" w:rsidRPr="00D963D2" w:rsidRDefault="002F4FD4" w:rsidP="00E33C9D">
            <w:pPr>
              <w:ind w:firstLine="720"/>
              <w:jc w:val="both"/>
              <w:rPr>
                <w:sz w:val="20"/>
                <w:lang w:val="fr-CA"/>
              </w:rPr>
            </w:pPr>
            <w:r w:rsidRPr="00D963D2">
              <w:rPr>
                <w:sz w:val="20"/>
                <w:lang w:val="fr-CA"/>
              </w:rPr>
              <w:t>La demande d’autorisation d’appel de l’arrêt de la Cour d'appel de l’Alberta (Calgary), numéro 1301-0019-A, 2014 ABCA 142, daté du 23 avril 2014, est rejetée sans dépens.</w:t>
            </w:r>
          </w:p>
        </w:tc>
      </w:tr>
    </w:tbl>
    <w:p w:rsidR="002F4FD4" w:rsidRPr="0016547E" w:rsidRDefault="002F4FD4" w:rsidP="002F4FD4">
      <w:pPr>
        <w:rPr>
          <w:sz w:val="20"/>
          <w:szCs w:val="20"/>
          <w:lang w:val="fr-CA"/>
        </w:rPr>
      </w:pPr>
    </w:p>
    <w:p w:rsidR="002F4FD4" w:rsidRPr="001B157C" w:rsidRDefault="002F4FD4" w:rsidP="002F4FD4">
      <w:pPr>
        <w:rPr>
          <w:sz w:val="20"/>
          <w:szCs w:val="20"/>
          <w:u w:val="single"/>
        </w:rPr>
      </w:pPr>
      <w:r w:rsidRPr="001B157C">
        <w:rPr>
          <w:sz w:val="20"/>
          <w:szCs w:val="20"/>
          <w:u w:val="single"/>
        </w:rPr>
        <w:t>CASE SUMMARY</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Pr="00154253" w:rsidRDefault="002F4FD4" w:rsidP="00E33C9D">
            <w:pPr>
              <w:jc w:val="both"/>
              <w:rPr>
                <w:rFonts w:eastAsia="Calibri"/>
                <w:smallCaps/>
                <w:sz w:val="20"/>
              </w:rPr>
            </w:pPr>
            <w:r w:rsidRPr="00154253">
              <w:rPr>
                <w:rFonts w:eastAsia="Calibri"/>
                <w:smallCaps/>
                <w:sz w:val="20"/>
              </w:rPr>
              <w:t xml:space="preserve">(Publication </w:t>
            </w:r>
            <w:r>
              <w:rPr>
                <w:rFonts w:eastAsia="Calibri"/>
                <w:smallCaps/>
                <w:sz w:val="20"/>
              </w:rPr>
              <w:t>B</w:t>
            </w:r>
            <w:r w:rsidRPr="00154253">
              <w:rPr>
                <w:rFonts w:eastAsia="Calibri"/>
                <w:smallCaps/>
                <w:sz w:val="20"/>
              </w:rPr>
              <w:t xml:space="preserve">an in </w:t>
            </w:r>
            <w:r>
              <w:rPr>
                <w:rFonts w:eastAsia="Calibri"/>
                <w:smallCaps/>
                <w:sz w:val="20"/>
              </w:rPr>
              <w:t>C</w:t>
            </w:r>
            <w:r w:rsidRPr="00154253">
              <w:rPr>
                <w:rFonts w:eastAsia="Calibri"/>
                <w:smallCaps/>
                <w:sz w:val="20"/>
              </w:rPr>
              <w:t>ase)</w:t>
            </w:r>
          </w:p>
          <w:p w:rsidR="002F4FD4" w:rsidRPr="00154253" w:rsidRDefault="002F4FD4" w:rsidP="00E33C9D">
            <w:pPr>
              <w:jc w:val="both"/>
              <w:rPr>
                <w:rFonts w:eastAsia="Calibri"/>
                <w:sz w:val="20"/>
              </w:rPr>
            </w:pPr>
          </w:p>
        </w:tc>
      </w:tr>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Criminal law – Evidence – Cross-examination – Does s. 276(1) of the </w:t>
            </w:r>
            <w:r w:rsidRPr="00154253">
              <w:rPr>
                <w:rFonts w:eastAsia="Calibri"/>
                <w:i/>
                <w:sz w:val="20"/>
              </w:rPr>
              <w:t>Criminal Code</w:t>
            </w:r>
            <w:r w:rsidRPr="00154253">
              <w:rPr>
                <w:rFonts w:eastAsia="Calibri"/>
                <w:sz w:val="20"/>
              </w:rPr>
              <w:t xml:space="preserve"> prohibit the accused from cross-examining a sexual assault complainant regarding a separate sexual assault alleged to have been committed by the </w:t>
            </w:r>
            <w:r w:rsidRPr="00154253">
              <w:rPr>
                <w:rFonts w:eastAsia="Calibri"/>
                <w:sz w:val="20"/>
              </w:rPr>
              <w:lastRenderedPageBreak/>
              <w:t xml:space="preserve">complainant – Where the Crown has acknowledged that a Crown witness is of “unsavoury character” and has not “put that witness’s character into issue” is the accused thereby prohibited from cross-examining that witness in relation to prior criminal acts – What is the standard of proof required to engage the Crown’s “duty to inquire” as recognized in </w:t>
            </w:r>
            <w:r w:rsidRPr="00154253">
              <w:rPr>
                <w:rFonts w:eastAsia="Calibri"/>
                <w:i/>
                <w:sz w:val="20"/>
              </w:rPr>
              <w:t>R. v. McNeil</w:t>
            </w:r>
            <w:r w:rsidRPr="00154253">
              <w:rPr>
                <w:rFonts w:eastAsia="Calibri"/>
                <w:sz w:val="20"/>
              </w:rPr>
              <w:t xml:space="preserve">, 2009 SCC 3 – What is the distinction, if any, between the “duty to inquire” and a “duty to investigate” – Does the s. 278.1 </w:t>
            </w:r>
            <w:r w:rsidRPr="00154253">
              <w:rPr>
                <w:rFonts w:eastAsia="Calibri"/>
                <w:i/>
                <w:sz w:val="20"/>
              </w:rPr>
              <w:t>Criminal Code</w:t>
            </w:r>
            <w:r w:rsidRPr="00154253">
              <w:rPr>
                <w:rFonts w:eastAsia="Calibri"/>
                <w:sz w:val="20"/>
              </w:rPr>
              <w:t xml:space="preserve"> procedure apply to conversations conducted over inmate telephone systems.</w:t>
            </w:r>
          </w:p>
        </w:tc>
      </w:tr>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lastRenderedPageBreak/>
              <w:t>The applicant was convicted of three counts of sexually assaulting former patients.  The Court of Appeal dismissed the applicant’s appeal.</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January 22, 2013</w:t>
            </w:r>
          </w:p>
          <w:p w:rsidR="002F4FD4" w:rsidRPr="00154253" w:rsidRDefault="002F4FD4" w:rsidP="00E33C9D">
            <w:pPr>
              <w:jc w:val="both"/>
              <w:rPr>
                <w:rFonts w:eastAsia="Calibri"/>
                <w:sz w:val="20"/>
              </w:rPr>
            </w:pPr>
            <w:r w:rsidRPr="00154253">
              <w:rPr>
                <w:rFonts w:eastAsia="Calibri"/>
                <w:sz w:val="20"/>
              </w:rPr>
              <w:t>Court of Queen’s Bench of Alberta</w:t>
            </w:r>
          </w:p>
          <w:p w:rsidR="002F4FD4" w:rsidRPr="00154253" w:rsidRDefault="002F4FD4" w:rsidP="00E33C9D">
            <w:pPr>
              <w:jc w:val="both"/>
              <w:rPr>
                <w:rFonts w:eastAsia="Calibri"/>
                <w:sz w:val="20"/>
              </w:rPr>
            </w:pPr>
            <w:r w:rsidRPr="00154253">
              <w:rPr>
                <w:rFonts w:eastAsia="Calibri"/>
                <w:sz w:val="20"/>
              </w:rPr>
              <w:t>(Shelley J.)</w:t>
            </w:r>
          </w:p>
          <w:p w:rsidR="002F4FD4" w:rsidRPr="00154253" w:rsidRDefault="002F4FD4" w:rsidP="00E33C9D">
            <w:pPr>
              <w:jc w:val="both"/>
              <w:rPr>
                <w:rFonts w:eastAsia="Calibri"/>
                <w:sz w:val="20"/>
              </w:rPr>
            </w:pPr>
            <w:r w:rsidRPr="00154253">
              <w:rPr>
                <w:rFonts w:eastAsia="Calibri"/>
                <w:sz w:val="20"/>
              </w:rPr>
              <w:t>2013 ABQB 52</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Conviction for three counts of sexual assault</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April 23, 2014</w:t>
            </w:r>
          </w:p>
          <w:p w:rsidR="002F4FD4" w:rsidRPr="00154253" w:rsidRDefault="002F4FD4" w:rsidP="00E33C9D">
            <w:pPr>
              <w:jc w:val="both"/>
              <w:rPr>
                <w:rFonts w:eastAsia="Calibri"/>
                <w:sz w:val="20"/>
              </w:rPr>
            </w:pPr>
            <w:r w:rsidRPr="00154253">
              <w:rPr>
                <w:rFonts w:eastAsia="Calibri"/>
                <w:sz w:val="20"/>
              </w:rPr>
              <w:t>Court of Appeal of Alberta (Calgary)</w:t>
            </w:r>
          </w:p>
          <w:p w:rsidR="002F4FD4" w:rsidRPr="00154253" w:rsidRDefault="002F4FD4" w:rsidP="00E33C9D">
            <w:pPr>
              <w:jc w:val="both"/>
              <w:rPr>
                <w:rFonts w:eastAsia="Calibri"/>
                <w:sz w:val="20"/>
              </w:rPr>
            </w:pPr>
            <w:r w:rsidRPr="00154253">
              <w:rPr>
                <w:rFonts w:eastAsia="Calibri"/>
                <w:sz w:val="20"/>
              </w:rPr>
              <w:t>(Fraser, Conrad, and McDonald JJ.A.)</w:t>
            </w:r>
          </w:p>
          <w:p w:rsidR="002F4FD4" w:rsidRPr="00154253" w:rsidRDefault="002F4FD4" w:rsidP="00E33C9D">
            <w:pPr>
              <w:jc w:val="both"/>
              <w:rPr>
                <w:rFonts w:eastAsia="Calibri"/>
                <w:sz w:val="20"/>
              </w:rPr>
            </w:pPr>
            <w:r w:rsidRPr="00154253">
              <w:rPr>
                <w:rFonts w:eastAsia="Calibri"/>
                <w:sz w:val="20"/>
              </w:rPr>
              <w:t>2014 ABCA 142, 1301-0019-A</w:t>
            </w:r>
          </w:p>
          <w:p w:rsidR="002F4FD4" w:rsidRPr="00154253" w:rsidRDefault="00714478" w:rsidP="00E33C9D">
            <w:pPr>
              <w:jc w:val="both"/>
              <w:rPr>
                <w:rFonts w:eastAsia="Calibri"/>
                <w:sz w:val="20"/>
              </w:rPr>
            </w:pPr>
            <w:hyperlink r:id="rId56" w:history="1">
              <w:r w:rsidR="002F4FD4" w:rsidRPr="00154253">
                <w:rPr>
                  <w:color w:val="0000FF"/>
                  <w:sz w:val="20"/>
                  <w:u w:val="single"/>
                </w:rPr>
                <w:t>http://canlii.ca/t/g6ll7</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Applicant’s appeal dismissed</w:t>
            </w:r>
          </w:p>
          <w:p w:rsidR="002F4FD4" w:rsidRPr="00154253" w:rsidRDefault="002F4FD4" w:rsidP="00E33C9D">
            <w:pPr>
              <w:jc w:val="both"/>
              <w:rPr>
                <w:rFonts w:eastAsia="Calibri"/>
                <w:sz w:val="20"/>
              </w:rPr>
            </w:pPr>
          </w:p>
        </w:tc>
      </w:tr>
      <w:tr w:rsidR="002F4FD4" w:rsidRPr="00154253" w:rsidTr="00E33C9D">
        <w:trPr>
          <w:cantSplit/>
        </w:trPr>
        <w:tc>
          <w:tcPr>
            <w:tcW w:w="2427" w:type="pct"/>
          </w:tcPr>
          <w:p w:rsidR="002F4FD4" w:rsidRPr="00154253" w:rsidRDefault="002F4FD4" w:rsidP="00E33C9D">
            <w:pPr>
              <w:jc w:val="both"/>
              <w:rPr>
                <w:rFonts w:eastAsia="Calibri"/>
                <w:sz w:val="20"/>
              </w:rPr>
            </w:pPr>
            <w:r w:rsidRPr="00154253">
              <w:rPr>
                <w:rFonts w:eastAsia="Calibri"/>
                <w:sz w:val="20"/>
              </w:rPr>
              <w:t>June 9, 2014</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filed</w:t>
            </w:r>
          </w:p>
          <w:p w:rsidR="002F4FD4" w:rsidRPr="00154253" w:rsidRDefault="002F4FD4" w:rsidP="00E33C9D">
            <w:pPr>
              <w:jc w:val="both"/>
              <w:rPr>
                <w:rFonts w:eastAsia="Calibri"/>
                <w:sz w:val="20"/>
              </w:rPr>
            </w:pPr>
          </w:p>
        </w:tc>
      </w:tr>
    </w:tbl>
    <w:p w:rsidR="002F4FD4" w:rsidRDefault="002F4FD4" w:rsidP="002F4FD4">
      <w:pPr>
        <w:rPr>
          <w:sz w:val="20"/>
          <w:szCs w:val="20"/>
        </w:rPr>
      </w:pPr>
    </w:p>
    <w:p w:rsidR="002F4FD4" w:rsidRPr="00C50A5C" w:rsidRDefault="00714478" w:rsidP="002F4FD4">
      <w:pPr>
        <w:rPr>
          <w:sz w:val="20"/>
          <w:szCs w:val="20"/>
        </w:rPr>
      </w:pPr>
      <w:r>
        <w:rPr>
          <w:sz w:val="20"/>
          <w:szCs w:val="20"/>
          <w:lang w:val="fr-CA"/>
        </w:rPr>
        <w:pict>
          <v:rect id="_x0000_i1064" style="width:2in;height:1pt" o:hrpct="0" o:hralign="center" o:hrstd="t" o:hrnoshade="t" o:hr="t" fillcolor="black [3213]" stroked="f"/>
        </w:pict>
      </w:r>
    </w:p>
    <w:p w:rsidR="002F4FD4" w:rsidRDefault="002F4FD4" w:rsidP="002F4FD4">
      <w:pPr>
        <w:rPr>
          <w:sz w:val="20"/>
          <w:szCs w:val="20"/>
        </w:rPr>
      </w:pPr>
    </w:p>
    <w:p w:rsidR="002F4FD4" w:rsidRPr="001B157C" w:rsidRDefault="002F4FD4" w:rsidP="002F4FD4">
      <w:pPr>
        <w:rPr>
          <w:sz w:val="20"/>
          <w:szCs w:val="20"/>
          <w:u w:val="single"/>
          <w:lang w:val="fr-CA"/>
        </w:rPr>
      </w:pPr>
      <w:r w:rsidRPr="001B157C">
        <w:rPr>
          <w:sz w:val="20"/>
          <w:szCs w:val="20"/>
          <w:u w:val="single"/>
          <w:lang w:val="fr-CA"/>
        </w:rPr>
        <w:t>RÉSUMÉ DE L’AFFAIRE</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714478" w:rsidTr="00E33C9D">
        <w:tc>
          <w:tcPr>
            <w:tcW w:w="5000" w:type="pct"/>
            <w:gridSpan w:val="3"/>
          </w:tcPr>
          <w:p w:rsidR="002F4FD4" w:rsidRPr="00154253" w:rsidRDefault="002F4FD4" w:rsidP="00E33C9D">
            <w:pPr>
              <w:jc w:val="both"/>
              <w:rPr>
                <w:rFonts w:eastAsia="Calibri"/>
                <w:smallCaps/>
                <w:sz w:val="20"/>
                <w:lang w:val="fr-CA"/>
              </w:rPr>
            </w:pPr>
            <w:r w:rsidRPr="00154253">
              <w:rPr>
                <w:rFonts w:eastAsia="Calibri"/>
                <w:smallCaps/>
                <w:sz w:val="20"/>
                <w:lang w:val="fr-CA"/>
              </w:rPr>
              <w:t>(Ordonnance de non publication dans le dossier)</w:t>
            </w:r>
          </w:p>
          <w:p w:rsidR="002F4FD4" w:rsidRPr="00154253" w:rsidRDefault="002F4FD4" w:rsidP="00E33C9D">
            <w:pPr>
              <w:jc w:val="both"/>
              <w:rPr>
                <w:rFonts w:eastAsia="Calibri"/>
                <w:sz w:val="20"/>
                <w:lang w:val="fr-CA"/>
              </w:rPr>
            </w:pPr>
          </w:p>
        </w:tc>
      </w:tr>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 xml:space="preserve">Droit criminel – Preuve – Contre-interrogatoire – Est-ce que l’art. 276(1) du </w:t>
            </w:r>
            <w:r w:rsidRPr="00154253">
              <w:rPr>
                <w:rFonts w:eastAsia="Calibri"/>
                <w:i/>
                <w:sz w:val="20"/>
                <w:lang w:val="fr-CA"/>
              </w:rPr>
              <w:t xml:space="preserve">Code criminel </w:t>
            </w:r>
            <w:r w:rsidRPr="00154253">
              <w:rPr>
                <w:rFonts w:eastAsia="Calibri"/>
                <w:sz w:val="20"/>
                <w:lang w:val="fr-CA"/>
              </w:rPr>
              <w:t xml:space="preserve">interdit à l’accusé de contre-interroger la plaignante d’agression sexuelle relativement à une agression sexuelle distincte qui aurait été commise par cette plaignante? – Lorsque le ministère public a reconnu que «l’honnêteté d’un de ses témoins est douteuse » et qu’il « n’avait pas mis en cause la moralité de ce témoin », est-il alors interdit à l’accusé de contre-interroger ce témoin relativement à des actes criminels antérieurs? – Quelle est la norme de preuve requise pour donner naissance à l’obligation de se renseigner du ministère public </w:t>
            </w:r>
            <w:r w:rsidRPr="00154253">
              <w:rPr>
                <w:rFonts w:eastAsia="Calibri"/>
                <w:sz w:val="20"/>
                <w:lang w:val="fr-FR"/>
              </w:rPr>
              <w:t xml:space="preserve">conformément à ce qui a été reconnu dans l’arrêt </w:t>
            </w:r>
            <w:r w:rsidRPr="00154253">
              <w:rPr>
                <w:rFonts w:eastAsia="Calibri"/>
                <w:i/>
                <w:sz w:val="20"/>
                <w:lang w:val="fr-CA"/>
              </w:rPr>
              <w:t>R. v. McNeil</w:t>
            </w:r>
            <w:r w:rsidRPr="00154253">
              <w:rPr>
                <w:rFonts w:eastAsia="Calibri"/>
                <w:sz w:val="20"/>
                <w:lang w:val="fr-CA"/>
              </w:rPr>
              <w:t xml:space="preserve">, 2009 SCC 3? – Quelle est la possible distinction entre « l’obligation de se renseigner » et « l’obligation d’enquêter »? – Est-ce que la procédure prévue à l’art. 278.1 du </w:t>
            </w:r>
            <w:r w:rsidRPr="00154253">
              <w:rPr>
                <w:rFonts w:eastAsia="Calibri"/>
                <w:i/>
                <w:sz w:val="20"/>
                <w:lang w:val="fr-CA"/>
              </w:rPr>
              <w:t xml:space="preserve">Code criminel </w:t>
            </w:r>
            <w:r w:rsidRPr="00154253">
              <w:rPr>
                <w:rFonts w:eastAsia="Calibri"/>
                <w:sz w:val="20"/>
                <w:lang w:val="fr-CA"/>
              </w:rPr>
              <w:t>s’applique à des conversations ayant eu lieu sur le système téléphonique pour les détenus?</w:t>
            </w:r>
          </w:p>
        </w:tc>
      </w:tr>
      <w:tr w:rsidR="002F4FD4" w:rsidRPr="00154253"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Le demandeur a été déclaré coupable de trois chefs d’accusation d’agression sexuelle sur d’anciens patients.  La Cour d’appel a rejeté l’appel du demandeur.</w:t>
            </w:r>
          </w:p>
          <w:p w:rsidR="002F4FD4" w:rsidRPr="00154253" w:rsidRDefault="002F4FD4" w:rsidP="00E33C9D">
            <w:pPr>
              <w:jc w:val="both"/>
              <w:rPr>
                <w:rFonts w:eastAsia="Calibri"/>
                <w:sz w:val="20"/>
                <w:lang w:val="fr-CA"/>
              </w:rPr>
            </w:pP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22 janvier 2013</w:t>
            </w:r>
          </w:p>
          <w:p w:rsidR="002F4FD4" w:rsidRPr="00154253" w:rsidRDefault="002F4FD4" w:rsidP="00E33C9D">
            <w:pPr>
              <w:jc w:val="both"/>
              <w:rPr>
                <w:rFonts w:eastAsia="Calibri"/>
                <w:sz w:val="20"/>
                <w:lang w:val="fr-CA"/>
              </w:rPr>
            </w:pPr>
            <w:r w:rsidRPr="00154253">
              <w:rPr>
                <w:rFonts w:eastAsia="Calibri"/>
                <w:sz w:val="20"/>
                <w:lang w:val="fr-CA"/>
              </w:rPr>
              <w:t>Cour du Banc de la Reine de l’Alberta</w:t>
            </w:r>
          </w:p>
          <w:p w:rsidR="002F4FD4" w:rsidRPr="00154253" w:rsidRDefault="002F4FD4" w:rsidP="00E33C9D">
            <w:pPr>
              <w:jc w:val="both"/>
              <w:rPr>
                <w:rFonts w:eastAsia="Calibri"/>
                <w:sz w:val="20"/>
              </w:rPr>
            </w:pPr>
            <w:r w:rsidRPr="00154253">
              <w:rPr>
                <w:rFonts w:eastAsia="Calibri"/>
                <w:sz w:val="20"/>
              </w:rPr>
              <w:t>(Juge Shelley)</w:t>
            </w:r>
          </w:p>
          <w:p w:rsidR="002F4FD4" w:rsidRPr="00154253" w:rsidRDefault="002F4FD4" w:rsidP="00E33C9D">
            <w:pPr>
              <w:jc w:val="both"/>
              <w:rPr>
                <w:rFonts w:eastAsia="Calibri"/>
                <w:sz w:val="20"/>
              </w:rPr>
            </w:pPr>
            <w:r w:rsidRPr="00154253">
              <w:rPr>
                <w:rFonts w:eastAsia="Calibri"/>
                <w:sz w:val="20"/>
              </w:rPr>
              <w:t>2013 ABQB 52</w:t>
            </w:r>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 xml:space="preserve">Déclaration de culpabilité relativement à trois chefs d’accusation d’agression sexuelle </w:t>
            </w:r>
          </w:p>
          <w:p w:rsidR="002F4FD4" w:rsidRPr="00154253" w:rsidRDefault="002F4FD4" w:rsidP="00E33C9D">
            <w:pPr>
              <w:jc w:val="both"/>
              <w:rPr>
                <w:rFonts w:eastAsia="Calibri"/>
                <w:sz w:val="20"/>
                <w:lang w:val="fr-CA"/>
              </w:rPr>
            </w:pP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23 avril 2014</w:t>
            </w:r>
          </w:p>
          <w:p w:rsidR="002F4FD4" w:rsidRPr="00154253" w:rsidRDefault="002F4FD4" w:rsidP="00E33C9D">
            <w:pPr>
              <w:jc w:val="both"/>
              <w:rPr>
                <w:rFonts w:eastAsia="Calibri"/>
                <w:sz w:val="20"/>
                <w:lang w:val="fr-CA"/>
              </w:rPr>
            </w:pPr>
            <w:r w:rsidRPr="00154253">
              <w:rPr>
                <w:rFonts w:eastAsia="Calibri"/>
                <w:sz w:val="20"/>
                <w:lang w:val="fr-CA"/>
              </w:rPr>
              <w:t>Cour d’appel de l’Alberta (Calgary)</w:t>
            </w:r>
          </w:p>
          <w:p w:rsidR="002F4FD4" w:rsidRPr="00154253" w:rsidRDefault="002F4FD4" w:rsidP="00E33C9D">
            <w:pPr>
              <w:jc w:val="both"/>
              <w:rPr>
                <w:rFonts w:eastAsia="Calibri"/>
                <w:sz w:val="20"/>
                <w:lang w:val="fr-CA"/>
              </w:rPr>
            </w:pPr>
            <w:r w:rsidRPr="00154253">
              <w:rPr>
                <w:rFonts w:eastAsia="Calibri"/>
                <w:sz w:val="20"/>
                <w:lang w:val="fr-CA"/>
              </w:rPr>
              <w:t>(Juges Fraser, Conrad et McDonald)</w:t>
            </w:r>
          </w:p>
          <w:p w:rsidR="002F4FD4" w:rsidRPr="00154253" w:rsidRDefault="002F4FD4" w:rsidP="00E33C9D">
            <w:pPr>
              <w:jc w:val="both"/>
              <w:rPr>
                <w:rFonts w:eastAsia="Calibri"/>
                <w:sz w:val="20"/>
              </w:rPr>
            </w:pPr>
            <w:r w:rsidRPr="00154253">
              <w:rPr>
                <w:rFonts w:eastAsia="Calibri"/>
                <w:sz w:val="20"/>
              </w:rPr>
              <w:t>2014 ABCA 142, 1301-0019-A</w:t>
            </w:r>
          </w:p>
          <w:p w:rsidR="002F4FD4" w:rsidRPr="00154253" w:rsidRDefault="00714478" w:rsidP="00E33C9D">
            <w:pPr>
              <w:jc w:val="both"/>
              <w:rPr>
                <w:rFonts w:eastAsia="Calibri"/>
                <w:sz w:val="20"/>
              </w:rPr>
            </w:pPr>
            <w:hyperlink r:id="rId57" w:history="1">
              <w:r w:rsidR="002F4FD4" w:rsidRPr="00154253">
                <w:rPr>
                  <w:color w:val="0000FF"/>
                  <w:sz w:val="20"/>
                  <w:u w:val="single"/>
                </w:rPr>
                <w:t>http://canlii.ca/t/g6ll7</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 xml:space="preserve">Appel du demandeur est rejeté </w:t>
            </w:r>
          </w:p>
          <w:p w:rsidR="002F4FD4" w:rsidRPr="00154253" w:rsidRDefault="002F4FD4" w:rsidP="00E33C9D">
            <w:pPr>
              <w:jc w:val="both"/>
              <w:rPr>
                <w:rFonts w:eastAsia="Calibri"/>
                <w:sz w:val="20"/>
                <w:lang w:val="fr-CA"/>
              </w:rPr>
            </w:pPr>
          </w:p>
          <w:p w:rsidR="002F4FD4" w:rsidRPr="00154253" w:rsidRDefault="002F4FD4" w:rsidP="00E33C9D">
            <w:pPr>
              <w:jc w:val="both"/>
              <w:rPr>
                <w:rFonts w:eastAsia="Calibri"/>
                <w:sz w:val="20"/>
                <w:lang w:val="fr-CA"/>
              </w:rPr>
            </w:pP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lastRenderedPageBreak/>
              <w:t>9 juin 2014</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rPr>
            </w:pPr>
            <w:r w:rsidRPr="00154253">
              <w:rPr>
                <w:rFonts w:eastAsia="Calibri"/>
                <w:sz w:val="20"/>
              </w:rPr>
              <w:t>Demande d’autorisation d’appel déposée</w:t>
            </w:r>
          </w:p>
        </w:tc>
      </w:tr>
    </w:tbl>
    <w:p w:rsidR="002F4FD4" w:rsidRDefault="002F4FD4" w:rsidP="002F4FD4">
      <w:pPr>
        <w:rPr>
          <w:sz w:val="20"/>
          <w:szCs w:val="20"/>
        </w:rPr>
      </w:pPr>
    </w:p>
    <w:p w:rsidR="002F4FD4" w:rsidRDefault="00714478" w:rsidP="002F4FD4">
      <w:pPr>
        <w:rPr>
          <w:sz w:val="20"/>
          <w:szCs w:val="20"/>
        </w:rPr>
      </w:pPr>
      <w:r>
        <w:rPr>
          <w:sz w:val="20"/>
          <w:szCs w:val="20"/>
          <w:lang w:val="fr-CA"/>
        </w:rPr>
        <w:pict>
          <v:rect id="_x0000_i1065" style="width:2in;height:1pt" o:hrpct="0" o:hralign="center" o:hrstd="t" o:hrnoshade="t" o:hr="t" fillcolor="black [3213]" stroked="f"/>
        </w:pict>
      </w:r>
    </w:p>
    <w:p w:rsidR="002F4FD4" w:rsidRDefault="002F4FD4" w:rsidP="002F4FD4">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F4FD4" w:rsidRPr="00D963D2" w:rsidTr="00E33C9D">
        <w:trPr>
          <w:cantSplit/>
        </w:trPr>
        <w:tc>
          <w:tcPr>
            <w:tcW w:w="1458" w:type="dxa"/>
          </w:tcPr>
          <w:p w:rsidR="002F4FD4" w:rsidRPr="00D963D2" w:rsidRDefault="002F4FD4" w:rsidP="00E33C9D">
            <w:pPr>
              <w:rPr>
                <w:sz w:val="20"/>
              </w:rPr>
            </w:pPr>
            <w:r w:rsidRPr="00D963D2">
              <w:rPr>
                <w:b/>
                <w:sz w:val="20"/>
                <w:lang w:val="fr-CA"/>
              </w:rPr>
              <w:t>35935</w:t>
            </w:r>
          </w:p>
          <w:p w:rsidR="002F4FD4" w:rsidRPr="00D963D2" w:rsidRDefault="002F4FD4" w:rsidP="00E33C9D">
            <w:pPr>
              <w:rPr>
                <w:b/>
                <w:sz w:val="20"/>
                <w:lang w:val="fr-CA"/>
              </w:rPr>
            </w:pPr>
          </w:p>
        </w:tc>
        <w:tc>
          <w:tcPr>
            <w:tcW w:w="8118" w:type="dxa"/>
          </w:tcPr>
          <w:p w:rsidR="002F4FD4" w:rsidRPr="00D963D2" w:rsidRDefault="002F4FD4" w:rsidP="00E33C9D">
            <w:pPr>
              <w:rPr>
                <w:sz w:val="20"/>
              </w:rPr>
            </w:pPr>
            <w:r w:rsidRPr="00D963D2">
              <w:rPr>
                <w:b/>
                <w:sz w:val="20"/>
                <w:u w:val="single"/>
              </w:rPr>
              <w:t>Teri Prince</w:t>
            </w:r>
            <w:r>
              <w:rPr>
                <w:b/>
                <w:sz w:val="20"/>
                <w:u w:val="single"/>
              </w:rPr>
              <w:t xml:space="preserve"> and</w:t>
            </w:r>
            <w:r w:rsidRPr="00D963D2">
              <w:rPr>
                <w:b/>
                <w:sz w:val="20"/>
                <w:u w:val="single"/>
              </w:rPr>
              <w:t xml:space="preserve"> Matthew Walach v. Air Canada</w:t>
            </w:r>
            <w:r w:rsidRPr="00D963D2">
              <w:rPr>
                <w:sz w:val="20"/>
              </w:rPr>
              <w:t xml:space="preserve"> (Ont.) (Civil) (By Leave)</w:t>
            </w:r>
          </w:p>
          <w:p w:rsidR="002F4FD4" w:rsidRPr="00D963D2" w:rsidRDefault="002F4FD4" w:rsidP="00E33C9D">
            <w:pPr>
              <w:rPr>
                <w:sz w:val="20"/>
              </w:rPr>
            </w:pPr>
          </w:p>
        </w:tc>
      </w:tr>
      <w:tr w:rsidR="002F4FD4" w:rsidRPr="00D963D2" w:rsidTr="00E33C9D">
        <w:trPr>
          <w:cantSplit/>
        </w:trPr>
        <w:tc>
          <w:tcPr>
            <w:tcW w:w="1458" w:type="dxa"/>
          </w:tcPr>
          <w:p w:rsidR="002F4FD4" w:rsidRPr="00D963D2" w:rsidRDefault="002F4FD4" w:rsidP="00E33C9D">
            <w:pPr>
              <w:rPr>
                <w:sz w:val="20"/>
              </w:rPr>
            </w:pPr>
            <w:r w:rsidRPr="00D963D2">
              <w:rPr>
                <w:sz w:val="20"/>
              </w:rPr>
              <w:t>Coram :</w:t>
            </w:r>
          </w:p>
        </w:tc>
        <w:tc>
          <w:tcPr>
            <w:tcW w:w="8118" w:type="dxa"/>
          </w:tcPr>
          <w:p w:rsidR="002F4FD4" w:rsidRPr="00D963D2" w:rsidRDefault="002F4FD4" w:rsidP="00E33C9D">
            <w:pPr>
              <w:rPr>
                <w:sz w:val="20"/>
              </w:rPr>
            </w:pPr>
            <w:r w:rsidRPr="00D963D2">
              <w:rPr>
                <w:sz w:val="20"/>
                <w:u w:val="single"/>
              </w:rPr>
              <w:t>Abella, Rothstein and Moldaver JJ.</w:t>
            </w:r>
          </w:p>
          <w:p w:rsidR="002F4FD4" w:rsidRPr="00D963D2" w:rsidRDefault="002F4FD4" w:rsidP="00E33C9D">
            <w:pPr>
              <w:rPr>
                <w:sz w:val="20"/>
                <w:u w:val="single"/>
              </w:rPr>
            </w:pPr>
          </w:p>
        </w:tc>
      </w:tr>
      <w:tr w:rsidR="002F4FD4" w:rsidRPr="00714478" w:rsidTr="00E33C9D">
        <w:trPr>
          <w:cantSplit/>
        </w:trPr>
        <w:tc>
          <w:tcPr>
            <w:tcW w:w="9576" w:type="dxa"/>
            <w:gridSpan w:val="2"/>
          </w:tcPr>
          <w:p w:rsidR="002F4FD4" w:rsidRPr="00D963D2" w:rsidRDefault="002F4FD4" w:rsidP="00E33C9D">
            <w:pPr>
              <w:ind w:firstLine="720"/>
              <w:jc w:val="both"/>
              <w:rPr>
                <w:sz w:val="20"/>
              </w:rPr>
            </w:pPr>
            <w:r w:rsidRPr="00D963D2">
              <w:rPr>
                <w:sz w:val="20"/>
              </w:rPr>
              <w:t>The application for leave to appeal from the judgment of the Court of Appeal for Ontario, Number C57423, 2014 ONCA 285, dated April 15, 2014 is dismissed with costs.</w:t>
            </w:r>
          </w:p>
          <w:p w:rsidR="002F4FD4" w:rsidRPr="00D963D2" w:rsidRDefault="002F4FD4" w:rsidP="00E33C9D">
            <w:pPr>
              <w:jc w:val="both"/>
              <w:rPr>
                <w:sz w:val="20"/>
              </w:rPr>
            </w:pPr>
          </w:p>
          <w:p w:rsidR="002F4FD4" w:rsidRPr="00D963D2" w:rsidRDefault="002F4FD4" w:rsidP="00E33C9D">
            <w:pPr>
              <w:ind w:firstLine="720"/>
              <w:jc w:val="both"/>
              <w:rPr>
                <w:sz w:val="20"/>
                <w:lang w:val="fr-CA"/>
              </w:rPr>
            </w:pPr>
            <w:r w:rsidRPr="00D963D2">
              <w:rPr>
                <w:sz w:val="20"/>
                <w:lang w:val="fr-CA"/>
              </w:rPr>
              <w:t>La demande d’autorisation d’appel de l’arrêt de la Cour d’appel de l’Ontario, numéro C57423, 2014 ONCA 285, daté du 15 avril 2014, est rejetée avec dépens.</w:t>
            </w:r>
          </w:p>
        </w:tc>
      </w:tr>
    </w:tbl>
    <w:p w:rsidR="002F4FD4" w:rsidRPr="0016547E" w:rsidRDefault="002F4FD4" w:rsidP="002F4FD4">
      <w:pPr>
        <w:rPr>
          <w:sz w:val="20"/>
          <w:szCs w:val="20"/>
          <w:lang w:val="fr-CA"/>
        </w:rPr>
      </w:pPr>
    </w:p>
    <w:p w:rsidR="002F4FD4" w:rsidRPr="001B157C" w:rsidRDefault="002F4FD4" w:rsidP="002F4FD4">
      <w:pPr>
        <w:rPr>
          <w:sz w:val="20"/>
          <w:szCs w:val="20"/>
          <w:u w:val="single"/>
        </w:rPr>
      </w:pPr>
      <w:r w:rsidRPr="001B157C">
        <w:rPr>
          <w:sz w:val="20"/>
          <w:szCs w:val="20"/>
          <w:u w:val="single"/>
        </w:rPr>
        <w:t>CASE SUMMARY</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154253" w:rsidTr="00E33C9D">
        <w:tc>
          <w:tcPr>
            <w:tcW w:w="5000" w:type="pct"/>
            <w:gridSpan w:val="3"/>
          </w:tcPr>
          <w:p w:rsidR="002F4FD4" w:rsidRPr="00154253" w:rsidRDefault="002F4FD4" w:rsidP="00E33C9D">
            <w:pPr>
              <w:jc w:val="both"/>
              <w:rPr>
                <w:sz w:val="20"/>
                <w:lang w:eastAsia="en-CA"/>
              </w:rPr>
            </w:pPr>
            <w:r w:rsidRPr="00154253">
              <w:rPr>
                <w:sz w:val="20"/>
                <w:lang w:eastAsia="en-CA"/>
              </w:rPr>
              <w:t xml:space="preserve">Civil procedure – Stay – Courts – Jurisdiction – </w:t>
            </w:r>
            <w:r w:rsidRPr="00154253">
              <w:rPr>
                <w:i/>
                <w:sz w:val="20"/>
                <w:lang w:eastAsia="en-CA"/>
              </w:rPr>
              <w:t>Forum non conveniens</w:t>
            </w:r>
            <w:r w:rsidRPr="00154253">
              <w:rPr>
                <w:sz w:val="20"/>
                <w:lang w:eastAsia="en-CA"/>
              </w:rPr>
              <w:t xml:space="preserve"> – Canadian and American plaintiffs commencing proposed class action against Air Canada for allegedly charging United States transportation taxes on Air Canada ticket purchases – Air Canada moving to dismiss or permanently stay action on basis Ontario court not having jurisdiction over dispute and </w:t>
            </w:r>
            <w:r w:rsidRPr="00154253">
              <w:rPr>
                <w:i/>
                <w:sz w:val="20"/>
                <w:lang w:eastAsia="en-CA"/>
              </w:rPr>
              <w:t>forum non conveniens</w:t>
            </w:r>
            <w:r w:rsidRPr="00154253">
              <w:rPr>
                <w:sz w:val="20"/>
                <w:lang w:eastAsia="en-CA"/>
              </w:rPr>
              <w:t xml:space="preserve"> – Whether principle of comity requires a Canadian court to decline to exercise its jurisdiction in favour of foreign state when the issue is extraterritorial application of foreign taxes in Canada? – Whether Court of Appeal erred in applying </w:t>
            </w:r>
            <w:r w:rsidRPr="00154253">
              <w:rPr>
                <w:i/>
                <w:sz w:val="20"/>
                <w:lang w:eastAsia="en-CA"/>
              </w:rPr>
              <w:t>forum non conveniens</w:t>
            </w:r>
            <w:r w:rsidRPr="00154253">
              <w:rPr>
                <w:sz w:val="20"/>
                <w:lang w:eastAsia="en-CA"/>
              </w:rPr>
              <w:t xml:space="preserve"> test by failing to properly apply the principles of efficiency and fairness as set out in </w:t>
            </w:r>
            <w:r w:rsidRPr="00154253">
              <w:rPr>
                <w:i/>
                <w:sz w:val="20"/>
                <w:lang w:eastAsia="en-CA"/>
              </w:rPr>
              <w:t>Van Breda</w:t>
            </w:r>
            <w:r w:rsidRPr="00154253">
              <w:rPr>
                <w:sz w:val="20"/>
                <w:lang w:eastAsia="en-CA"/>
              </w:rPr>
              <w:t>?</w:t>
            </w:r>
          </w:p>
        </w:tc>
      </w:tr>
      <w:tr w:rsidR="002F4FD4" w:rsidRPr="00154253" w:rsidTr="00E33C9D">
        <w:tc>
          <w:tcPr>
            <w:tcW w:w="5000" w:type="pct"/>
            <w:gridSpan w:val="3"/>
          </w:tcPr>
          <w:p w:rsidR="002F4FD4" w:rsidRPr="00154253" w:rsidRDefault="002F4FD4" w:rsidP="00E33C9D">
            <w:pPr>
              <w:jc w:val="both"/>
              <w:rPr>
                <w:rFonts w:eastAsia="Calibri"/>
                <w:sz w:val="20"/>
              </w:rPr>
            </w:pPr>
          </w:p>
        </w:tc>
      </w:tr>
      <w:tr w:rsidR="002F4FD4" w:rsidRPr="00154253" w:rsidTr="00E33C9D">
        <w:tc>
          <w:tcPr>
            <w:tcW w:w="5000" w:type="pct"/>
            <w:gridSpan w:val="3"/>
          </w:tcPr>
          <w:p w:rsidR="002F4FD4" w:rsidRPr="00154253" w:rsidRDefault="002F4FD4" w:rsidP="00E33C9D">
            <w:pPr>
              <w:jc w:val="both"/>
              <w:rPr>
                <w:rFonts w:eastAsia="Calibri"/>
                <w:sz w:val="20"/>
              </w:rPr>
            </w:pPr>
            <w:r w:rsidRPr="00154253">
              <w:rPr>
                <w:rFonts w:eastAsia="Calibri"/>
                <w:sz w:val="20"/>
              </w:rPr>
              <w:t xml:space="preserve">The plaintiffs brought a proposed class action in Ontario in 2008 that alleged that Air Canada had unlawfully charged them United States transportation taxes on Air Canada tickets that they had purchased.  Ms. Prince is a U.S. resident who claimed that on several occasions she purchased tickets on the Air Canada website for travel exclusively within Canada.  Whether she was located in the U.S. or Canada at the time of purchase, Air Canada charged her a “U.S.A. Transportation Tax” and a “U.S. Flight Segment Tax” on the basis that she was a U.S. resident.  The other proposed plaintiff, Mr. Walach, is a Canadian citizen who claims that he purchased a ticket from Air Canada for a flight between Los Angeles and Calgary while in Canada at the time of purchase.  He was charged with an “International Travel Facilities” tax.  All charges for both plaintiffs were levied pursuant to the United States </w:t>
            </w:r>
            <w:r w:rsidRPr="00154253">
              <w:rPr>
                <w:rFonts w:eastAsia="Calibri"/>
                <w:i/>
                <w:sz w:val="20"/>
              </w:rPr>
              <w:t>Internal Revenue Code</w:t>
            </w:r>
            <w:r w:rsidRPr="00154253">
              <w:rPr>
                <w:rFonts w:eastAsia="Calibri"/>
                <w:sz w:val="20"/>
              </w:rPr>
              <w:t>, USC: Title 26 (the “</w:t>
            </w:r>
            <w:r w:rsidRPr="00154253">
              <w:rPr>
                <w:rFonts w:eastAsia="Calibri"/>
                <w:i/>
                <w:sz w:val="20"/>
              </w:rPr>
              <w:t>Code</w:t>
            </w:r>
            <w:r w:rsidRPr="00154253">
              <w:rPr>
                <w:rFonts w:eastAsia="Calibri"/>
                <w:sz w:val="20"/>
              </w:rPr>
              <w:t xml:space="preserve">”) on “taxable transportation”.  At issue was whether Air Canada had in some cases improperly collected the U.S. taxes and whether it gave extra-territorial effect to U.S. tax laws in Canada.  The plaintiffs sought various declarations against Air Canada and orders for, </w:t>
            </w:r>
            <w:r w:rsidRPr="00154253">
              <w:rPr>
                <w:rFonts w:eastAsia="Calibri"/>
                <w:i/>
                <w:sz w:val="20"/>
              </w:rPr>
              <w:t>inter alia</w:t>
            </w:r>
            <w:r w:rsidRPr="00154253">
              <w:rPr>
                <w:rFonts w:eastAsia="Calibri"/>
                <w:sz w:val="20"/>
              </w:rPr>
              <w:t>, restitution, accounting and damages for negligent misrepresentation.  A preliminary question was whether the Canadian court had jurisdiction to adjudicate the dispute, raised in Air Canada’s motion to dismiss or stay the action.</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June 26, 2013</w:t>
            </w:r>
          </w:p>
          <w:p w:rsidR="002F4FD4" w:rsidRPr="00154253" w:rsidRDefault="002F4FD4" w:rsidP="00E33C9D">
            <w:pPr>
              <w:jc w:val="both"/>
              <w:rPr>
                <w:rFonts w:eastAsia="Calibri"/>
                <w:sz w:val="20"/>
              </w:rPr>
            </w:pPr>
            <w:r w:rsidRPr="00154253">
              <w:rPr>
                <w:rFonts w:eastAsia="Calibri"/>
                <w:sz w:val="20"/>
              </w:rPr>
              <w:t>Ontario Superior Court of Justice</w:t>
            </w:r>
          </w:p>
          <w:p w:rsidR="002F4FD4" w:rsidRPr="00154253" w:rsidRDefault="002F4FD4" w:rsidP="00E33C9D">
            <w:pPr>
              <w:jc w:val="both"/>
              <w:rPr>
                <w:rFonts w:eastAsia="Calibri"/>
                <w:sz w:val="20"/>
              </w:rPr>
            </w:pPr>
            <w:r w:rsidRPr="00154253">
              <w:rPr>
                <w:rFonts w:eastAsia="Calibri"/>
                <w:sz w:val="20"/>
              </w:rPr>
              <w:t>(Conway J.)</w:t>
            </w:r>
          </w:p>
          <w:p w:rsidR="002F4FD4" w:rsidRPr="00154253" w:rsidRDefault="00714478" w:rsidP="00E33C9D">
            <w:pPr>
              <w:jc w:val="both"/>
              <w:rPr>
                <w:rFonts w:eastAsia="Calibri"/>
                <w:sz w:val="20"/>
              </w:rPr>
            </w:pPr>
            <w:hyperlink r:id="rId58" w:history="1">
              <w:r w:rsidR="002F4FD4" w:rsidRPr="00154253">
                <w:rPr>
                  <w:rFonts w:eastAsia="Calibri"/>
                  <w:color w:val="0000FF"/>
                  <w:sz w:val="20"/>
                  <w:u w:val="single"/>
                </w:rPr>
                <w:t>2013 ONSC 2906</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Air Canada’s motion granted in part; action to proceed in Ontario court for tickets paid for in Canada by proposed Canadian plaintiff; American proposed plaintiff’s claim stayed for tickets purchased in U.S.</w:t>
            </w: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t>April 15, 2014</w:t>
            </w:r>
          </w:p>
          <w:p w:rsidR="002F4FD4" w:rsidRPr="00154253" w:rsidRDefault="002F4FD4" w:rsidP="00E33C9D">
            <w:pPr>
              <w:jc w:val="both"/>
              <w:rPr>
                <w:rFonts w:eastAsia="Calibri"/>
                <w:sz w:val="20"/>
              </w:rPr>
            </w:pPr>
            <w:r w:rsidRPr="00154253">
              <w:rPr>
                <w:rFonts w:eastAsia="Calibri"/>
                <w:sz w:val="20"/>
              </w:rPr>
              <w:t>Court of Appeal for Ontario</w:t>
            </w:r>
          </w:p>
          <w:p w:rsidR="002F4FD4" w:rsidRPr="00154253" w:rsidRDefault="002F4FD4" w:rsidP="00E33C9D">
            <w:pPr>
              <w:jc w:val="both"/>
              <w:rPr>
                <w:rFonts w:eastAsia="Calibri"/>
                <w:sz w:val="20"/>
              </w:rPr>
            </w:pPr>
            <w:r w:rsidRPr="00154253">
              <w:rPr>
                <w:rFonts w:eastAsia="Calibri"/>
                <w:sz w:val="20"/>
              </w:rPr>
              <w:t>(Doherty, Lauwers and Strathy (</w:t>
            </w:r>
            <w:r w:rsidRPr="00154253">
              <w:rPr>
                <w:rFonts w:eastAsia="Calibri"/>
                <w:i/>
                <w:sz w:val="20"/>
              </w:rPr>
              <w:t>ad hoc</w:t>
            </w:r>
            <w:r w:rsidRPr="00154253">
              <w:rPr>
                <w:rFonts w:eastAsia="Calibri"/>
                <w:sz w:val="20"/>
              </w:rPr>
              <w:t xml:space="preserve">) </w:t>
            </w:r>
          </w:p>
          <w:p w:rsidR="002F4FD4" w:rsidRPr="00154253" w:rsidRDefault="002F4FD4" w:rsidP="00E33C9D">
            <w:pPr>
              <w:jc w:val="both"/>
              <w:rPr>
                <w:rFonts w:eastAsia="Calibri"/>
                <w:sz w:val="20"/>
              </w:rPr>
            </w:pPr>
            <w:r w:rsidRPr="00154253">
              <w:rPr>
                <w:rFonts w:eastAsia="Calibri"/>
                <w:sz w:val="20"/>
              </w:rPr>
              <w:t>(JJ.A.)</w:t>
            </w:r>
          </w:p>
          <w:p w:rsidR="002F4FD4" w:rsidRPr="00154253" w:rsidRDefault="00714478" w:rsidP="00E33C9D">
            <w:pPr>
              <w:jc w:val="both"/>
              <w:rPr>
                <w:rFonts w:eastAsia="Calibri"/>
                <w:sz w:val="20"/>
              </w:rPr>
            </w:pPr>
            <w:hyperlink r:id="rId59" w:history="1">
              <w:r w:rsidR="002F4FD4" w:rsidRPr="00154253">
                <w:rPr>
                  <w:rFonts w:eastAsia="Calibri"/>
                  <w:color w:val="0000FF"/>
                  <w:sz w:val="20"/>
                  <w:u w:val="single"/>
                </w:rPr>
                <w:t>2014 ONCA 285</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Appeal dismissed; Cross-appeal allowed;  Entire proceeding stayed in Ontario pending pursuit of all plaintiffs’ remedies and procedures in United States</w:t>
            </w:r>
          </w:p>
          <w:p w:rsidR="002F4FD4" w:rsidRPr="00154253" w:rsidRDefault="002F4FD4" w:rsidP="00E33C9D">
            <w:pPr>
              <w:jc w:val="both"/>
              <w:rPr>
                <w:rFonts w:eastAsia="Calibri"/>
                <w:sz w:val="20"/>
              </w:rPr>
            </w:pPr>
          </w:p>
          <w:p w:rsidR="002F4FD4" w:rsidRPr="00154253" w:rsidRDefault="002F4FD4" w:rsidP="00E33C9D">
            <w:pPr>
              <w:jc w:val="both"/>
              <w:rPr>
                <w:rFonts w:eastAsia="Calibri"/>
                <w:sz w:val="20"/>
              </w:rPr>
            </w:pPr>
          </w:p>
        </w:tc>
      </w:tr>
      <w:tr w:rsidR="002F4FD4" w:rsidRPr="00154253" w:rsidTr="00E33C9D">
        <w:tc>
          <w:tcPr>
            <w:tcW w:w="2427" w:type="pct"/>
          </w:tcPr>
          <w:p w:rsidR="002F4FD4" w:rsidRPr="00154253" w:rsidRDefault="002F4FD4" w:rsidP="00E33C9D">
            <w:pPr>
              <w:jc w:val="both"/>
              <w:rPr>
                <w:rFonts w:eastAsia="Calibri"/>
                <w:sz w:val="20"/>
              </w:rPr>
            </w:pPr>
            <w:r w:rsidRPr="00154253">
              <w:rPr>
                <w:rFonts w:eastAsia="Calibri"/>
                <w:sz w:val="20"/>
              </w:rPr>
              <w:lastRenderedPageBreak/>
              <w:t>June 13, 2014</w:t>
            </w:r>
          </w:p>
          <w:p w:rsidR="002F4FD4" w:rsidRPr="00154253" w:rsidRDefault="002F4FD4" w:rsidP="00E33C9D">
            <w:pPr>
              <w:jc w:val="both"/>
              <w:rPr>
                <w:rFonts w:eastAsia="Calibri"/>
                <w:sz w:val="20"/>
              </w:rPr>
            </w:pPr>
            <w:r w:rsidRPr="00154253">
              <w:rPr>
                <w:rFonts w:eastAsia="Calibri"/>
                <w:sz w:val="20"/>
              </w:rPr>
              <w:t>Supreme Court of Canada</w:t>
            </w: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rPr>
            </w:pPr>
            <w:r w:rsidRPr="00154253">
              <w:rPr>
                <w:rFonts w:eastAsia="Calibri"/>
                <w:sz w:val="20"/>
              </w:rPr>
              <w:t>Application for leave to appeal filed</w:t>
            </w:r>
          </w:p>
        </w:tc>
      </w:tr>
    </w:tbl>
    <w:p w:rsidR="002F4FD4" w:rsidRDefault="002F4FD4" w:rsidP="002F4FD4">
      <w:pPr>
        <w:rPr>
          <w:sz w:val="20"/>
          <w:szCs w:val="20"/>
        </w:rPr>
      </w:pPr>
    </w:p>
    <w:p w:rsidR="002F4FD4" w:rsidRPr="00C50A5C" w:rsidRDefault="00714478" w:rsidP="002F4FD4">
      <w:pPr>
        <w:rPr>
          <w:sz w:val="20"/>
          <w:szCs w:val="20"/>
        </w:rPr>
      </w:pPr>
      <w:r>
        <w:rPr>
          <w:sz w:val="20"/>
          <w:szCs w:val="20"/>
          <w:lang w:val="fr-CA"/>
        </w:rPr>
        <w:pict>
          <v:rect id="_x0000_i1066" style="width:2in;height:1pt" o:hrpct="0" o:hralign="center" o:hrstd="t" o:hrnoshade="t" o:hr="t" fillcolor="black [3213]" stroked="f"/>
        </w:pict>
      </w:r>
    </w:p>
    <w:p w:rsidR="002F4FD4" w:rsidRDefault="002F4FD4" w:rsidP="002F4FD4">
      <w:pPr>
        <w:rPr>
          <w:sz w:val="20"/>
          <w:szCs w:val="20"/>
        </w:rPr>
      </w:pPr>
    </w:p>
    <w:p w:rsidR="002F4FD4" w:rsidRPr="001B157C" w:rsidRDefault="002F4FD4" w:rsidP="002F4FD4">
      <w:pPr>
        <w:rPr>
          <w:sz w:val="20"/>
          <w:szCs w:val="20"/>
          <w:u w:val="single"/>
          <w:lang w:val="fr-CA"/>
        </w:rPr>
      </w:pPr>
      <w:r w:rsidRPr="001B157C">
        <w:rPr>
          <w:sz w:val="20"/>
          <w:szCs w:val="20"/>
          <w:u w:val="single"/>
          <w:lang w:val="fr-CA"/>
        </w:rPr>
        <w:t>RÉSUMÉ DE L’AFFAIRE</w:t>
      </w:r>
    </w:p>
    <w:p w:rsidR="002F4FD4" w:rsidRDefault="002F4FD4" w:rsidP="002F4FD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4FD4" w:rsidRPr="00714478" w:rsidTr="00E33C9D">
        <w:tc>
          <w:tcPr>
            <w:tcW w:w="5000" w:type="pct"/>
            <w:gridSpan w:val="3"/>
          </w:tcPr>
          <w:p w:rsidR="002F4FD4" w:rsidRPr="00154253" w:rsidRDefault="002F4FD4" w:rsidP="00E33C9D">
            <w:pPr>
              <w:jc w:val="both"/>
              <w:rPr>
                <w:sz w:val="20"/>
                <w:lang w:val="fr-CA" w:eastAsia="en-CA"/>
              </w:rPr>
            </w:pPr>
            <w:r w:rsidRPr="00154253">
              <w:rPr>
                <w:sz w:val="20"/>
                <w:lang w:val="fr-CA" w:eastAsia="en-CA"/>
              </w:rPr>
              <w:t xml:space="preserve">Procédure civile – Sursis – Tribunaux – Compétence – </w:t>
            </w:r>
            <w:r w:rsidRPr="00154253">
              <w:rPr>
                <w:i/>
                <w:sz w:val="20"/>
                <w:lang w:val="fr-CA" w:eastAsia="en-CA"/>
              </w:rPr>
              <w:t>Forum non conveniens</w:t>
            </w:r>
            <w:r w:rsidRPr="00154253">
              <w:rPr>
                <w:sz w:val="20"/>
                <w:lang w:val="fr-CA" w:eastAsia="en-CA"/>
              </w:rPr>
              <w:t xml:space="preserve"> – Demandeurs canadiens et américains entament un recours collectif projeté contre Air Canada pour avoir prétendument imposé des taxes de transport américaines sur l’achat de billets Air Canada – Air Canada a présenté une requête en vue d’obtenir le rejet de l’action ou la suspension définitive des procédures au motif que la Cour d’Ontario n’avait pas compétence sur le litige et le principe de </w:t>
            </w:r>
            <w:r w:rsidRPr="00154253">
              <w:rPr>
                <w:i/>
                <w:sz w:val="20"/>
                <w:lang w:val="fr-CA" w:eastAsia="en-CA"/>
              </w:rPr>
              <w:t>forum non conveniens</w:t>
            </w:r>
            <w:r w:rsidRPr="00154253">
              <w:rPr>
                <w:sz w:val="20"/>
                <w:lang w:val="fr-CA" w:eastAsia="en-CA"/>
              </w:rPr>
              <w:t xml:space="preserve"> – Est-ce que le principe de la courtoisie oblige le tribunal canadien de décliner compétence en faveur de l’état étranger lorsque le litige concerne l’application extraterritoriale de taxes étrangères au Canada? – Est-ce que la Cour d’appel a commis une erreur dans l’application du test du </w:t>
            </w:r>
            <w:r w:rsidRPr="00154253">
              <w:rPr>
                <w:i/>
                <w:sz w:val="20"/>
                <w:lang w:val="fr-CA" w:eastAsia="en-CA"/>
              </w:rPr>
              <w:t>forum non conveniens</w:t>
            </w:r>
            <w:r w:rsidRPr="00154253">
              <w:rPr>
                <w:sz w:val="20"/>
                <w:lang w:val="fr-CA" w:eastAsia="en-CA"/>
              </w:rPr>
              <w:t xml:space="preserve"> en n’appliquant pas correctement les principes d’équité et d’efficacité énoncés dans </w:t>
            </w:r>
            <w:r w:rsidRPr="00154253">
              <w:rPr>
                <w:i/>
                <w:sz w:val="20"/>
                <w:lang w:val="fr-CA" w:eastAsia="en-CA"/>
              </w:rPr>
              <w:t>Van Breda</w:t>
            </w:r>
            <w:r w:rsidRPr="00154253">
              <w:rPr>
                <w:sz w:val="20"/>
                <w:lang w:val="fr-CA" w:eastAsia="en-CA"/>
              </w:rPr>
              <w:t>?</w:t>
            </w:r>
          </w:p>
        </w:tc>
      </w:tr>
      <w:tr w:rsidR="002F4FD4" w:rsidRPr="00714478" w:rsidTr="00E33C9D">
        <w:tc>
          <w:tcPr>
            <w:tcW w:w="5000" w:type="pct"/>
            <w:gridSpan w:val="3"/>
          </w:tcPr>
          <w:p w:rsidR="002F4FD4" w:rsidRPr="00154253" w:rsidRDefault="002F4FD4" w:rsidP="00E33C9D">
            <w:pPr>
              <w:jc w:val="both"/>
              <w:rPr>
                <w:rFonts w:eastAsia="Calibri"/>
                <w:sz w:val="20"/>
                <w:lang w:val="fr-CA"/>
              </w:rPr>
            </w:pPr>
          </w:p>
        </w:tc>
      </w:tr>
      <w:tr w:rsidR="002F4FD4" w:rsidRPr="00714478" w:rsidTr="00E33C9D">
        <w:tc>
          <w:tcPr>
            <w:tcW w:w="5000" w:type="pct"/>
            <w:gridSpan w:val="3"/>
          </w:tcPr>
          <w:p w:rsidR="002F4FD4" w:rsidRPr="00154253" w:rsidRDefault="002F4FD4" w:rsidP="00E33C9D">
            <w:pPr>
              <w:jc w:val="both"/>
              <w:rPr>
                <w:rFonts w:eastAsia="Calibri"/>
                <w:sz w:val="20"/>
                <w:lang w:val="fr-CA"/>
              </w:rPr>
            </w:pPr>
            <w:r w:rsidRPr="00154253">
              <w:rPr>
                <w:rFonts w:eastAsia="Calibri"/>
                <w:sz w:val="20"/>
                <w:lang w:val="fr-CA"/>
              </w:rPr>
              <w:t xml:space="preserve">Les demandeurs ont entamé un recours collectif projeté en Ontario en 2008 qui prétendait que Air Canada leur avait illégalement imposé des taxes de transport américaines sur des billets qu’ils avaient achetés. Madame Prince est résidente des États-Unis et elle prétend avoir acheté à  plusieurs reprises des billets sur le site d’Air Canada pour voyager exclusivement au Canada. Qu’elle se trouve aux États-Unis ou au Canada au moment de l’achat des billets, Air Canada lui imposait une « taxe de transport américaine » et une « taxe sur un tronçon de vol aux États-Unis » au motif qu’elle était résidente des États-Unis.  L’autre demandeur projeté, Monsieur Walach, est citoyen canadien et il prétend avoir acheté un billet d’Air Canada pour un vol de Los Angeles à Calgary alors qu’il se trouvait au Canada au moment de l’achat.  On lui a imposé la taxe pour “International Travel Facilities”.  Les taxes imposées aux deux demandeurs l’ont été en vertu du titre 26 du Code des États-Unis portant sur le transport imposable : </w:t>
            </w:r>
            <w:r w:rsidRPr="00154253">
              <w:rPr>
                <w:rFonts w:eastAsia="Calibri"/>
                <w:i/>
                <w:sz w:val="20"/>
                <w:lang w:val="fr-CA"/>
              </w:rPr>
              <w:t>Internal Revenue Code</w:t>
            </w:r>
            <w:r w:rsidRPr="00154253">
              <w:rPr>
                <w:rFonts w:eastAsia="Calibri"/>
                <w:sz w:val="20"/>
                <w:lang w:val="fr-CA"/>
              </w:rPr>
              <w:t>, USC: Title 26 (le “</w:t>
            </w:r>
            <w:r w:rsidRPr="00154253">
              <w:rPr>
                <w:rFonts w:eastAsia="Calibri"/>
                <w:i/>
                <w:sz w:val="20"/>
                <w:lang w:val="fr-CA"/>
              </w:rPr>
              <w:t>Code</w:t>
            </w:r>
            <w:r w:rsidRPr="00154253">
              <w:rPr>
                <w:rFonts w:eastAsia="Calibri"/>
                <w:sz w:val="20"/>
                <w:lang w:val="fr-CA"/>
              </w:rPr>
              <w:t>”) on “taxable transportation”.  La question en litige est si Air Canada a, dans certains cas, indûment collecté des taxes américaines et si Air Canada a donné un effet extraterritorial aux lois fiscales américaines au Canada. Les demandeurs ont demandé divers jugements déclaratoires contre Air Canada ainsi que des ordonnances, notamment, une ordonnance de restitution, une ordonnance de reddition de comptes et une ordonnance accordant des dommages-intérêts pour assertion négligente et inexacte.  Une question préliminaire, soulevée par Air Canada dans sa requête en vue d’obtenir le rejet ou la suspension de l’action, était de déterminer si le tribunal canadien avait compétence pour juger du litige.</w:t>
            </w:r>
          </w:p>
          <w:p w:rsidR="002F4FD4" w:rsidRPr="00154253" w:rsidRDefault="002F4FD4" w:rsidP="00E33C9D">
            <w:pPr>
              <w:jc w:val="both"/>
              <w:rPr>
                <w:rFonts w:eastAsia="Calibri"/>
                <w:sz w:val="20"/>
                <w:lang w:val="fr-CA"/>
              </w:rPr>
            </w:pP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26 juin 2013</w:t>
            </w:r>
          </w:p>
          <w:p w:rsidR="002F4FD4" w:rsidRPr="00154253" w:rsidRDefault="002F4FD4" w:rsidP="00E33C9D">
            <w:pPr>
              <w:jc w:val="both"/>
              <w:rPr>
                <w:rFonts w:eastAsia="Calibri"/>
                <w:sz w:val="20"/>
                <w:lang w:val="fr-CA"/>
              </w:rPr>
            </w:pPr>
            <w:r w:rsidRPr="00154253">
              <w:rPr>
                <w:rFonts w:eastAsia="Calibri"/>
                <w:sz w:val="20"/>
                <w:lang w:val="fr-CA"/>
              </w:rPr>
              <w:t xml:space="preserve">Cour supérieure de Justice de l’Ontario </w:t>
            </w:r>
          </w:p>
          <w:p w:rsidR="002F4FD4" w:rsidRPr="00154253" w:rsidRDefault="002F4FD4" w:rsidP="00E33C9D">
            <w:pPr>
              <w:jc w:val="both"/>
              <w:rPr>
                <w:rFonts w:eastAsia="Calibri"/>
                <w:sz w:val="20"/>
              </w:rPr>
            </w:pPr>
            <w:r w:rsidRPr="00154253">
              <w:rPr>
                <w:rFonts w:eastAsia="Calibri"/>
                <w:sz w:val="20"/>
              </w:rPr>
              <w:t>(Juge Conway)</w:t>
            </w:r>
          </w:p>
          <w:p w:rsidR="002F4FD4" w:rsidRPr="00154253" w:rsidRDefault="00714478" w:rsidP="00E33C9D">
            <w:pPr>
              <w:jc w:val="both"/>
              <w:rPr>
                <w:rFonts w:eastAsia="Calibri"/>
                <w:sz w:val="20"/>
              </w:rPr>
            </w:pPr>
            <w:hyperlink r:id="rId60" w:history="1">
              <w:r w:rsidR="002F4FD4" w:rsidRPr="00154253">
                <w:rPr>
                  <w:rFonts w:eastAsia="Calibri"/>
                  <w:color w:val="0000FF"/>
                  <w:sz w:val="20"/>
                  <w:u w:val="single"/>
                </w:rPr>
                <w:t>2013 ONSC 2906</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Requête d’Air Canada est acceptée en partie; L’action sera instruite au fond en Ontario relativement aux billets qui ont été achetés au Canada par le demandeur canadien projeté; La demande de la demanderesse américaine projetée relativement aux billets achetés aux États-Unis est suspendue</w:t>
            </w:r>
          </w:p>
          <w:p w:rsidR="002F4FD4" w:rsidRPr="00154253" w:rsidRDefault="002F4FD4" w:rsidP="00E33C9D">
            <w:pPr>
              <w:jc w:val="both"/>
              <w:rPr>
                <w:rFonts w:eastAsia="Calibri"/>
                <w:sz w:val="20"/>
                <w:lang w:val="fr-CA"/>
              </w:rPr>
            </w:pPr>
          </w:p>
        </w:tc>
      </w:tr>
      <w:tr w:rsidR="002F4FD4" w:rsidRPr="00714478"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15 avril 2014</w:t>
            </w:r>
          </w:p>
          <w:p w:rsidR="002F4FD4" w:rsidRPr="00154253" w:rsidRDefault="002F4FD4" w:rsidP="00E33C9D">
            <w:pPr>
              <w:jc w:val="both"/>
              <w:rPr>
                <w:rFonts w:eastAsia="Calibri"/>
                <w:sz w:val="20"/>
                <w:lang w:val="fr-CA"/>
              </w:rPr>
            </w:pPr>
            <w:r w:rsidRPr="00154253">
              <w:rPr>
                <w:rFonts w:eastAsia="Calibri"/>
                <w:sz w:val="20"/>
                <w:lang w:val="fr-CA"/>
              </w:rPr>
              <w:t>Cour d’appel de l’Ontario</w:t>
            </w:r>
          </w:p>
          <w:p w:rsidR="002F4FD4" w:rsidRPr="00154253" w:rsidRDefault="002F4FD4" w:rsidP="00E33C9D">
            <w:pPr>
              <w:jc w:val="both"/>
              <w:rPr>
                <w:rFonts w:eastAsia="Calibri"/>
                <w:sz w:val="20"/>
                <w:lang w:val="fr-CA"/>
              </w:rPr>
            </w:pPr>
            <w:r w:rsidRPr="00154253">
              <w:rPr>
                <w:rFonts w:eastAsia="Calibri"/>
                <w:sz w:val="20"/>
                <w:lang w:val="fr-CA"/>
              </w:rPr>
              <w:t>(Juges Doherty, Lauwers et Strathy (</w:t>
            </w:r>
            <w:r w:rsidRPr="00154253">
              <w:rPr>
                <w:rFonts w:eastAsia="Calibri"/>
                <w:i/>
                <w:sz w:val="20"/>
                <w:lang w:val="fr-CA"/>
              </w:rPr>
              <w:t>ad hoc</w:t>
            </w:r>
            <w:r w:rsidRPr="00154253">
              <w:rPr>
                <w:rFonts w:eastAsia="Calibri"/>
                <w:sz w:val="20"/>
                <w:lang w:val="fr-CA"/>
              </w:rPr>
              <w:t>))</w:t>
            </w:r>
          </w:p>
          <w:p w:rsidR="002F4FD4" w:rsidRPr="00154253" w:rsidRDefault="00714478" w:rsidP="00E33C9D">
            <w:pPr>
              <w:jc w:val="both"/>
              <w:rPr>
                <w:rFonts w:eastAsia="Calibri"/>
                <w:sz w:val="20"/>
              </w:rPr>
            </w:pPr>
            <w:hyperlink r:id="rId61" w:history="1">
              <w:r w:rsidR="002F4FD4" w:rsidRPr="00154253">
                <w:rPr>
                  <w:rFonts w:eastAsia="Calibri"/>
                  <w:color w:val="0000FF"/>
                  <w:sz w:val="20"/>
                  <w:u w:val="single"/>
                </w:rPr>
                <w:t>2014 ONCA 285</w:t>
              </w:r>
            </w:hyperlink>
          </w:p>
          <w:p w:rsidR="002F4FD4" w:rsidRPr="00154253" w:rsidRDefault="002F4FD4" w:rsidP="00E33C9D">
            <w:pPr>
              <w:jc w:val="both"/>
              <w:rPr>
                <w:rFonts w:eastAsia="Calibri"/>
                <w:sz w:val="20"/>
              </w:rPr>
            </w:pPr>
          </w:p>
        </w:tc>
        <w:tc>
          <w:tcPr>
            <w:tcW w:w="243" w:type="pct"/>
          </w:tcPr>
          <w:p w:rsidR="002F4FD4" w:rsidRPr="00154253" w:rsidRDefault="002F4FD4" w:rsidP="00E33C9D">
            <w:pPr>
              <w:jc w:val="both"/>
              <w:rPr>
                <w:rFonts w:eastAsia="Calibri"/>
                <w:sz w:val="20"/>
              </w:rPr>
            </w:pPr>
          </w:p>
        </w:tc>
        <w:tc>
          <w:tcPr>
            <w:tcW w:w="2330" w:type="pct"/>
          </w:tcPr>
          <w:p w:rsidR="002F4FD4" w:rsidRPr="00154253" w:rsidRDefault="002F4FD4" w:rsidP="00E33C9D">
            <w:pPr>
              <w:jc w:val="both"/>
              <w:rPr>
                <w:rFonts w:eastAsia="Calibri"/>
                <w:sz w:val="20"/>
                <w:lang w:val="fr-CA"/>
              </w:rPr>
            </w:pPr>
            <w:r w:rsidRPr="00154253">
              <w:rPr>
                <w:rFonts w:eastAsia="Calibri"/>
                <w:sz w:val="20"/>
                <w:lang w:val="fr-CA"/>
              </w:rPr>
              <w:t>Appel rejeté; Appel incident accueilli;  L’instance entière est suspendue en Ontario en attendant la poursuite de tous les recours et procédures des demandeurs aux États-Unis</w:t>
            </w:r>
          </w:p>
          <w:p w:rsidR="002F4FD4" w:rsidRPr="00154253" w:rsidRDefault="002F4FD4" w:rsidP="00E33C9D">
            <w:pPr>
              <w:jc w:val="both"/>
              <w:rPr>
                <w:rFonts w:eastAsia="Calibri"/>
                <w:sz w:val="20"/>
                <w:lang w:val="fr-CA"/>
              </w:rPr>
            </w:pPr>
          </w:p>
        </w:tc>
      </w:tr>
      <w:tr w:rsidR="002F4FD4" w:rsidRPr="00154253" w:rsidTr="00E33C9D">
        <w:tc>
          <w:tcPr>
            <w:tcW w:w="2427" w:type="pct"/>
          </w:tcPr>
          <w:p w:rsidR="002F4FD4" w:rsidRPr="00154253" w:rsidRDefault="002F4FD4" w:rsidP="00E33C9D">
            <w:pPr>
              <w:jc w:val="both"/>
              <w:rPr>
                <w:rFonts w:eastAsia="Calibri"/>
                <w:sz w:val="20"/>
                <w:lang w:val="fr-CA"/>
              </w:rPr>
            </w:pPr>
            <w:r w:rsidRPr="00154253">
              <w:rPr>
                <w:rFonts w:eastAsia="Calibri"/>
                <w:sz w:val="20"/>
                <w:lang w:val="fr-CA"/>
              </w:rPr>
              <w:t>13 juin 2014</w:t>
            </w:r>
          </w:p>
          <w:p w:rsidR="002F4FD4" w:rsidRPr="00154253" w:rsidRDefault="002F4FD4" w:rsidP="00E33C9D">
            <w:pPr>
              <w:jc w:val="both"/>
              <w:rPr>
                <w:rFonts w:eastAsia="Calibri"/>
                <w:sz w:val="20"/>
                <w:lang w:val="fr-CA"/>
              </w:rPr>
            </w:pPr>
            <w:r w:rsidRPr="00154253">
              <w:rPr>
                <w:rFonts w:eastAsia="Calibri"/>
                <w:sz w:val="20"/>
                <w:lang w:val="fr-CA"/>
              </w:rPr>
              <w:t>Cour suprême du Canada</w:t>
            </w:r>
          </w:p>
        </w:tc>
        <w:tc>
          <w:tcPr>
            <w:tcW w:w="243" w:type="pct"/>
          </w:tcPr>
          <w:p w:rsidR="002F4FD4" w:rsidRPr="00154253" w:rsidRDefault="002F4FD4" w:rsidP="00E33C9D">
            <w:pPr>
              <w:jc w:val="both"/>
              <w:rPr>
                <w:rFonts w:eastAsia="Calibri"/>
                <w:sz w:val="20"/>
                <w:lang w:val="fr-CA"/>
              </w:rPr>
            </w:pPr>
          </w:p>
        </w:tc>
        <w:tc>
          <w:tcPr>
            <w:tcW w:w="2330" w:type="pct"/>
          </w:tcPr>
          <w:p w:rsidR="002F4FD4" w:rsidRPr="00154253" w:rsidRDefault="002F4FD4" w:rsidP="00E33C9D">
            <w:pPr>
              <w:jc w:val="both"/>
              <w:rPr>
                <w:rFonts w:eastAsia="Calibri"/>
                <w:sz w:val="20"/>
              </w:rPr>
            </w:pPr>
            <w:r w:rsidRPr="00154253">
              <w:rPr>
                <w:rFonts w:eastAsia="Calibri"/>
                <w:sz w:val="20"/>
                <w:lang w:val="fr-CA"/>
              </w:rPr>
              <w:t xml:space="preserve">Demande d’autorisation d’appel déposée </w:t>
            </w:r>
          </w:p>
        </w:tc>
      </w:tr>
    </w:tbl>
    <w:p w:rsidR="002F4FD4" w:rsidRDefault="002F4FD4" w:rsidP="002F4FD4">
      <w:pPr>
        <w:rPr>
          <w:sz w:val="20"/>
          <w:szCs w:val="20"/>
        </w:rPr>
      </w:pPr>
    </w:p>
    <w:p w:rsidR="002F4FD4" w:rsidRDefault="00714478" w:rsidP="002F4FD4">
      <w:pPr>
        <w:rPr>
          <w:sz w:val="20"/>
          <w:szCs w:val="20"/>
          <w:lang w:val="fr-CA"/>
        </w:rPr>
      </w:pPr>
      <w:r>
        <w:rPr>
          <w:sz w:val="20"/>
          <w:szCs w:val="20"/>
          <w:lang w:val="fr-CA"/>
        </w:rPr>
        <w:pict>
          <v:rect id="_x0000_i1067" style="width:2in;height:1pt" o:hrpct="0" o:hralign="center" o:hrstd="t" o:hrnoshade="t" o:hr="t" fillcolor="black [3213]" stroked="f"/>
        </w:pict>
      </w:r>
    </w:p>
    <w:p w:rsidR="008C097E" w:rsidRDefault="008C097E" w:rsidP="002F4FD4">
      <w:pPr>
        <w:rPr>
          <w:sz w:val="20"/>
          <w:szCs w:val="20"/>
          <w:lang w:val="fr-CA"/>
        </w:rPr>
      </w:pPr>
    </w:p>
    <w:p w:rsidR="008C097E" w:rsidRPr="008C097E" w:rsidRDefault="008C097E" w:rsidP="008C097E">
      <w:pPr>
        <w:rPr>
          <w:b/>
          <w:sz w:val="20"/>
          <w:szCs w:val="20"/>
          <w:lang w:val="fr-CA"/>
        </w:rPr>
      </w:pPr>
      <w:r w:rsidRPr="008C097E">
        <w:rPr>
          <w:b/>
          <w:sz w:val="20"/>
          <w:szCs w:val="20"/>
          <w:lang w:val="fr-CA"/>
        </w:rPr>
        <w:lastRenderedPageBreak/>
        <w:t>Revised on October 24, 2014 / Révisé le 24 octobre 2014</w:t>
      </w:r>
    </w:p>
    <w:p w:rsidR="008C097E" w:rsidRPr="00C50A5C" w:rsidRDefault="008C097E" w:rsidP="008C097E">
      <w:pPr>
        <w:rPr>
          <w:b/>
          <w:sz w:val="20"/>
          <w:szCs w:val="20"/>
        </w:rPr>
      </w:pPr>
      <w:r>
        <w:rPr>
          <w:b/>
          <w:sz w:val="20"/>
          <w:szCs w:val="20"/>
        </w:rPr>
        <w:t>OCTOBER</w:t>
      </w:r>
      <w:r w:rsidRPr="00C50A5C">
        <w:rPr>
          <w:b/>
          <w:sz w:val="20"/>
          <w:szCs w:val="20"/>
        </w:rPr>
        <w:t xml:space="preserve"> 2</w:t>
      </w:r>
      <w:r>
        <w:rPr>
          <w:b/>
          <w:sz w:val="20"/>
          <w:szCs w:val="20"/>
        </w:rPr>
        <w:t>3</w:t>
      </w:r>
      <w:r w:rsidRPr="00C50A5C">
        <w:rPr>
          <w:b/>
          <w:sz w:val="20"/>
          <w:szCs w:val="20"/>
        </w:rPr>
        <w:t>, 201</w:t>
      </w:r>
      <w:r>
        <w:rPr>
          <w:b/>
          <w:sz w:val="20"/>
          <w:szCs w:val="20"/>
        </w:rPr>
        <w:t>4</w:t>
      </w:r>
      <w:r w:rsidRPr="00C50A5C">
        <w:rPr>
          <w:b/>
          <w:sz w:val="20"/>
          <w:szCs w:val="20"/>
        </w:rPr>
        <w:t xml:space="preserve"> / LE 2</w:t>
      </w:r>
      <w:r>
        <w:rPr>
          <w:b/>
          <w:sz w:val="20"/>
          <w:szCs w:val="20"/>
        </w:rPr>
        <w:t>3</w:t>
      </w:r>
      <w:r w:rsidRPr="00C50A5C">
        <w:rPr>
          <w:b/>
          <w:sz w:val="20"/>
          <w:szCs w:val="20"/>
        </w:rPr>
        <w:t xml:space="preserve"> </w:t>
      </w:r>
      <w:r>
        <w:rPr>
          <w:b/>
          <w:sz w:val="20"/>
          <w:szCs w:val="20"/>
        </w:rPr>
        <w:t>OCTOBRE</w:t>
      </w:r>
      <w:r w:rsidRPr="00C50A5C">
        <w:rPr>
          <w:b/>
          <w:sz w:val="20"/>
          <w:szCs w:val="20"/>
        </w:rPr>
        <w:t xml:space="preserve"> 201</w:t>
      </w:r>
      <w:r>
        <w:rPr>
          <w:b/>
          <w:sz w:val="20"/>
          <w:szCs w:val="20"/>
        </w:rPr>
        <w:t>4</w:t>
      </w:r>
    </w:p>
    <w:p w:rsidR="008C097E" w:rsidRDefault="008C097E" w:rsidP="008C097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C097E" w:rsidRPr="006B27AA" w:rsidTr="008C097E">
        <w:trPr>
          <w:cantSplit/>
        </w:trPr>
        <w:tc>
          <w:tcPr>
            <w:tcW w:w="1458" w:type="dxa"/>
          </w:tcPr>
          <w:p w:rsidR="008C097E" w:rsidRPr="006B27AA" w:rsidRDefault="008C097E" w:rsidP="008C097E">
            <w:pPr>
              <w:rPr>
                <w:sz w:val="20"/>
                <w:szCs w:val="20"/>
              </w:rPr>
            </w:pPr>
            <w:r w:rsidRPr="006B27AA">
              <w:rPr>
                <w:rStyle w:val="SCCFileNumberChar"/>
                <w:sz w:val="20"/>
                <w:szCs w:val="20"/>
              </w:rPr>
              <w:t>35473</w:t>
            </w:r>
          </w:p>
          <w:p w:rsidR="008C097E" w:rsidRPr="006B27AA" w:rsidRDefault="008C097E" w:rsidP="008C097E">
            <w:pPr>
              <w:rPr>
                <w:b/>
                <w:sz w:val="20"/>
                <w:szCs w:val="20"/>
                <w:lang w:val="fr-CA"/>
              </w:rPr>
            </w:pPr>
          </w:p>
        </w:tc>
        <w:tc>
          <w:tcPr>
            <w:tcW w:w="8118" w:type="dxa"/>
          </w:tcPr>
          <w:p w:rsidR="008C097E" w:rsidRPr="006B27AA" w:rsidRDefault="008C097E" w:rsidP="008C097E">
            <w:pPr>
              <w:rPr>
                <w:sz w:val="20"/>
                <w:szCs w:val="20"/>
              </w:rPr>
            </w:pPr>
            <w:r w:rsidRPr="006B27AA">
              <w:rPr>
                <w:rStyle w:val="SCCLsocChar"/>
                <w:sz w:val="20"/>
                <w:szCs w:val="20"/>
                <w:lang w:val="en-CA"/>
              </w:rPr>
              <w:t>Alexander Benjamin Vuozzo v. Her Majesty the Queen</w:t>
            </w:r>
            <w:r w:rsidRPr="006B27AA">
              <w:rPr>
                <w:sz w:val="20"/>
                <w:szCs w:val="20"/>
              </w:rPr>
              <w:t xml:space="preserve"> (Alta.) (Criminal) (By Leave)</w:t>
            </w:r>
          </w:p>
          <w:p w:rsidR="008C097E" w:rsidRPr="006B27AA" w:rsidRDefault="008C097E" w:rsidP="008C097E">
            <w:pPr>
              <w:rPr>
                <w:sz w:val="20"/>
                <w:szCs w:val="20"/>
              </w:rPr>
            </w:pPr>
          </w:p>
        </w:tc>
      </w:tr>
      <w:tr w:rsidR="008C097E" w:rsidRPr="006B27AA" w:rsidTr="008C097E">
        <w:trPr>
          <w:cantSplit/>
        </w:trPr>
        <w:tc>
          <w:tcPr>
            <w:tcW w:w="1458" w:type="dxa"/>
          </w:tcPr>
          <w:p w:rsidR="008C097E" w:rsidRPr="006B27AA" w:rsidRDefault="008C097E" w:rsidP="008C097E">
            <w:pPr>
              <w:rPr>
                <w:sz w:val="20"/>
                <w:szCs w:val="20"/>
              </w:rPr>
            </w:pPr>
            <w:r w:rsidRPr="006B27AA">
              <w:rPr>
                <w:sz w:val="20"/>
                <w:szCs w:val="20"/>
              </w:rPr>
              <w:t>Coram :</w:t>
            </w:r>
          </w:p>
        </w:tc>
        <w:tc>
          <w:tcPr>
            <w:tcW w:w="8118" w:type="dxa"/>
          </w:tcPr>
          <w:p w:rsidR="008C097E" w:rsidRPr="006B27AA" w:rsidRDefault="008C097E" w:rsidP="008C097E">
            <w:pPr>
              <w:rPr>
                <w:sz w:val="20"/>
                <w:szCs w:val="20"/>
              </w:rPr>
            </w:pPr>
            <w:r w:rsidRPr="006B27AA">
              <w:rPr>
                <w:rStyle w:val="SCCCoramChar"/>
                <w:sz w:val="20"/>
                <w:szCs w:val="20"/>
                <w:lang w:val="en-CA"/>
              </w:rPr>
              <w:t>Abella, Rothstein and Moldaver JJ.</w:t>
            </w:r>
          </w:p>
          <w:p w:rsidR="008C097E" w:rsidRPr="006B27AA" w:rsidRDefault="008C097E" w:rsidP="008C097E">
            <w:pPr>
              <w:rPr>
                <w:sz w:val="20"/>
                <w:szCs w:val="20"/>
                <w:u w:val="single"/>
              </w:rPr>
            </w:pPr>
          </w:p>
        </w:tc>
      </w:tr>
      <w:tr w:rsidR="008C097E" w:rsidRPr="00714478" w:rsidTr="008C097E">
        <w:trPr>
          <w:cantSplit/>
        </w:trPr>
        <w:tc>
          <w:tcPr>
            <w:tcW w:w="9576" w:type="dxa"/>
            <w:gridSpan w:val="2"/>
          </w:tcPr>
          <w:p w:rsidR="008C097E" w:rsidRPr="006B27AA" w:rsidRDefault="008C097E" w:rsidP="008C097E">
            <w:pPr>
              <w:pStyle w:val="SCCShortJudgment"/>
              <w:rPr>
                <w:szCs w:val="20"/>
              </w:rPr>
            </w:pPr>
            <w:r w:rsidRPr="006B27AA">
              <w:rPr>
                <w:szCs w:val="20"/>
              </w:rPr>
              <w:t>The motion for an extension of time to serve and file the application for leave to appeal is granted.  The application for leave to appeal from the judgment of the Court of Appeal of Alberta (Calgary), Number 1001-0254-A, 2013 ABCA 130, dated April 18, 2013 is dismissed without costs.</w:t>
            </w:r>
          </w:p>
          <w:p w:rsidR="008C097E" w:rsidRPr="006B27AA" w:rsidRDefault="008C097E" w:rsidP="008C097E">
            <w:pPr>
              <w:pStyle w:val="SCCShortJudgment"/>
              <w:ind w:firstLine="0"/>
              <w:rPr>
                <w:szCs w:val="20"/>
              </w:rPr>
            </w:pPr>
          </w:p>
          <w:p w:rsidR="008C097E" w:rsidRPr="006B27AA" w:rsidRDefault="008C097E" w:rsidP="008C097E">
            <w:pPr>
              <w:pStyle w:val="SCCShortJudgment"/>
              <w:rPr>
                <w:szCs w:val="20"/>
                <w:lang w:val="fr-CA"/>
              </w:rPr>
            </w:pPr>
            <w:r w:rsidRPr="006B27AA">
              <w:rPr>
                <w:szCs w:val="20"/>
                <w:lang w:val="fr-CA"/>
              </w:rPr>
              <w:t>La requête en prorogation du délai de signification et de dépôt de la demande d’autorisation d’appel est accueillie.  La demande d’autorisation d’appel de l’arrêt de la Cour d'appel de l’Alberta (Calgary), numéro 1001-0254-A, 2013 ABCA 130, daté du 18 avril 2013, est rejetée sans dépens.</w:t>
            </w:r>
          </w:p>
        </w:tc>
      </w:tr>
    </w:tbl>
    <w:p w:rsidR="008C097E" w:rsidRPr="008C097E" w:rsidRDefault="008C097E" w:rsidP="008C097E">
      <w:pPr>
        <w:rPr>
          <w:sz w:val="20"/>
          <w:szCs w:val="20"/>
          <w:lang w:val="fr-CA"/>
        </w:rPr>
      </w:pPr>
    </w:p>
    <w:p w:rsidR="008C097E" w:rsidRPr="001B157C" w:rsidRDefault="008C097E" w:rsidP="008C097E">
      <w:pPr>
        <w:rPr>
          <w:sz w:val="20"/>
          <w:szCs w:val="20"/>
          <w:u w:val="single"/>
        </w:rPr>
      </w:pPr>
      <w:r w:rsidRPr="001B157C">
        <w:rPr>
          <w:sz w:val="20"/>
          <w:szCs w:val="20"/>
          <w:u w:val="single"/>
        </w:rPr>
        <w:t>CASE SUMMARY</w:t>
      </w:r>
    </w:p>
    <w:p w:rsidR="008C097E" w:rsidRDefault="008C097E" w:rsidP="008C097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097E" w:rsidRPr="00154253" w:rsidTr="008C097E">
        <w:tc>
          <w:tcPr>
            <w:tcW w:w="5000" w:type="pct"/>
            <w:gridSpan w:val="3"/>
          </w:tcPr>
          <w:p w:rsidR="008C097E" w:rsidRPr="00154253" w:rsidRDefault="008C097E" w:rsidP="008C097E">
            <w:pPr>
              <w:jc w:val="both"/>
              <w:rPr>
                <w:rFonts w:eastAsia="Calibri"/>
                <w:smallCaps/>
                <w:sz w:val="20"/>
              </w:rPr>
            </w:pPr>
            <w:r w:rsidRPr="00154253">
              <w:rPr>
                <w:rFonts w:eastAsia="Calibri"/>
                <w:smallCaps/>
                <w:sz w:val="20"/>
              </w:rPr>
              <w:t xml:space="preserve">(Publication </w:t>
            </w:r>
            <w:r>
              <w:rPr>
                <w:rFonts w:eastAsia="Calibri"/>
                <w:smallCaps/>
                <w:sz w:val="20"/>
              </w:rPr>
              <w:t>B</w:t>
            </w:r>
            <w:r w:rsidRPr="00154253">
              <w:rPr>
                <w:rFonts w:eastAsia="Calibri"/>
                <w:smallCaps/>
                <w:sz w:val="20"/>
              </w:rPr>
              <w:t xml:space="preserve">an in </w:t>
            </w:r>
            <w:r>
              <w:rPr>
                <w:rFonts w:eastAsia="Calibri"/>
                <w:smallCaps/>
                <w:sz w:val="20"/>
              </w:rPr>
              <w:t>C</w:t>
            </w:r>
            <w:r w:rsidRPr="00154253">
              <w:rPr>
                <w:rFonts w:eastAsia="Calibri"/>
                <w:smallCaps/>
                <w:sz w:val="20"/>
              </w:rPr>
              <w:t>ase)</w:t>
            </w:r>
          </w:p>
          <w:p w:rsidR="008C097E" w:rsidRPr="00154253" w:rsidRDefault="008C097E" w:rsidP="008C097E">
            <w:pPr>
              <w:jc w:val="both"/>
              <w:rPr>
                <w:rFonts w:eastAsia="Calibri"/>
                <w:sz w:val="20"/>
              </w:rPr>
            </w:pPr>
          </w:p>
          <w:p w:rsidR="008C097E" w:rsidRPr="00154253" w:rsidRDefault="008C097E" w:rsidP="008C097E">
            <w:pPr>
              <w:jc w:val="both"/>
              <w:rPr>
                <w:rFonts w:eastAsia="Calibri"/>
                <w:sz w:val="20"/>
              </w:rPr>
            </w:pPr>
            <w:r w:rsidRPr="00154253">
              <w:rPr>
                <w:rFonts w:eastAsia="Calibri"/>
                <w:i/>
                <w:sz w:val="20"/>
              </w:rPr>
              <w:t xml:space="preserve">Charter of Rights </w:t>
            </w:r>
            <w:r w:rsidRPr="00154253">
              <w:rPr>
                <w:rFonts w:eastAsia="Calibri"/>
                <w:sz w:val="20"/>
              </w:rPr>
              <w:t>– Criminal Law– Right to liberty – Right to silence – Arbitrary detention – Reasonableness of verdict – Evidence – Police stage a traffic stop during a Mr. Big operation – Whether applicant was arbitrarily detained – Whether right to silence was infringed by an undercover officer telling applicant to correctly identify himself to uniformed police officers – Out-of-court statements admitted as evidence of intent to commit second degree murder – Whether verdict of second-degree murder was unreasonable because it was based upon unreliable evidence</w:t>
            </w:r>
          </w:p>
        </w:tc>
      </w:tr>
      <w:tr w:rsidR="008C097E" w:rsidRPr="00154253" w:rsidTr="008C097E">
        <w:tc>
          <w:tcPr>
            <w:tcW w:w="5000" w:type="pct"/>
            <w:gridSpan w:val="3"/>
          </w:tcPr>
          <w:p w:rsidR="008C097E" w:rsidRPr="00154253" w:rsidRDefault="008C097E" w:rsidP="008C097E">
            <w:pPr>
              <w:jc w:val="both"/>
              <w:rPr>
                <w:rFonts w:eastAsia="Calibri"/>
                <w:sz w:val="20"/>
              </w:rPr>
            </w:pPr>
          </w:p>
        </w:tc>
      </w:tr>
      <w:tr w:rsidR="008C097E" w:rsidRPr="00154253" w:rsidTr="008C097E">
        <w:tc>
          <w:tcPr>
            <w:tcW w:w="5000" w:type="pct"/>
            <w:gridSpan w:val="3"/>
          </w:tcPr>
          <w:p w:rsidR="008C097E" w:rsidRPr="00154253" w:rsidRDefault="008C097E" w:rsidP="008C097E">
            <w:pPr>
              <w:jc w:val="both"/>
              <w:rPr>
                <w:rFonts w:eastAsia="Calibri"/>
                <w:sz w:val="20"/>
              </w:rPr>
            </w:pPr>
            <w:r w:rsidRPr="00154253">
              <w:rPr>
                <w:rFonts w:eastAsia="Calibri"/>
                <w:sz w:val="20"/>
              </w:rPr>
              <w:t xml:space="preserve">The applicant stabbed a man with a machete during a botched home invasion robbery.  To prove second degree murder, the Crown relied in part on statements obtained in a Mr. Big operation as proof of intent.  During the undercover Mr. Big operation, the police prepared the applicant for his meeting with “the boss” by staging a false traffic stop.  During the stop, an undercover officer told the applicant to reveal his true name, a uniformed officer obtained the applicant’s name, and the uniformed officer told the applicant to contact a homicide detective who wanted to talk to him.  Two days later the applicant met the “boss”.  He confessed to the boss but he also made false statements.  In a </w:t>
            </w:r>
            <w:r w:rsidRPr="00154253">
              <w:rPr>
                <w:rFonts w:eastAsia="Calibri"/>
                <w:i/>
                <w:sz w:val="20"/>
              </w:rPr>
              <w:t>voir dire</w:t>
            </w:r>
            <w:r w:rsidRPr="00154253">
              <w:rPr>
                <w:rFonts w:eastAsia="Calibri"/>
                <w:sz w:val="20"/>
              </w:rPr>
              <w:t xml:space="preserve"> into the admissibility of the Mr. Big evidence, the applicant argued that the traffic stop breached the rights to silence and to be free from arbitrary detention.  He also argued that the Mr. Big evidence was unreliable.</w:t>
            </w:r>
          </w:p>
          <w:p w:rsidR="008C097E" w:rsidRPr="00154253" w:rsidRDefault="008C097E" w:rsidP="008C097E">
            <w:pPr>
              <w:jc w:val="both"/>
              <w:rPr>
                <w:rFonts w:eastAsia="Calibri"/>
                <w:sz w:val="20"/>
              </w:rPr>
            </w:pPr>
          </w:p>
        </w:tc>
      </w:tr>
      <w:tr w:rsidR="008C097E" w:rsidRPr="00154253" w:rsidTr="008C097E">
        <w:tc>
          <w:tcPr>
            <w:tcW w:w="2427" w:type="pct"/>
          </w:tcPr>
          <w:p w:rsidR="008C097E" w:rsidRPr="00154253" w:rsidRDefault="008C097E" w:rsidP="008C097E">
            <w:pPr>
              <w:jc w:val="both"/>
              <w:rPr>
                <w:rFonts w:eastAsia="Calibri"/>
                <w:sz w:val="20"/>
              </w:rPr>
            </w:pPr>
            <w:r w:rsidRPr="00154253">
              <w:rPr>
                <w:rFonts w:eastAsia="Calibri"/>
                <w:sz w:val="20"/>
              </w:rPr>
              <w:t>June 3, 2010</w:t>
            </w:r>
          </w:p>
          <w:p w:rsidR="008C097E" w:rsidRPr="00154253" w:rsidRDefault="008C097E" w:rsidP="008C097E">
            <w:pPr>
              <w:jc w:val="both"/>
              <w:rPr>
                <w:rFonts w:eastAsia="Calibri"/>
                <w:sz w:val="20"/>
              </w:rPr>
            </w:pPr>
            <w:r w:rsidRPr="00154253">
              <w:rPr>
                <w:rFonts w:eastAsia="Calibri"/>
                <w:sz w:val="20"/>
              </w:rPr>
              <w:t>Court of Queen’s Bench of Alberta</w:t>
            </w:r>
          </w:p>
          <w:p w:rsidR="008C097E" w:rsidRPr="00154253" w:rsidRDefault="008C097E" w:rsidP="008C097E">
            <w:pPr>
              <w:jc w:val="both"/>
              <w:rPr>
                <w:rFonts w:eastAsia="Calibri"/>
                <w:sz w:val="20"/>
              </w:rPr>
            </w:pPr>
            <w:r w:rsidRPr="00154253">
              <w:rPr>
                <w:rFonts w:eastAsia="Calibri"/>
                <w:sz w:val="20"/>
              </w:rPr>
              <w:t xml:space="preserve">(Hughes J.) </w:t>
            </w:r>
          </w:p>
          <w:p w:rsidR="008C097E" w:rsidRPr="00154253" w:rsidRDefault="00714478" w:rsidP="008C097E">
            <w:pPr>
              <w:jc w:val="both"/>
              <w:rPr>
                <w:rFonts w:eastAsia="Calibri"/>
                <w:sz w:val="20"/>
              </w:rPr>
            </w:pPr>
            <w:hyperlink r:id="rId62" w:history="1">
              <w:r w:rsidR="008C097E" w:rsidRPr="00154253">
                <w:rPr>
                  <w:rFonts w:eastAsia="Calibri"/>
                  <w:color w:val="0000FF"/>
                  <w:sz w:val="20"/>
                  <w:u w:val="single"/>
                </w:rPr>
                <w:t>2010 ABQB 437</w:t>
              </w:r>
            </w:hyperlink>
          </w:p>
          <w:p w:rsidR="008C097E" w:rsidRPr="00154253" w:rsidRDefault="008C097E" w:rsidP="008C097E">
            <w:pPr>
              <w:jc w:val="both"/>
              <w:rPr>
                <w:rFonts w:eastAsia="Calibri"/>
                <w:sz w:val="20"/>
              </w:rPr>
            </w:pPr>
          </w:p>
        </w:tc>
        <w:tc>
          <w:tcPr>
            <w:tcW w:w="243" w:type="pct"/>
          </w:tcPr>
          <w:p w:rsidR="008C097E" w:rsidRPr="00154253" w:rsidRDefault="008C097E" w:rsidP="008C097E">
            <w:pPr>
              <w:jc w:val="both"/>
              <w:rPr>
                <w:rFonts w:eastAsia="Calibri"/>
                <w:sz w:val="20"/>
              </w:rPr>
            </w:pPr>
          </w:p>
        </w:tc>
        <w:tc>
          <w:tcPr>
            <w:tcW w:w="2330" w:type="pct"/>
          </w:tcPr>
          <w:p w:rsidR="008C097E" w:rsidRPr="00154253" w:rsidRDefault="008C097E" w:rsidP="008C097E">
            <w:pPr>
              <w:jc w:val="both"/>
              <w:rPr>
                <w:rFonts w:eastAsia="Calibri"/>
                <w:sz w:val="20"/>
              </w:rPr>
            </w:pPr>
            <w:r w:rsidRPr="00154253">
              <w:rPr>
                <w:rFonts w:eastAsia="Calibri"/>
                <w:sz w:val="20"/>
              </w:rPr>
              <w:t xml:space="preserve">Statements obtained in Mr. Big operation  admitted into evidence </w:t>
            </w:r>
          </w:p>
        </w:tc>
      </w:tr>
      <w:tr w:rsidR="008C097E" w:rsidRPr="00154253" w:rsidTr="008C097E">
        <w:tc>
          <w:tcPr>
            <w:tcW w:w="2427" w:type="pct"/>
          </w:tcPr>
          <w:p w:rsidR="008C097E" w:rsidRPr="00154253" w:rsidRDefault="008C097E" w:rsidP="008C097E">
            <w:pPr>
              <w:jc w:val="both"/>
              <w:rPr>
                <w:rFonts w:eastAsia="Calibri"/>
                <w:sz w:val="20"/>
              </w:rPr>
            </w:pPr>
            <w:r w:rsidRPr="00154253">
              <w:rPr>
                <w:rFonts w:eastAsia="Calibri"/>
                <w:sz w:val="20"/>
              </w:rPr>
              <w:t>June 3, 2010</w:t>
            </w:r>
          </w:p>
          <w:p w:rsidR="008C097E" w:rsidRPr="00154253" w:rsidRDefault="008C097E" w:rsidP="008C097E">
            <w:pPr>
              <w:jc w:val="both"/>
              <w:rPr>
                <w:rFonts w:eastAsia="Calibri"/>
                <w:sz w:val="20"/>
              </w:rPr>
            </w:pPr>
            <w:r w:rsidRPr="00154253">
              <w:rPr>
                <w:rFonts w:eastAsia="Calibri"/>
                <w:sz w:val="20"/>
              </w:rPr>
              <w:t>Court of Queen’s Bench of Alberta</w:t>
            </w:r>
          </w:p>
          <w:p w:rsidR="008C097E" w:rsidRPr="00154253" w:rsidRDefault="008C097E" w:rsidP="008C097E">
            <w:pPr>
              <w:jc w:val="both"/>
              <w:rPr>
                <w:rFonts w:eastAsia="Calibri"/>
                <w:sz w:val="20"/>
              </w:rPr>
            </w:pPr>
            <w:r w:rsidRPr="00154253">
              <w:rPr>
                <w:rFonts w:eastAsia="Calibri"/>
                <w:sz w:val="20"/>
              </w:rPr>
              <w:t xml:space="preserve">(Hughes J.) </w:t>
            </w:r>
          </w:p>
          <w:p w:rsidR="008C097E" w:rsidRPr="00154253" w:rsidRDefault="00714478" w:rsidP="008C097E">
            <w:pPr>
              <w:jc w:val="both"/>
              <w:rPr>
                <w:rFonts w:eastAsia="Calibri"/>
                <w:sz w:val="20"/>
              </w:rPr>
            </w:pPr>
            <w:hyperlink r:id="rId63" w:history="1">
              <w:r w:rsidR="008C097E" w:rsidRPr="00154253">
                <w:rPr>
                  <w:rFonts w:eastAsia="Calibri"/>
                  <w:color w:val="0000FF"/>
                  <w:sz w:val="20"/>
                  <w:u w:val="single"/>
                </w:rPr>
                <w:t>2010 ABQB 439</w:t>
              </w:r>
            </w:hyperlink>
          </w:p>
        </w:tc>
        <w:tc>
          <w:tcPr>
            <w:tcW w:w="243" w:type="pct"/>
          </w:tcPr>
          <w:p w:rsidR="008C097E" w:rsidRPr="00154253" w:rsidRDefault="008C097E" w:rsidP="008C097E">
            <w:pPr>
              <w:jc w:val="both"/>
              <w:rPr>
                <w:rFonts w:eastAsia="Calibri"/>
                <w:sz w:val="20"/>
              </w:rPr>
            </w:pPr>
          </w:p>
        </w:tc>
        <w:tc>
          <w:tcPr>
            <w:tcW w:w="2330" w:type="pct"/>
          </w:tcPr>
          <w:p w:rsidR="008C097E" w:rsidRPr="00154253" w:rsidRDefault="008C097E" w:rsidP="008C097E">
            <w:pPr>
              <w:jc w:val="both"/>
              <w:rPr>
                <w:rFonts w:eastAsia="Calibri"/>
                <w:sz w:val="20"/>
              </w:rPr>
            </w:pPr>
            <w:r w:rsidRPr="00154253">
              <w:rPr>
                <w:rFonts w:eastAsia="Calibri"/>
                <w:sz w:val="20"/>
              </w:rPr>
              <w:t>Convictions for second degree murder and break and enter a dwelling house with intent to commit an indictable offence</w:t>
            </w:r>
          </w:p>
          <w:p w:rsidR="008C097E" w:rsidRPr="00154253" w:rsidRDefault="008C097E" w:rsidP="008C097E">
            <w:pPr>
              <w:jc w:val="both"/>
              <w:rPr>
                <w:rFonts w:eastAsia="Calibri"/>
                <w:sz w:val="20"/>
              </w:rPr>
            </w:pPr>
          </w:p>
          <w:p w:rsidR="008C097E" w:rsidRPr="00154253" w:rsidRDefault="008C097E" w:rsidP="008C097E">
            <w:pPr>
              <w:jc w:val="both"/>
              <w:rPr>
                <w:rFonts w:eastAsia="Calibri"/>
                <w:sz w:val="20"/>
              </w:rPr>
            </w:pPr>
          </w:p>
        </w:tc>
      </w:tr>
      <w:tr w:rsidR="008C097E" w:rsidRPr="00154253" w:rsidTr="008C097E">
        <w:tc>
          <w:tcPr>
            <w:tcW w:w="2427" w:type="pct"/>
          </w:tcPr>
          <w:p w:rsidR="008C097E" w:rsidRPr="00154253" w:rsidRDefault="008C097E" w:rsidP="008C097E">
            <w:pPr>
              <w:jc w:val="both"/>
              <w:rPr>
                <w:rFonts w:eastAsia="Calibri"/>
                <w:sz w:val="20"/>
              </w:rPr>
            </w:pPr>
            <w:r w:rsidRPr="00154253">
              <w:rPr>
                <w:rFonts w:eastAsia="Calibri"/>
                <w:sz w:val="20"/>
              </w:rPr>
              <w:t>April 18, 2013</w:t>
            </w:r>
          </w:p>
          <w:p w:rsidR="008C097E" w:rsidRPr="00154253" w:rsidRDefault="008C097E" w:rsidP="008C097E">
            <w:pPr>
              <w:jc w:val="both"/>
              <w:rPr>
                <w:rFonts w:eastAsia="Calibri"/>
                <w:sz w:val="20"/>
              </w:rPr>
            </w:pPr>
            <w:r w:rsidRPr="00154253">
              <w:rPr>
                <w:rFonts w:eastAsia="Calibri"/>
                <w:sz w:val="20"/>
              </w:rPr>
              <w:t>Court of Appeal of Alberta (Calgary)</w:t>
            </w:r>
          </w:p>
          <w:p w:rsidR="008C097E" w:rsidRPr="00154253" w:rsidRDefault="008C097E" w:rsidP="008C097E">
            <w:pPr>
              <w:jc w:val="both"/>
              <w:rPr>
                <w:rFonts w:eastAsia="Calibri"/>
                <w:sz w:val="20"/>
              </w:rPr>
            </w:pPr>
            <w:r w:rsidRPr="00154253">
              <w:rPr>
                <w:rFonts w:eastAsia="Calibri"/>
                <w:sz w:val="20"/>
              </w:rPr>
              <w:t xml:space="preserve">(Paperny, Watson, Sulatycky JJ.A.) </w:t>
            </w:r>
          </w:p>
          <w:p w:rsidR="008C097E" w:rsidRPr="00154253" w:rsidRDefault="008C097E" w:rsidP="008C097E">
            <w:pPr>
              <w:jc w:val="both"/>
              <w:rPr>
                <w:rFonts w:eastAsia="Calibri"/>
                <w:sz w:val="20"/>
              </w:rPr>
            </w:pPr>
            <w:r w:rsidRPr="00154253">
              <w:rPr>
                <w:rFonts w:eastAsia="Calibri"/>
                <w:sz w:val="20"/>
              </w:rPr>
              <w:t xml:space="preserve">1001-0254-A; </w:t>
            </w:r>
            <w:hyperlink r:id="rId64" w:history="1">
              <w:r w:rsidRPr="00154253">
                <w:rPr>
                  <w:rFonts w:eastAsia="Calibri"/>
                  <w:color w:val="0000FF"/>
                  <w:sz w:val="20"/>
                  <w:u w:val="single"/>
                </w:rPr>
                <w:t>2013 ABCA 130</w:t>
              </w:r>
            </w:hyperlink>
          </w:p>
          <w:p w:rsidR="008C097E" w:rsidRPr="00154253" w:rsidRDefault="008C097E" w:rsidP="008C097E">
            <w:pPr>
              <w:jc w:val="both"/>
              <w:rPr>
                <w:rFonts w:eastAsia="Calibri"/>
                <w:sz w:val="20"/>
              </w:rPr>
            </w:pPr>
          </w:p>
        </w:tc>
        <w:tc>
          <w:tcPr>
            <w:tcW w:w="243" w:type="pct"/>
          </w:tcPr>
          <w:p w:rsidR="008C097E" w:rsidRPr="00154253" w:rsidRDefault="008C097E" w:rsidP="008C097E">
            <w:pPr>
              <w:jc w:val="both"/>
              <w:rPr>
                <w:rFonts w:eastAsia="Calibri"/>
                <w:sz w:val="20"/>
              </w:rPr>
            </w:pPr>
          </w:p>
        </w:tc>
        <w:tc>
          <w:tcPr>
            <w:tcW w:w="2330" w:type="pct"/>
          </w:tcPr>
          <w:p w:rsidR="008C097E" w:rsidRPr="00154253" w:rsidRDefault="008C097E" w:rsidP="008C097E">
            <w:pPr>
              <w:jc w:val="both"/>
              <w:rPr>
                <w:rFonts w:eastAsia="Calibri"/>
                <w:sz w:val="20"/>
              </w:rPr>
            </w:pPr>
            <w:r w:rsidRPr="00154253">
              <w:rPr>
                <w:rFonts w:eastAsia="Calibri"/>
                <w:sz w:val="20"/>
              </w:rPr>
              <w:t>Appeal from convictions dismissed</w:t>
            </w:r>
          </w:p>
          <w:p w:rsidR="008C097E" w:rsidRPr="00154253" w:rsidRDefault="008C097E" w:rsidP="008C097E">
            <w:pPr>
              <w:jc w:val="both"/>
              <w:rPr>
                <w:rFonts w:eastAsia="Calibri"/>
                <w:sz w:val="20"/>
              </w:rPr>
            </w:pPr>
          </w:p>
        </w:tc>
      </w:tr>
      <w:tr w:rsidR="008C097E" w:rsidRPr="00154253" w:rsidTr="008C097E">
        <w:trPr>
          <w:cantSplit/>
        </w:trPr>
        <w:tc>
          <w:tcPr>
            <w:tcW w:w="2427" w:type="pct"/>
          </w:tcPr>
          <w:p w:rsidR="008C097E" w:rsidRPr="00154253" w:rsidRDefault="008C097E" w:rsidP="008C097E">
            <w:pPr>
              <w:jc w:val="both"/>
              <w:rPr>
                <w:rFonts w:eastAsia="Calibri"/>
                <w:sz w:val="20"/>
              </w:rPr>
            </w:pPr>
            <w:r w:rsidRPr="00154253">
              <w:rPr>
                <w:rFonts w:eastAsia="Calibri"/>
                <w:sz w:val="20"/>
              </w:rPr>
              <w:lastRenderedPageBreak/>
              <w:t>August 13, 2013</w:t>
            </w:r>
          </w:p>
          <w:p w:rsidR="008C097E" w:rsidRPr="00154253" w:rsidRDefault="008C097E" w:rsidP="008C097E">
            <w:pPr>
              <w:jc w:val="both"/>
              <w:rPr>
                <w:rFonts w:eastAsia="Calibri"/>
                <w:sz w:val="20"/>
              </w:rPr>
            </w:pPr>
            <w:r w:rsidRPr="00154253">
              <w:rPr>
                <w:rFonts w:eastAsia="Calibri"/>
                <w:sz w:val="20"/>
              </w:rPr>
              <w:t>Supreme Court of Canada</w:t>
            </w:r>
          </w:p>
        </w:tc>
        <w:tc>
          <w:tcPr>
            <w:tcW w:w="243" w:type="pct"/>
          </w:tcPr>
          <w:p w:rsidR="008C097E" w:rsidRPr="00154253" w:rsidRDefault="008C097E" w:rsidP="008C097E">
            <w:pPr>
              <w:jc w:val="both"/>
              <w:rPr>
                <w:rFonts w:eastAsia="Calibri"/>
                <w:sz w:val="20"/>
              </w:rPr>
            </w:pPr>
          </w:p>
        </w:tc>
        <w:tc>
          <w:tcPr>
            <w:tcW w:w="2330" w:type="pct"/>
          </w:tcPr>
          <w:p w:rsidR="008C097E" w:rsidRPr="00154253" w:rsidRDefault="008C097E" w:rsidP="008C097E">
            <w:pPr>
              <w:jc w:val="both"/>
              <w:rPr>
                <w:rFonts w:eastAsia="Calibri"/>
                <w:sz w:val="20"/>
              </w:rPr>
            </w:pPr>
            <w:r w:rsidRPr="00154253">
              <w:rPr>
                <w:rFonts w:eastAsia="Calibri"/>
                <w:sz w:val="20"/>
              </w:rPr>
              <w:t>Application for extension of time to serve and file application for leave to appeal and Application for leave to appeal filed</w:t>
            </w:r>
          </w:p>
        </w:tc>
      </w:tr>
    </w:tbl>
    <w:p w:rsidR="008C097E" w:rsidRDefault="008C097E" w:rsidP="008C097E">
      <w:pPr>
        <w:rPr>
          <w:sz w:val="20"/>
          <w:szCs w:val="20"/>
        </w:rPr>
      </w:pPr>
    </w:p>
    <w:p w:rsidR="008C097E" w:rsidRPr="00C50A5C" w:rsidRDefault="00714478" w:rsidP="008C097E">
      <w:pPr>
        <w:rPr>
          <w:sz w:val="20"/>
          <w:szCs w:val="20"/>
        </w:rPr>
      </w:pPr>
      <w:r>
        <w:rPr>
          <w:sz w:val="20"/>
          <w:szCs w:val="20"/>
          <w:lang w:val="fr-CA"/>
        </w:rPr>
        <w:pict>
          <v:rect id="_x0000_i1068" style="width:2in;height:1pt" o:hrpct="0" o:hralign="center" o:hrstd="t" o:hrnoshade="t" o:hr="t" fillcolor="black [3213]" stroked="f"/>
        </w:pict>
      </w:r>
    </w:p>
    <w:p w:rsidR="008C097E" w:rsidRDefault="008C097E" w:rsidP="008C097E">
      <w:pPr>
        <w:rPr>
          <w:sz w:val="20"/>
          <w:szCs w:val="20"/>
        </w:rPr>
      </w:pPr>
    </w:p>
    <w:p w:rsidR="008C097E" w:rsidRPr="001B157C" w:rsidRDefault="008C097E" w:rsidP="008C097E">
      <w:pPr>
        <w:rPr>
          <w:sz w:val="20"/>
          <w:szCs w:val="20"/>
          <w:u w:val="single"/>
          <w:lang w:val="fr-CA"/>
        </w:rPr>
      </w:pPr>
      <w:r w:rsidRPr="001B157C">
        <w:rPr>
          <w:sz w:val="20"/>
          <w:szCs w:val="20"/>
          <w:u w:val="single"/>
          <w:lang w:val="fr-CA"/>
        </w:rPr>
        <w:t>RÉSUMÉ DE L’AFFAIRE</w:t>
      </w:r>
    </w:p>
    <w:p w:rsidR="008C097E" w:rsidRDefault="008C097E" w:rsidP="008C097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097E" w:rsidRPr="00714478" w:rsidTr="008C097E">
        <w:tc>
          <w:tcPr>
            <w:tcW w:w="5000" w:type="pct"/>
            <w:gridSpan w:val="3"/>
          </w:tcPr>
          <w:p w:rsidR="008C097E" w:rsidRPr="00154253" w:rsidRDefault="008C097E" w:rsidP="008C097E">
            <w:pPr>
              <w:jc w:val="both"/>
              <w:rPr>
                <w:rFonts w:eastAsia="Calibri"/>
                <w:smallCaps/>
                <w:sz w:val="20"/>
                <w:lang w:val="fr-CA"/>
              </w:rPr>
            </w:pPr>
            <w:r w:rsidRPr="00154253">
              <w:rPr>
                <w:rFonts w:eastAsia="Calibri"/>
                <w:smallCaps/>
                <w:sz w:val="20"/>
                <w:lang w:val="fr-CA"/>
              </w:rPr>
              <w:t>(Ordonnance de non-publication dans le dossier)</w:t>
            </w:r>
          </w:p>
          <w:p w:rsidR="008C097E" w:rsidRPr="00154253" w:rsidRDefault="008C097E" w:rsidP="008C097E">
            <w:pPr>
              <w:jc w:val="both"/>
              <w:rPr>
                <w:rFonts w:eastAsia="Calibri"/>
                <w:sz w:val="20"/>
                <w:lang w:val="fr-CA"/>
              </w:rPr>
            </w:pPr>
          </w:p>
          <w:p w:rsidR="008C097E" w:rsidRPr="00154253" w:rsidRDefault="008C097E" w:rsidP="008C097E">
            <w:pPr>
              <w:jc w:val="both"/>
              <w:rPr>
                <w:rFonts w:eastAsia="Calibri"/>
                <w:sz w:val="20"/>
                <w:lang w:val="fr-CA"/>
              </w:rPr>
            </w:pPr>
            <w:r w:rsidRPr="00154253">
              <w:rPr>
                <w:rFonts w:eastAsia="Calibri"/>
                <w:i/>
                <w:sz w:val="20"/>
                <w:lang w:val="fr-CA"/>
              </w:rPr>
              <w:t xml:space="preserve">Charte des droits </w:t>
            </w:r>
            <w:r w:rsidRPr="00154253">
              <w:rPr>
                <w:rFonts w:eastAsia="Calibri"/>
                <w:sz w:val="20"/>
                <w:lang w:val="fr-CA"/>
              </w:rPr>
              <w:t>– Droit criminel – Droit à la liberté – Droit de garder le silence – Détention arbitraire – Caractère raisonnable du verdict – Preuve – Les policiers ont mis en scène un contrôle routier au cours d'une opération de type « Mr. Big » – Le demandeur a-t-il été détenu arbitrairement? – Y a-t-il eu atteinte au droit de garder le silence du fait qu'un agent d'infiltration a dit au demandeur de s'identifier correctement à des policiers en uniforme? – Des déclarations extrajudiciaires ont été admises comme preuve de l'intention de commettre un meurtre au deuxième degré – Le verdict de meurtre au deuxième degré était-il déraisonnable parce que fondé sur une preuve non fiable?</w:t>
            </w:r>
          </w:p>
        </w:tc>
      </w:tr>
      <w:tr w:rsidR="008C097E" w:rsidRPr="00714478" w:rsidTr="008C097E">
        <w:tc>
          <w:tcPr>
            <w:tcW w:w="5000" w:type="pct"/>
            <w:gridSpan w:val="3"/>
          </w:tcPr>
          <w:p w:rsidR="008C097E" w:rsidRPr="00154253" w:rsidRDefault="008C097E" w:rsidP="008C097E">
            <w:pPr>
              <w:jc w:val="both"/>
              <w:rPr>
                <w:rFonts w:eastAsia="Calibri"/>
                <w:sz w:val="20"/>
                <w:lang w:val="fr-CA"/>
              </w:rPr>
            </w:pPr>
          </w:p>
        </w:tc>
      </w:tr>
      <w:tr w:rsidR="008C097E" w:rsidRPr="00714478" w:rsidTr="008C097E">
        <w:tc>
          <w:tcPr>
            <w:tcW w:w="5000" w:type="pct"/>
            <w:gridSpan w:val="3"/>
          </w:tcPr>
          <w:p w:rsidR="008C097E" w:rsidRPr="00154253" w:rsidRDefault="008C097E" w:rsidP="008C097E">
            <w:pPr>
              <w:jc w:val="both"/>
              <w:rPr>
                <w:rFonts w:eastAsia="Calibri"/>
                <w:sz w:val="20"/>
                <w:lang w:val="fr-CA"/>
              </w:rPr>
            </w:pPr>
            <w:r w:rsidRPr="00154253">
              <w:rPr>
                <w:rFonts w:eastAsia="Calibri"/>
                <w:sz w:val="20"/>
                <w:lang w:val="fr-CA"/>
              </w:rPr>
              <w:t>Le demandeur a poignardé un homme avec une machette au cours d'un vol bâclé commis lors d’un braquage à domicile.  Pour prouver le meurtre au deuxième degré, le ministère public s'est appuyé en partie sur des déclarations obtenues dans le cadre d'une opération de type « Mr. Big » comme preuve de l'intention.  Au cours de l'opération clandestine, les policiers ont préparé le demandeur en vue de sa réunion avec « le chef » en mettant en scène un faux contrôle routier. Pendant le contrôle, un agent d'infiltration a dit au demandeur de révéler son véritable nom, un policier en uniforme a obtenu le nom du demandeur et ce policier a dit au demandeur de communiquer avec un enquêteur de l'escouade des homicides qui voulait lui parler.  Deux jours plus tard, le demandeur a rencontré « le chef ».  Il a fait des aveux au chef, mais il a également fait de fausses déclarations.  Au cours d’un voir-dire portant sur l'admissibilité de la preuve obtenue au cours de l'opération clandestine, le demandeur a plaidé que le contrôle routier avait porté atteinte à son droit de garder le silence et à son droit à la protection contre la détention arbitraire. Il a également plaidé que la preuve obtenue dans le cadre de l'opération clandestine n'était pas fiable.</w:t>
            </w:r>
          </w:p>
          <w:p w:rsidR="008C097E" w:rsidRPr="00154253" w:rsidRDefault="008C097E" w:rsidP="008C097E">
            <w:pPr>
              <w:jc w:val="both"/>
              <w:rPr>
                <w:rFonts w:eastAsia="Calibri"/>
                <w:sz w:val="20"/>
                <w:lang w:val="fr-CA"/>
              </w:rPr>
            </w:pPr>
          </w:p>
        </w:tc>
      </w:tr>
      <w:tr w:rsidR="008C097E" w:rsidRPr="00714478" w:rsidTr="008C097E">
        <w:tc>
          <w:tcPr>
            <w:tcW w:w="2427" w:type="pct"/>
          </w:tcPr>
          <w:p w:rsidR="008C097E" w:rsidRPr="00154253" w:rsidRDefault="008C097E" w:rsidP="008C097E">
            <w:pPr>
              <w:jc w:val="both"/>
              <w:rPr>
                <w:rFonts w:eastAsia="Calibri"/>
                <w:sz w:val="20"/>
                <w:lang w:val="fr-CA"/>
              </w:rPr>
            </w:pPr>
            <w:r w:rsidRPr="00154253">
              <w:rPr>
                <w:rFonts w:eastAsia="Calibri"/>
                <w:sz w:val="20"/>
                <w:lang w:val="fr-CA"/>
              </w:rPr>
              <w:t>3 juin 2010</w:t>
            </w:r>
          </w:p>
          <w:p w:rsidR="008C097E" w:rsidRPr="00154253" w:rsidRDefault="008C097E" w:rsidP="008C097E">
            <w:pPr>
              <w:jc w:val="both"/>
              <w:rPr>
                <w:rFonts w:eastAsia="Calibri"/>
                <w:sz w:val="20"/>
                <w:lang w:val="fr-CA"/>
              </w:rPr>
            </w:pPr>
            <w:r w:rsidRPr="00154253">
              <w:rPr>
                <w:rFonts w:eastAsia="Calibri"/>
                <w:sz w:val="20"/>
                <w:lang w:val="fr-CA"/>
              </w:rPr>
              <w:t>Cour du Banc de la Reine de l'Alberta</w:t>
            </w:r>
          </w:p>
          <w:p w:rsidR="008C097E" w:rsidRPr="00154253" w:rsidRDefault="008C097E" w:rsidP="008C097E">
            <w:pPr>
              <w:jc w:val="both"/>
              <w:rPr>
                <w:rFonts w:eastAsia="Calibri"/>
                <w:sz w:val="20"/>
                <w:lang w:val="fr-CA"/>
              </w:rPr>
            </w:pPr>
            <w:r w:rsidRPr="00154253">
              <w:rPr>
                <w:rFonts w:eastAsia="Calibri"/>
                <w:sz w:val="20"/>
                <w:lang w:val="fr-CA"/>
              </w:rPr>
              <w:t xml:space="preserve">(Juge Hughes) </w:t>
            </w:r>
          </w:p>
          <w:p w:rsidR="008C097E" w:rsidRPr="00154253" w:rsidRDefault="00714478" w:rsidP="008C097E">
            <w:pPr>
              <w:jc w:val="both"/>
              <w:rPr>
                <w:rFonts w:eastAsia="Calibri"/>
                <w:sz w:val="20"/>
                <w:lang w:val="fr-CA"/>
              </w:rPr>
            </w:pPr>
            <w:hyperlink r:id="rId65" w:history="1">
              <w:r w:rsidR="008C097E" w:rsidRPr="00154253">
                <w:rPr>
                  <w:rFonts w:eastAsia="Calibri"/>
                  <w:color w:val="0000FF"/>
                  <w:sz w:val="20"/>
                  <w:u w:val="single"/>
                  <w:lang w:val="fr-CA"/>
                </w:rPr>
                <w:t>2010 ABQB 437</w:t>
              </w:r>
            </w:hyperlink>
          </w:p>
          <w:p w:rsidR="008C097E" w:rsidRPr="00154253" w:rsidRDefault="008C097E" w:rsidP="008C097E">
            <w:pPr>
              <w:jc w:val="both"/>
              <w:rPr>
                <w:rFonts w:eastAsia="Calibri"/>
                <w:sz w:val="20"/>
                <w:lang w:val="fr-CA"/>
              </w:rPr>
            </w:pPr>
          </w:p>
        </w:tc>
        <w:tc>
          <w:tcPr>
            <w:tcW w:w="243" w:type="pct"/>
          </w:tcPr>
          <w:p w:rsidR="008C097E" w:rsidRPr="00154253" w:rsidRDefault="008C097E" w:rsidP="008C097E">
            <w:pPr>
              <w:jc w:val="both"/>
              <w:rPr>
                <w:rFonts w:eastAsia="Calibri"/>
                <w:sz w:val="20"/>
                <w:lang w:val="fr-CA"/>
              </w:rPr>
            </w:pPr>
          </w:p>
        </w:tc>
        <w:tc>
          <w:tcPr>
            <w:tcW w:w="2330" w:type="pct"/>
          </w:tcPr>
          <w:p w:rsidR="008C097E" w:rsidRPr="00154253" w:rsidRDefault="008C097E" w:rsidP="008C097E">
            <w:pPr>
              <w:jc w:val="both"/>
              <w:rPr>
                <w:rFonts w:eastAsia="Calibri"/>
                <w:sz w:val="20"/>
                <w:lang w:val="fr-CA"/>
              </w:rPr>
            </w:pPr>
            <w:r w:rsidRPr="00154253">
              <w:rPr>
                <w:rFonts w:eastAsia="Calibri"/>
                <w:sz w:val="20"/>
                <w:lang w:val="fr-CA"/>
              </w:rPr>
              <w:t>Déclarations obtenues dans le cadre d'une opération de type « Mr. Big » admises en preuve</w:t>
            </w:r>
          </w:p>
        </w:tc>
      </w:tr>
      <w:tr w:rsidR="008C097E" w:rsidRPr="00714478" w:rsidTr="008C097E">
        <w:tc>
          <w:tcPr>
            <w:tcW w:w="2427" w:type="pct"/>
          </w:tcPr>
          <w:p w:rsidR="008C097E" w:rsidRPr="00154253" w:rsidRDefault="008C097E" w:rsidP="008C097E">
            <w:pPr>
              <w:jc w:val="both"/>
              <w:rPr>
                <w:rFonts w:eastAsia="Calibri"/>
                <w:sz w:val="20"/>
                <w:lang w:val="fr-CA"/>
              </w:rPr>
            </w:pPr>
            <w:r w:rsidRPr="00154253">
              <w:rPr>
                <w:rFonts w:eastAsia="Calibri"/>
                <w:sz w:val="20"/>
                <w:lang w:val="fr-CA"/>
              </w:rPr>
              <w:t>3 juin 2010</w:t>
            </w:r>
          </w:p>
          <w:p w:rsidR="008C097E" w:rsidRPr="00154253" w:rsidRDefault="008C097E" w:rsidP="008C097E">
            <w:pPr>
              <w:jc w:val="both"/>
              <w:rPr>
                <w:rFonts w:eastAsia="Calibri"/>
                <w:sz w:val="20"/>
                <w:lang w:val="fr-CA"/>
              </w:rPr>
            </w:pPr>
            <w:r w:rsidRPr="00154253">
              <w:rPr>
                <w:rFonts w:eastAsia="Calibri"/>
                <w:sz w:val="20"/>
                <w:lang w:val="fr-CA"/>
              </w:rPr>
              <w:t>Cour du Banc de la Reine de l'Alberta</w:t>
            </w:r>
          </w:p>
          <w:p w:rsidR="008C097E" w:rsidRPr="00154253" w:rsidRDefault="008C097E" w:rsidP="008C097E">
            <w:pPr>
              <w:jc w:val="both"/>
              <w:rPr>
                <w:rFonts w:eastAsia="Calibri"/>
                <w:sz w:val="20"/>
                <w:lang w:val="fr-CA"/>
              </w:rPr>
            </w:pPr>
            <w:r w:rsidRPr="00154253">
              <w:rPr>
                <w:rFonts w:eastAsia="Calibri"/>
                <w:sz w:val="20"/>
                <w:lang w:val="fr-CA"/>
              </w:rPr>
              <w:t xml:space="preserve">(Juge Hughes) </w:t>
            </w:r>
          </w:p>
          <w:p w:rsidR="008C097E" w:rsidRPr="00495362" w:rsidRDefault="00714478" w:rsidP="008C097E">
            <w:pPr>
              <w:jc w:val="both"/>
              <w:rPr>
                <w:sz w:val="20"/>
                <w:szCs w:val="20"/>
              </w:rPr>
            </w:pPr>
            <w:hyperlink r:id="rId66" w:history="1">
              <w:r w:rsidR="008C097E" w:rsidRPr="00154253">
                <w:rPr>
                  <w:rFonts w:eastAsia="Calibri"/>
                  <w:color w:val="0000FF"/>
                  <w:sz w:val="20"/>
                  <w:u w:val="single"/>
                  <w:lang w:val="fr-CA"/>
                </w:rPr>
                <w:t>2010 ABQB 439</w:t>
              </w:r>
            </w:hyperlink>
          </w:p>
          <w:p w:rsidR="008C097E" w:rsidRPr="00154253" w:rsidRDefault="008C097E" w:rsidP="008C097E">
            <w:pPr>
              <w:jc w:val="both"/>
              <w:rPr>
                <w:rFonts w:eastAsia="Calibri"/>
                <w:sz w:val="20"/>
                <w:lang w:val="fr-CA"/>
              </w:rPr>
            </w:pPr>
          </w:p>
        </w:tc>
        <w:tc>
          <w:tcPr>
            <w:tcW w:w="243" w:type="pct"/>
          </w:tcPr>
          <w:p w:rsidR="008C097E" w:rsidRPr="00154253" w:rsidRDefault="008C097E" w:rsidP="008C097E">
            <w:pPr>
              <w:jc w:val="both"/>
              <w:rPr>
                <w:rFonts w:eastAsia="Calibri"/>
                <w:sz w:val="20"/>
                <w:lang w:val="fr-CA"/>
              </w:rPr>
            </w:pPr>
          </w:p>
        </w:tc>
        <w:tc>
          <w:tcPr>
            <w:tcW w:w="2330" w:type="pct"/>
          </w:tcPr>
          <w:p w:rsidR="008C097E" w:rsidRPr="00154253" w:rsidRDefault="008C097E" w:rsidP="008C097E">
            <w:pPr>
              <w:jc w:val="both"/>
              <w:rPr>
                <w:rFonts w:eastAsia="Calibri"/>
                <w:sz w:val="20"/>
                <w:lang w:val="fr-CA"/>
              </w:rPr>
            </w:pPr>
            <w:r w:rsidRPr="00154253">
              <w:rPr>
                <w:rFonts w:eastAsia="Calibri"/>
                <w:sz w:val="20"/>
                <w:lang w:val="fr-CA"/>
              </w:rPr>
              <w:t>Déclarations de culpabilité de meurtre au deuxième degré et d'introduction par effraction dans une maison d'habitation dans le but de commettre un acte criminel</w:t>
            </w:r>
          </w:p>
          <w:p w:rsidR="008C097E" w:rsidRPr="00154253" w:rsidRDefault="008C097E" w:rsidP="008C097E">
            <w:pPr>
              <w:jc w:val="both"/>
              <w:rPr>
                <w:rFonts w:eastAsia="Calibri"/>
                <w:sz w:val="20"/>
                <w:lang w:val="fr-CA"/>
              </w:rPr>
            </w:pPr>
          </w:p>
        </w:tc>
      </w:tr>
      <w:tr w:rsidR="008C097E" w:rsidRPr="00714478" w:rsidTr="008C097E">
        <w:tc>
          <w:tcPr>
            <w:tcW w:w="2427" w:type="pct"/>
          </w:tcPr>
          <w:p w:rsidR="008C097E" w:rsidRPr="00154253" w:rsidRDefault="008C097E" w:rsidP="008C097E">
            <w:pPr>
              <w:jc w:val="both"/>
              <w:rPr>
                <w:rFonts w:eastAsia="Calibri"/>
                <w:sz w:val="20"/>
                <w:lang w:val="fr-CA"/>
              </w:rPr>
            </w:pPr>
            <w:r w:rsidRPr="00154253">
              <w:rPr>
                <w:rFonts w:eastAsia="Calibri"/>
                <w:sz w:val="20"/>
                <w:lang w:val="fr-CA"/>
              </w:rPr>
              <w:t>18 avril 2013</w:t>
            </w:r>
          </w:p>
          <w:p w:rsidR="008C097E" w:rsidRPr="00154253" w:rsidRDefault="008C097E" w:rsidP="008C097E">
            <w:pPr>
              <w:jc w:val="both"/>
              <w:rPr>
                <w:rFonts w:eastAsia="Calibri"/>
                <w:sz w:val="20"/>
                <w:lang w:val="fr-CA"/>
              </w:rPr>
            </w:pPr>
            <w:r w:rsidRPr="00154253">
              <w:rPr>
                <w:rFonts w:eastAsia="Calibri"/>
                <w:sz w:val="20"/>
                <w:lang w:val="fr-CA"/>
              </w:rPr>
              <w:t>Cour d'appel de l'Alberta (Calgary)</w:t>
            </w:r>
          </w:p>
          <w:p w:rsidR="008C097E" w:rsidRPr="00154253" w:rsidRDefault="008C097E" w:rsidP="008C097E">
            <w:pPr>
              <w:jc w:val="both"/>
              <w:rPr>
                <w:rFonts w:eastAsia="Calibri"/>
                <w:sz w:val="20"/>
                <w:lang w:val="fr-CA"/>
              </w:rPr>
            </w:pPr>
            <w:r w:rsidRPr="00154253">
              <w:rPr>
                <w:rFonts w:eastAsia="Calibri"/>
                <w:sz w:val="20"/>
                <w:lang w:val="fr-CA"/>
              </w:rPr>
              <w:t xml:space="preserve">(Juges Paperny, Watson et Sulatycky) </w:t>
            </w:r>
          </w:p>
          <w:p w:rsidR="008C097E" w:rsidRPr="00154253" w:rsidRDefault="008C097E" w:rsidP="008C097E">
            <w:pPr>
              <w:jc w:val="both"/>
              <w:rPr>
                <w:rFonts w:eastAsia="Calibri"/>
                <w:sz w:val="20"/>
                <w:lang w:val="fr-CA"/>
              </w:rPr>
            </w:pPr>
            <w:r w:rsidRPr="00154253">
              <w:rPr>
                <w:rFonts w:eastAsia="Calibri"/>
                <w:sz w:val="20"/>
                <w:lang w:val="fr-CA"/>
              </w:rPr>
              <w:t xml:space="preserve">1001-0254-A; </w:t>
            </w:r>
            <w:hyperlink r:id="rId67" w:history="1">
              <w:r w:rsidRPr="00154253">
                <w:rPr>
                  <w:rFonts w:eastAsia="Calibri"/>
                  <w:color w:val="0000FF"/>
                  <w:sz w:val="20"/>
                  <w:u w:val="single"/>
                  <w:lang w:val="fr-CA"/>
                </w:rPr>
                <w:t>2013 ABCA 130</w:t>
              </w:r>
            </w:hyperlink>
          </w:p>
          <w:p w:rsidR="008C097E" w:rsidRPr="00154253" w:rsidRDefault="008C097E" w:rsidP="008C097E">
            <w:pPr>
              <w:jc w:val="both"/>
              <w:rPr>
                <w:rFonts w:eastAsia="Calibri"/>
                <w:sz w:val="20"/>
                <w:lang w:val="fr-CA"/>
              </w:rPr>
            </w:pPr>
          </w:p>
        </w:tc>
        <w:tc>
          <w:tcPr>
            <w:tcW w:w="243" w:type="pct"/>
          </w:tcPr>
          <w:p w:rsidR="008C097E" w:rsidRPr="00154253" w:rsidRDefault="008C097E" w:rsidP="008C097E">
            <w:pPr>
              <w:jc w:val="both"/>
              <w:rPr>
                <w:rFonts w:eastAsia="Calibri"/>
                <w:sz w:val="20"/>
                <w:lang w:val="fr-CA"/>
              </w:rPr>
            </w:pPr>
          </w:p>
        </w:tc>
        <w:tc>
          <w:tcPr>
            <w:tcW w:w="2330" w:type="pct"/>
          </w:tcPr>
          <w:p w:rsidR="008C097E" w:rsidRPr="00154253" w:rsidRDefault="008C097E" w:rsidP="008C097E">
            <w:pPr>
              <w:jc w:val="both"/>
              <w:rPr>
                <w:rFonts w:eastAsia="Calibri"/>
                <w:sz w:val="20"/>
                <w:lang w:val="fr-CA"/>
              </w:rPr>
            </w:pPr>
            <w:r w:rsidRPr="00154253">
              <w:rPr>
                <w:rFonts w:eastAsia="Calibri"/>
                <w:sz w:val="20"/>
                <w:lang w:val="fr-CA"/>
              </w:rPr>
              <w:t>Appel des déclarations de culpabilité, rejeté</w:t>
            </w:r>
          </w:p>
          <w:p w:rsidR="008C097E" w:rsidRPr="00154253" w:rsidRDefault="008C097E" w:rsidP="008C097E">
            <w:pPr>
              <w:jc w:val="both"/>
              <w:rPr>
                <w:rFonts w:eastAsia="Calibri"/>
                <w:sz w:val="20"/>
                <w:lang w:val="fr-CA"/>
              </w:rPr>
            </w:pPr>
          </w:p>
        </w:tc>
      </w:tr>
      <w:tr w:rsidR="008C097E" w:rsidRPr="00714478" w:rsidTr="008C097E">
        <w:tc>
          <w:tcPr>
            <w:tcW w:w="2427" w:type="pct"/>
          </w:tcPr>
          <w:p w:rsidR="008C097E" w:rsidRPr="00154253" w:rsidRDefault="008C097E" w:rsidP="008C097E">
            <w:pPr>
              <w:jc w:val="both"/>
              <w:rPr>
                <w:rFonts w:eastAsia="Calibri"/>
                <w:sz w:val="20"/>
                <w:lang w:val="fr-CA"/>
              </w:rPr>
            </w:pPr>
            <w:r w:rsidRPr="00154253">
              <w:rPr>
                <w:rFonts w:eastAsia="Calibri"/>
                <w:sz w:val="20"/>
                <w:lang w:val="fr-CA"/>
              </w:rPr>
              <w:t>13 août 2013</w:t>
            </w:r>
          </w:p>
          <w:p w:rsidR="008C097E" w:rsidRPr="00154253" w:rsidRDefault="008C097E" w:rsidP="008C097E">
            <w:pPr>
              <w:jc w:val="both"/>
              <w:rPr>
                <w:rFonts w:eastAsia="Calibri"/>
                <w:sz w:val="20"/>
                <w:lang w:val="fr-CA"/>
              </w:rPr>
            </w:pPr>
            <w:r w:rsidRPr="00154253">
              <w:rPr>
                <w:rFonts w:eastAsia="Calibri"/>
                <w:sz w:val="20"/>
                <w:lang w:val="fr-CA"/>
              </w:rPr>
              <w:t>Cour suprême du Canada</w:t>
            </w:r>
          </w:p>
        </w:tc>
        <w:tc>
          <w:tcPr>
            <w:tcW w:w="243" w:type="pct"/>
          </w:tcPr>
          <w:p w:rsidR="008C097E" w:rsidRPr="00154253" w:rsidRDefault="008C097E" w:rsidP="008C097E">
            <w:pPr>
              <w:jc w:val="both"/>
              <w:rPr>
                <w:rFonts w:eastAsia="Calibri"/>
                <w:sz w:val="20"/>
                <w:lang w:val="fr-CA"/>
              </w:rPr>
            </w:pPr>
          </w:p>
        </w:tc>
        <w:tc>
          <w:tcPr>
            <w:tcW w:w="2330" w:type="pct"/>
          </w:tcPr>
          <w:p w:rsidR="008C097E" w:rsidRPr="00154253" w:rsidRDefault="008C097E" w:rsidP="008C097E">
            <w:pPr>
              <w:jc w:val="both"/>
              <w:rPr>
                <w:rFonts w:eastAsia="Calibri"/>
                <w:sz w:val="20"/>
                <w:lang w:val="fr-CA"/>
              </w:rPr>
            </w:pPr>
            <w:r w:rsidRPr="00154253">
              <w:rPr>
                <w:rFonts w:eastAsia="Calibri"/>
                <w:sz w:val="20"/>
                <w:lang w:val="fr-CA"/>
              </w:rPr>
              <w:t xml:space="preserve">Demande de prorogation du délai de signification et de dépôt de la demande d'autorisation d'appel et demande d'autorisation d'appel, déposées </w:t>
            </w:r>
          </w:p>
        </w:tc>
      </w:tr>
    </w:tbl>
    <w:p w:rsidR="008C097E" w:rsidRPr="00771DF0" w:rsidRDefault="008C097E" w:rsidP="008C097E">
      <w:pPr>
        <w:rPr>
          <w:sz w:val="20"/>
          <w:szCs w:val="20"/>
          <w:lang w:val="fr-CA"/>
        </w:rPr>
      </w:pPr>
    </w:p>
    <w:p w:rsidR="008C097E" w:rsidRDefault="00714478" w:rsidP="008C097E">
      <w:pPr>
        <w:rPr>
          <w:sz w:val="20"/>
          <w:szCs w:val="20"/>
        </w:rPr>
      </w:pPr>
      <w:r>
        <w:rPr>
          <w:sz w:val="20"/>
          <w:szCs w:val="20"/>
          <w:lang w:val="fr-CA"/>
        </w:rPr>
        <w:pict>
          <v:rect id="_x0000_i1069" style="width:2in;height:1pt" o:hrpct="0" o:hralign="center" o:hrstd="t" o:hrnoshade="t" o:hr="t" fillcolor="black [3213]" stroked="f"/>
        </w:pict>
      </w:r>
    </w:p>
    <w:p w:rsidR="008C097E" w:rsidRDefault="008C097E" w:rsidP="008C097E">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A7486" w:rsidRPr="008671E9" w:rsidRDefault="00AA7486" w:rsidP="00AA7486">
      <w:pPr>
        <w:tabs>
          <w:tab w:val="left" w:pos="-1440"/>
          <w:tab w:val="left" w:pos="-720"/>
        </w:tabs>
        <w:jc w:val="both"/>
        <w:rPr>
          <w:sz w:val="20"/>
          <w:szCs w:val="20"/>
          <w:lang w:val="fr-CA"/>
        </w:rPr>
      </w:pPr>
      <w:r w:rsidRPr="008671E9">
        <w:rPr>
          <w:sz w:val="20"/>
          <w:szCs w:val="20"/>
          <w:lang w:val="fr-CA"/>
        </w:rPr>
        <w:t>10.10.2014</w:t>
      </w:r>
    </w:p>
    <w:p w:rsidR="00AA7486" w:rsidRPr="008671E9" w:rsidRDefault="00AA7486" w:rsidP="00AA7486">
      <w:pPr>
        <w:tabs>
          <w:tab w:val="left" w:pos="-1440"/>
          <w:tab w:val="left" w:pos="-720"/>
        </w:tabs>
        <w:jc w:val="both"/>
        <w:rPr>
          <w:sz w:val="20"/>
          <w:szCs w:val="20"/>
          <w:lang w:val="fr-CA"/>
        </w:rPr>
      </w:pPr>
    </w:p>
    <w:p w:rsidR="00AA7486" w:rsidRPr="008671E9" w:rsidRDefault="00AA7486" w:rsidP="00AA7486">
      <w:pPr>
        <w:tabs>
          <w:tab w:val="left" w:pos="-1440"/>
          <w:tab w:val="left" w:pos="-720"/>
        </w:tabs>
        <w:jc w:val="both"/>
        <w:rPr>
          <w:sz w:val="20"/>
          <w:szCs w:val="20"/>
          <w:lang w:val="fr-CA"/>
        </w:rPr>
      </w:pPr>
      <w:r w:rsidRPr="008671E9">
        <w:rPr>
          <w:sz w:val="20"/>
          <w:szCs w:val="20"/>
          <w:lang w:val="fr-CA"/>
        </w:rPr>
        <w:t>Before / Devant :   THE CHIEF JUSTICE / LA JUGE EN CHEF</w:t>
      </w:r>
    </w:p>
    <w:p w:rsidR="00AA7486" w:rsidRPr="008671E9" w:rsidRDefault="00AA7486" w:rsidP="00AA748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A7486" w:rsidRPr="008671E9" w:rsidTr="00E33C9D">
        <w:tc>
          <w:tcPr>
            <w:tcW w:w="4338" w:type="dxa"/>
          </w:tcPr>
          <w:p w:rsidR="00AA7486" w:rsidRPr="008671E9" w:rsidRDefault="00A4467E" w:rsidP="00E33C9D">
            <w:pPr>
              <w:tabs>
                <w:tab w:val="left" w:pos="-1440"/>
                <w:tab w:val="left" w:pos="-720"/>
              </w:tabs>
              <w:jc w:val="both"/>
              <w:rPr>
                <w:b/>
                <w:sz w:val="20"/>
                <w:szCs w:val="20"/>
              </w:rPr>
            </w:pPr>
            <w:r w:rsidRPr="008671E9">
              <w:rPr>
                <w:sz w:val="20"/>
                <w:szCs w:val="20"/>
              </w:rPr>
              <w:fldChar w:fldCharType="begin"/>
            </w:r>
            <w:r w:rsidR="00AA7486" w:rsidRPr="008671E9">
              <w:rPr>
                <w:sz w:val="20"/>
                <w:szCs w:val="20"/>
              </w:rPr>
              <w:instrText xml:space="preserve"> SEQ CHAPTER \h \r 1</w:instrText>
            </w:r>
            <w:r w:rsidRPr="008671E9">
              <w:rPr>
                <w:sz w:val="20"/>
                <w:szCs w:val="20"/>
              </w:rPr>
              <w:fldChar w:fldCharType="end"/>
            </w:r>
            <w:r w:rsidR="00AA7486" w:rsidRPr="008671E9">
              <w:rPr>
                <w:b/>
                <w:bCs/>
                <w:sz w:val="20"/>
                <w:szCs w:val="20"/>
              </w:rPr>
              <w:t xml:space="preserve">Order </w:t>
            </w:r>
          </w:p>
        </w:tc>
        <w:tc>
          <w:tcPr>
            <w:tcW w:w="1170" w:type="dxa"/>
          </w:tcPr>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p>
        </w:tc>
        <w:tc>
          <w:tcPr>
            <w:tcW w:w="4327" w:type="dxa"/>
          </w:tcPr>
          <w:p w:rsidR="00AA7486" w:rsidRPr="008671E9" w:rsidRDefault="00A4467E" w:rsidP="00E33C9D">
            <w:pPr>
              <w:tabs>
                <w:tab w:val="left" w:pos="-1440"/>
                <w:tab w:val="left" w:pos="-720"/>
              </w:tabs>
              <w:jc w:val="both"/>
              <w:rPr>
                <w:sz w:val="20"/>
                <w:szCs w:val="20"/>
                <w:lang w:val="fr-CA"/>
              </w:rPr>
            </w:pP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r w:rsidR="00AA7486" w:rsidRPr="008671E9">
              <w:rPr>
                <w:b/>
                <w:bCs/>
                <w:sz w:val="20"/>
                <w:szCs w:val="20"/>
                <w:lang w:val="fr-CA"/>
              </w:rPr>
              <w:t xml:space="preserve">Ordonnance </w:t>
            </w: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p>
        </w:tc>
      </w:tr>
      <w:tr w:rsidR="00AA7486" w:rsidRPr="00714478" w:rsidTr="00E33C9D">
        <w:tc>
          <w:tcPr>
            <w:tcW w:w="4338" w:type="dxa"/>
          </w:tcPr>
          <w:p w:rsidR="00AA7486" w:rsidRPr="008671E9" w:rsidRDefault="00AA7486" w:rsidP="00E33C9D">
            <w:pPr>
              <w:tabs>
                <w:tab w:val="left" w:pos="-1440"/>
                <w:tab w:val="left" w:pos="-720"/>
              </w:tabs>
              <w:jc w:val="both"/>
              <w:rPr>
                <w:sz w:val="20"/>
                <w:szCs w:val="20"/>
              </w:rPr>
            </w:pPr>
            <w:r w:rsidRPr="008671E9">
              <w:rPr>
                <w:sz w:val="20"/>
                <w:szCs w:val="20"/>
              </w:rPr>
              <w:t>Canadian Imperial Bank of Commerce et al.</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ab/>
              <w:t>v. (35807)</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Howard Green et al. (Ont.)</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 and between -</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Celestica Inc. et al.</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ab/>
              <w:t>v. (35813)</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Trustees of the Millwright Regional Council of Ontario Pension Trust Fund et al.</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 and between -</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 xml:space="preserve">IMAX Corporation et al. </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lang w:val="fr-CA"/>
              </w:rPr>
            </w:pPr>
            <w:r w:rsidRPr="008671E9">
              <w:rPr>
                <w:sz w:val="20"/>
                <w:szCs w:val="20"/>
              </w:rPr>
              <w:tab/>
            </w:r>
            <w:r w:rsidRPr="008671E9">
              <w:rPr>
                <w:sz w:val="20"/>
                <w:szCs w:val="20"/>
                <w:lang w:val="fr-CA"/>
              </w:rPr>
              <w:t>v. (35811)</w:t>
            </w:r>
          </w:p>
          <w:p w:rsidR="00AA7486" w:rsidRPr="008671E9" w:rsidRDefault="00AA7486" w:rsidP="00E33C9D">
            <w:pPr>
              <w:tabs>
                <w:tab w:val="left" w:pos="-1440"/>
                <w:tab w:val="left" w:pos="-720"/>
              </w:tabs>
              <w:jc w:val="both"/>
              <w:rPr>
                <w:sz w:val="20"/>
                <w:szCs w:val="20"/>
                <w:lang w:val="fr-CA"/>
              </w:rPr>
            </w:pPr>
          </w:p>
          <w:p w:rsidR="00AA7486" w:rsidRPr="008671E9" w:rsidRDefault="00AA7486" w:rsidP="00E33C9D">
            <w:pPr>
              <w:tabs>
                <w:tab w:val="left" w:pos="-1440"/>
                <w:tab w:val="left" w:pos="-720"/>
              </w:tabs>
              <w:jc w:val="both"/>
              <w:rPr>
                <w:sz w:val="20"/>
                <w:szCs w:val="20"/>
                <w:lang w:val="fr-CA"/>
              </w:rPr>
            </w:pPr>
            <w:r w:rsidRPr="008671E9">
              <w:rPr>
                <w:sz w:val="20"/>
                <w:szCs w:val="20"/>
                <w:lang w:val="fr-CA"/>
              </w:rPr>
              <w:t>Marvin Neil Silver et al.</w:t>
            </w:r>
          </w:p>
        </w:tc>
        <w:tc>
          <w:tcPr>
            <w:tcW w:w="1170" w:type="dxa"/>
          </w:tcPr>
          <w:p w:rsidR="00AA7486" w:rsidRPr="008671E9" w:rsidRDefault="00AA7486" w:rsidP="00E33C9D">
            <w:pPr>
              <w:tabs>
                <w:tab w:val="left" w:pos="-1440"/>
                <w:tab w:val="left" w:pos="-720"/>
              </w:tabs>
              <w:jc w:val="both"/>
              <w:rPr>
                <w:sz w:val="20"/>
                <w:szCs w:val="20"/>
                <w:lang w:val="fr-CA"/>
              </w:rPr>
            </w:pPr>
          </w:p>
        </w:tc>
        <w:tc>
          <w:tcPr>
            <w:tcW w:w="4327" w:type="dxa"/>
          </w:tcPr>
          <w:p w:rsidR="00AA7486" w:rsidRPr="008671E9" w:rsidRDefault="00AA7486" w:rsidP="00E33C9D">
            <w:pPr>
              <w:tabs>
                <w:tab w:val="left" w:pos="-1440"/>
                <w:tab w:val="left" w:pos="-720"/>
              </w:tabs>
              <w:jc w:val="both"/>
              <w:rPr>
                <w:sz w:val="20"/>
                <w:szCs w:val="20"/>
                <w:lang w:val="fr-CA"/>
              </w:rPr>
            </w:pPr>
          </w:p>
        </w:tc>
      </w:tr>
    </w:tbl>
    <w:p w:rsidR="00AA7486" w:rsidRPr="008671E9" w:rsidRDefault="00AA7486" w:rsidP="00AA7486">
      <w:pPr>
        <w:tabs>
          <w:tab w:val="left" w:pos="-1440"/>
          <w:tab w:val="left" w:pos="-720"/>
        </w:tabs>
        <w:jc w:val="both"/>
        <w:rPr>
          <w:sz w:val="20"/>
          <w:szCs w:val="20"/>
          <w:lang w:val="fr-CA"/>
        </w:rPr>
      </w:pPr>
    </w:p>
    <w:p w:rsidR="00AA7486" w:rsidRPr="008671E9" w:rsidRDefault="00AA7486" w:rsidP="00AA7486">
      <w:pPr>
        <w:rPr>
          <w:b/>
          <w:bCs/>
          <w:sz w:val="20"/>
          <w:szCs w:val="20"/>
        </w:rPr>
      </w:pPr>
      <w:r w:rsidRPr="008671E9">
        <w:rPr>
          <w:b/>
          <w:bCs/>
          <w:sz w:val="20"/>
          <w:szCs w:val="20"/>
        </w:rPr>
        <w:t>IT IS HEREBY ORDERED THAT :</w:t>
      </w:r>
    </w:p>
    <w:p w:rsidR="00AA7486" w:rsidRPr="008671E9" w:rsidRDefault="00AA7486" w:rsidP="00AA7486">
      <w:pPr>
        <w:rPr>
          <w:b/>
          <w:bCs/>
          <w:sz w:val="20"/>
          <w:szCs w:val="20"/>
        </w:rPr>
      </w:pPr>
    </w:p>
    <w:p w:rsidR="00AA7486" w:rsidRPr="008671E9" w:rsidRDefault="00AA7486" w:rsidP="00AA7486">
      <w:pPr>
        <w:pStyle w:val="ListParagraph"/>
        <w:widowControl w:val="0"/>
        <w:numPr>
          <w:ilvl w:val="0"/>
          <w:numId w:val="7"/>
        </w:numPr>
        <w:autoSpaceDE w:val="0"/>
        <w:autoSpaceDN w:val="0"/>
        <w:adjustRightInd w:val="0"/>
        <w:jc w:val="both"/>
        <w:rPr>
          <w:rFonts w:cs="Times New Roman"/>
          <w:sz w:val="20"/>
          <w:szCs w:val="20"/>
        </w:rPr>
      </w:pPr>
      <w:r w:rsidRPr="008671E9">
        <w:rPr>
          <w:rFonts w:cs="Times New Roman"/>
          <w:sz w:val="20"/>
          <w:szCs w:val="20"/>
        </w:rPr>
        <w:t>The appellants’ records, factums and books of authorities shall be served and filed on or before November 10, 2014.</w:t>
      </w:r>
    </w:p>
    <w:p w:rsidR="00AA7486" w:rsidRPr="008671E9" w:rsidRDefault="00AA7486" w:rsidP="00AA7486">
      <w:pPr>
        <w:pStyle w:val="ListParagraph"/>
        <w:rPr>
          <w:rFonts w:cs="Times New Roman"/>
          <w:sz w:val="20"/>
          <w:szCs w:val="20"/>
        </w:rPr>
      </w:pPr>
    </w:p>
    <w:p w:rsidR="00AA7486" w:rsidRPr="008671E9" w:rsidRDefault="00AA7486" w:rsidP="00AA748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8671E9">
        <w:rPr>
          <w:rFonts w:cs="Times New Roman"/>
          <w:sz w:val="20"/>
          <w:szCs w:val="20"/>
        </w:rPr>
        <w:t xml:space="preserve">Any person wishing to intervene in this appeal under Rule 55 of the </w:t>
      </w:r>
      <w:r w:rsidRPr="008671E9">
        <w:rPr>
          <w:rFonts w:cs="Times New Roman"/>
          <w:i/>
          <w:sz w:val="20"/>
          <w:szCs w:val="20"/>
        </w:rPr>
        <w:t>Rules of the Supreme Court of Canada</w:t>
      </w:r>
      <w:r w:rsidRPr="008671E9">
        <w:rPr>
          <w:rFonts w:cs="Times New Roman"/>
          <w:sz w:val="20"/>
          <w:szCs w:val="20"/>
        </w:rPr>
        <w:t xml:space="preserve"> shall serve and file a motion for leave to intervene on or before December 1, 2014. </w:t>
      </w:r>
    </w:p>
    <w:p w:rsidR="00AA7486" w:rsidRPr="008671E9" w:rsidRDefault="00AA7486" w:rsidP="00AA7486">
      <w:pPr>
        <w:pStyle w:val="ListParagraph"/>
        <w:rPr>
          <w:rFonts w:cs="Times New Roman"/>
          <w:sz w:val="20"/>
          <w:szCs w:val="20"/>
        </w:rPr>
      </w:pPr>
    </w:p>
    <w:p w:rsidR="00AA7486" w:rsidRPr="008671E9" w:rsidRDefault="00AA7486" w:rsidP="00AA748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8671E9">
        <w:rPr>
          <w:rFonts w:cs="Times New Roman"/>
          <w:sz w:val="20"/>
          <w:szCs w:val="20"/>
        </w:rPr>
        <w:t xml:space="preserve">The appellants and respondents shall serve and file their responses, if any, to the motions for leave to intervene on or before December 9, 2014. </w:t>
      </w:r>
    </w:p>
    <w:p w:rsidR="00AA7486" w:rsidRPr="008671E9" w:rsidRDefault="00AA7486" w:rsidP="00AA7486">
      <w:pPr>
        <w:pStyle w:val="ListParagraph"/>
        <w:rPr>
          <w:rFonts w:cs="Times New Roman"/>
          <w:sz w:val="20"/>
          <w:szCs w:val="20"/>
        </w:rPr>
      </w:pPr>
    </w:p>
    <w:p w:rsidR="00AA7486" w:rsidRPr="008671E9" w:rsidRDefault="00AA7486" w:rsidP="00AA748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8671E9">
        <w:rPr>
          <w:rFonts w:cs="Times New Roman"/>
          <w:sz w:val="20"/>
          <w:szCs w:val="20"/>
        </w:rPr>
        <w:t>Replies to any responses to the motions for leave to intervene shall be served and filed on or before December 12, 2014.</w:t>
      </w:r>
    </w:p>
    <w:p w:rsidR="00AA7486" w:rsidRPr="008671E9" w:rsidRDefault="00AA7486" w:rsidP="00AA7486">
      <w:pPr>
        <w:pStyle w:val="ListParagraph"/>
        <w:rPr>
          <w:rFonts w:cs="Times New Roman"/>
          <w:sz w:val="20"/>
          <w:szCs w:val="20"/>
        </w:rPr>
      </w:pPr>
    </w:p>
    <w:p w:rsidR="00AA7486" w:rsidRPr="008671E9" w:rsidRDefault="00AA7486" w:rsidP="00AA7486">
      <w:pPr>
        <w:pStyle w:val="ListParagraph"/>
        <w:widowControl w:val="0"/>
        <w:numPr>
          <w:ilvl w:val="0"/>
          <w:numId w:val="7"/>
        </w:numPr>
        <w:autoSpaceDE w:val="0"/>
        <w:autoSpaceDN w:val="0"/>
        <w:adjustRightInd w:val="0"/>
        <w:jc w:val="both"/>
        <w:rPr>
          <w:rFonts w:cs="Times New Roman"/>
          <w:sz w:val="20"/>
          <w:szCs w:val="20"/>
        </w:rPr>
      </w:pPr>
      <w:r w:rsidRPr="008671E9">
        <w:rPr>
          <w:rFonts w:cs="Times New Roman"/>
          <w:sz w:val="20"/>
          <w:szCs w:val="20"/>
        </w:rPr>
        <w:t>The respondents’ records, factums and books of authorities shall be served and filed on or before January 12, 2015.</w:t>
      </w:r>
    </w:p>
    <w:p w:rsidR="00AA7486" w:rsidRPr="008671E9" w:rsidRDefault="00AA7486" w:rsidP="00AA7486">
      <w:pPr>
        <w:pStyle w:val="ListParagraph"/>
        <w:rPr>
          <w:rFonts w:cs="Times New Roman"/>
          <w:bCs/>
          <w:sz w:val="20"/>
          <w:szCs w:val="20"/>
        </w:rPr>
      </w:pPr>
    </w:p>
    <w:p w:rsidR="00AA7486" w:rsidRPr="008671E9" w:rsidRDefault="00AA7486" w:rsidP="00AA7486">
      <w:pPr>
        <w:pStyle w:val="ListParagraph"/>
        <w:widowControl w:val="0"/>
        <w:numPr>
          <w:ilvl w:val="0"/>
          <w:numId w:val="7"/>
        </w:numPr>
        <w:autoSpaceDE w:val="0"/>
        <w:autoSpaceDN w:val="0"/>
        <w:adjustRightInd w:val="0"/>
        <w:jc w:val="both"/>
        <w:rPr>
          <w:rFonts w:cs="Times New Roman"/>
          <w:bCs/>
          <w:sz w:val="20"/>
          <w:szCs w:val="20"/>
        </w:rPr>
      </w:pPr>
      <w:r w:rsidRPr="008671E9">
        <w:rPr>
          <w:rFonts w:cs="Times New Roman"/>
          <w:bCs/>
          <w:sz w:val="20"/>
          <w:szCs w:val="20"/>
        </w:rPr>
        <w:t xml:space="preserve">Any interveners granted leave to intervene under Rule 59 of the </w:t>
      </w:r>
      <w:r w:rsidRPr="008671E9">
        <w:rPr>
          <w:rFonts w:cs="Times New Roman"/>
          <w:bCs/>
          <w:i/>
          <w:sz w:val="20"/>
          <w:szCs w:val="20"/>
        </w:rPr>
        <w:t>Rules of the Supreme Court of Canada</w:t>
      </w:r>
      <w:r w:rsidRPr="008671E9">
        <w:rPr>
          <w:rFonts w:cs="Times New Roman"/>
          <w:bCs/>
          <w:sz w:val="20"/>
          <w:szCs w:val="20"/>
        </w:rPr>
        <w:t xml:space="preserve"> shall serve and file their factum and book of authorities on or before January 26, 2015.</w:t>
      </w:r>
    </w:p>
    <w:p w:rsidR="00AA7486" w:rsidRPr="008671E9" w:rsidRDefault="00AA7486" w:rsidP="00AA7486">
      <w:pPr>
        <w:pStyle w:val="ListParagraph"/>
        <w:rPr>
          <w:rFonts w:cs="Times New Roman"/>
          <w:bCs/>
          <w:sz w:val="20"/>
          <w:szCs w:val="20"/>
        </w:rPr>
      </w:pPr>
    </w:p>
    <w:p w:rsidR="00AA7486" w:rsidRPr="008671E9" w:rsidRDefault="00AA7486" w:rsidP="00AA7486">
      <w:pPr>
        <w:pStyle w:val="ListParagraph"/>
        <w:ind w:left="0"/>
        <w:rPr>
          <w:rFonts w:cs="Times New Roman"/>
          <w:bCs/>
          <w:sz w:val="20"/>
          <w:szCs w:val="20"/>
        </w:rPr>
      </w:pPr>
    </w:p>
    <w:p w:rsidR="00AA7486" w:rsidRPr="008671E9" w:rsidRDefault="00AA7486" w:rsidP="00AA7486">
      <w:pPr>
        <w:pStyle w:val="ListParagraph"/>
        <w:ind w:left="0"/>
        <w:rPr>
          <w:rFonts w:cs="Times New Roman"/>
          <w:bCs/>
          <w:sz w:val="20"/>
          <w:szCs w:val="20"/>
        </w:rPr>
      </w:pPr>
    </w:p>
    <w:p w:rsidR="00AA7486" w:rsidRPr="008671E9" w:rsidRDefault="00AA7486" w:rsidP="00AA7486">
      <w:pPr>
        <w:pStyle w:val="ListParagraph"/>
        <w:ind w:left="0"/>
        <w:rPr>
          <w:rFonts w:cs="Times New Roman"/>
          <w:b/>
          <w:bCs/>
          <w:sz w:val="20"/>
          <w:szCs w:val="20"/>
          <w:lang w:val="fr-CA"/>
        </w:rPr>
      </w:pPr>
      <w:r w:rsidRPr="008671E9">
        <w:rPr>
          <w:rFonts w:cs="Times New Roman"/>
          <w:b/>
          <w:bCs/>
          <w:sz w:val="20"/>
          <w:szCs w:val="20"/>
          <w:lang w:val="fr-CA"/>
        </w:rPr>
        <w:t>IL EST ORDONNÉ CE QUI SUIT :</w:t>
      </w:r>
    </w:p>
    <w:p w:rsidR="00AA7486" w:rsidRPr="008671E9" w:rsidRDefault="00AA7486" w:rsidP="00AA7486">
      <w:pPr>
        <w:pStyle w:val="ListParagraph"/>
        <w:ind w:left="0"/>
        <w:rPr>
          <w:rFonts w:cs="Times New Roman"/>
          <w:bCs/>
          <w:sz w:val="20"/>
          <w:szCs w:val="20"/>
          <w:lang w:val="fr-CA"/>
        </w:rPr>
      </w:pPr>
    </w:p>
    <w:p w:rsidR="00AA7486" w:rsidRPr="008671E9" w:rsidRDefault="00AA7486" w:rsidP="00AA7486">
      <w:pPr>
        <w:pStyle w:val="ListParagraph"/>
        <w:widowControl w:val="0"/>
        <w:numPr>
          <w:ilvl w:val="0"/>
          <w:numId w:val="9"/>
        </w:numPr>
        <w:autoSpaceDE w:val="0"/>
        <w:autoSpaceDN w:val="0"/>
        <w:adjustRightInd w:val="0"/>
        <w:ind w:left="714" w:hanging="357"/>
        <w:contextualSpacing w:val="0"/>
        <w:jc w:val="both"/>
        <w:rPr>
          <w:rFonts w:cs="Times New Roman"/>
          <w:sz w:val="20"/>
          <w:szCs w:val="20"/>
          <w:lang w:val="fr-CA"/>
        </w:rPr>
      </w:pPr>
      <w:r w:rsidRPr="008671E9">
        <w:rPr>
          <w:rFonts w:cs="Times New Roman"/>
          <w:sz w:val="20"/>
          <w:szCs w:val="20"/>
          <w:lang w:val="fr-CA"/>
        </w:rPr>
        <w:t xml:space="preserve">Les appelants signifieront et déposeront leurs dossiers, mémoires et recueils de sources au plus tard le </w:t>
      </w:r>
      <w:r w:rsidRPr="008671E9">
        <w:rPr>
          <w:rFonts w:cs="Times New Roman"/>
          <w:sz w:val="20"/>
          <w:szCs w:val="20"/>
          <w:lang w:val="fr-CA"/>
        </w:rPr>
        <w:lastRenderedPageBreak/>
        <w:t>10 novembre 2014.</w:t>
      </w:r>
    </w:p>
    <w:p w:rsidR="00AA7486" w:rsidRPr="008671E9" w:rsidRDefault="00AA7486" w:rsidP="00AA7486">
      <w:pPr>
        <w:pStyle w:val="ListParagraph"/>
        <w:ind w:left="714"/>
        <w:contextualSpacing w:val="0"/>
        <w:rPr>
          <w:rFonts w:cs="Times New Roman"/>
          <w:sz w:val="20"/>
          <w:szCs w:val="20"/>
          <w:lang w:val="fr-CA"/>
        </w:rPr>
      </w:pPr>
    </w:p>
    <w:p w:rsidR="00AA7486" w:rsidRPr="008671E9" w:rsidRDefault="00AA7486" w:rsidP="00AA7486">
      <w:pPr>
        <w:pStyle w:val="ListParagraph"/>
        <w:widowControl w:val="0"/>
        <w:numPr>
          <w:ilvl w:val="0"/>
          <w:numId w:val="9"/>
        </w:numPr>
        <w:autoSpaceDE w:val="0"/>
        <w:autoSpaceDN w:val="0"/>
        <w:adjustRightInd w:val="0"/>
        <w:ind w:left="714" w:hanging="357"/>
        <w:contextualSpacing w:val="0"/>
        <w:jc w:val="both"/>
        <w:rPr>
          <w:rFonts w:cs="Times New Roman"/>
          <w:sz w:val="20"/>
          <w:szCs w:val="20"/>
          <w:lang w:val="fr-CA"/>
        </w:rPr>
      </w:pPr>
      <w:r w:rsidRPr="008671E9">
        <w:rPr>
          <w:rFonts w:cs="Times New Roman"/>
          <w:sz w:val="20"/>
          <w:szCs w:val="20"/>
          <w:lang w:val="fr-CA"/>
        </w:rPr>
        <w:t xml:space="preserve">Toute personne souhaitant intervenir dans l’appel en vertu de l’article 55 des </w:t>
      </w:r>
      <w:r w:rsidRPr="008671E9">
        <w:rPr>
          <w:rFonts w:cs="Times New Roman"/>
          <w:i/>
          <w:sz w:val="20"/>
          <w:szCs w:val="20"/>
          <w:lang w:val="fr-CA"/>
        </w:rPr>
        <w:t>Règles de la Cour suprême du Canada</w:t>
      </w:r>
      <w:r w:rsidRPr="008671E9">
        <w:rPr>
          <w:rFonts w:cs="Times New Roman"/>
          <w:sz w:val="20"/>
          <w:szCs w:val="20"/>
          <w:lang w:val="fr-CA"/>
        </w:rPr>
        <w:t xml:space="preserve"> signifiera et déposera une requête en intervention au plus tard le 1</w:t>
      </w:r>
      <w:r w:rsidRPr="008671E9">
        <w:rPr>
          <w:rFonts w:cs="Times New Roman"/>
          <w:sz w:val="20"/>
          <w:szCs w:val="20"/>
          <w:vertAlign w:val="superscript"/>
          <w:lang w:val="fr-CA"/>
        </w:rPr>
        <w:t>er</w:t>
      </w:r>
      <w:r w:rsidRPr="008671E9">
        <w:rPr>
          <w:rFonts w:cs="Times New Roman"/>
          <w:sz w:val="20"/>
          <w:szCs w:val="20"/>
          <w:lang w:val="fr-CA"/>
        </w:rPr>
        <w:t xml:space="preserve"> décembre 2014. </w:t>
      </w:r>
    </w:p>
    <w:p w:rsidR="00AA7486" w:rsidRPr="008671E9" w:rsidRDefault="00AA7486" w:rsidP="00AA7486">
      <w:pPr>
        <w:pStyle w:val="ListParagraph"/>
        <w:ind w:left="714"/>
        <w:contextualSpacing w:val="0"/>
        <w:rPr>
          <w:rFonts w:cs="Times New Roman"/>
          <w:sz w:val="20"/>
          <w:szCs w:val="20"/>
          <w:lang w:val="fr-CA"/>
        </w:rPr>
      </w:pPr>
    </w:p>
    <w:p w:rsidR="00AA7486" w:rsidRPr="008671E9" w:rsidRDefault="00AA7486" w:rsidP="00AA7486">
      <w:pPr>
        <w:pStyle w:val="ListParagraph"/>
        <w:widowControl w:val="0"/>
        <w:numPr>
          <w:ilvl w:val="0"/>
          <w:numId w:val="9"/>
        </w:numPr>
        <w:autoSpaceDE w:val="0"/>
        <w:autoSpaceDN w:val="0"/>
        <w:adjustRightInd w:val="0"/>
        <w:ind w:left="714" w:hanging="357"/>
        <w:contextualSpacing w:val="0"/>
        <w:jc w:val="both"/>
        <w:rPr>
          <w:rFonts w:cs="Times New Roman"/>
          <w:sz w:val="20"/>
          <w:szCs w:val="20"/>
          <w:lang w:val="fr-CA"/>
        </w:rPr>
      </w:pPr>
      <w:r w:rsidRPr="008671E9">
        <w:rPr>
          <w:rFonts w:cs="Times New Roman"/>
          <w:sz w:val="20"/>
          <w:szCs w:val="20"/>
          <w:lang w:val="fr-CA"/>
        </w:rPr>
        <w:t xml:space="preserve">Les appelants et les intimés signifieront et déposeront leurs réponses, s’il en est, aux requêtes en intervention au plus tard le 9 décembre 2014. </w:t>
      </w:r>
    </w:p>
    <w:p w:rsidR="00AA7486" w:rsidRPr="008671E9" w:rsidRDefault="00AA7486" w:rsidP="00AA7486">
      <w:pPr>
        <w:pStyle w:val="ListParagraph"/>
        <w:ind w:left="714"/>
        <w:contextualSpacing w:val="0"/>
        <w:rPr>
          <w:rFonts w:cs="Times New Roman"/>
          <w:sz w:val="20"/>
          <w:szCs w:val="20"/>
          <w:lang w:val="fr-CA"/>
        </w:rPr>
      </w:pPr>
    </w:p>
    <w:p w:rsidR="00AA7486" w:rsidRPr="008671E9" w:rsidRDefault="00AA7486" w:rsidP="00AA7486">
      <w:pPr>
        <w:pStyle w:val="ListParagraph"/>
        <w:widowControl w:val="0"/>
        <w:numPr>
          <w:ilvl w:val="0"/>
          <w:numId w:val="9"/>
        </w:numPr>
        <w:autoSpaceDE w:val="0"/>
        <w:autoSpaceDN w:val="0"/>
        <w:adjustRightInd w:val="0"/>
        <w:ind w:left="714" w:hanging="357"/>
        <w:contextualSpacing w:val="0"/>
        <w:jc w:val="both"/>
        <w:rPr>
          <w:rFonts w:cs="Times New Roman"/>
          <w:sz w:val="20"/>
          <w:szCs w:val="20"/>
          <w:lang w:val="fr-CA"/>
        </w:rPr>
      </w:pPr>
      <w:r w:rsidRPr="008671E9">
        <w:rPr>
          <w:rFonts w:cs="Times New Roman"/>
          <w:sz w:val="20"/>
          <w:szCs w:val="20"/>
          <w:lang w:val="fr-CA"/>
        </w:rPr>
        <w:t>Les requérants signifieront et déposeront leurs répliques aux réponses, s’il en est, aux requêtes en intervention au plus tard le 12 décembre 2014.</w:t>
      </w:r>
    </w:p>
    <w:p w:rsidR="00AA7486" w:rsidRPr="008671E9" w:rsidRDefault="00AA7486" w:rsidP="00AA7486">
      <w:pPr>
        <w:pStyle w:val="ListParagraph"/>
        <w:ind w:left="714"/>
        <w:contextualSpacing w:val="0"/>
        <w:rPr>
          <w:rFonts w:cs="Times New Roman"/>
          <w:sz w:val="20"/>
          <w:szCs w:val="20"/>
          <w:lang w:val="fr-CA"/>
        </w:rPr>
      </w:pPr>
    </w:p>
    <w:p w:rsidR="00AA7486" w:rsidRPr="008671E9" w:rsidRDefault="00AA7486" w:rsidP="00AA7486">
      <w:pPr>
        <w:pStyle w:val="ListParagraph"/>
        <w:widowControl w:val="0"/>
        <w:numPr>
          <w:ilvl w:val="0"/>
          <w:numId w:val="9"/>
        </w:numPr>
        <w:autoSpaceDE w:val="0"/>
        <w:autoSpaceDN w:val="0"/>
        <w:adjustRightInd w:val="0"/>
        <w:ind w:left="714" w:hanging="357"/>
        <w:contextualSpacing w:val="0"/>
        <w:jc w:val="both"/>
        <w:rPr>
          <w:rFonts w:cs="Times New Roman"/>
          <w:sz w:val="20"/>
          <w:szCs w:val="20"/>
          <w:lang w:val="fr-CA"/>
        </w:rPr>
      </w:pPr>
      <w:r w:rsidRPr="008671E9">
        <w:rPr>
          <w:rFonts w:cs="Times New Roman"/>
          <w:sz w:val="20"/>
          <w:szCs w:val="20"/>
          <w:lang w:val="fr-CA"/>
        </w:rPr>
        <w:t>Les intimés signifieront et déposeront leurs dossiers, mémoires et recueils de sources au plus tard le 12 janvier 2015.</w:t>
      </w:r>
    </w:p>
    <w:p w:rsidR="00AA7486" w:rsidRPr="008671E9" w:rsidRDefault="00AA7486" w:rsidP="00AA7486">
      <w:pPr>
        <w:pStyle w:val="ListParagraph"/>
        <w:ind w:left="714"/>
        <w:contextualSpacing w:val="0"/>
        <w:rPr>
          <w:rFonts w:cs="Times New Roman"/>
          <w:sz w:val="20"/>
          <w:szCs w:val="20"/>
          <w:lang w:val="fr-CA"/>
        </w:rPr>
      </w:pPr>
    </w:p>
    <w:p w:rsidR="00AA7486" w:rsidRPr="008671E9" w:rsidRDefault="00AA7486" w:rsidP="00AA7486">
      <w:pPr>
        <w:pStyle w:val="ListParagraph"/>
        <w:widowControl w:val="0"/>
        <w:numPr>
          <w:ilvl w:val="0"/>
          <w:numId w:val="9"/>
        </w:numPr>
        <w:autoSpaceDE w:val="0"/>
        <w:autoSpaceDN w:val="0"/>
        <w:adjustRightInd w:val="0"/>
        <w:ind w:left="714" w:hanging="357"/>
        <w:contextualSpacing w:val="0"/>
        <w:jc w:val="both"/>
        <w:rPr>
          <w:rFonts w:cs="Times New Roman"/>
          <w:sz w:val="20"/>
          <w:szCs w:val="20"/>
          <w:lang w:val="fr-CA"/>
        </w:rPr>
      </w:pPr>
      <w:r w:rsidRPr="008671E9">
        <w:rPr>
          <w:rFonts w:cs="Times New Roman"/>
          <w:bCs/>
          <w:sz w:val="20"/>
          <w:szCs w:val="20"/>
          <w:lang w:val="fr-CA"/>
        </w:rPr>
        <w:t xml:space="preserve">Les intervenants autorisés à intervenir dans l’appel en application de l’article 59 des </w:t>
      </w:r>
      <w:r w:rsidRPr="008671E9">
        <w:rPr>
          <w:rFonts w:cs="Times New Roman"/>
          <w:bCs/>
          <w:i/>
          <w:sz w:val="20"/>
          <w:szCs w:val="20"/>
          <w:lang w:val="fr-CA"/>
        </w:rPr>
        <w:t>Règles de la Cour suprême du Canada</w:t>
      </w:r>
      <w:r w:rsidRPr="008671E9">
        <w:rPr>
          <w:rFonts w:cs="Times New Roman"/>
          <w:bCs/>
          <w:sz w:val="20"/>
          <w:szCs w:val="20"/>
          <w:lang w:val="fr-CA"/>
        </w:rPr>
        <w:t xml:space="preserve"> signifieront et déposeront leurs mémoires et leurs recueils de sources au plus tard le 26 janvier 2015.</w:t>
      </w:r>
    </w:p>
    <w:p w:rsidR="00AA7486" w:rsidRPr="008671E9" w:rsidRDefault="00AA7486" w:rsidP="00AA7486">
      <w:pPr>
        <w:tabs>
          <w:tab w:val="left" w:pos="-1440"/>
          <w:tab w:val="left" w:pos="-720"/>
        </w:tabs>
        <w:jc w:val="both"/>
        <w:rPr>
          <w:sz w:val="20"/>
          <w:szCs w:val="20"/>
          <w:lang w:val="fr-CA"/>
        </w:rPr>
      </w:pPr>
    </w:p>
    <w:p w:rsidR="00AA7486" w:rsidRPr="008671E9" w:rsidRDefault="00714478" w:rsidP="00AA7486">
      <w:pPr>
        <w:tabs>
          <w:tab w:val="left" w:pos="-1440"/>
          <w:tab w:val="left" w:pos="-720"/>
        </w:tabs>
        <w:jc w:val="both"/>
        <w:rPr>
          <w:sz w:val="20"/>
          <w:szCs w:val="20"/>
        </w:rPr>
      </w:pPr>
      <w:r>
        <w:rPr>
          <w:sz w:val="20"/>
          <w:szCs w:val="20"/>
          <w:lang w:val="fr-CA"/>
        </w:rPr>
        <w:pict>
          <v:rect id="_x0000_i1072" style="width:2in;height:1pt" o:hrpct="0" o:hralign="center" o:hrstd="t" o:hrnoshade="t" o:hr="t" fillcolor="black [3213]" stroked="f"/>
        </w:pict>
      </w:r>
    </w:p>
    <w:p w:rsidR="00AA7486" w:rsidRPr="008671E9" w:rsidRDefault="00AA7486" w:rsidP="00AA7486">
      <w:pPr>
        <w:tabs>
          <w:tab w:val="left" w:pos="-1440"/>
          <w:tab w:val="left" w:pos="-720"/>
        </w:tabs>
        <w:jc w:val="both"/>
        <w:rPr>
          <w:sz w:val="20"/>
          <w:szCs w:val="20"/>
        </w:rPr>
      </w:pPr>
    </w:p>
    <w:p w:rsidR="00AA7486" w:rsidRPr="008671E9" w:rsidRDefault="00AA7486" w:rsidP="00AA7486">
      <w:pPr>
        <w:tabs>
          <w:tab w:val="left" w:pos="-1440"/>
          <w:tab w:val="left" w:pos="-720"/>
        </w:tabs>
        <w:jc w:val="both"/>
        <w:rPr>
          <w:sz w:val="20"/>
          <w:szCs w:val="20"/>
          <w:lang w:val="fr-CA"/>
        </w:rPr>
      </w:pPr>
      <w:r w:rsidRPr="008671E9">
        <w:rPr>
          <w:sz w:val="20"/>
          <w:szCs w:val="20"/>
          <w:lang w:val="fr-CA"/>
        </w:rPr>
        <w:t>10.10.2014</w:t>
      </w:r>
    </w:p>
    <w:p w:rsidR="00AA7486" w:rsidRPr="008671E9" w:rsidRDefault="00AA7486" w:rsidP="00AA7486">
      <w:pPr>
        <w:tabs>
          <w:tab w:val="left" w:pos="-1440"/>
          <w:tab w:val="left" w:pos="-720"/>
        </w:tabs>
        <w:jc w:val="both"/>
        <w:rPr>
          <w:sz w:val="20"/>
          <w:szCs w:val="20"/>
          <w:lang w:val="fr-CA"/>
        </w:rPr>
      </w:pPr>
    </w:p>
    <w:p w:rsidR="00AA7486" w:rsidRPr="008671E9" w:rsidRDefault="00AA7486" w:rsidP="00AA7486">
      <w:pPr>
        <w:tabs>
          <w:tab w:val="left" w:pos="-1440"/>
          <w:tab w:val="left" w:pos="-720"/>
        </w:tabs>
        <w:jc w:val="both"/>
        <w:rPr>
          <w:sz w:val="20"/>
          <w:szCs w:val="20"/>
          <w:lang w:val="fr-CA"/>
        </w:rPr>
      </w:pPr>
      <w:r w:rsidRPr="008671E9">
        <w:rPr>
          <w:sz w:val="20"/>
          <w:szCs w:val="20"/>
          <w:lang w:val="fr-CA"/>
        </w:rPr>
        <w:t>Before / Devant :   KARAKATSANIS J. / LA JUGE KARAKATSANIS</w:t>
      </w:r>
    </w:p>
    <w:p w:rsidR="00AA7486" w:rsidRPr="008671E9" w:rsidRDefault="00AA7486" w:rsidP="00AA748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A7486" w:rsidRPr="008671E9" w:rsidTr="00E33C9D">
        <w:trPr>
          <w:trHeight w:val="151"/>
        </w:trPr>
        <w:tc>
          <w:tcPr>
            <w:tcW w:w="4338" w:type="dxa"/>
          </w:tcPr>
          <w:p w:rsidR="00AA7486" w:rsidRPr="008671E9" w:rsidRDefault="00A4467E" w:rsidP="00E33C9D">
            <w:pPr>
              <w:tabs>
                <w:tab w:val="left" w:pos="-1440"/>
                <w:tab w:val="left" w:pos="-720"/>
              </w:tabs>
              <w:jc w:val="both"/>
              <w:rPr>
                <w:sz w:val="20"/>
                <w:szCs w:val="20"/>
                <w:lang w:val="fr-CA"/>
              </w:rPr>
            </w:pP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r w:rsidR="00AA7486" w:rsidRPr="008671E9">
              <w:rPr>
                <w:b/>
                <w:bCs/>
                <w:sz w:val="20"/>
                <w:szCs w:val="20"/>
                <w:lang w:val="fr-CA"/>
              </w:rPr>
              <w:t>Motion to extend time</w:t>
            </w:r>
          </w:p>
          <w:p w:rsidR="00AA7486" w:rsidRPr="008671E9" w:rsidRDefault="00A4467E" w:rsidP="00E33C9D">
            <w:pPr>
              <w:tabs>
                <w:tab w:val="left" w:pos="-1440"/>
                <w:tab w:val="left" w:pos="-720"/>
              </w:tabs>
              <w:jc w:val="both"/>
              <w:rPr>
                <w:sz w:val="20"/>
                <w:szCs w:val="20"/>
                <w:lang w:val="fr-CA"/>
              </w:rPr>
            </w:pP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p>
        </w:tc>
        <w:tc>
          <w:tcPr>
            <w:tcW w:w="1170" w:type="dxa"/>
          </w:tcPr>
          <w:p w:rsidR="00AA7486" w:rsidRPr="008671E9" w:rsidRDefault="00AA7486" w:rsidP="00E33C9D">
            <w:pPr>
              <w:jc w:val="both"/>
              <w:rPr>
                <w:sz w:val="20"/>
                <w:szCs w:val="20"/>
                <w:lang w:val="fr-CA"/>
              </w:rPr>
            </w:pPr>
          </w:p>
          <w:p w:rsidR="00AA7486" w:rsidRPr="008671E9" w:rsidRDefault="00AA7486" w:rsidP="00E33C9D">
            <w:pPr>
              <w:jc w:val="both"/>
              <w:rPr>
                <w:sz w:val="20"/>
                <w:szCs w:val="20"/>
                <w:lang w:val="fr-CA"/>
              </w:rPr>
            </w:pPr>
          </w:p>
        </w:tc>
        <w:tc>
          <w:tcPr>
            <w:tcW w:w="4327" w:type="dxa"/>
          </w:tcPr>
          <w:p w:rsidR="00AA7486" w:rsidRPr="008671E9" w:rsidRDefault="00AA7486" w:rsidP="00E33C9D">
            <w:pPr>
              <w:jc w:val="both"/>
              <w:rPr>
                <w:b/>
                <w:sz w:val="20"/>
                <w:szCs w:val="20"/>
                <w:lang w:val="fr-CA"/>
              </w:rPr>
            </w:pPr>
            <w:r w:rsidRPr="008671E9">
              <w:rPr>
                <w:b/>
                <w:bCs/>
                <w:color w:val="000000"/>
                <w:sz w:val="20"/>
                <w:szCs w:val="20"/>
                <w:lang w:val="fr-CA"/>
              </w:rPr>
              <w:t>Requête en prorogation de délai</w:t>
            </w:r>
          </w:p>
          <w:p w:rsidR="00AA7486" w:rsidRPr="008671E9" w:rsidRDefault="00A4467E" w:rsidP="00E33C9D">
            <w:pPr>
              <w:jc w:val="both"/>
              <w:rPr>
                <w:b/>
                <w:sz w:val="20"/>
                <w:szCs w:val="20"/>
                <w:lang w:val="fr-CA"/>
              </w:rPr>
            </w:pPr>
            <w:r w:rsidRPr="008671E9">
              <w:rPr>
                <w:b/>
                <w:sz w:val="20"/>
                <w:szCs w:val="20"/>
              </w:rPr>
              <w:fldChar w:fldCharType="begin"/>
            </w:r>
            <w:r w:rsidR="00AA7486" w:rsidRPr="008671E9">
              <w:rPr>
                <w:b/>
                <w:sz w:val="20"/>
                <w:szCs w:val="20"/>
                <w:lang w:val="fr-CA"/>
              </w:rPr>
              <w:instrText xml:space="preserve"> SEQ CHAPTER \h \r 1</w:instrText>
            </w:r>
            <w:r w:rsidRPr="008671E9">
              <w:rPr>
                <w:b/>
                <w:sz w:val="20"/>
                <w:szCs w:val="20"/>
              </w:rPr>
              <w:fldChar w:fldCharType="end"/>
            </w:r>
            <w:r w:rsidRPr="008671E9">
              <w:rPr>
                <w:b/>
                <w:sz w:val="20"/>
                <w:szCs w:val="20"/>
              </w:rPr>
              <w:fldChar w:fldCharType="begin"/>
            </w:r>
            <w:r w:rsidR="00AA7486" w:rsidRPr="008671E9">
              <w:rPr>
                <w:b/>
                <w:sz w:val="20"/>
                <w:szCs w:val="20"/>
                <w:lang w:val="fr-CA"/>
              </w:rPr>
              <w:instrText xml:space="preserve"> SEQ CHAPTER \h \r 1</w:instrText>
            </w:r>
            <w:r w:rsidRPr="008671E9">
              <w:rPr>
                <w:b/>
                <w:sz w:val="20"/>
                <w:szCs w:val="20"/>
              </w:rPr>
              <w:fldChar w:fldCharType="end"/>
            </w:r>
          </w:p>
        </w:tc>
      </w:tr>
      <w:tr w:rsidR="00AA7486" w:rsidRPr="008671E9" w:rsidTr="00E33C9D">
        <w:trPr>
          <w:trHeight w:val="150"/>
        </w:trPr>
        <w:tc>
          <w:tcPr>
            <w:tcW w:w="4338" w:type="dxa"/>
          </w:tcPr>
          <w:p w:rsidR="00AA7486" w:rsidRPr="008671E9" w:rsidRDefault="00AA7486" w:rsidP="00E33C9D">
            <w:pPr>
              <w:tabs>
                <w:tab w:val="left" w:pos="-1440"/>
                <w:tab w:val="left" w:pos="-720"/>
              </w:tabs>
              <w:jc w:val="both"/>
              <w:rPr>
                <w:sz w:val="20"/>
                <w:szCs w:val="20"/>
              </w:rPr>
            </w:pPr>
            <w:r w:rsidRPr="008671E9">
              <w:rPr>
                <w:sz w:val="20"/>
                <w:szCs w:val="20"/>
              </w:rPr>
              <w:t>Abdikarim Hilowle</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ab/>
              <w:t>v. (36062)</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Her Majesty the Queen (Crim.) (Sask.)</w:t>
            </w:r>
          </w:p>
        </w:tc>
        <w:tc>
          <w:tcPr>
            <w:tcW w:w="1170" w:type="dxa"/>
          </w:tcPr>
          <w:p w:rsidR="00AA7486" w:rsidRPr="008671E9" w:rsidRDefault="00AA7486" w:rsidP="00E33C9D">
            <w:pPr>
              <w:jc w:val="both"/>
              <w:rPr>
                <w:sz w:val="20"/>
                <w:szCs w:val="20"/>
              </w:rPr>
            </w:pPr>
          </w:p>
        </w:tc>
        <w:tc>
          <w:tcPr>
            <w:tcW w:w="4327" w:type="dxa"/>
          </w:tcPr>
          <w:p w:rsidR="00AA7486" w:rsidRPr="008671E9" w:rsidRDefault="00AA7486" w:rsidP="00E33C9D">
            <w:pPr>
              <w:jc w:val="both"/>
              <w:rPr>
                <w:sz w:val="20"/>
                <w:szCs w:val="20"/>
              </w:rPr>
            </w:pPr>
          </w:p>
        </w:tc>
      </w:tr>
    </w:tbl>
    <w:p w:rsidR="00AA7486" w:rsidRPr="008671E9" w:rsidRDefault="00AA7486" w:rsidP="00AA7486">
      <w:pPr>
        <w:tabs>
          <w:tab w:val="left" w:pos="-1440"/>
          <w:tab w:val="left" w:pos="-720"/>
        </w:tabs>
        <w:jc w:val="both"/>
        <w:rPr>
          <w:sz w:val="20"/>
          <w:szCs w:val="20"/>
        </w:rPr>
      </w:pPr>
    </w:p>
    <w:p w:rsidR="00AA7486" w:rsidRPr="008671E9" w:rsidRDefault="00AA7486" w:rsidP="00AA7486">
      <w:pPr>
        <w:tabs>
          <w:tab w:val="left" w:pos="-1440"/>
          <w:tab w:val="left" w:pos="-720"/>
        </w:tabs>
        <w:jc w:val="both"/>
        <w:rPr>
          <w:sz w:val="20"/>
          <w:szCs w:val="20"/>
        </w:rPr>
      </w:pPr>
      <w:r w:rsidRPr="008671E9">
        <w:rPr>
          <w:b/>
          <w:sz w:val="20"/>
          <w:szCs w:val="20"/>
        </w:rPr>
        <w:t>GRANTED / ACCORDÉE</w:t>
      </w:r>
    </w:p>
    <w:p w:rsidR="00AA7486" w:rsidRPr="008671E9" w:rsidRDefault="00AA7486" w:rsidP="00AA7486">
      <w:pPr>
        <w:tabs>
          <w:tab w:val="left" w:pos="-1440"/>
          <w:tab w:val="left" w:pos="-720"/>
        </w:tabs>
        <w:jc w:val="both"/>
        <w:rPr>
          <w:sz w:val="20"/>
          <w:szCs w:val="20"/>
        </w:rPr>
      </w:pPr>
    </w:p>
    <w:p w:rsidR="00AA7486" w:rsidRPr="008671E9" w:rsidRDefault="00AA7486" w:rsidP="00AA7486">
      <w:pPr>
        <w:spacing w:line="233" w:lineRule="auto"/>
        <w:jc w:val="both"/>
        <w:rPr>
          <w:sz w:val="20"/>
          <w:szCs w:val="20"/>
        </w:rPr>
      </w:pPr>
      <w:r w:rsidRPr="008671E9">
        <w:rPr>
          <w:b/>
          <w:sz w:val="20"/>
          <w:szCs w:val="20"/>
        </w:rPr>
        <w:t>UPON APPLICATION</w:t>
      </w:r>
      <w:r w:rsidRPr="008671E9">
        <w:rPr>
          <w:sz w:val="20"/>
          <w:szCs w:val="20"/>
        </w:rPr>
        <w:t xml:space="preserve"> made on behalf of the applicant for an order to extend the time to serve and file his application for leave to appeal to 10 days after the decision of the Saskatchewan</w:t>
      </w:r>
    </w:p>
    <w:p w:rsidR="00AA7486" w:rsidRPr="008671E9" w:rsidRDefault="00AA7486" w:rsidP="00AA7486">
      <w:pPr>
        <w:spacing w:line="233" w:lineRule="auto"/>
        <w:jc w:val="both"/>
        <w:rPr>
          <w:sz w:val="20"/>
          <w:szCs w:val="20"/>
        </w:rPr>
      </w:pPr>
      <w:r w:rsidRPr="008671E9">
        <w:rPr>
          <w:sz w:val="20"/>
          <w:szCs w:val="20"/>
        </w:rPr>
        <w:t>Court of Appeal on the Motion for Re-Hearing;</w:t>
      </w:r>
    </w:p>
    <w:p w:rsidR="00AA7486" w:rsidRPr="008671E9" w:rsidRDefault="00AA7486" w:rsidP="00AA7486">
      <w:pPr>
        <w:spacing w:line="233" w:lineRule="auto"/>
        <w:jc w:val="both"/>
        <w:rPr>
          <w:sz w:val="20"/>
          <w:szCs w:val="20"/>
        </w:rPr>
      </w:pPr>
    </w:p>
    <w:p w:rsidR="00AA7486" w:rsidRPr="008671E9" w:rsidRDefault="00AA7486" w:rsidP="00AA7486">
      <w:pPr>
        <w:spacing w:line="233" w:lineRule="auto"/>
        <w:jc w:val="both"/>
        <w:rPr>
          <w:sz w:val="20"/>
          <w:szCs w:val="20"/>
        </w:rPr>
      </w:pPr>
      <w:r w:rsidRPr="008671E9">
        <w:rPr>
          <w:b/>
          <w:bCs/>
          <w:sz w:val="20"/>
          <w:szCs w:val="20"/>
        </w:rPr>
        <w:t>AND THE MATERIAL FILED</w:t>
      </w:r>
      <w:r w:rsidRPr="008671E9">
        <w:rPr>
          <w:sz w:val="20"/>
          <w:szCs w:val="20"/>
        </w:rPr>
        <w:t xml:space="preserve"> having been read;</w:t>
      </w:r>
    </w:p>
    <w:p w:rsidR="00AA7486" w:rsidRPr="008671E9" w:rsidRDefault="00AA7486" w:rsidP="00AA7486">
      <w:pPr>
        <w:spacing w:line="233" w:lineRule="auto"/>
        <w:jc w:val="both"/>
        <w:rPr>
          <w:sz w:val="20"/>
          <w:szCs w:val="20"/>
        </w:rPr>
      </w:pPr>
    </w:p>
    <w:p w:rsidR="00AA7486" w:rsidRPr="008671E9" w:rsidRDefault="00AA7486" w:rsidP="00AA7486">
      <w:pPr>
        <w:spacing w:line="233" w:lineRule="auto"/>
        <w:jc w:val="both"/>
        <w:rPr>
          <w:b/>
          <w:bCs/>
          <w:sz w:val="20"/>
          <w:szCs w:val="20"/>
        </w:rPr>
      </w:pPr>
      <w:r w:rsidRPr="008671E9">
        <w:rPr>
          <w:b/>
          <w:bCs/>
          <w:sz w:val="20"/>
          <w:szCs w:val="20"/>
        </w:rPr>
        <w:t>IT IS HEREBY ORDERED THAT:</w:t>
      </w:r>
    </w:p>
    <w:p w:rsidR="00AA7486" w:rsidRPr="008671E9" w:rsidRDefault="00AA7486" w:rsidP="00AA7486">
      <w:pPr>
        <w:spacing w:line="233" w:lineRule="auto"/>
        <w:jc w:val="both"/>
        <w:rPr>
          <w:b/>
          <w:bCs/>
          <w:sz w:val="20"/>
          <w:szCs w:val="20"/>
        </w:rPr>
      </w:pPr>
    </w:p>
    <w:p w:rsidR="00AA7486" w:rsidRPr="008671E9" w:rsidRDefault="00AA7486" w:rsidP="00AA7486">
      <w:pPr>
        <w:ind w:left="720"/>
        <w:jc w:val="both"/>
        <w:rPr>
          <w:sz w:val="20"/>
          <w:szCs w:val="20"/>
          <w:lang w:val="fr-CA"/>
        </w:rPr>
      </w:pPr>
      <w:r w:rsidRPr="008671E9">
        <w:rPr>
          <w:sz w:val="20"/>
          <w:szCs w:val="20"/>
          <w:lang w:val="fr-CA"/>
        </w:rPr>
        <w:t xml:space="preserve">The motion is granted. </w:t>
      </w:r>
    </w:p>
    <w:p w:rsidR="00AA7486" w:rsidRPr="008671E9" w:rsidRDefault="00AA7486" w:rsidP="00AA7486">
      <w:pPr>
        <w:spacing w:line="233" w:lineRule="auto"/>
        <w:jc w:val="both"/>
        <w:rPr>
          <w:sz w:val="20"/>
          <w:szCs w:val="20"/>
          <w:lang w:val="fr-CA"/>
        </w:rPr>
      </w:pPr>
    </w:p>
    <w:p w:rsidR="00AA7486" w:rsidRPr="008671E9" w:rsidRDefault="00AA7486" w:rsidP="00AA7486">
      <w:pPr>
        <w:spacing w:line="233" w:lineRule="auto"/>
        <w:jc w:val="both"/>
        <w:rPr>
          <w:sz w:val="20"/>
          <w:szCs w:val="20"/>
          <w:lang w:val="fr-CA"/>
        </w:rPr>
      </w:pPr>
    </w:p>
    <w:p w:rsidR="00AA7486" w:rsidRPr="008671E9" w:rsidRDefault="00AA7486" w:rsidP="00AA7486">
      <w:pPr>
        <w:spacing w:line="233" w:lineRule="auto"/>
        <w:jc w:val="both"/>
        <w:rPr>
          <w:sz w:val="20"/>
          <w:szCs w:val="20"/>
          <w:lang w:val="fr-CA"/>
        </w:rPr>
      </w:pPr>
    </w:p>
    <w:p w:rsidR="00AA7486" w:rsidRPr="008671E9" w:rsidRDefault="00AA7486" w:rsidP="00AA7486">
      <w:pPr>
        <w:spacing w:line="233" w:lineRule="auto"/>
        <w:jc w:val="both"/>
        <w:rPr>
          <w:sz w:val="20"/>
          <w:szCs w:val="20"/>
          <w:lang w:val="fr-CA"/>
        </w:rPr>
      </w:pPr>
      <w:r w:rsidRPr="008671E9">
        <w:rPr>
          <w:b/>
          <w:sz w:val="20"/>
          <w:szCs w:val="20"/>
          <w:lang w:val="fr-CA"/>
        </w:rPr>
        <w:t>À LA SUITE DE LA DEMANDE</w:t>
      </w:r>
      <w:r w:rsidRPr="008671E9">
        <w:rPr>
          <w:sz w:val="20"/>
          <w:szCs w:val="20"/>
          <w:lang w:val="fr-CA"/>
        </w:rPr>
        <w:t xml:space="preserve"> présentée au nom du demandeur pour obtenir la prorogation du délai pour signifier et déposer la demande d’autorisation d’appel jusqu’au dixième jour suivant la date de la décision de la Cour d’appel de la Saskatchewan sur la requête en nouvelle audition;</w:t>
      </w:r>
    </w:p>
    <w:p w:rsidR="00AA7486" w:rsidRPr="008671E9" w:rsidRDefault="00AA7486" w:rsidP="00AA7486">
      <w:pPr>
        <w:spacing w:line="233" w:lineRule="auto"/>
        <w:jc w:val="both"/>
        <w:rPr>
          <w:sz w:val="20"/>
          <w:szCs w:val="20"/>
          <w:lang w:val="fr-CA"/>
        </w:rPr>
      </w:pPr>
    </w:p>
    <w:p w:rsidR="00AA7486" w:rsidRPr="008671E9" w:rsidRDefault="00AA7486" w:rsidP="00AA7486">
      <w:pPr>
        <w:spacing w:line="233" w:lineRule="auto"/>
        <w:jc w:val="both"/>
        <w:rPr>
          <w:sz w:val="20"/>
          <w:szCs w:val="20"/>
          <w:lang w:val="fr-CA"/>
        </w:rPr>
      </w:pPr>
      <w:r w:rsidRPr="008671E9">
        <w:rPr>
          <w:b/>
          <w:bCs/>
          <w:sz w:val="20"/>
          <w:szCs w:val="20"/>
          <w:lang w:val="fr-CA"/>
        </w:rPr>
        <w:t>ET APRÈS EXAMEN</w:t>
      </w:r>
      <w:r w:rsidRPr="008671E9">
        <w:rPr>
          <w:sz w:val="20"/>
          <w:szCs w:val="20"/>
          <w:lang w:val="fr-CA"/>
        </w:rPr>
        <w:t xml:space="preserve"> des documents déposés;</w:t>
      </w:r>
    </w:p>
    <w:p w:rsidR="00AA7486" w:rsidRPr="008671E9" w:rsidRDefault="00AA7486" w:rsidP="00AA7486">
      <w:pPr>
        <w:spacing w:line="233" w:lineRule="auto"/>
        <w:jc w:val="both"/>
        <w:rPr>
          <w:sz w:val="20"/>
          <w:szCs w:val="20"/>
          <w:lang w:val="fr-CA"/>
        </w:rPr>
      </w:pPr>
    </w:p>
    <w:p w:rsidR="00AA7486" w:rsidRDefault="00AA7486" w:rsidP="00AA7486">
      <w:pPr>
        <w:rPr>
          <w:b/>
          <w:bCs/>
          <w:sz w:val="20"/>
          <w:szCs w:val="20"/>
          <w:lang w:val="fr-CA"/>
        </w:rPr>
      </w:pPr>
      <w:r>
        <w:rPr>
          <w:b/>
          <w:bCs/>
          <w:sz w:val="20"/>
          <w:szCs w:val="20"/>
          <w:lang w:val="fr-CA"/>
        </w:rPr>
        <w:br w:type="page"/>
      </w:r>
    </w:p>
    <w:p w:rsidR="00AA7486" w:rsidRPr="008671E9" w:rsidRDefault="00AA7486" w:rsidP="00AA7486">
      <w:pPr>
        <w:spacing w:line="233" w:lineRule="auto"/>
        <w:jc w:val="both"/>
        <w:rPr>
          <w:b/>
          <w:bCs/>
          <w:sz w:val="20"/>
          <w:szCs w:val="20"/>
          <w:lang w:val="fr-CA"/>
        </w:rPr>
      </w:pPr>
      <w:r w:rsidRPr="008671E9">
        <w:rPr>
          <w:b/>
          <w:bCs/>
          <w:sz w:val="20"/>
          <w:szCs w:val="20"/>
          <w:lang w:val="fr-CA"/>
        </w:rPr>
        <w:lastRenderedPageBreak/>
        <w:t>IL EST ORDONNÉ CE QUI SUIT :</w:t>
      </w:r>
    </w:p>
    <w:p w:rsidR="00AA7486" w:rsidRPr="008671E9" w:rsidRDefault="00AA7486" w:rsidP="00AA7486">
      <w:pPr>
        <w:spacing w:line="233" w:lineRule="auto"/>
        <w:jc w:val="both"/>
        <w:rPr>
          <w:b/>
          <w:bCs/>
          <w:sz w:val="20"/>
          <w:szCs w:val="20"/>
          <w:lang w:val="fr-CA"/>
        </w:rPr>
      </w:pPr>
    </w:p>
    <w:p w:rsidR="00AA7486" w:rsidRPr="008671E9" w:rsidRDefault="00AA7486" w:rsidP="00AA7486">
      <w:pPr>
        <w:ind w:left="720"/>
        <w:jc w:val="both"/>
        <w:rPr>
          <w:sz w:val="20"/>
          <w:szCs w:val="20"/>
          <w:lang w:val="fr-CA"/>
        </w:rPr>
      </w:pPr>
      <w:r w:rsidRPr="008671E9">
        <w:rPr>
          <w:sz w:val="20"/>
          <w:szCs w:val="20"/>
          <w:lang w:val="fr-CA"/>
        </w:rPr>
        <w:t xml:space="preserve">La requête est accueillie. </w:t>
      </w:r>
    </w:p>
    <w:p w:rsidR="00AA7486" w:rsidRPr="008671E9" w:rsidRDefault="00AA7486" w:rsidP="00AA7486">
      <w:pPr>
        <w:tabs>
          <w:tab w:val="left" w:pos="-1440"/>
          <w:tab w:val="left" w:pos="-720"/>
        </w:tabs>
        <w:jc w:val="both"/>
        <w:rPr>
          <w:sz w:val="20"/>
          <w:szCs w:val="20"/>
        </w:rPr>
      </w:pPr>
    </w:p>
    <w:p w:rsidR="00AA7486" w:rsidRPr="008671E9" w:rsidRDefault="00714478" w:rsidP="00AA7486">
      <w:pPr>
        <w:tabs>
          <w:tab w:val="left" w:pos="-1440"/>
          <w:tab w:val="left" w:pos="-720"/>
        </w:tabs>
        <w:jc w:val="both"/>
        <w:rPr>
          <w:sz w:val="20"/>
          <w:szCs w:val="20"/>
        </w:rPr>
      </w:pPr>
      <w:r>
        <w:rPr>
          <w:sz w:val="20"/>
          <w:szCs w:val="20"/>
          <w:lang w:val="fr-CA"/>
        </w:rPr>
        <w:pict>
          <v:rect id="_x0000_i1073" style="width:2in;height:1pt" o:hrpct="0" o:hralign="center" o:hrstd="t" o:hrnoshade="t" o:hr="t" fillcolor="black [3213]" stroked="f"/>
        </w:pict>
      </w:r>
    </w:p>
    <w:p w:rsidR="00AA7486" w:rsidRPr="008671E9" w:rsidRDefault="00AA7486" w:rsidP="00AA7486">
      <w:pPr>
        <w:tabs>
          <w:tab w:val="left" w:pos="-1440"/>
          <w:tab w:val="left" w:pos="-720"/>
        </w:tabs>
        <w:jc w:val="both"/>
        <w:rPr>
          <w:sz w:val="20"/>
          <w:szCs w:val="20"/>
        </w:rPr>
      </w:pPr>
    </w:p>
    <w:p w:rsidR="00AA7486" w:rsidRPr="008671E9" w:rsidRDefault="00AA7486" w:rsidP="00AA7486">
      <w:pPr>
        <w:tabs>
          <w:tab w:val="left" w:pos="-1440"/>
          <w:tab w:val="left" w:pos="-720"/>
        </w:tabs>
        <w:jc w:val="both"/>
        <w:rPr>
          <w:sz w:val="20"/>
          <w:szCs w:val="20"/>
          <w:lang w:val="fr-CA"/>
        </w:rPr>
      </w:pPr>
      <w:r w:rsidRPr="008671E9">
        <w:rPr>
          <w:sz w:val="20"/>
          <w:szCs w:val="20"/>
          <w:lang w:val="fr-CA"/>
        </w:rPr>
        <w:t>14.10.2014</w:t>
      </w:r>
    </w:p>
    <w:p w:rsidR="00AA7486" w:rsidRPr="008671E9" w:rsidRDefault="00AA7486" w:rsidP="00AA7486">
      <w:pPr>
        <w:tabs>
          <w:tab w:val="left" w:pos="-1440"/>
          <w:tab w:val="left" w:pos="-720"/>
        </w:tabs>
        <w:jc w:val="both"/>
        <w:rPr>
          <w:sz w:val="20"/>
          <w:szCs w:val="20"/>
          <w:lang w:val="fr-CA"/>
        </w:rPr>
      </w:pPr>
    </w:p>
    <w:p w:rsidR="00AA7486" w:rsidRPr="008671E9" w:rsidRDefault="00AA7486" w:rsidP="00AA7486">
      <w:pPr>
        <w:tabs>
          <w:tab w:val="left" w:pos="-1440"/>
          <w:tab w:val="left" w:pos="-720"/>
        </w:tabs>
        <w:jc w:val="both"/>
        <w:rPr>
          <w:sz w:val="20"/>
          <w:szCs w:val="20"/>
          <w:lang w:val="fr-CA"/>
        </w:rPr>
      </w:pPr>
      <w:r w:rsidRPr="008671E9">
        <w:rPr>
          <w:sz w:val="20"/>
          <w:szCs w:val="20"/>
          <w:lang w:val="fr-CA"/>
        </w:rPr>
        <w:t>Before / Devant :   THE CHIEF JUSTICE / LA JUGE EN CHEF</w:t>
      </w:r>
    </w:p>
    <w:p w:rsidR="00AA7486" w:rsidRPr="008671E9" w:rsidRDefault="00AA7486" w:rsidP="00AA748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A7486" w:rsidRPr="008671E9" w:rsidTr="00E33C9D">
        <w:tc>
          <w:tcPr>
            <w:tcW w:w="4338" w:type="dxa"/>
          </w:tcPr>
          <w:p w:rsidR="00AA7486" w:rsidRPr="008671E9" w:rsidRDefault="00A4467E" w:rsidP="00E33C9D">
            <w:pPr>
              <w:tabs>
                <w:tab w:val="left" w:pos="-1440"/>
                <w:tab w:val="left" w:pos="-720"/>
              </w:tabs>
              <w:jc w:val="both"/>
              <w:rPr>
                <w:b/>
                <w:sz w:val="20"/>
                <w:szCs w:val="20"/>
              </w:rPr>
            </w:pPr>
            <w:r w:rsidRPr="008671E9">
              <w:rPr>
                <w:sz w:val="20"/>
                <w:szCs w:val="20"/>
              </w:rPr>
              <w:fldChar w:fldCharType="begin"/>
            </w:r>
            <w:r w:rsidR="00AA7486" w:rsidRPr="008671E9">
              <w:rPr>
                <w:sz w:val="20"/>
                <w:szCs w:val="20"/>
              </w:rPr>
              <w:instrText xml:space="preserve"> SEQ CHAPTER \h \r 1</w:instrText>
            </w:r>
            <w:r w:rsidRPr="008671E9">
              <w:rPr>
                <w:sz w:val="20"/>
                <w:szCs w:val="20"/>
              </w:rPr>
              <w:fldChar w:fldCharType="end"/>
            </w:r>
            <w:r w:rsidR="00AA7486" w:rsidRPr="008671E9">
              <w:rPr>
                <w:b/>
                <w:bCs/>
                <w:sz w:val="20"/>
                <w:szCs w:val="20"/>
              </w:rPr>
              <w:t xml:space="preserve">Order </w:t>
            </w:r>
          </w:p>
        </w:tc>
        <w:tc>
          <w:tcPr>
            <w:tcW w:w="1170" w:type="dxa"/>
          </w:tcPr>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p>
        </w:tc>
        <w:tc>
          <w:tcPr>
            <w:tcW w:w="4327" w:type="dxa"/>
          </w:tcPr>
          <w:p w:rsidR="00AA7486" w:rsidRPr="008671E9" w:rsidRDefault="00A4467E" w:rsidP="00E33C9D">
            <w:pPr>
              <w:tabs>
                <w:tab w:val="left" w:pos="-1440"/>
                <w:tab w:val="left" w:pos="-720"/>
              </w:tabs>
              <w:jc w:val="both"/>
              <w:rPr>
                <w:sz w:val="20"/>
                <w:szCs w:val="20"/>
                <w:lang w:val="fr-CA"/>
              </w:rPr>
            </w:pP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r w:rsidR="00AA7486" w:rsidRPr="008671E9">
              <w:rPr>
                <w:b/>
                <w:bCs/>
                <w:sz w:val="20"/>
                <w:szCs w:val="20"/>
                <w:lang w:val="fr-CA"/>
              </w:rPr>
              <w:t xml:space="preserve">Ordonnance </w:t>
            </w: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p>
        </w:tc>
      </w:tr>
      <w:tr w:rsidR="00AA7486" w:rsidRPr="008671E9" w:rsidTr="00E33C9D">
        <w:tc>
          <w:tcPr>
            <w:tcW w:w="4338" w:type="dxa"/>
          </w:tcPr>
          <w:p w:rsidR="00AA7486" w:rsidRPr="008671E9" w:rsidRDefault="00AA7486" w:rsidP="00E33C9D">
            <w:pPr>
              <w:tabs>
                <w:tab w:val="left" w:pos="-1440"/>
                <w:tab w:val="left" w:pos="-720"/>
              </w:tabs>
              <w:jc w:val="both"/>
              <w:rPr>
                <w:sz w:val="20"/>
                <w:szCs w:val="20"/>
              </w:rPr>
            </w:pPr>
            <w:r w:rsidRPr="008671E9">
              <w:rPr>
                <w:sz w:val="20"/>
                <w:szCs w:val="20"/>
              </w:rPr>
              <w:t>Grant Anthony Goleski</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ab/>
              <w:t>v. (35862)</w:t>
            </w:r>
          </w:p>
          <w:p w:rsidR="00AA7486" w:rsidRPr="008671E9" w:rsidRDefault="00AA748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r w:rsidRPr="008671E9">
              <w:rPr>
                <w:sz w:val="20"/>
                <w:szCs w:val="20"/>
              </w:rPr>
              <w:t>Her Majesty the Queen (Crim.) (B.C.)</w:t>
            </w:r>
          </w:p>
        </w:tc>
        <w:tc>
          <w:tcPr>
            <w:tcW w:w="1170" w:type="dxa"/>
          </w:tcPr>
          <w:p w:rsidR="00AA7486" w:rsidRPr="008671E9" w:rsidRDefault="00AA7486" w:rsidP="00E33C9D">
            <w:pPr>
              <w:tabs>
                <w:tab w:val="left" w:pos="-1440"/>
                <w:tab w:val="left" w:pos="-720"/>
              </w:tabs>
              <w:jc w:val="both"/>
              <w:rPr>
                <w:sz w:val="20"/>
                <w:szCs w:val="20"/>
              </w:rPr>
            </w:pPr>
          </w:p>
        </w:tc>
        <w:tc>
          <w:tcPr>
            <w:tcW w:w="4327" w:type="dxa"/>
          </w:tcPr>
          <w:p w:rsidR="00AA7486" w:rsidRPr="008671E9" w:rsidRDefault="00AA7486" w:rsidP="00E33C9D">
            <w:pPr>
              <w:tabs>
                <w:tab w:val="left" w:pos="-1440"/>
                <w:tab w:val="left" w:pos="-720"/>
              </w:tabs>
              <w:jc w:val="both"/>
              <w:rPr>
                <w:sz w:val="20"/>
                <w:szCs w:val="20"/>
              </w:rPr>
            </w:pPr>
          </w:p>
        </w:tc>
      </w:tr>
    </w:tbl>
    <w:p w:rsidR="00AA7486" w:rsidRPr="008671E9" w:rsidRDefault="00AA7486" w:rsidP="00AA7486">
      <w:pPr>
        <w:tabs>
          <w:tab w:val="left" w:pos="-1440"/>
          <w:tab w:val="left" w:pos="-720"/>
        </w:tabs>
        <w:jc w:val="both"/>
        <w:rPr>
          <w:sz w:val="20"/>
          <w:szCs w:val="20"/>
        </w:rPr>
      </w:pPr>
    </w:p>
    <w:p w:rsidR="00AA7486" w:rsidRPr="008671E9" w:rsidRDefault="00AA7486" w:rsidP="00AA7486">
      <w:pPr>
        <w:rPr>
          <w:b/>
          <w:bCs/>
          <w:sz w:val="20"/>
          <w:szCs w:val="20"/>
        </w:rPr>
      </w:pPr>
      <w:r w:rsidRPr="008671E9">
        <w:rPr>
          <w:b/>
          <w:bCs/>
          <w:sz w:val="20"/>
          <w:szCs w:val="20"/>
        </w:rPr>
        <w:t>IT IS HEREBY ORDERED THAT:</w:t>
      </w:r>
    </w:p>
    <w:p w:rsidR="00AA7486" w:rsidRPr="008671E9" w:rsidRDefault="00AA7486" w:rsidP="00AA7486">
      <w:pPr>
        <w:rPr>
          <w:b/>
          <w:bCs/>
          <w:sz w:val="20"/>
          <w:szCs w:val="20"/>
        </w:rPr>
      </w:pPr>
    </w:p>
    <w:p w:rsidR="00AA7486" w:rsidRPr="008671E9" w:rsidRDefault="00AA7486" w:rsidP="00AA7486">
      <w:pPr>
        <w:pStyle w:val="ListParagraph"/>
        <w:widowControl w:val="0"/>
        <w:numPr>
          <w:ilvl w:val="0"/>
          <w:numId w:val="7"/>
        </w:numPr>
        <w:autoSpaceDE w:val="0"/>
        <w:autoSpaceDN w:val="0"/>
        <w:adjustRightInd w:val="0"/>
        <w:jc w:val="both"/>
        <w:rPr>
          <w:rFonts w:cs="Times New Roman"/>
          <w:sz w:val="20"/>
          <w:szCs w:val="20"/>
        </w:rPr>
      </w:pPr>
      <w:r w:rsidRPr="008671E9">
        <w:rPr>
          <w:rFonts w:cs="Times New Roman"/>
          <w:sz w:val="20"/>
          <w:szCs w:val="20"/>
        </w:rPr>
        <w:t>The appellant’s record, factum and book of authorities shall be served and filed on or before November 12, 2014.</w:t>
      </w:r>
    </w:p>
    <w:p w:rsidR="00AA7486" w:rsidRPr="008671E9" w:rsidRDefault="00AA7486" w:rsidP="00AA7486">
      <w:pPr>
        <w:pStyle w:val="ListParagraph"/>
        <w:rPr>
          <w:rFonts w:cs="Times New Roman"/>
          <w:sz w:val="20"/>
          <w:szCs w:val="20"/>
        </w:rPr>
      </w:pPr>
    </w:p>
    <w:p w:rsidR="00AA7486" w:rsidRPr="008671E9" w:rsidRDefault="00AA7486" w:rsidP="00AA748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8671E9">
        <w:rPr>
          <w:rFonts w:cs="Times New Roman"/>
          <w:sz w:val="20"/>
          <w:szCs w:val="20"/>
        </w:rPr>
        <w:t xml:space="preserve">Any person wishing to intervene in this appeal under Rule 55 of the </w:t>
      </w:r>
      <w:r w:rsidRPr="008671E9">
        <w:rPr>
          <w:rFonts w:cs="Times New Roman"/>
          <w:i/>
          <w:sz w:val="20"/>
          <w:szCs w:val="20"/>
        </w:rPr>
        <w:t>Rules of the Supreme Court of Canada</w:t>
      </w:r>
      <w:r w:rsidRPr="008671E9">
        <w:rPr>
          <w:rFonts w:cs="Times New Roman"/>
          <w:sz w:val="20"/>
          <w:szCs w:val="20"/>
        </w:rPr>
        <w:t xml:space="preserve"> shall serve and file a motion for leave to intervene on or before December 3, 2014. </w:t>
      </w:r>
    </w:p>
    <w:p w:rsidR="00AA7486" w:rsidRPr="008671E9" w:rsidRDefault="00AA7486" w:rsidP="00AA7486">
      <w:pPr>
        <w:pStyle w:val="ListParagraph"/>
        <w:rPr>
          <w:rFonts w:cs="Times New Roman"/>
          <w:sz w:val="20"/>
          <w:szCs w:val="20"/>
        </w:rPr>
      </w:pPr>
    </w:p>
    <w:p w:rsidR="00AA7486" w:rsidRPr="008671E9" w:rsidRDefault="00AA7486" w:rsidP="00AA748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8671E9">
        <w:rPr>
          <w:rFonts w:cs="Times New Roman"/>
          <w:sz w:val="20"/>
          <w:szCs w:val="20"/>
        </w:rPr>
        <w:t xml:space="preserve">The appellant and respondent shall serve and file their responses, if any, to the motions for leave to intervene on or before December 10, 2014. </w:t>
      </w:r>
    </w:p>
    <w:p w:rsidR="00AA7486" w:rsidRPr="008671E9" w:rsidRDefault="00AA7486" w:rsidP="00AA7486">
      <w:pPr>
        <w:rPr>
          <w:sz w:val="20"/>
          <w:szCs w:val="20"/>
        </w:rPr>
      </w:pPr>
    </w:p>
    <w:p w:rsidR="00AA7486" w:rsidRPr="008671E9" w:rsidRDefault="00AA7486" w:rsidP="00AA748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8671E9">
        <w:rPr>
          <w:rFonts w:cs="Times New Roman"/>
          <w:sz w:val="20"/>
          <w:szCs w:val="20"/>
        </w:rPr>
        <w:t>Replies to any responses to the motions for leave to intervene shall be served and filed on or before December 12, 2014.</w:t>
      </w:r>
    </w:p>
    <w:p w:rsidR="00AA7486" w:rsidRPr="008671E9" w:rsidRDefault="00AA7486" w:rsidP="00AA7486">
      <w:pPr>
        <w:pStyle w:val="ListParagraph"/>
        <w:rPr>
          <w:rFonts w:cs="Times New Roman"/>
          <w:sz w:val="20"/>
          <w:szCs w:val="20"/>
        </w:rPr>
      </w:pPr>
    </w:p>
    <w:p w:rsidR="00AA7486" w:rsidRPr="008671E9" w:rsidRDefault="00AA7486" w:rsidP="00AA7486">
      <w:pPr>
        <w:pStyle w:val="ListParagraph"/>
        <w:widowControl w:val="0"/>
        <w:numPr>
          <w:ilvl w:val="0"/>
          <w:numId w:val="7"/>
        </w:numPr>
        <w:autoSpaceDE w:val="0"/>
        <w:autoSpaceDN w:val="0"/>
        <w:adjustRightInd w:val="0"/>
        <w:jc w:val="both"/>
        <w:rPr>
          <w:rFonts w:cs="Times New Roman"/>
          <w:sz w:val="20"/>
          <w:szCs w:val="20"/>
        </w:rPr>
      </w:pPr>
      <w:r w:rsidRPr="008671E9">
        <w:rPr>
          <w:rFonts w:cs="Times New Roman"/>
          <w:sz w:val="20"/>
          <w:szCs w:val="20"/>
        </w:rPr>
        <w:t>The respondent’s record, factum and book of authorities shall be served and filed on or before January 13, 2015.</w:t>
      </w:r>
    </w:p>
    <w:p w:rsidR="00AA7486" w:rsidRPr="008671E9" w:rsidRDefault="00AA7486" w:rsidP="00AA7486">
      <w:pPr>
        <w:pStyle w:val="ListParagraph"/>
        <w:rPr>
          <w:rFonts w:cs="Times New Roman"/>
          <w:bCs/>
          <w:sz w:val="20"/>
          <w:szCs w:val="20"/>
        </w:rPr>
      </w:pPr>
    </w:p>
    <w:p w:rsidR="00AA7486" w:rsidRPr="008671E9" w:rsidRDefault="00AA7486" w:rsidP="00AA7486">
      <w:pPr>
        <w:pStyle w:val="ListParagraph"/>
        <w:widowControl w:val="0"/>
        <w:numPr>
          <w:ilvl w:val="0"/>
          <w:numId w:val="7"/>
        </w:numPr>
        <w:autoSpaceDE w:val="0"/>
        <w:autoSpaceDN w:val="0"/>
        <w:adjustRightInd w:val="0"/>
        <w:jc w:val="both"/>
        <w:rPr>
          <w:rFonts w:cs="Times New Roman"/>
          <w:bCs/>
          <w:sz w:val="20"/>
          <w:szCs w:val="20"/>
        </w:rPr>
      </w:pPr>
      <w:r w:rsidRPr="008671E9">
        <w:rPr>
          <w:rFonts w:cs="Times New Roman"/>
          <w:bCs/>
          <w:sz w:val="20"/>
          <w:szCs w:val="20"/>
        </w:rPr>
        <w:t xml:space="preserve">Any interveners granted leave to intervene under Rule 59 of the </w:t>
      </w:r>
      <w:r w:rsidRPr="008671E9">
        <w:rPr>
          <w:rFonts w:cs="Times New Roman"/>
          <w:bCs/>
          <w:i/>
          <w:sz w:val="20"/>
          <w:szCs w:val="20"/>
        </w:rPr>
        <w:t>Rules of the Supreme Court of Canada</w:t>
      </w:r>
      <w:r w:rsidRPr="008671E9">
        <w:rPr>
          <w:rFonts w:cs="Times New Roman"/>
          <w:bCs/>
          <w:sz w:val="20"/>
          <w:szCs w:val="20"/>
        </w:rPr>
        <w:t xml:space="preserve"> shall file and serve their factum and book of authorities on or before January 27, 2015.</w:t>
      </w:r>
    </w:p>
    <w:p w:rsidR="00AA7486" w:rsidRPr="008671E9" w:rsidRDefault="00AA7486" w:rsidP="00AA7486">
      <w:pPr>
        <w:pStyle w:val="ListParagraph"/>
        <w:ind w:left="0"/>
        <w:rPr>
          <w:rFonts w:cs="Times New Roman"/>
          <w:bCs/>
          <w:sz w:val="20"/>
          <w:szCs w:val="20"/>
        </w:rPr>
      </w:pPr>
    </w:p>
    <w:p w:rsidR="00AA7486" w:rsidRPr="008671E9" w:rsidRDefault="00AA7486" w:rsidP="00AA7486">
      <w:pPr>
        <w:pStyle w:val="ListParagraph"/>
        <w:ind w:left="0"/>
        <w:rPr>
          <w:rFonts w:cs="Times New Roman"/>
          <w:bCs/>
          <w:sz w:val="20"/>
          <w:szCs w:val="20"/>
        </w:rPr>
      </w:pPr>
    </w:p>
    <w:p w:rsidR="00AA7486" w:rsidRPr="008671E9" w:rsidRDefault="00AA7486" w:rsidP="00AA7486">
      <w:pPr>
        <w:pStyle w:val="ListParagraph"/>
        <w:ind w:left="0"/>
        <w:rPr>
          <w:rFonts w:cs="Times New Roman"/>
          <w:bCs/>
          <w:sz w:val="20"/>
          <w:szCs w:val="20"/>
        </w:rPr>
      </w:pPr>
    </w:p>
    <w:p w:rsidR="00AA7486" w:rsidRPr="008671E9" w:rsidRDefault="00AA7486" w:rsidP="00AA7486">
      <w:pPr>
        <w:pStyle w:val="ListParagraph"/>
        <w:ind w:left="0"/>
        <w:rPr>
          <w:rFonts w:cs="Times New Roman"/>
          <w:b/>
          <w:sz w:val="20"/>
          <w:szCs w:val="20"/>
          <w:lang w:val="fr-CA"/>
        </w:rPr>
      </w:pPr>
      <w:r w:rsidRPr="008671E9">
        <w:rPr>
          <w:rFonts w:cs="Times New Roman"/>
          <w:b/>
          <w:sz w:val="20"/>
          <w:szCs w:val="20"/>
          <w:lang w:val="fr-CA"/>
        </w:rPr>
        <w:t>IL EST ORDONNÉ CE QUI SUIT :</w:t>
      </w:r>
    </w:p>
    <w:p w:rsidR="00AA7486" w:rsidRPr="008671E9" w:rsidRDefault="00AA7486" w:rsidP="00AA7486">
      <w:pPr>
        <w:pStyle w:val="ListParagraph"/>
        <w:ind w:left="0"/>
        <w:jc w:val="both"/>
        <w:rPr>
          <w:rFonts w:cs="Times New Roman"/>
          <w:b/>
          <w:sz w:val="20"/>
          <w:szCs w:val="20"/>
          <w:lang w:val="fr-CA"/>
        </w:rPr>
      </w:pPr>
    </w:p>
    <w:p w:rsidR="00AA7486" w:rsidRPr="008671E9" w:rsidRDefault="00AA7486" w:rsidP="00AA7486">
      <w:pPr>
        <w:pStyle w:val="ListParagraph"/>
        <w:numPr>
          <w:ilvl w:val="0"/>
          <w:numId w:val="10"/>
        </w:numPr>
        <w:autoSpaceDE w:val="0"/>
        <w:autoSpaceDN w:val="0"/>
        <w:adjustRightInd w:val="0"/>
        <w:contextualSpacing w:val="0"/>
        <w:jc w:val="both"/>
        <w:rPr>
          <w:rFonts w:cs="Times New Roman"/>
          <w:sz w:val="20"/>
          <w:szCs w:val="20"/>
          <w:lang w:val="fr-CA"/>
        </w:rPr>
      </w:pPr>
      <w:r w:rsidRPr="008671E9">
        <w:rPr>
          <w:rFonts w:cs="Times New Roman"/>
          <w:sz w:val="20"/>
          <w:szCs w:val="20"/>
          <w:lang w:val="fr-CA"/>
        </w:rPr>
        <w:t>L’appelant signifiera et déposera son dossier, son mémoire et son recueil de sources au plus tard le 12 novembre 2014.</w:t>
      </w:r>
    </w:p>
    <w:p w:rsidR="00AA7486" w:rsidRPr="008671E9" w:rsidRDefault="00AA7486" w:rsidP="00AA7486">
      <w:pPr>
        <w:pStyle w:val="ListParagraph"/>
        <w:contextualSpacing w:val="0"/>
        <w:jc w:val="both"/>
        <w:rPr>
          <w:rFonts w:cs="Times New Roman"/>
          <w:sz w:val="20"/>
          <w:szCs w:val="20"/>
          <w:lang w:val="fr-CA"/>
        </w:rPr>
      </w:pPr>
    </w:p>
    <w:p w:rsidR="00AA7486" w:rsidRPr="008671E9" w:rsidRDefault="00AA7486" w:rsidP="00AA7486">
      <w:pPr>
        <w:pStyle w:val="ListParagraph"/>
        <w:numPr>
          <w:ilvl w:val="0"/>
          <w:numId w:val="10"/>
        </w:numPr>
        <w:autoSpaceDE w:val="0"/>
        <w:autoSpaceDN w:val="0"/>
        <w:adjustRightInd w:val="0"/>
        <w:contextualSpacing w:val="0"/>
        <w:jc w:val="both"/>
        <w:rPr>
          <w:rFonts w:cs="Times New Roman"/>
          <w:sz w:val="20"/>
          <w:szCs w:val="20"/>
          <w:lang w:val="fr-CA"/>
        </w:rPr>
      </w:pPr>
      <w:r w:rsidRPr="008671E9">
        <w:rPr>
          <w:rFonts w:cs="Times New Roman"/>
          <w:sz w:val="20"/>
          <w:szCs w:val="20"/>
          <w:lang w:val="fr-CA"/>
        </w:rPr>
        <w:t xml:space="preserve">Toute personne souhaitant intervenir dans l’appel en vertu de l’article 55 des </w:t>
      </w:r>
      <w:r w:rsidRPr="008671E9">
        <w:rPr>
          <w:rFonts w:cs="Times New Roman"/>
          <w:i/>
          <w:sz w:val="20"/>
          <w:szCs w:val="20"/>
          <w:lang w:val="fr-CA"/>
        </w:rPr>
        <w:t>Règles de la Cour suprême du Canada</w:t>
      </w:r>
      <w:r w:rsidRPr="008671E9">
        <w:rPr>
          <w:rFonts w:cs="Times New Roman"/>
          <w:sz w:val="20"/>
          <w:szCs w:val="20"/>
          <w:lang w:val="fr-CA"/>
        </w:rPr>
        <w:t xml:space="preserve"> signifiera et déposera une requête en intervention au plus tard le 3 décembre 2014.</w:t>
      </w:r>
    </w:p>
    <w:p w:rsidR="00AA7486" w:rsidRPr="008671E9" w:rsidRDefault="00AA7486" w:rsidP="00AA7486">
      <w:pPr>
        <w:pStyle w:val="ListParagraph"/>
        <w:contextualSpacing w:val="0"/>
        <w:jc w:val="both"/>
        <w:rPr>
          <w:rFonts w:cs="Times New Roman"/>
          <w:sz w:val="20"/>
          <w:szCs w:val="20"/>
          <w:lang w:val="fr-CA"/>
        </w:rPr>
      </w:pPr>
    </w:p>
    <w:p w:rsidR="00AA7486" w:rsidRDefault="00AA7486" w:rsidP="00AA7486">
      <w:pPr>
        <w:pStyle w:val="ListParagraph"/>
        <w:numPr>
          <w:ilvl w:val="0"/>
          <w:numId w:val="10"/>
        </w:numPr>
        <w:autoSpaceDE w:val="0"/>
        <w:autoSpaceDN w:val="0"/>
        <w:adjustRightInd w:val="0"/>
        <w:contextualSpacing w:val="0"/>
        <w:jc w:val="both"/>
        <w:rPr>
          <w:rFonts w:cs="Times New Roman"/>
          <w:sz w:val="20"/>
          <w:szCs w:val="20"/>
          <w:lang w:val="fr-CA"/>
        </w:rPr>
      </w:pPr>
      <w:r w:rsidRPr="008671E9">
        <w:rPr>
          <w:rFonts w:cs="Times New Roman"/>
          <w:sz w:val="20"/>
          <w:szCs w:val="20"/>
          <w:lang w:val="fr-CA"/>
        </w:rPr>
        <w:t>L’appelant et l’intimée signifieront et déposeront leurs réponses, s’il en est, aux requêtes en intervention au plus tard le 10 décembre 2014.</w:t>
      </w:r>
    </w:p>
    <w:p w:rsidR="00AA7486" w:rsidRPr="008671E9" w:rsidRDefault="00AA7486" w:rsidP="00AA7486">
      <w:pPr>
        <w:pStyle w:val="ListParagraph"/>
        <w:autoSpaceDE w:val="0"/>
        <w:autoSpaceDN w:val="0"/>
        <w:adjustRightInd w:val="0"/>
        <w:contextualSpacing w:val="0"/>
        <w:jc w:val="both"/>
        <w:rPr>
          <w:rFonts w:cs="Times New Roman"/>
          <w:sz w:val="20"/>
          <w:szCs w:val="20"/>
          <w:lang w:val="fr-CA"/>
        </w:rPr>
      </w:pPr>
    </w:p>
    <w:p w:rsidR="00AA7486" w:rsidRDefault="00AA7486" w:rsidP="00AA7486">
      <w:pPr>
        <w:rPr>
          <w:rFonts w:cs="Times New Roman"/>
          <w:sz w:val="20"/>
          <w:szCs w:val="20"/>
          <w:lang w:val="fr-CA"/>
        </w:rPr>
      </w:pPr>
      <w:r>
        <w:rPr>
          <w:rFonts w:cs="Times New Roman"/>
          <w:sz w:val="20"/>
          <w:szCs w:val="20"/>
          <w:lang w:val="fr-CA"/>
        </w:rPr>
        <w:br w:type="page"/>
      </w:r>
    </w:p>
    <w:p w:rsidR="00AA7486" w:rsidRPr="008671E9" w:rsidRDefault="00AA7486" w:rsidP="00AA7486">
      <w:pPr>
        <w:pStyle w:val="ListParagraph"/>
        <w:numPr>
          <w:ilvl w:val="0"/>
          <w:numId w:val="10"/>
        </w:numPr>
        <w:autoSpaceDE w:val="0"/>
        <w:autoSpaceDN w:val="0"/>
        <w:adjustRightInd w:val="0"/>
        <w:contextualSpacing w:val="0"/>
        <w:jc w:val="both"/>
        <w:rPr>
          <w:rFonts w:cs="Times New Roman"/>
          <w:sz w:val="20"/>
          <w:szCs w:val="20"/>
          <w:lang w:val="fr-CA"/>
        </w:rPr>
      </w:pPr>
      <w:r w:rsidRPr="008671E9">
        <w:rPr>
          <w:rFonts w:cs="Times New Roman"/>
          <w:sz w:val="20"/>
          <w:szCs w:val="20"/>
          <w:lang w:val="fr-CA"/>
        </w:rPr>
        <w:lastRenderedPageBreak/>
        <w:t>Les requérants signifieront et déposeront leurs répliques aux réponses, s’il en est, aux requêtes en intervention au plus tard le 12 décembre 2014.</w:t>
      </w:r>
    </w:p>
    <w:p w:rsidR="00AA7486" w:rsidRPr="008671E9" w:rsidRDefault="00AA7486" w:rsidP="00AA7486">
      <w:pPr>
        <w:pStyle w:val="ListParagraph"/>
        <w:contextualSpacing w:val="0"/>
        <w:jc w:val="both"/>
        <w:rPr>
          <w:rFonts w:cs="Times New Roman"/>
          <w:sz w:val="20"/>
          <w:szCs w:val="20"/>
          <w:lang w:val="fr-CA"/>
        </w:rPr>
      </w:pPr>
    </w:p>
    <w:p w:rsidR="00AA7486" w:rsidRPr="008671E9" w:rsidRDefault="00AA7486" w:rsidP="00AA7486">
      <w:pPr>
        <w:pStyle w:val="ListParagraph"/>
        <w:numPr>
          <w:ilvl w:val="0"/>
          <w:numId w:val="10"/>
        </w:numPr>
        <w:autoSpaceDE w:val="0"/>
        <w:autoSpaceDN w:val="0"/>
        <w:adjustRightInd w:val="0"/>
        <w:contextualSpacing w:val="0"/>
        <w:jc w:val="both"/>
        <w:rPr>
          <w:rFonts w:cs="Times New Roman"/>
          <w:sz w:val="20"/>
          <w:szCs w:val="20"/>
          <w:lang w:val="fr-CA"/>
        </w:rPr>
      </w:pPr>
      <w:r w:rsidRPr="008671E9">
        <w:rPr>
          <w:rFonts w:cs="Times New Roman"/>
          <w:sz w:val="20"/>
          <w:szCs w:val="20"/>
          <w:lang w:val="fr-CA"/>
        </w:rPr>
        <w:t>L’intimée signifiera et déposera son dossier, son mémoire et son recueil de sources au plus tard le 13 janvier 2015.</w:t>
      </w:r>
    </w:p>
    <w:p w:rsidR="00AA7486" w:rsidRPr="008671E9" w:rsidRDefault="00AA7486" w:rsidP="00AA7486">
      <w:pPr>
        <w:pStyle w:val="ListParagraph"/>
        <w:contextualSpacing w:val="0"/>
        <w:jc w:val="both"/>
        <w:rPr>
          <w:rFonts w:cs="Times New Roman"/>
          <w:sz w:val="20"/>
          <w:szCs w:val="20"/>
          <w:lang w:val="fr-CA"/>
        </w:rPr>
      </w:pPr>
    </w:p>
    <w:p w:rsidR="00AA7486" w:rsidRPr="008671E9" w:rsidRDefault="00AA7486" w:rsidP="00AA7486">
      <w:pPr>
        <w:pStyle w:val="ListParagraph"/>
        <w:numPr>
          <w:ilvl w:val="0"/>
          <w:numId w:val="10"/>
        </w:numPr>
        <w:autoSpaceDE w:val="0"/>
        <w:autoSpaceDN w:val="0"/>
        <w:adjustRightInd w:val="0"/>
        <w:contextualSpacing w:val="0"/>
        <w:jc w:val="both"/>
        <w:rPr>
          <w:rFonts w:cs="Times New Roman"/>
          <w:sz w:val="20"/>
          <w:szCs w:val="20"/>
          <w:lang w:val="fr-CA"/>
        </w:rPr>
      </w:pPr>
      <w:r w:rsidRPr="008671E9">
        <w:rPr>
          <w:rFonts w:cs="Times New Roman"/>
          <w:sz w:val="20"/>
          <w:szCs w:val="20"/>
          <w:lang w:val="fr-CA"/>
        </w:rPr>
        <w:t xml:space="preserve">Les intervenants autorisés à intervenir dans l’appel en application de l’article 59 des </w:t>
      </w:r>
      <w:r w:rsidRPr="008671E9">
        <w:rPr>
          <w:rFonts w:cs="Times New Roman"/>
          <w:i/>
          <w:sz w:val="20"/>
          <w:szCs w:val="20"/>
          <w:lang w:val="fr-CA"/>
        </w:rPr>
        <w:t>Règles de la Cour suprême du Canada</w:t>
      </w:r>
      <w:r w:rsidRPr="008671E9">
        <w:rPr>
          <w:rFonts w:cs="Times New Roman"/>
          <w:sz w:val="20"/>
          <w:szCs w:val="20"/>
          <w:lang w:val="fr-CA"/>
        </w:rPr>
        <w:t xml:space="preserve"> signifieront et déposeront leurs mémoires et leurs recueils de sources au plus tard le 27 janvier 2015.</w:t>
      </w:r>
    </w:p>
    <w:p w:rsidR="00AA7486" w:rsidRPr="008671E9" w:rsidRDefault="00AA7486" w:rsidP="00AA7486">
      <w:pPr>
        <w:tabs>
          <w:tab w:val="left" w:pos="-1440"/>
          <w:tab w:val="left" w:pos="-720"/>
        </w:tabs>
        <w:jc w:val="both"/>
        <w:rPr>
          <w:sz w:val="20"/>
          <w:szCs w:val="20"/>
          <w:lang w:val="fr-CA"/>
        </w:rPr>
      </w:pPr>
    </w:p>
    <w:p w:rsidR="00AA7486" w:rsidRPr="008671E9" w:rsidRDefault="00714478" w:rsidP="00AA7486">
      <w:pPr>
        <w:tabs>
          <w:tab w:val="left" w:pos="-1440"/>
          <w:tab w:val="left" w:pos="-720"/>
        </w:tabs>
        <w:jc w:val="both"/>
        <w:rPr>
          <w:sz w:val="20"/>
          <w:szCs w:val="20"/>
          <w:lang w:val="fr-CA"/>
        </w:rPr>
      </w:pPr>
      <w:r>
        <w:rPr>
          <w:sz w:val="20"/>
          <w:szCs w:val="20"/>
          <w:lang w:val="fr-CA"/>
        </w:rPr>
        <w:pict>
          <v:rect id="_x0000_i1074" style="width:2in;height:1pt" o:hrpct="0" o:hralign="center" o:hrstd="t" o:hrnoshade="t" o:hr="t" fillcolor="black [3213]" stroked="f"/>
        </w:pict>
      </w:r>
    </w:p>
    <w:p w:rsidR="00AA7486" w:rsidRPr="008671E9" w:rsidRDefault="00AA7486" w:rsidP="00AA7486">
      <w:pPr>
        <w:tabs>
          <w:tab w:val="left" w:pos="-1440"/>
          <w:tab w:val="left" w:pos="-720"/>
        </w:tabs>
        <w:jc w:val="both"/>
        <w:rPr>
          <w:sz w:val="20"/>
          <w:szCs w:val="20"/>
          <w:lang w:val="fr-CA"/>
        </w:rPr>
      </w:pPr>
    </w:p>
    <w:p w:rsidR="00AA7486" w:rsidRPr="008671E9" w:rsidRDefault="00AA7486" w:rsidP="00AA7486">
      <w:pPr>
        <w:tabs>
          <w:tab w:val="left" w:pos="-1440"/>
          <w:tab w:val="left" w:pos="-720"/>
        </w:tabs>
        <w:jc w:val="both"/>
        <w:rPr>
          <w:sz w:val="20"/>
          <w:szCs w:val="20"/>
        </w:rPr>
      </w:pPr>
      <w:r w:rsidRPr="008671E9">
        <w:rPr>
          <w:sz w:val="20"/>
          <w:szCs w:val="20"/>
        </w:rPr>
        <w:t>15.10.2014</w:t>
      </w:r>
    </w:p>
    <w:p w:rsidR="00AA7486" w:rsidRPr="008671E9" w:rsidRDefault="00AA7486" w:rsidP="00AA7486">
      <w:pPr>
        <w:tabs>
          <w:tab w:val="left" w:pos="-1440"/>
          <w:tab w:val="left" w:pos="-720"/>
        </w:tabs>
        <w:jc w:val="both"/>
        <w:rPr>
          <w:sz w:val="20"/>
          <w:szCs w:val="20"/>
        </w:rPr>
      </w:pPr>
    </w:p>
    <w:p w:rsidR="00AA7486" w:rsidRPr="008671E9" w:rsidRDefault="00AA7486" w:rsidP="00AA7486">
      <w:pPr>
        <w:tabs>
          <w:tab w:val="left" w:pos="-1440"/>
          <w:tab w:val="left" w:pos="-720"/>
        </w:tabs>
        <w:jc w:val="both"/>
        <w:rPr>
          <w:sz w:val="20"/>
          <w:szCs w:val="20"/>
        </w:rPr>
      </w:pPr>
      <w:r w:rsidRPr="008671E9">
        <w:rPr>
          <w:sz w:val="20"/>
          <w:szCs w:val="20"/>
        </w:rPr>
        <w:t>Before / Devant :   THE COURT / LA COUR</w:t>
      </w:r>
    </w:p>
    <w:p w:rsidR="00AA7486" w:rsidRPr="008671E9" w:rsidRDefault="00AA7486" w:rsidP="00AA7486">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A7486" w:rsidRPr="00714478" w:rsidTr="00E33C9D">
        <w:tc>
          <w:tcPr>
            <w:tcW w:w="4338" w:type="dxa"/>
          </w:tcPr>
          <w:p w:rsidR="00AA7486" w:rsidRPr="008671E9" w:rsidRDefault="00AA7486" w:rsidP="00E33C9D">
            <w:pPr>
              <w:tabs>
                <w:tab w:val="left" w:pos="-1440"/>
                <w:tab w:val="left" w:pos="-720"/>
              </w:tabs>
              <w:jc w:val="both"/>
              <w:rPr>
                <w:sz w:val="20"/>
                <w:szCs w:val="20"/>
              </w:rPr>
            </w:pPr>
            <w:r w:rsidRPr="008671E9">
              <w:rPr>
                <w:b/>
                <w:bCs/>
                <w:sz w:val="20"/>
                <w:szCs w:val="20"/>
                <w:lang w:val="en-GB"/>
              </w:rPr>
              <w:t>Motion to extend the time to serve and file a motion for a re-hearing</w:t>
            </w:r>
            <w:r w:rsidR="00352CF6">
              <w:rPr>
                <w:b/>
                <w:bCs/>
                <w:sz w:val="20"/>
                <w:szCs w:val="20"/>
                <w:lang w:val="en-GB"/>
              </w:rPr>
              <w:t xml:space="preserve"> and for a re-hearing of the appeal</w:t>
            </w:r>
            <w:r w:rsidRPr="008671E9">
              <w:rPr>
                <w:b/>
                <w:bCs/>
                <w:sz w:val="20"/>
                <w:szCs w:val="20"/>
              </w:rPr>
              <w:t xml:space="preserve"> </w:t>
            </w:r>
          </w:p>
        </w:tc>
        <w:tc>
          <w:tcPr>
            <w:tcW w:w="1170" w:type="dxa"/>
          </w:tcPr>
          <w:p w:rsidR="00AA7486" w:rsidRPr="008671E9" w:rsidRDefault="00AA7486" w:rsidP="00E33C9D">
            <w:pPr>
              <w:tabs>
                <w:tab w:val="left" w:pos="-1440"/>
                <w:tab w:val="left" w:pos="-720"/>
              </w:tabs>
              <w:jc w:val="both"/>
              <w:rPr>
                <w:sz w:val="20"/>
                <w:szCs w:val="20"/>
              </w:rPr>
            </w:pPr>
          </w:p>
          <w:p w:rsidR="00AA7486" w:rsidRDefault="00AA7486" w:rsidP="00E33C9D">
            <w:pPr>
              <w:tabs>
                <w:tab w:val="left" w:pos="-1440"/>
                <w:tab w:val="left" w:pos="-720"/>
              </w:tabs>
              <w:jc w:val="both"/>
              <w:rPr>
                <w:sz w:val="20"/>
                <w:szCs w:val="20"/>
              </w:rPr>
            </w:pPr>
          </w:p>
          <w:p w:rsidR="00352CF6" w:rsidRPr="008671E9" w:rsidRDefault="00352CF6" w:rsidP="00E33C9D">
            <w:pPr>
              <w:tabs>
                <w:tab w:val="left" w:pos="-1440"/>
                <w:tab w:val="left" w:pos="-720"/>
              </w:tabs>
              <w:jc w:val="both"/>
              <w:rPr>
                <w:sz w:val="20"/>
                <w:szCs w:val="20"/>
              </w:rPr>
            </w:pPr>
          </w:p>
          <w:p w:rsidR="00AA7486" w:rsidRPr="008671E9" w:rsidRDefault="00AA7486" w:rsidP="00E33C9D">
            <w:pPr>
              <w:tabs>
                <w:tab w:val="left" w:pos="-1440"/>
                <w:tab w:val="left" w:pos="-720"/>
              </w:tabs>
              <w:jc w:val="both"/>
              <w:rPr>
                <w:sz w:val="20"/>
                <w:szCs w:val="20"/>
              </w:rPr>
            </w:pPr>
          </w:p>
        </w:tc>
        <w:tc>
          <w:tcPr>
            <w:tcW w:w="4327" w:type="dxa"/>
          </w:tcPr>
          <w:p w:rsidR="00AA7486" w:rsidRPr="008671E9" w:rsidRDefault="00A4467E" w:rsidP="00E33C9D">
            <w:pPr>
              <w:tabs>
                <w:tab w:val="left" w:pos="-1440"/>
                <w:tab w:val="left" w:pos="-720"/>
              </w:tabs>
              <w:jc w:val="both"/>
              <w:rPr>
                <w:sz w:val="20"/>
                <w:szCs w:val="20"/>
                <w:lang w:val="fr-CA"/>
              </w:rPr>
            </w:pPr>
            <w:r w:rsidRPr="008671E9">
              <w:rPr>
                <w:sz w:val="20"/>
                <w:szCs w:val="20"/>
              </w:rPr>
              <w:fldChar w:fldCharType="begin"/>
            </w:r>
            <w:r w:rsidR="00AA7486" w:rsidRPr="008671E9">
              <w:rPr>
                <w:sz w:val="20"/>
                <w:szCs w:val="20"/>
                <w:lang w:val="fr-CA"/>
              </w:rPr>
              <w:instrText xml:space="preserve"> SEQ CHAPTER \h \r 1</w:instrText>
            </w:r>
            <w:r w:rsidRPr="008671E9">
              <w:rPr>
                <w:sz w:val="20"/>
                <w:szCs w:val="20"/>
              </w:rPr>
              <w:fldChar w:fldCharType="end"/>
            </w:r>
            <w:r w:rsidR="00AA7486" w:rsidRPr="008671E9">
              <w:rPr>
                <w:b/>
                <w:bCs/>
                <w:sz w:val="20"/>
                <w:szCs w:val="20"/>
                <w:lang w:val="fr-CA"/>
              </w:rPr>
              <w:t>Requête en prorogation du délai de signification et de dépôt de la requête en nouvelle audition</w:t>
            </w:r>
            <w:r w:rsidR="00352CF6">
              <w:rPr>
                <w:b/>
                <w:bCs/>
                <w:sz w:val="20"/>
                <w:szCs w:val="20"/>
                <w:lang w:val="fr-CA"/>
              </w:rPr>
              <w:t xml:space="preserve"> et une nouvelle audition de l’appel</w:t>
            </w:r>
            <w:r w:rsidR="00AA7486" w:rsidRPr="008671E9">
              <w:rPr>
                <w:b/>
                <w:bCs/>
                <w:sz w:val="20"/>
                <w:szCs w:val="20"/>
                <w:lang w:val="fr-CA"/>
              </w:rPr>
              <w:t xml:space="preserve"> </w:t>
            </w:r>
          </w:p>
        </w:tc>
      </w:tr>
      <w:tr w:rsidR="00AA7486" w:rsidRPr="008671E9" w:rsidTr="00E33C9D">
        <w:tc>
          <w:tcPr>
            <w:tcW w:w="4338" w:type="dxa"/>
          </w:tcPr>
          <w:p w:rsidR="00AA7486" w:rsidRPr="008671E9" w:rsidRDefault="00AA7486" w:rsidP="00E33C9D">
            <w:pPr>
              <w:tabs>
                <w:tab w:val="left" w:pos="-1440"/>
                <w:tab w:val="left" w:pos="-720"/>
              </w:tabs>
              <w:jc w:val="both"/>
              <w:rPr>
                <w:sz w:val="20"/>
                <w:szCs w:val="20"/>
                <w:lang w:val="fr-CA"/>
              </w:rPr>
            </w:pPr>
            <w:r w:rsidRPr="008671E9">
              <w:rPr>
                <w:sz w:val="20"/>
                <w:szCs w:val="20"/>
                <w:lang w:val="fr-CA"/>
              </w:rPr>
              <w:t>Pro-Sys Consultants Ltd. et al.</w:t>
            </w:r>
          </w:p>
          <w:p w:rsidR="00AA7486" w:rsidRPr="008671E9" w:rsidRDefault="00AA7486" w:rsidP="00E33C9D">
            <w:pPr>
              <w:tabs>
                <w:tab w:val="left" w:pos="-1440"/>
                <w:tab w:val="left" w:pos="-720"/>
              </w:tabs>
              <w:jc w:val="both"/>
              <w:rPr>
                <w:sz w:val="20"/>
                <w:szCs w:val="20"/>
                <w:lang w:val="fr-CA"/>
              </w:rPr>
            </w:pPr>
          </w:p>
          <w:p w:rsidR="00AA7486" w:rsidRPr="008671E9" w:rsidRDefault="00AA7486" w:rsidP="00E33C9D">
            <w:pPr>
              <w:tabs>
                <w:tab w:val="left" w:pos="-1440"/>
                <w:tab w:val="left" w:pos="-720"/>
              </w:tabs>
              <w:jc w:val="both"/>
              <w:rPr>
                <w:sz w:val="20"/>
                <w:szCs w:val="20"/>
                <w:lang w:val="fr-CA"/>
              </w:rPr>
            </w:pPr>
            <w:r w:rsidRPr="008671E9">
              <w:rPr>
                <w:sz w:val="20"/>
                <w:szCs w:val="20"/>
                <w:lang w:val="fr-CA"/>
              </w:rPr>
              <w:tab/>
              <w:t>v. (34282)</w:t>
            </w:r>
          </w:p>
          <w:p w:rsidR="00AA7486" w:rsidRPr="008671E9" w:rsidRDefault="00AA7486" w:rsidP="00E33C9D">
            <w:pPr>
              <w:tabs>
                <w:tab w:val="left" w:pos="-1440"/>
                <w:tab w:val="left" w:pos="-720"/>
              </w:tabs>
              <w:jc w:val="both"/>
              <w:rPr>
                <w:sz w:val="20"/>
                <w:szCs w:val="20"/>
                <w:lang w:val="fr-CA"/>
              </w:rPr>
            </w:pPr>
          </w:p>
          <w:p w:rsidR="00AA7486" w:rsidRPr="008671E9" w:rsidRDefault="00AA7486" w:rsidP="00E33C9D">
            <w:pPr>
              <w:tabs>
                <w:tab w:val="left" w:pos="-1440"/>
                <w:tab w:val="left" w:pos="-720"/>
              </w:tabs>
              <w:jc w:val="both"/>
              <w:rPr>
                <w:sz w:val="20"/>
                <w:szCs w:val="20"/>
                <w:lang w:val="fr-CA"/>
              </w:rPr>
            </w:pPr>
            <w:r w:rsidRPr="008671E9">
              <w:rPr>
                <w:sz w:val="20"/>
                <w:szCs w:val="20"/>
                <w:lang w:val="fr-CA"/>
              </w:rPr>
              <w:t>Microsoft Corporation et al. (B.C.)</w:t>
            </w:r>
          </w:p>
        </w:tc>
        <w:tc>
          <w:tcPr>
            <w:tcW w:w="1170" w:type="dxa"/>
          </w:tcPr>
          <w:p w:rsidR="00AA7486" w:rsidRPr="008671E9" w:rsidRDefault="00AA7486" w:rsidP="00E33C9D">
            <w:pPr>
              <w:tabs>
                <w:tab w:val="left" w:pos="-1440"/>
                <w:tab w:val="left" w:pos="-720"/>
              </w:tabs>
              <w:jc w:val="both"/>
              <w:rPr>
                <w:sz w:val="20"/>
                <w:szCs w:val="20"/>
                <w:lang w:val="fr-CA"/>
              </w:rPr>
            </w:pPr>
          </w:p>
        </w:tc>
        <w:tc>
          <w:tcPr>
            <w:tcW w:w="4327" w:type="dxa"/>
          </w:tcPr>
          <w:p w:rsidR="00AA7486" w:rsidRPr="008671E9" w:rsidRDefault="00AA7486" w:rsidP="00E33C9D">
            <w:pPr>
              <w:tabs>
                <w:tab w:val="left" w:pos="-1440"/>
                <w:tab w:val="left" w:pos="-720"/>
              </w:tabs>
              <w:jc w:val="both"/>
              <w:rPr>
                <w:sz w:val="20"/>
                <w:szCs w:val="20"/>
                <w:lang w:val="fr-CA"/>
              </w:rPr>
            </w:pPr>
          </w:p>
        </w:tc>
      </w:tr>
    </w:tbl>
    <w:p w:rsidR="00AA7486" w:rsidRPr="008671E9" w:rsidRDefault="00AA7486" w:rsidP="00AA7486">
      <w:pPr>
        <w:tabs>
          <w:tab w:val="left" w:pos="-1440"/>
          <w:tab w:val="left" w:pos="-720"/>
        </w:tabs>
        <w:jc w:val="both"/>
        <w:rPr>
          <w:b/>
          <w:sz w:val="20"/>
          <w:szCs w:val="20"/>
          <w:lang w:val="fr-CA"/>
        </w:rPr>
      </w:pPr>
    </w:p>
    <w:p w:rsidR="00AA7486" w:rsidRPr="008671E9" w:rsidRDefault="00AA7486" w:rsidP="00AA7486">
      <w:pPr>
        <w:tabs>
          <w:tab w:val="left" w:pos="-1440"/>
          <w:tab w:val="left" w:pos="-720"/>
        </w:tabs>
        <w:jc w:val="both"/>
        <w:rPr>
          <w:sz w:val="20"/>
          <w:szCs w:val="20"/>
        </w:rPr>
      </w:pPr>
      <w:r w:rsidRPr="008671E9">
        <w:rPr>
          <w:b/>
          <w:sz w:val="20"/>
          <w:szCs w:val="20"/>
        </w:rPr>
        <w:t>GRANTED / ACCORDÉE</w:t>
      </w:r>
    </w:p>
    <w:p w:rsidR="00AA7486" w:rsidRPr="008671E9" w:rsidRDefault="00AA7486" w:rsidP="00AA7486">
      <w:pPr>
        <w:tabs>
          <w:tab w:val="left" w:pos="-1440"/>
          <w:tab w:val="left" w:pos="-720"/>
        </w:tabs>
        <w:jc w:val="both"/>
        <w:rPr>
          <w:sz w:val="20"/>
          <w:szCs w:val="20"/>
        </w:rPr>
      </w:pPr>
    </w:p>
    <w:p w:rsidR="00AA7486" w:rsidRPr="008671E9" w:rsidRDefault="00AA7486" w:rsidP="00AA7486">
      <w:pPr>
        <w:spacing w:line="209" w:lineRule="auto"/>
        <w:jc w:val="both"/>
        <w:rPr>
          <w:sz w:val="20"/>
          <w:szCs w:val="20"/>
        </w:rPr>
      </w:pPr>
      <w:r w:rsidRPr="008671E9">
        <w:rPr>
          <w:b/>
          <w:bCs/>
          <w:sz w:val="20"/>
          <w:szCs w:val="20"/>
        </w:rPr>
        <w:t>UPON APPLICATION</w:t>
      </w:r>
      <w:r w:rsidRPr="008671E9">
        <w:rPr>
          <w:sz w:val="20"/>
          <w:szCs w:val="20"/>
        </w:rPr>
        <w:t xml:space="preserve"> on behalf of the respondents for an extension of time to serve and file a motion for a re-hearing and for a re-hearing of the appeal limited to the determination of costs in this Court’s reasons for judgment dated October 31, 2013;</w:t>
      </w:r>
    </w:p>
    <w:p w:rsidR="00AA7486" w:rsidRPr="008671E9" w:rsidRDefault="00AA7486" w:rsidP="00AA7486">
      <w:pPr>
        <w:spacing w:line="208" w:lineRule="auto"/>
        <w:jc w:val="both"/>
        <w:rPr>
          <w:sz w:val="20"/>
          <w:szCs w:val="20"/>
        </w:rPr>
      </w:pPr>
    </w:p>
    <w:p w:rsidR="00AA7486" w:rsidRPr="008671E9" w:rsidRDefault="00AA7486" w:rsidP="00AA7486">
      <w:pPr>
        <w:spacing w:line="208" w:lineRule="auto"/>
        <w:jc w:val="both"/>
        <w:rPr>
          <w:sz w:val="20"/>
          <w:szCs w:val="20"/>
        </w:rPr>
      </w:pPr>
      <w:r w:rsidRPr="008671E9">
        <w:rPr>
          <w:b/>
          <w:sz w:val="20"/>
          <w:szCs w:val="20"/>
        </w:rPr>
        <w:t xml:space="preserve">AND UPON APPLICATION </w:t>
      </w:r>
      <w:r w:rsidRPr="008671E9">
        <w:rPr>
          <w:sz w:val="20"/>
          <w:szCs w:val="20"/>
        </w:rPr>
        <w:t>on behalf of the appellants for a motion for leave to serve and file a sur-reply;</w:t>
      </w:r>
    </w:p>
    <w:p w:rsidR="00AA7486" w:rsidRPr="008671E9" w:rsidRDefault="00AA7486" w:rsidP="00AA7486">
      <w:pPr>
        <w:spacing w:line="208" w:lineRule="auto"/>
        <w:jc w:val="both"/>
        <w:rPr>
          <w:sz w:val="20"/>
          <w:szCs w:val="20"/>
        </w:rPr>
      </w:pPr>
    </w:p>
    <w:p w:rsidR="00AA7486" w:rsidRPr="008671E9" w:rsidRDefault="00AA7486" w:rsidP="00AA7486">
      <w:pPr>
        <w:spacing w:line="230" w:lineRule="auto"/>
        <w:jc w:val="both"/>
        <w:rPr>
          <w:sz w:val="20"/>
          <w:szCs w:val="20"/>
        </w:rPr>
      </w:pPr>
      <w:r w:rsidRPr="008671E9">
        <w:rPr>
          <w:b/>
          <w:bCs/>
          <w:sz w:val="20"/>
          <w:szCs w:val="20"/>
        </w:rPr>
        <w:t xml:space="preserve">AND THE MATERIALS FILED </w:t>
      </w:r>
      <w:r w:rsidRPr="008671E9">
        <w:rPr>
          <w:bCs/>
          <w:sz w:val="20"/>
          <w:szCs w:val="20"/>
        </w:rPr>
        <w:t>having been read</w:t>
      </w:r>
      <w:r w:rsidRPr="008671E9">
        <w:rPr>
          <w:sz w:val="20"/>
          <w:szCs w:val="20"/>
        </w:rPr>
        <w:t>;</w:t>
      </w:r>
    </w:p>
    <w:p w:rsidR="00AA7486" w:rsidRPr="008671E9" w:rsidRDefault="00AA7486" w:rsidP="00AA7486">
      <w:pPr>
        <w:spacing w:line="230" w:lineRule="auto"/>
        <w:jc w:val="both"/>
        <w:rPr>
          <w:sz w:val="20"/>
          <w:szCs w:val="20"/>
        </w:rPr>
      </w:pPr>
    </w:p>
    <w:p w:rsidR="00AA7486" w:rsidRPr="008671E9" w:rsidRDefault="00AA7486" w:rsidP="00AA7486">
      <w:pPr>
        <w:spacing w:line="230" w:lineRule="auto"/>
        <w:jc w:val="both"/>
        <w:rPr>
          <w:sz w:val="20"/>
          <w:szCs w:val="20"/>
        </w:rPr>
      </w:pPr>
      <w:r w:rsidRPr="008671E9">
        <w:rPr>
          <w:b/>
          <w:bCs/>
          <w:sz w:val="20"/>
          <w:szCs w:val="20"/>
        </w:rPr>
        <w:t>IT IS HEREBY ORDERED THAT:</w:t>
      </w:r>
    </w:p>
    <w:p w:rsidR="00AA7486" w:rsidRPr="008671E9" w:rsidRDefault="00AA7486" w:rsidP="00AA7486">
      <w:pPr>
        <w:spacing w:line="230" w:lineRule="auto"/>
        <w:jc w:val="both"/>
        <w:rPr>
          <w:sz w:val="20"/>
          <w:szCs w:val="20"/>
        </w:rPr>
      </w:pPr>
    </w:p>
    <w:p w:rsidR="00AA7486" w:rsidRPr="008671E9" w:rsidRDefault="00AA7486" w:rsidP="00AA7486">
      <w:pPr>
        <w:pStyle w:val="ListParagraph"/>
        <w:widowControl w:val="0"/>
        <w:numPr>
          <w:ilvl w:val="0"/>
          <w:numId w:val="8"/>
        </w:numPr>
        <w:autoSpaceDE w:val="0"/>
        <w:autoSpaceDN w:val="0"/>
        <w:adjustRightInd w:val="0"/>
        <w:spacing w:line="230" w:lineRule="auto"/>
        <w:jc w:val="both"/>
        <w:rPr>
          <w:sz w:val="20"/>
          <w:szCs w:val="20"/>
        </w:rPr>
      </w:pPr>
      <w:r w:rsidRPr="008671E9">
        <w:rPr>
          <w:sz w:val="20"/>
          <w:szCs w:val="20"/>
        </w:rPr>
        <w:t xml:space="preserve">The motion by the respondents for an extension of time to serve and file the motion for a re-hearing is allowed. </w:t>
      </w:r>
    </w:p>
    <w:p w:rsidR="00AA7486" w:rsidRPr="008671E9" w:rsidRDefault="00AA7486" w:rsidP="00AA7486">
      <w:pPr>
        <w:spacing w:line="230" w:lineRule="auto"/>
        <w:jc w:val="both"/>
        <w:rPr>
          <w:sz w:val="20"/>
          <w:szCs w:val="20"/>
        </w:rPr>
      </w:pPr>
    </w:p>
    <w:p w:rsidR="00AA7486" w:rsidRPr="008671E9" w:rsidRDefault="00AA7486" w:rsidP="00AA7486">
      <w:pPr>
        <w:pStyle w:val="ListParagraph"/>
        <w:widowControl w:val="0"/>
        <w:numPr>
          <w:ilvl w:val="0"/>
          <w:numId w:val="8"/>
        </w:numPr>
        <w:autoSpaceDE w:val="0"/>
        <w:autoSpaceDN w:val="0"/>
        <w:adjustRightInd w:val="0"/>
        <w:spacing w:line="230" w:lineRule="auto"/>
        <w:jc w:val="both"/>
        <w:rPr>
          <w:sz w:val="20"/>
          <w:szCs w:val="20"/>
        </w:rPr>
      </w:pPr>
      <w:r w:rsidRPr="008671E9">
        <w:rPr>
          <w:sz w:val="20"/>
          <w:szCs w:val="20"/>
        </w:rPr>
        <w:t xml:space="preserve">The motion by the appellants to file a sur-reply is allowed. </w:t>
      </w:r>
    </w:p>
    <w:p w:rsidR="00AA7486" w:rsidRPr="008671E9" w:rsidRDefault="00AA7486" w:rsidP="00AA7486">
      <w:pPr>
        <w:spacing w:line="230" w:lineRule="auto"/>
        <w:jc w:val="both"/>
        <w:rPr>
          <w:sz w:val="20"/>
          <w:szCs w:val="20"/>
        </w:rPr>
      </w:pPr>
    </w:p>
    <w:p w:rsidR="00AA7486" w:rsidRPr="008671E9" w:rsidRDefault="00AA7486" w:rsidP="00AA7486">
      <w:pPr>
        <w:pStyle w:val="ListParagraph"/>
        <w:widowControl w:val="0"/>
        <w:numPr>
          <w:ilvl w:val="0"/>
          <w:numId w:val="8"/>
        </w:numPr>
        <w:autoSpaceDE w:val="0"/>
        <w:autoSpaceDN w:val="0"/>
        <w:adjustRightInd w:val="0"/>
        <w:spacing w:line="230" w:lineRule="auto"/>
        <w:jc w:val="both"/>
        <w:rPr>
          <w:sz w:val="20"/>
          <w:szCs w:val="20"/>
        </w:rPr>
      </w:pPr>
      <w:r w:rsidRPr="008671E9">
        <w:rPr>
          <w:sz w:val="20"/>
          <w:szCs w:val="20"/>
        </w:rPr>
        <w:t xml:space="preserve">Without deciding whether s. 37 of the </w:t>
      </w:r>
      <w:r w:rsidRPr="008671E9">
        <w:rPr>
          <w:i/>
          <w:sz w:val="20"/>
          <w:szCs w:val="20"/>
        </w:rPr>
        <w:t>Class Proceedings Act</w:t>
      </w:r>
      <w:r w:rsidRPr="008671E9">
        <w:rPr>
          <w:sz w:val="20"/>
          <w:szCs w:val="20"/>
        </w:rPr>
        <w:t xml:space="preserve">, R.S.B.C. 1996, c. 50, limits this Court’s discretion to award costs in respect of the proceedings in the British Columbia Supreme Court and Court of Appeal, the motion by the respondents for a re-hearing is allowed and the reasons and order of this Court dated October 31, 2013 are varied to provide that the appeal is allowed with costs in this Court only. </w:t>
      </w:r>
    </w:p>
    <w:p w:rsidR="00AA7486" w:rsidRPr="008671E9" w:rsidRDefault="00AA7486" w:rsidP="00AA7486">
      <w:pPr>
        <w:spacing w:line="230" w:lineRule="auto"/>
        <w:jc w:val="both"/>
        <w:rPr>
          <w:sz w:val="20"/>
          <w:szCs w:val="20"/>
        </w:rPr>
      </w:pPr>
    </w:p>
    <w:p w:rsidR="00AA7486" w:rsidRPr="008671E9" w:rsidRDefault="00AA7486" w:rsidP="00AA7486">
      <w:pPr>
        <w:pStyle w:val="ListParagraph"/>
        <w:widowControl w:val="0"/>
        <w:numPr>
          <w:ilvl w:val="0"/>
          <w:numId w:val="8"/>
        </w:numPr>
        <w:autoSpaceDE w:val="0"/>
        <w:autoSpaceDN w:val="0"/>
        <w:adjustRightInd w:val="0"/>
        <w:spacing w:line="230" w:lineRule="auto"/>
        <w:jc w:val="both"/>
        <w:rPr>
          <w:sz w:val="20"/>
          <w:szCs w:val="20"/>
        </w:rPr>
      </w:pPr>
      <w:r w:rsidRPr="008671E9">
        <w:rPr>
          <w:sz w:val="20"/>
          <w:szCs w:val="20"/>
        </w:rPr>
        <w:t>Notwithstanding the result, costs of these motions are payable to the appellants.</w:t>
      </w:r>
    </w:p>
    <w:p w:rsidR="00AA7486" w:rsidRPr="008671E9" w:rsidRDefault="00AA7486" w:rsidP="00AA7486">
      <w:pPr>
        <w:spacing w:line="230" w:lineRule="auto"/>
        <w:jc w:val="both"/>
        <w:rPr>
          <w:sz w:val="20"/>
          <w:szCs w:val="20"/>
        </w:rPr>
      </w:pPr>
    </w:p>
    <w:p w:rsidR="00AA7486" w:rsidRPr="008671E9" w:rsidRDefault="00AA7486" w:rsidP="00AA7486">
      <w:pPr>
        <w:spacing w:line="230" w:lineRule="auto"/>
        <w:jc w:val="both"/>
        <w:rPr>
          <w:sz w:val="20"/>
          <w:szCs w:val="20"/>
        </w:rPr>
      </w:pPr>
    </w:p>
    <w:p w:rsidR="00AA7486" w:rsidRPr="008671E9" w:rsidRDefault="00AA7486" w:rsidP="00AA7486">
      <w:pPr>
        <w:spacing w:line="230" w:lineRule="auto"/>
        <w:jc w:val="both"/>
        <w:rPr>
          <w:sz w:val="20"/>
          <w:szCs w:val="20"/>
        </w:rPr>
      </w:pPr>
    </w:p>
    <w:p w:rsidR="00AA7486" w:rsidRPr="008671E9" w:rsidRDefault="00AA7486" w:rsidP="00AA7486">
      <w:pPr>
        <w:spacing w:line="209" w:lineRule="auto"/>
        <w:jc w:val="both"/>
        <w:rPr>
          <w:sz w:val="20"/>
          <w:szCs w:val="20"/>
          <w:lang w:val="fr-CA"/>
        </w:rPr>
      </w:pPr>
      <w:r w:rsidRPr="008671E9">
        <w:rPr>
          <w:b/>
          <w:bCs/>
          <w:sz w:val="20"/>
          <w:szCs w:val="20"/>
          <w:lang w:val="fr-CA"/>
        </w:rPr>
        <w:t xml:space="preserve">À LA SUITE DE LA DEMANDE </w:t>
      </w:r>
      <w:r w:rsidRPr="008671E9">
        <w:rPr>
          <w:bCs/>
          <w:sz w:val="20"/>
          <w:szCs w:val="20"/>
          <w:lang w:val="fr-CA"/>
        </w:rPr>
        <w:t>présentée au nom des intimées en vue d’obtenir la prorogation du délai pour signifier et déposer une requête en nouvelle audition d’appel et une nouvelle audition de l’appel limitée à la question de l’adjudication des dépens ordonnée dans les motifs de jugement de la Cour datés du 31 octobre 2013;</w:t>
      </w:r>
    </w:p>
    <w:p w:rsidR="00AA7486" w:rsidRPr="008671E9" w:rsidRDefault="00AA7486" w:rsidP="00AA7486">
      <w:pPr>
        <w:spacing w:line="208" w:lineRule="auto"/>
        <w:jc w:val="both"/>
        <w:rPr>
          <w:sz w:val="20"/>
          <w:szCs w:val="20"/>
          <w:lang w:val="fr-CA"/>
        </w:rPr>
      </w:pPr>
    </w:p>
    <w:p w:rsidR="00AA7486" w:rsidRPr="008671E9" w:rsidRDefault="00AA7486" w:rsidP="00AA7486">
      <w:pPr>
        <w:spacing w:line="208" w:lineRule="auto"/>
        <w:jc w:val="both"/>
        <w:rPr>
          <w:sz w:val="20"/>
          <w:szCs w:val="20"/>
          <w:lang w:val="fr-CA"/>
        </w:rPr>
      </w:pPr>
      <w:r w:rsidRPr="008671E9">
        <w:rPr>
          <w:b/>
          <w:sz w:val="20"/>
          <w:szCs w:val="20"/>
          <w:lang w:val="fr-CA"/>
        </w:rPr>
        <w:t xml:space="preserve">ET À LA SUITE DE LA DEMANDE </w:t>
      </w:r>
      <w:r w:rsidRPr="008671E9">
        <w:rPr>
          <w:sz w:val="20"/>
          <w:szCs w:val="20"/>
          <w:lang w:val="fr-CA"/>
        </w:rPr>
        <w:t>présentée</w:t>
      </w:r>
      <w:r w:rsidRPr="008671E9">
        <w:rPr>
          <w:b/>
          <w:sz w:val="20"/>
          <w:szCs w:val="20"/>
          <w:lang w:val="fr-CA"/>
        </w:rPr>
        <w:t xml:space="preserve"> </w:t>
      </w:r>
      <w:r w:rsidRPr="008671E9">
        <w:rPr>
          <w:sz w:val="20"/>
          <w:szCs w:val="20"/>
          <w:lang w:val="fr-CA"/>
        </w:rPr>
        <w:t>au nom des appelants en vue d’obtenir l’autorisation de présenter une requête en autorisation de signifier et de déposer une réponse à la réplique;</w:t>
      </w:r>
    </w:p>
    <w:p w:rsidR="00AA7486" w:rsidRPr="008671E9" w:rsidRDefault="00AA7486" w:rsidP="00AA7486">
      <w:pPr>
        <w:spacing w:line="208" w:lineRule="auto"/>
        <w:jc w:val="both"/>
        <w:rPr>
          <w:sz w:val="20"/>
          <w:szCs w:val="20"/>
          <w:lang w:val="fr-CA"/>
        </w:rPr>
      </w:pPr>
    </w:p>
    <w:p w:rsidR="00AA7486" w:rsidRPr="008671E9" w:rsidRDefault="00AA7486" w:rsidP="00AA7486">
      <w:pPr>
        <w:spacing w:line="230" w:lineRule="auto"/>
        <w:jc w:val="both"/>
        <w:rPr>
          <w:sz w:val="20"/>
          <w:szCs w:val="20"/>
          <w:lang w:val="fr-CA"/>
        </w:rPr>
      </w:pPr>
      <w:r w:rsidRPr="008671E9">
        <w:rPr>
          <w:b/>
          <w:bCs/>
          <w:sz w:val="20"/>
          <w:szCs w:val="20"/>
          <w:lang w:val="fr-CA"/>
        </w:rPr>
        <w:lastRenderedPageBreak/>
        <w:t xml:space="preserve">ET APRÈS EXAMEN </w:t>
      </w:r>
      <w:r w:rsidRPr="008671E9">
        <w:rPr>
          <w:bCs/>
          <w:sz w:val="20"/>
          <w:szCs w:val="20"/>
          <w:lang w:val="fr-CA"/>
        </w:rPr>
        <w:t>des documen</w:t>
      </w:r>
      <w:r w:rsidR="00352CF6">
        <w:rPr>
          <w:bCs/>
          <w:sz w:val="20"/>
          <w:szCs w:val="20"/>
          <w:lang w:val="fr-CA"/>
        </w:rPr>
        <w:t>t</w:t>
      </w:r>
      <w:r w:rsidRPr="008671E9">
        <w:rPr>
          <w:bCs/>
          <w:sz w:val="20"/>
          <w:szCs w:val="20"/>
          <w:lang w:val="fr-CA"/>
        </w:rPr>
        <w:t>s déposés</w:t>
      </w:r>
      <w:r w:rsidRPr="008671E9">
        <w:rPr>
          <w:sz w:val="20"/>
          <w:szCs w:val="20"/>
          <w:lang w:val="fr-CA"/>
        </w:rPr>
        <w:t>;</w:t>
      </w:r>
    </w:p>
    <w:p w:rsidR="00AA7486" w:rsidRPr="008671E9" w:rsidRDefault="00AA7486" w:rsidP="00AA7486">
      <w:pPr>
        <w:spacing w:line="230" w:lineRule="auto"/>
        <w:jc w:val="both"/>
        <w:rPr>
          <w:sz w:val="20"/>
          <w:szCs w:val="20"/>
          <w:lang w:val="fr-CA"/>
        </w:rPr>
      </w:pPr>
    </w:p>
    <w:p w:rsidR="00AA7486" w:rsidRPr="008671E9" w:rsidRDefault="00AA7486" w:rsidP="00AA7486">
      <w:pPr>
        <w:spacing w:line="230" w:lineRule="auto"/>
        <w:jc w:val="both"/>
        <w:rPr>
          <w:sz w:val="20"/>
          <w:szCs w:val="20"/>
          <w:lang w:val="fr-CA"/>
        </w:rPr>
      </w:pPr>
      <w:r w:rsidRPr="008671E9">
        <w:rPr>
          <w:b/>
          <w:bCs/>
          <w:sz w:val="20"/>
          <w:szCs w:val="20"/>
          <w:lang w:val="fr-CA"/>
        </w:rPr>
        <w:t>IL EST ORDONNÉ CE QUI SUIT :</w:t>
      </w:r>
    </w:p>
    <w:p w:rsidR="00AA7486" w:rsidRPr="008671E9" w:rsidRDefault="00AA7486" w:rsidP="00AA7486">
      <w:pPr>
        <w:spacing w:line="230" w:lineRule="auto"/>
        <w:jc w:val="both"/>
        <w:rPr>
          <w:sz w:val="20"/>
          <w:szCs w:val="20"/>
          <w:lang w:val="fr-CA"/>
        </w:rPr>
      </w:pPr>
    </w:p>
    <w:p w:rsidR="00AA7486" w:rsidRPr="008671E9" w:rsidRDefault="00AA7486" w:rsidP="00AA7486">
      <w:pPr>
        <w:pStyle w:val="ListParagraph"/>
        <w:widowControl w:val="0"/>
        <w:numPr>
          <w:ilvl w:val="0"/>
          <w:numId w:val="11"/>
        </w:numPr>
        <w:autoSpaceDE w:val="0"/>
        <w:autoSpaceDN w:val="0"/>
        <w:adjustRightInd w:val="0"/>
        <w:spacing w:line="230" w:lineRule="auto"/>
        <w:jc w:val="both"/>
        <w:rPr>
          <w:sz w:val="20"/>
          <w:szCs w:val="20"/>
          <w:lang w:val="fr-CA"/>
        </w:rPr>
      </w:pPr>
      <w:r w:rsidRPr="008671E9">
        <w:rPr>
          <w:sz w:val="20"/>
          <w:szCs w:val="20"/>
          <w:lang w:val="fr-CA"/>
        </w:rPr>
        <w:t xml:space="preserve">La requête présentée par les intimées en prorogation du délai pour signifier et déposer une requête en nouvelle audition d’appel est accueillie. </w:t>
      </w:r>
    </w:p>
    <w:p w:rsidR="00AA7486" w:rsidRPr="008671E9" w:rsidRDefault="00AA7486" w:rsidP="00AA7486">
      <w:pPr>
        <w:spacing w:line="230" w:lineRule="auto"/>
        <w:jc w:val="both"/>
        <w:rPr>
          <w:sz w:val="20"/>
          <w:szCs w:val="20"/>
          <w:lang w:val="fr-CA"/>
        </w:rPr>
      </w:pPr>
    </w:p>
    <w:p w:rsidR="00AA7486" w:rsidRPr="008671E9" w:rsidRDefault="00AA7486" w:rsidP="00AA7486">
      <w:pPr>
        <w:pStyle w:val="ListParagraph"/>
        <w:widowControl w:val="0"/>
        <w:numPr>
          <w:ilvl w:val="0"/>
          <w:numId w:val="11"/>
        </w:numPr>
        <w:autoSpaceDE w:val="0"/>
        <w:autoSpaceDN w:val="0"/>
        <w:adjustRightInd w:val="0"/>
        <w:spacing w:line="230" w:lineRule="auto"/>
        <w:jc w:val="both"/>
        <w:rPr>
          <w:sz w:val="20"/>
          <w:szCs w:val="20"/>
          <w:lang w:val="fr-CA"/>
        </w:rPr>
      </w:pPr>
      <w:r w:rsidRPr="008671E9">
        <w:rPr>
          <w:sz w:val="20"/>
          <w:szCs w:val="20"/>
          <w:lang w:val="fr-CA"/>
        </w:rPr>
        <w:t xml:space="preserve">La requête présentée par les appelants en autorisation de déposer une réponse à la réplique est accueillie. </w:t>
      </w:r>
    </w:p>
    <w:p w:rsidR="00AA7486" w:rsidRPr="008671E9" w:rsidRDefault="00AA7486" w:rsidP="00AA7486">
      <w:pPr>
        <w:spacing w:line="230" w:lineRule="auto"/>
        <w:jc w:val="both"/>
        <w:rPr>
          <w:sz w:val="20"/>
          <w:szCs w:val="20"/>
          <w:lang w:val="fr-CA"/>
        </w:rPr>
      </w:pPr>
    </w:p>
    <w:p w:rsidR="00AA7486" w:rsidRPr="008671E9" w:rsidRDefault="00AA7486" w:rsidP="00AA7486">
      <w:pPr>
        <w:pStyle w:val="ListParagraph"/>
        <w:widowControl w:val="0"/>
        <w:numPr>
          <w:ilvl w:val="0"/>
          <w:numId w:val="11"/>
        </w:numPr>
        <w:autoSpaceDE w:val="0"/>
        <w:autoSpaceDN w:val="0"/>
        <w:adjustRightInd w:val="0"/>
        <w:spacing w:line="230" w:lineRule="auto"/>
        <w:jc w:val="both"/>
        <w:rPr>
          <w:sz w:val="20"/>
          <w:szCs w:val="20"/>
          <w:lang w:val="fr-CA"/>
        </w:rPr>
      </w:pPr>
      <w:r w:rsidRPr="008671E9">
        <w:rPr>
          <w:sz w:val="20"/>
          <w:szCs w:val="20"/>
          <w:lang w:val="fr-CA"/>
        </w:rPr>
        <w:t xml:space="preserve">Sans que soit tranchée la question de savoir si l’art. 37 de la </w:t>
      </w:r>
      <w:r w:rsidRPr="008671E9">
        <w:rPr>
          <w:i/>
          <w:sz w:val="20"/>
          <w:szCs w:val="20"/>
          <w:lang w:val="fr-CA"/>
        </w:rPr>
        <w:t>Class Proceedings Act</w:t>
      </w:r>
      <w:r w:rsidRPr="008671E9">
        <w:rPr>
          <w:sz w:val="20"/>
          <w:szCs w:val="20"/>
          <w:lang w:val="fr-CA"/>
        </w:rPr>
        <w:t xml:space="preserve">, R.S.B.C. 1996, ch. 50, limite le pouvoir discrétionnaire de la Cour d’adjuger les dépens à l’égard des instances devant la Cour suprême de la Colombie-Britannique et la Cour d’appel, la requête présentée par les intimées en nouvelle audition de l’appel est accueillie, et les motifs et l’ordonnance de la Cour datés du 31 octobre 2013 sont modifiés et prévoient que l’appel est accueilli avec dépens devant la Cour seulement.  </w:t>
      </w:r>
    </w:p>
    <w:p w:rsidR="00AA7486" w:rsidRPr="008671E9" w:rsidRDefault="00AA7486" w:rsidP="00AA7486">
      <w:pPr>
        <w:spacing w:line="230" w:lineRule="auto"/>
        <w:jc w:val="both"/>
        <w:rPr>
          <w:sz w:val="20"/>
          <w:szCs w:val="20"/>
          <w:lang w:val="fr-CA"/>
        </w:rPr>
      </w:pPr>
    </w:p>
    <w:p w:rsidR="00AA7486" w:rsidRPr="008671E9" w:rsidRDefault="00AA7486" w:rsidP="00AA7486">
      <w:pPr>
        <w:pStyle w:val="ListParagraph"/>
        <w:widowControl w:val="0"/>
        <w:numPr>
          <w:ilvl w:val="0"/>
          <w:numId w:val="11"/>
        </w:numPr>
        <w:autoSpaceDE w:val="0"/>
        <w:autoSpaceDN w:val="0"/>
        <w:adjustRightInd w:val="0"/>
        <w:spacing w:line="230" w:lineRule="auto"/>
        <w:jc w:val="both"/>
        <w:rPr>
          <w:sz w:val="20"/>
          <w:szCs w:val="20"/>
          <w:lang w:val="fr-CA"/>
        </w:rPr>
      </w:pPr>
      <w:r w:rsidRPr="008671E9">
        <w:rPr>
          <w:sz w:val="20"/>
          <w:szCs w:val="20"/>
          <w:lang w:val="fr-CA"/>
        </w:rPr>
        <w:t>Quel que soit le résultat, les dépens des requêtes doivent être payés aux appelants.</w:t>
      </w:r>
    </w:p>
    <w:p w:rsidR="00AA7486" w:rsidRPr="008671E9" w:rsidRDefault="00AA7486" w:rsidP="00AA7486">
      <w:pPr>
        <w:tabs>
          <w:tab w:val="left" w:pos="-1440"/>
          <w:tab w:val="left" w:pos="-720"/>
        </w:tabs>
        <w:jc w:val="both"/>
        <w:rPr>
          <w:sz w:val="20"/>
          <w:szCs w:val="20"/>
          <w:lang w:val="fr-CA"/>
        </w:rPr>
      </w:pPr>
    </w:p>
    <w:p w:rsidR="00AA7486" w:rsidRPr="008671E9" w:rsidRDefault="00714478" w:rsidP="00AA7486">
      <w:pPr>
        <w:tabs>
          <w:tab w:val="left" w:pos="-1440"/>
          <w:tab w:val="left" w:pos="-720"/>
        </w:tabs>
        <w:jc w:val="both"/>
        <w:rPr>
          <w:sz w:val="20"/>
          <w:szCs w:val="20"/>
        </w:rPr>
      </w:pPr>
      <w:r>
        <w:rPr>
          <w:sz w:val="20"/>
          <w:szCs w:val="20"/>
          <w:lang w:val="fr-CA"/>
        </w:rPr>
        <w:pict>
          <v:rect id="_x0000_i1075" style="width:2in;height:1pt" o:hrpct="0" o:hralign="center" o:hrstd="t" o:hrnoshade="t" o:hr="t" fillcolor="black [3213]" stroked="f"/>
        </w:pict>
      </w:r>
    </w:p>
    <w:p w:rsidR="00AA7486" w:rsidRPr="008671E9" w:rsidRDefault="00AA7486" w:rsidP="00AA7486">
      <w:pPr>
        <w:tabs>
          <w:tab w:val="left" w:pos="-1440"/>
          <w:tab w:val="left" w:pos="-720"/>
        </w:tabs>
        <w:jc w:val="both"/>
        <w:rPr>
          <w:sz w:val="20"/>
          <w:szCs w:val="20"/>
          <w:lang w:val="fr-CA"/>
        </w:rPr>
      </w:pPr>
    </w:p>
    <w:p w:rsidR="00AA7486" w:rsidRPr="008671E9" w:rsidRDefault="00AA7486" w:rsidP="00AA7486">
      <w:pPr>
        <w:widowControl w:val="0"/>
        <w:rPr>
          <w:rFonts w:eastAsia="Times New Roman" w:cs="Times New Roman"/>
          <w:sz w:val="20"/>
          <w:szCs w:val="20"/>
          <w:lang w:val="fr-CA" w:eastAsia="en-CA"/>
        </w:rPr>
      </w:pPr>
      <w:r w:rsidRPr="008671E9">
        <w:rPr>
          <w:rFonts w:eastAsia="Times New Roman" w:cs="Times New Roman"/>
          <w:sz w:val="20"/>
          <w:szCs w:val="20"/>
          <w:lang w:val="fr-CA" w:eastAsia="en-CA"/>
        </w:rPr>
        <w:t>20.10.2014</w:t>
      </w:r>
    </w:p>
    <w:p w:rsidR="00AA7486" w:rsidRPr="008671E9" w:rsidRDefault="00AA7486" w:rsidP="00AA7486">
      <w:pPr>
        <w:widowControl w:val="0"/>
        <w:rPr>
          <w:rFonts w:eastAsia="Times New Roman" w:cs="Times New Roman"/>
          <w:sz w:val="20"/>
          <w:szCs w:val="20"/>
          <w:lang w:val="fr-CA" w:eastAsia="en-CA"/>
        </w:rPr>
      </w:pPr>
    </w:p>
    <w:p w:rsidR="00AA7486" w:rsidRPr="00A15737" w:rsidRDefault="00AA7486" w:rsidP="00AA7486">
      <w:pPr>
        <w:widowControl w:val="0"/>
        <w:ind w:left="720" w:hanging="720"/>
        <w:rPr>
          <w:rFonts w:eastAsia="Times New Roman" w:cs="Times New Roman"/>
          <w:sz w:val="20"/>
          <w:szCs w:val="20"/>
          <w:lang w:val="fr-CA" w:eastAsia="en-CA"/>
        </w:rPr>
      </w:pPr>
      <w:r w:rsidRPr="00A15737">
        <w:rPr>
          <w:rFonts w:cs="Times New Roman"/>
          <w:sz w:val="20"/>
          <w:szCs w:val="20"/>
          <w:lang w:val="fr-CA"/>
        </w:rPr>
        <w:t>Coram :</w:t>
      </w:r>
      <w:r>
        <w:rPr>
          <w:rFonts w:cs="Times New Roman"/>
          <w:sz w:val="20"/>
          <w:szCs w:val="20"/>
          <w:lang w:val="fr-CA"/>
        </w:rPr>
        <w:tab/>
      </w:r>
      <w:r w:rsidRPr="00A15737">
        <w:rPr>
          <w:rFonts w:cs="Times New Roman"/>
          <w:sz w:val="20"/>
          <w:szCs w:val="20"/>
          <w:u w:val="single"/>
          <w:lang w:val="fr-CA"/>
        </w:rPr>
        <w:t>Les juges Abella, Rothstein, Cromwell, Moldaver et Karakatsanis</w:t>
      </w:r>
    </w:p>
    <w:p w:rsidR="00AA7486" w:rsidRDefault="00AA7486" w:rsidP="00AA7486">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410"/>
        <w:gridCol w:w="720"/>
        <w:gridCol w:w="4350"/>
      </w:tblGrid>
      <w:tr w:rsidR="00AA7486" w:rsidRPr="008D19D6" w:rsidTr="00E33C9D">
        <w:tc>
          <w:tcPr>
            <w:tcW w:w="4410" w:type="dxa"/>
            <w:tcMar>
              <w:left w:w="0" w:type="dxa"/>
              <w:right w:w="0" w:type="dxa"/>
            </w:tcMar>
          </w:tcPr>
          <w:p w:rsidR="00AA7486" w:rsidRPr="001E4FDE" w:rsidRDefault="00AA7486" w:rsidP="00E33C9D">
            <w:pPr>
              <w:widowControl w:val="0"/>
              <w:jc w:val="both"/>
              <w:rPr>
                <w:rFonts w:eastAsia="Times New Roman" w:cs="Times New Roman"/>
                <w:b/>
                <w:sz w:val="20"/>
                <w:szCs w:val="20"/>
                <w:lang w:val="fr-CA" w:eastAsia="en-CA"/>
              </w:rPr>
            </w:pPr>
            <w:r w:rsidRPr="001E4FDE">
              <w:rPr>
                <w:rFonts w:eastAsia="Times New Roman" w:cs="Times New Roman"/>
                <w:b/>
                <w:sz w:val="20"/>
                <w:szCs w:val="20"/>
                <w:lang w:val="fr-CA" w:eastAsia="en-CA"/>
              </w:rPr>
              <w:t xml:space="preserve">Oral hearing on motions </w:t>
            </w:r>
          </w:p>
        </w:tc>
        <w:tc>
          <w:tcPr>
            <w:tcW w:w="720" w:type="dxa"/>
            <w:tcMar>
              <w:left w:w="0" w:type="dxa"/>
              <w:right w:w="0" w:type="dxa"/>
            </w:tcMar>
          </w:tcPr>
          <w:p w:rsidR="00AA7486" w:rsidRPr="001E4FDE" w:rsidRDefault="00AA7486" w:rsidP="00E33C9D">
            <w:pPr>
              <w:widowControl w:val="0"/>
              <w:jc w:val="center"/>
              <w:rPr>
                <w:rFonts w:eastAsia="Times New Roman" w:cs="Times New Roman"/>
                <w:sz w:val="20"/>
                <w:szCs w:val="20"/>
                <w:lang w:val="fr-CA" w:eastAsia="en-CA"/>
              </w:rPr>
            </w:pPr>
          </w:p>
          <w:p w:rsidR="00AA7486" w:rsidRPr="001E4FDE" w:rsidRDefault="00AA7486" w:rsidP="00E33C9D">
            <w:pPr>
              <w:widowControl w:val="0"/>
              <w:jc w:val="center"/>
              <w:rPr>
                <w:rFonts w:eastAsia="Times New Roman" w:cs="Times New Roman"/>
                <w:sz w:val="20"/>
                <w:szCs w:val="20"/>
                <w:lang w:val="fr-CA" w:eastAsia="en-CA"/>
              </w:rPr>
            </w:pPr>
          </w:p>
        </w:tc>
        <w:tc>
          <w:tcPr>
            <w:tcW w:w="4350" w:type="dxa"/>
            <w:tcMar>
              <w:left w:w="0" w:type="dxa"/>
              <w:right w:w="0" w:type="dxa"/>
            </w:tcMar>
          </w:tcPr>
          <w:p w:rsidR="00AA7486" w:rsidRPr="006E5D7C" w:rsidRDefault="00AA7486" w:rsidP="00E33C9D">
            <w:pPr>
              <w:widowControl w:val="0"/>
              <w:jc w:val="both"/>
              <w:rPr>
                <w:rFonts w:eastAsia="Times New Roman" w:cs="Times New Roman"/>
                <w:b/>
                <w:sz w:val="20"/>
                <w:szCs w:val="20"/>
                <w:lang w:val="fr-CA" w:eastAsia="en-CA"/>
              </w:rPr>
            </w:pPr>
            <w:r w:rsidRPr="006E5D7C">
              <w:rPr>
                <w:rFonts w:eastAsia="Times New Roman" w:cs="Times New Roman"/>
                <w:b/>
                <w:sz w:val="20"/>
                <w:szCs w:val="20"/>
                <w:lang w:val="fr-CA" w:eastAsia="en-CA"/>
              </w:rPr>
              <w:t xml:space="preserve">Audition </w:t>
            </w:r>
            <w:r>
              <w:rPr>
                <w:rFonts w:eastAsia="Times New Roman" w:cs="Times New Roman"/>
                <w:b/>
                <w:sz w:val="20"/>
                <w:szCs w:val="20"/>
                <w:lang w:val="fr-CA" w:eastAsia="en-CA"/>
              </w:rPr>
              <w:t>orale sur</w:t>
            </w:r>
            <w:r w:rsidRPr="006E5D7C">
              <w:rPr>
                <w:rFonts w:eastAsia="Times New Roman" w:cs="Times New Roman"/>
                <w:b/>
                <w:sz w:val="20"/>
                <w:szCs w:val="20"/>
                <w:lang w:val="fr-CA" w:eastAsia="en-CA"/>
              </w:rPr>
              <w:t xml:space="preserve"> requête</w:t>
            </w:r>
            <w:r>
              <w:rPr>
                <w:rFonts w:eastAsia="Times New Roman" w:cs="Times New Roman"/>
                <w:b/>
                <w:sz w:val="20"/>
                <w:szCs w:val="20"/>
                <w:lang w:val="fr-CA" w:eastAsia="en-CA"/>
              </w:rPr>
              <w:t xml:space="preserve">s </w:t>
            </w:r>
          </w:p>
        </w:tc>
      </w:tr>
      <w:tr w:rsidR="00AA7486" w:rsidRPr="00714478" w:rsidTr="00E33C9D">
        <w:tc>
          <w:tcPr>
            <w:tcW w:w="4410" w:type="dxa"/>
            <w:tcMar>
              <w:left w:w="0" w:type="dxa"/>
              <w:right w:w="0" w:type="dxa"/>
            </w:tcMar>
          </w:tcPr>
          <w:p w:rsidR="00AA7486" w:rsidRDefault="00AA7486" w:rsidP="00E33C9D">
            <w:pPr>
              <w:pStyle w:val="SCCLsocParty"/>
              <w:jc w:val="both"/>
              <w:rPr>
                <w:rFonts w:cs="Times New Roman"/>
                <w:sz w:val="20"/>
                <w:szCs w:val="20"/>
              </w:rPr>
            </w:pPr>
            <w:r w:rsidRPr="0093447D">
              <w:rPr>
                <w:rFonts w:cs="Times New Roman"/>
                <w:sz w:val="20"/>
                <w:szCs w:val="20"/>
              </w:rPr>
              <w:t>Sa Majesté la Reine</w:t>
            </w:r>
          </w:p>
          <w:p w:rsidR="00AA7486" w:rsidRPr="0093447D" w:rsidRDefault="00AA7486" w:rsidP="00E33C9D">
            <w:pPr>
              <w:pStyle w:val="SCCLsocParty"/>
              <w:jc w:val="both"/>
              <w:rPr>
                <w:rFonts w:cs="Times New Roman"/>
                <w:sz w:val="20"/>
                <w:szCs w:val="20"/>
              </w:rPr>
            </w:pPr>
          </w:p>
          <w:p w:rsidR="00AA7486" w:rsidRPr="001E4FDE" w:rsidRDefault="00AA7486" w:rsidP="00E33C9D">
            <w:pPr>
              <w:pStyle w:val="SCCLsocVersus"/>
              <w:jc w:val="both"/>
              <w:rPr>
                <w:rFonts w:cs="Times New Roman"/>
                <w:sz w:val="20"/>
                <w:szCs w:val="20"/>
              </w:rPr>
            </w:pPr>
            <w:r>
              <w:rPr>
                <w:rFonts w:cs="Times New Roman"/>
                <w:sz w:val="20"/>
                <w:szCs w:val="20"/>
              </w:rPr>
              <w:tab/>
            </w:r>
            <w:r w:rsidRPr="001E4FDE">
              <w:rPr>
                <w:rFonts w:cs="Times New Roman"/>
                <w:sz w:val="20"/>
                <w:szCs w:val="20"/>
              </w:rPr>
              <w:t>c. (26646)</w:t>
            </w:r>
          </w:p>
          <w:p w:rsidR="00AA7486" w:rsidRPr="001E4FDE" w:rsidRDefault="00AA7486" w:rsidP="00E33C9D">
            <w:pPr>
              <w:rPr>
                <w:lang w:val="fr-CA"/>
              </w:rPr>
            </w:pPr>
          </w:p>
          <w:p w:rsidR="00AA7486" w:rsidRPr="006E5D7C" w:rsidRDefault="00AA7486" w:rsidP="00E33C9D">
            <w:pPr>
              <w:pStyle w:val="SCCLsocParty"/>
              <w:jc w:val="both"/>
              <w:rPr>
                <w:rFonts w:eastAsia="Times New Roman" w:cs="Times New Roman"/>
                <w:b/>
                <w:sz w:val="20"/>
                <w:szCs w:val="20"/>
                <w:lang w:eastAsia="en-CA"/>
              </w:rPr>
            </w:pPr>
            <w:r w:rsidRPr="00093D2B">
              <w:rPr>
                <w:rFonts w:cs="Times New Roman"/>
                <w:sz w:val="20"/>
                <w:szCs w:val="20"/>
              </w:rPr>
              <w:t xml:space="preserve">Daniel Jolivet </w:t>
            </w:r>
            <w:r w:rsidRPr="00093D2B">
              <w:rPr>
                <w:rFonts w:eastAsia="Times New Roman" w:cs="Times New Roman"/>
                <w:sz w:val="20"/>
                <w:szCs w:val="20"/>
                <w:lang w:eastAsia="en-CA"/>
              </w:rPr>
              <w:t>(Qc) (Criminelle) (De plein droit)</w:t>
            </w:r>
          </w:p>
        </w:tc>
        <w:tc>
          <w:tcPr>
            <w:tcW w:w="720" w:type="dxa"/>
            <w:tcMar>
              <w:left w:w="0" w:type="dxa"/>
              <w:right w:w="0" w:type="dxa"/>
            </w:tcMar>
          </w:tcPr>
          <w:p w:rsidR="00AA7486" w:rsidRPr="00093D2B" w:rsidRDefault="00AA7486" w:rsidP="00E33C9D">
            <w:pPr>
              <w:widowControl w:val="0"/>
              <w:jc w:val="center"/>
              <w:rPr>
                <w:rFonts w:eastAsia="Times New Roman" w:cs="Times New Roman"/>
                <w:sz w:val="20"/>
                <w:szCs w:val="20"/>
                <w:lang w:val="fr-CA" w:eastAsia="en-CA"/>
              </w:rPr>
            </w:pPr>
          </w:p>
        </w:tc>
        <w:tc>
          <w:tcPr>
            <w:tcW w:w="4350" w:type="dxa"/>
            <w:tcMar>
              <w:left w:w="0" w:type="dxa"/>
              <w:right w:w="0" w:type="dxa"/>
            </w:tcMar>
          </w:tcPr>
          <w:p w:rsidR="00AA7486" w:rsidRPr="00F80321" w:rsidRDefault="00AA7486" w:rsidP="00E33C9D">
            <w:pPr>
              <w:jc w:val="both"/>
              <w:rPr>
                <w:sz w:val="20"/>
                <w:szCs w:val="20"/>
                <w:lang w:val="fr-CA"/>
              </w:rPr>
            </w:pPr>
            <w:r w:rsidRPr="00F80321">
              <w:rPr>
                <w:sz w:val="20"/>
                <w:szCs w:val="20"/>
                <w:lang w:val="fr-CA"/>
              </w:rPr>
              <w:t>Lida Sara Nouraie</w:t>
            </w:r>
            <w:r>
              <w:rPr>
                <w:sz w:val="20"/>
                <w:szCs w:val="20"/>
                <w:lang w:val="fr-CA"/>
              </w:rPr>
              <w:t xml:space="preserve"> et </w:t>
            </w:r>
            <w:r w:rsidRPr="00F80321">
              <w:rPr>
                <w:sz w:val="20"/>
                <w:szCs w:val="20"/>
                <w:lang w:val="fr-CA"/>
              </w:rPr>
              <w:t>Nicholas St-Jacques</w:t>
            </w:r>
            <w:r>
              <w:rPr>
                <w:sz w:val="20"/>
                <w:szCs w:val="20"/>
                <w:lang w:val="fr-CA"/>
              </w:rPr>
              <w:t xml:space="preserve"> p</w:t>
            </w:r>
            <w:r w:rsidRPr="00F80321">
              <w:rPr>
                <w:sz w:val="20"/>
                <w:szCs w:val="20"/>
                <w:lang w:val="fr-CA"/>
              </w:rPr>
              <w:t>our l’intimé.</w:t>
            </w:r>
          </w:p>
          <w:p w:rsidR="00AA7486" w:rsidRPr="00F80321" w:rsidRDefault="00AA7486" w:rsidP="00E33C9D">
            <w:pPr>
              <w:jc w:val="both"/>
              <w:rPr>
                <w:sz w:val="20"/>
                <w:szCs w:val="20"/>
                <w:lang w:val="fr-CA"/>
              </w:rPr>
            </w:pPr>
          </w:p>
          <w:p w:rsidR="00AA7486" w:rsidRPr="00A32F2E" w:rsidRDefault="00AA7486" w:rsidP="00E33C9D">
            <w:pPr>
              <w:jc w:val="both"/>
              <w:rPr>
                <w:rFonts w:eastAsia="Times New Roman" w:cs="Times New Roman"/>
                <w:sz w:val="20"/>
                <w:szCs w:val="20"/>
                <w:lang w:val="fr-CA" w:eastAsia="en-CA"/>
              </w:rPr>
            </w:pPr>
            <w:r w:rsidRPr="00F80321">
              <w:rPr>
                <w:sz w:val="20"/>
                <w:szCs w:val="20"/>
                <w:lang w:val="fr-CA"/>
              </w:rPr>
              <w:t>Daniel Royer</w:t>
            </w:r>
            <w:r>
              <w:rPr>
                <w:sz w:val="20"/>
                <w:szCs w:val="20"/>
                <w:lang w:val="fr-CA"/>
              </w:rPr>
              <w:t xml:space="preserve"> et </w:t>
            </w:r>
            <w:r w:rsidRPr="00F80321">
              <w:rPr>
                <w:sz w:val="20"/>
                <w:szCs w:val="20"/>
                <w:lang w:val="fr-CA"/>
              </w:rPr>
              <w:t>Magalie Cimon</w:t>
            </w:r>
            <w:r>
              <w:rPr>
                <w:sz w:val="20"/>
                <w:szCs w:val="20"/>
                <w:lang w:val="fr-CA"/>
              </w:rPr>
              <w:t xml:space="preserve"> p</w:t>
            </w:r>
            <w:r w:rsidRPr="00F80321">
              <w:rPr>
                <w:sz w:val="20"/>
                <w:szCs w:val="20"/>
                <w:lang w:val="fr-CA"/>
              </w:rPr>
              <w:t>our l’appelante.</w:t>
            </w:r>
          </w:p>
        </w:tc>
      </w:tr>
    </w:tbl>
    <w:p w:rsidR="00AA7486" w:rsidRPr="00A32F2E" w:rsidRDefault="00AA7486" w:rsidP="00AA7486">
      <w:pPr>
        <w:widowControl w:val="0"/>
        <w:rPr>
          <w:rFonts w:eastAsia="Times New Roman" w:cs="Times New Roman"/>
          <w:sz w:val="20"/>
          <w:szCs w:val="20"/>
          <w:lang w:val="fr-CA" w:eastAsia="en-CA"/>
        </w:rPr>
      </w:pPr>
    </w:p>
    <w:p w:rsidR="00AA7486" w:rsidRPr="001E4FDE" w:rsidRDefault="00AA7486" w:rsidP="00AA7486">
      <w:pPr>
        <w:widowControl w:val="0"/>
        <w:rPr>
          <w:rFonts w:eastAsia="Times New Roman" w:cs="Times New Roman"/>
          <w:sz w:val="20"/>
          <w:szCs w:val="20"/>
          <w:lang w:val="fr-CA" w:eastAsia="en-CA"/>
        </w:rPr>
      </w:pPr>
      <w:r w:rsidRPr="001E4FDE">
        <w:rPr>
          <w:rFonts w:eastAsia="Times New Roman" w:cs="Times New Roman"/>
          <w:b/>
          <w:sz w:val="20"/>
          <w:szCs w:val="20"/>
          <w:lang w:val="fr-CA" w:eastAsia="en-CA"/>
        </w:rPr>
        <w:t>DISMISSED / REJETÉ</w:t>
      </w:r>
    </w:p>
    <w:p w:rsidR="00AA7486" w:rsidRPr="00A32F2E" w:rsidRDefault="00AA7486" w:rsidP="00AA7486">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410"/>
        <w:gridCol w:w="720"/>
        <w:gridCol w:w="4350"/>
      </w:tblGrid>
      <w:tr w:rsidR="00AA7486" w:rsidRPr="008C097E" w:rsidTr="00E33C9D">
        <w:tc>
          <w:tcPr>
            <w:tcW w:w="4410" w:type="dxa"/>
            <w:tcMar>
              <w:left w:w="0" w:type="dxa"/>
              <w:right w:w="0" w:type="dxa"/>
            </w:tcMar>
          </w:tcPr>
          <w:p w:rsidR="00AA7486" w:rsidRPr="006E5D7C" w:rsidRDefault="00AA7486" w:rsidP="00E33C9D">
            <w:pPr>
              <w:widowControl w:val="0"/>
              <w:jc w:val="both"/>
              <w:rPr>
                <w:rFonts w:eastAsia="Times New Roman" w:cs="Times New Roman"/>
                <w:b/>
                <w:sz w:val="20"/>
                <w:szCs w:val="20"/>
                <w:u w:val="single"/>
                <w:lang w:val="en-US" w:eastAsia="en-CA"/>
              </w:rPr>
            </w:pPr>
            <w:r w:rsidRPr="006E5D7C">
              <w:rPr>
                <w:rFonts w:eastAsia="Times New Roman" w:cs="Times New Roman"/>
                <w:b/>
                <w:sz w:val="20"/>
                <w:szCs w:val="20"/>
                <w:u w:val="single"/>
                <w:lang w:val="en-US" w:eastAsia="en-CA"/>
              </w:rPr>
              <w:t>JUDGMENT:</w:t>
            </w:r>
          </w:p>
          <w:p w:rsidR="00AA7486" w:rsidRDefault="00AA7486" w:rsidP="00E33C9D">
            <w:pPr>
              <w:widowControl w:val="0"/>
              <w:jc w:val="both"/>
              <w:rPr>
                <w:rFonts w:eastAsia="Times New Roman" w:cs="Times New Roman"/>
                <w:b/>
                <w:sz w:val="20"/>
                <w:szCs w:val="20"/>
                <w:lang w:val="en-US" w:eastAsia="en-CA"/>
              </w:rPr>
            </w:pPr>
          </w:p>
          <w:p w:rsidR="00AA7486" w:rsidRPr="0093447D" w:rsidRDefault="00AA7486" w:rsidP="00E33C9D">
            <w:pPr>
              <w:jc w:val="both"/>
              <w:rPr>
                <w:rFonts w:cs="Times New Roman"/>
                <w:sz w:val="20"/>
                <w:szCs w:val="20"/>
              </w:rPr>
            </w:pPr>
            <w:r w:rsidRPr="0093447D">
              <w:rPr>
                <w:rFonts w:cs="Times New Roman"/>
                <w:smallCaps/>
                <w:sz w:val="20"/>
                <w:szCs w:val="20"/>
                <w:lang w:val="en-US"/>
              </w:rPr>
              <w:t xml:space="preserve">The Court </w:t>
            </w:r>
            <w:r w:rsidRPr="0093447D">
              <w:rPr>
                <w:rFonts w:cs="Times New Roman"/>
                <w:sz w:val="20"/>
                <w:szCs w:val="20"/>
                <w:lang w:val="en-US"/>
              </w:rPr>
              <w:t xml:space="preserve">— </w:t>
            </w:r>
            <w:r w:rsidRPr="0093447D">
              <w:rPr>
                <w:rFonts w:cs="Times New Roman"/>
                <w:sz w:val="20"/>
                <w:szCs w:val="20"/>
              </w:rPr>
              <w:t xml:space="preserve">Without prejudice to the outstanding judicial review proceedings in the Federal Court and after reviewing the extensive record, we are not persuaded that the Court should take the extraordinary step under Rule 76 of the </w:t>
            </w:r>
            <w:r w:rsidRPr="0093447D">
              <w:rPr>
                <w:rFonts w:cs="Times New Roman"/>
                <w:i/>
                <w:sz w:val="20"/>
                <w:szCs w:val="20"/>
              </w:rPr>
              <w:t>Rules of the Supreme Court of Canada</w:t>
            </w:r>
            <w:r w:rsidRPr="0093447D">
              <w:rPr>
                <w:rFonts w:cs="Times New Roman"/>
                <w:sz w:val="20"/>
                <w:szCs w:val="20"/>
              </w:rPr>
              <w:t xml:space="preserve"> of rehearing the appeal which the Court decided 14 years ago.</w:t>
            </w:r>
          </w:p>
          <w:p w:rsidR="00AA7486" w:rsidRPr="0093447D" w:rsidRDefault="00AA7486" w:rsidP="00E33C9D">
            <w:pPr>
              <w:jc w:val="both"/>
              <w:rPr>
                <w:rFonts w:cs="Times New Roman"/>
                <w:sz w:val="20"/>
                <w:szCs w:val="20"/>
              </w:rPr>
            </w:pPr>
          </w:p>
          <w:p w:rsidR="00AA7486" w:rsidRPr="0093447D" w:rsidRDefault="00AA7486" w:rsidP="00E33C9D">
            <w:pPr>
              <w:jc w:val="both"/>
              <w:rPr>
                <w:rFonts w:cs="Times New Roman"/>
                <w:sz w:val="20"/>
                <w:szCs w:val="20"/>
              </w:rPr>
            </w:pPr>
          </w:p>
          <w:p w:rsidR="00AA7486" w:rsidRPr="00773A40" w:rsidRDefault="00AA7486" w:rsidP="00E33C9D">
            <w:pPr>
              <w:widowControl w:val="0"/>
              <w:jc w:val="both"/>
              <w:rPr>
                <w:rFonts w:eastAsia="Times New Roman" w:cs="Times New Roman"/>
                <w:b/>
                <w:sz w:val="20"/>
                <w:szCs w:val="20"/>
                <w:lang w:eastAsia="en-CA"/>
              </w:rPr>
            </w:pPr>
            <w:r w:rsidRPr="0093447D">
              <w:rPr>
                <w:rFonts w:cs="Times New Roman"/>
                <w:sz w:val="20"/>
                <w:szCs w:val="20"/>
              </w:rPr>
              <w:t xml:space="preserve">Accordingly, the motion to extend the time to reopen the appeal under Rule 6(1) of the </w:t>
            </w:r>
            <w:r w:rsidRPr="0093447D">
              <w:rPr>
                <w:rFonts w:cs="Times New Roman"/>
                <w:i/>
                <w:sz w:val="20"/>
                <w:szCs w:val="20"/>
              </w:rPr>
              <w:t>Rules of the Supreme Court of Canada</w:t>
            </w:r>
            <w:r w:rsidRPr="0093447D">
              <w:rPr>
                <w:rFonts w:cs="Times New Roman"/>
                <w:sz w:val="20"/>
                <w:szCs w:val="20"/>
              </w:rPr>
              <w:t xml:space="preserve"> is dismissed.  The motion to present fresh evidence and the motion for a rehearing of the appeal are therefore moot.</w:t>
            </w:r>
          </w:p>
        </w:tc>
        <w:tc>
          <w:tcPr>
            <w:tcW w:w="720" w:type="dxa"/>
            <w:tcMar>
              <w:left w:w="0" w:type="dxa"/>
              <w:right w:w="0" w:type="dxa"/>
            </w:tcMar>
          </w:tcPr>
          <w:p w:rsidR="00AA7486" w:rsidRPr="00773A40" w:rsidRDefault="00AA7486" w:rsidP="00E33C9D">
            <w:pPr>
              <w:widowControl w:val="0"/>
              <w:jc w:val="center"/>
              <w:rPr>
                <w:rFonts w:eastAsia="Times New Roman" w:cs="Times New Roman"/>
                <w:sz w:val="20"/>
                <w:szCs w:val="20"/>
                <w:lang w:eastAsia="en-CA"/>
              </w:rPr>
            </w:pPr>
          </w:p>
        </w:tc>
        <w:tc>
          <w:tcPr>
            <w:tcW w:w="4350" w:type="dxa"/>
            <w:tcMar>
              <w:left w:w="0" w:type="dxa"/>
              <w:right w:w="0" w:type="dxa"/>
            </w:tcMar>
          </w:tcPr>
          <w:p w:rsidR="00AA7486" w:rsidRPr="006E5D7C" w:rsidRDefault="00AA7486" w:rsidP="00E33C9D">
            <w:pPr>
              <w:widowControl w:val="0"/>
              <w:jc w:val="both"/>
              <w:rPr>
                <w:rFonts w:eastAsia="Times New Roman" w:cs="Times New Roman"/>
                <w:b/>
                <w:sz w:val="20"/>
                <w:szCs w:val="20"/>
                <w:u w:val="single"/>
                <w:lang w:val="fr-CA" w:eastAsia="en-CA"/>
              </w:rPr>
            </w:pPr>
            <w:r w:rsidRPr="006E5D7C">
              <w:rPr>
                <w:rFonts w:eastAsia="Times New Roman" w:cs="Times New Roman"/>
                <w:b/>
                <w:sz w:val="20"/>
                <w:szCs w:val="20"/>
                <w:u w:val="single"/>
                <w:lang w:val="fr-CA" w:eastAsia="en-CA"/>
              </w:rPr>
              <w:t>JUGEMENT :</w:t>
            </w:r>
          </w:p>
          <w:p w:rsidR="00AA7486" w:rsidRDefault="00AA7486" w:rsidP="00E33C9D">
            <w:pPr>
              <w:widowControl w:val="0"/>
              <w:jc w:val="both"/>
              <w:rPr>
                <w:rFonts w:eastAsia="Times New Roman" w:cs="Times New Roman"/>
                <w:sz w:val="20"/>
                <w:szCs w:val="20"/>
                <w:lang w:val="fr-CA" w:eastAsia="en-CA"/>
              </w:rPr>
            </w:pPr>
          </w:p>
          <w:p w:rsidR="00AA7486" w:rsidRPr="00A32F2E" w:rsidRDefault="00AA7486" w:rsidP="00E33C9D">
            <w:pPr>
              <w:jc w:val="both"/>
              <w:rPr>
                <w:rFonts w:cs="Times New Roman"/>
                <w:sz w:val="20"/>
                <w:szCs w:val="20"/>
                <w:lang w:val="fr-CA"/>
              </w:rPr>
            </w:pPr>
            <w:r w:rsidRPr="00A32F2E">
              <w:rPr>
                <w:rFonts w:cs="Times New Roman"/>
                <w:smallCaps/>
                <w:sz w:val="20"/>
                <w:szCs w:val="20"/>
                <w:lang w:val="fr-CA"/>
              </w:rPr>
              <w:t>La Cour</w:t>
            </w:r>
            <w:r w:rsidRPr="00A32F2E">
              <w:rPr>
                <w:rFonts w:cs="Times New Roman"/>
                <w:sz w:val="20"/>
                <w:szCs w:val="20"/>
                <w:lang w:val="fr-CA"/>
              </w:rPr>
              <w:t xml:space="preserve"> — Sans préjudice pour les procédures de contrôle judiciaire pendantes devant la Cour fédérale et après examen du volumineux dossier, nous ne sommes pas convaincus que la Cour devrait prendre la mesure extraordinaire prévue à l’art. 76 des </w:t>
            </w:r>
            <w:r w:rsidRPr="00A32F2E">
              <w:rPr>
                <w:rFonts w:cs="Times New Roman"/>
                <w:i/>
                <w:sz w:val="20"/>
                <w:szCs w:val="20"/>
                <w:lang w:val="fr-CA"/>
              </w:rPr>
              <w:t>Règles de la Cour suprême du Canada</w:t>
            </w:r>
            <w:r w:rsidRPr="00A32F2E">
              <w:rPr>
                <w:rFonts w:cs="Times New Roman"/>
                <w:sz w:val="20"/>
                <w:szCs w:val="20"/>
                <w:lang w:val="fr-CA"/>
              </w:rPr>
              <w:t xml:space="preserve">, soit de procéder à une nouvelle audition de l’appel tranché par la Cour il y a 14 ans.  </w:t>
            </w:r>
          </w:p>
          <w:p w:rsidR="00AA7486" w:rsidRPr="00A32F2E" w:rsidRDefault="00AA7486" w:rsidP="00E33C9D">
            <w:pPr>
              <w:jc w:val="both"/>
              <w:rPr>
                <w:rFonts w:cs="Times New Roman"/>
                <w:sz w:val="20"/>
                <w:szCs w:val="20"/>
                <w:lang w:val="fr-CA"/>
              </w:rPr>
            </w:pPr>
          </w:p>
          <w:p w:rsidR="00AA7486" w:rsidRPr="00A32F2E" w:rsidRDefault="00AA7486" w:rsidP="00E33C9D">
            <w:pPr>
              <w:jc w:val="both"/>
              <w:rPr>
                <w:rFonts w:eastAsia="Times New Roman" w:cs="Times New Roman"/>
                <w:sz w:val="20"/>
                <w:szCs w:val="20"/>
                <w:lang w:val="fr-CA" w:eastAsia="en-CA"/>
              </w:rPr>
            </w:pPr>
            <w:r w:rsidRPr="00A32F2E">
              <w:rPr>
                <w:rFonts w:cs="Times New Roman"/>
                <w:sz w:val="20"/>
                <w:szCs w:val="20"/>
                <w:lang w:val="fr-CA"/>
              </w:rPr>
              <w:t xml:space="preserve">En conséquence, la requête en prorogation du délai pour rouvrir l’appel présentée en application du par. 6(1) des </w:t>
            </w:r>
            <w:r w:rsidRPr="00A32F2E">
              <w:rPr>
                <w:rFonts w:cs="Times New Roman"/>
                <w:i/>
                <w:sz w:val="20"/>
                <w:szCs w:val="20"/>
                <w:lang w:val="fr-CA"/>
              </w:rPr>
              <w:t>Règles de la Cour suprême du Canada</w:t>
            </w:r>
            <w:r w:rsidRPr="00A32F2E">
              <w:rPr>
                <w:rFonts w:cs="Times New Roman"/>
                <w:sz w:val="20"/>
                <w:szCs w:val="20"/>
                <w:lang w:val="fr-CA"/>
              </w:rPr>
              <w:t xml:space="preserve"> est rejetée. La requête en présentation de nouveaux éléments de preuve et la requête en nouvelle audition d’appel sont donc théoriques.</w:t>
            </w:r>
          </w:p>
        </w:tc>
      </w:tr>
    </w:tbl>
    <w:p w:rsidR="00AA7486" w:rsidRPr="00A32F2E" w:rsidRDefault="00AA7486" w:rsidP="00AA7486">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380"/>
        <w:gridCol w:w="750"/>
        <w:gridCol w:w="4350"/>
      </w:tblGrid>
      <w:tr w:rsidR="00AA7486" w:rsidRPr="008C097E" w:rsidTr="00E33C9D">
        <w:tc>
          <w:tcPr>
            <w:tcW w:w="4380" w:type="dxa"/>
            <w:tcMar>
              <w:left w:w="0" w:type="dxa"/>
              <w:right w:w="0" w:type="dxa"/>
            </w:tcMar>
          </w:tcPr>
          <w:p w:rsidR="00AA7486" w:rsidRPr="00CC4D84" w:rsidRDefault="00AA7486" w:rsidP="00E33C9D">
            <w:pPr>
              <w:widowControl w:val="0"/>
              <w:jc w:val="both"/>
              <w:rPr>
                <w:b/>
                <w:sz w:val="20"/>
                <w:szCs w:val="20"/>
                <w:u w:val="single"/>
              </w:rPr>
            </w:pPr>
            <w:r w:rsidRPr="00CC4D84">
              <w:rPr>
                <w:b/>
                <w:sz w:val="20"/>
                <w:szCs w:val="20"/>
                <w:u w:val="single"/>
              </w:rPr>
              <w:t>Nature of the case:</w:t>
            </w:r>
          </w:p>
          <w:p w:rsidR="00AA7486" w:rsidRPr="001A663B" w:rsidRDefault="00AA7486" w:rsidP="00E33C9D">
            <w:pPr>
              <w:widowControl w:val="0"/>
              <w:jc w:val="both"/>
              <w:rPr>
                <w:b/>
                <w:sz w:val="20"/>
                <w:szCs w:val="20"/>
              </w:rPr>
            </w:pPr>
          </w:p>
          <w:p w:rsidR="00AA7486" w:rsidRPr="00C1697B" w:rsidRDefault="00AA7486" w:rsidP="00E33C9D">
            <w:pPr>
              <w:tabs>
                <w:tab w:val="left" w:pos="4320"/>
              </w:tabs>
              <w:jc w:val="both"/>
              <w:rPr>
                <w:b/>
                <w:sz w:val="20"/>
                <w:szCs w:val="20"/>
              </w:rPr>
            </w:pPr>
            <w:r w:rsidRPr="008157F4">
              <w:rPr>
                <w:rFonts w:cs="Times New Roman"/>
                <w:sz w:val="20"/>
                <w:szCs w:val="20"/>
              </w:rPr>
              <w:t>Criminal Law - Evidence - Section 686(1)(</w:t>
            </w:r>
            <w:r w:rsidRPr="008157F4">
              <w:rPr>
                <w:rFonts w:cs="Times New Roman"/>
                <w:i/>
                <w:iCs/>
                <w:sz w:val="20"/>
                <w:szCs w:val="20"/>
              </w:rPr>
              <w:t>b</w:t>
            </w:r>
            <w:r w:rsidRPr="008157F4">
              <w:rPr>
                <w:rFonts w:cs="Times New Roman"/>
                <w:sz w:val="20"/>
                <w:szCs w:val="20"/>
              </w:rPr>
              <w:t xml:space="preserve">)(iii) of the </w:t>
            </w:r>
            <w:r w:rsidRPr="008157F4">
              <w:rPr>
                <w:rFonts w:cs="Times New Roman"/>
                <w:i/>
                <w:iCs/>
                <w:sz w:val="20"/>
                <w:szCs w:val="20"/>
              </w:rPr>
              <w:t>Criminal Code</w:t>
            </w:r>
            <w:r w:rsidRPr="008157F4">
              <w:rPr>
                <w:rFonts w:cs="Times New Roman"/>
                <w:sz w:val="20"/>
                <w:szCs w:val="20"/>
              </w:rPr>
              <w:t xml:space="preserve"> - Crown failing to call certain witnesses - Late disclosure of evidence - Investigation </w:t>
            </w:r>
            <w:r w:rsidRPr="008157F4">
              <w:rPr>
                <w:rFonts w:cs="Times New Roman"/>
                <w:sz w:val="20"/>
                <w:szCs w:val="20"/>
              </w:rPr>
              <w:lastRenderedPageBreak/>
              <w:t>into the circumstances surrounding the jurors’ walk around the Palais de Justice during the deliberations.</w:t>
            </w:r>
          </w:p>
        </w:tc>
        <w:tc>
          <w:tcPr>
            <w:tcW w:w="750" w:type="dxa"/>
            <w:tcMar>
              <w:left w:w="0" w:type="dxa"/>
              <w:right w:w="0" w:type="dxa"/>
            </w:tcMar>
          </w:tcPr>
          <w:p w:rsidR="00AA7486" w:rsidRPr="00C1697B" w:rsidRDefault="00AA7486" w:rsidP="00E33C9D">
            <w:pPr>
              <w:widowControl w:val="0"/>
              <w:jc w:val="center"/>
              <w:rPr>
                <w:sz w:val="20"/>
                <w:szCs w:val="20"/>
              </w:rPr>
            </w:pPr>
          </w:p>
        </w:tc>
        <w:tc>
          <w:tcPr>
            <w:tcW w:w="4350" w:type="dxa"/>
            <w:tcMar>
              <w:left w:w="0" w:type="dxa"/>
              <w:right w:w="0" w:type="dxa"/>
            </w:tcMar>
          </w:tcPr>
          <w:p w:rsidR="00AA7486" w:rsidRPr="00CC4D84" w:rsidRDefault="00AA7486" w:rsidP="00E33C9D">
            <w:pPr>
              <w:widowControl w:val="0"/>
              <w:jc w:val="both"/>
              <w:rPr>
                <w:b/>
                <w:sz w:val="20"/>
                <w:szCs w:val="20"/>
                <w:u w:val="single"/>
                <w:lang w:val="fr-CA"/>
              </w:rPr>
            </w:pPr>
            <w:r w:rsidRPr="00CC4D84">
              <w:rPr>
                <w:b/>
                <w:sz w:val="20"/>
                <w:szCs w:val="20"/>
                <w:u w:val="single"/>
                <w:lang w:val="fr-CA"/>
              </w:rPr>
              <w:t>Nature de la cause :</w:t>
            </w:r>
          </w:p>
          <w:p w:rsidR="00AA7486" w:rsidRPr="00C1697B" w:rsidRDefault="00AA7486" w:rsidP="00E33C9D">
            <w:pPr>
              <w:widowControl w:val="0"/>
              <w:jc w:val="both"/>
              <w:rPr>
                <w:sz w:val="20"/>
                <w:szCs w:val="20"/>
                <w:lang w:val="fr-CA"/>
              </w:rPr>
            </w:pPr>
          </w:p>
          <w:p w:rsidR="00AA7486" w:rsidRPr="00C1697B" w:rsidRDefault="00AA7486" w:rsidP="00E33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A11B1">
              <w:rPr>
                <w:sz w:val="20"/>
                <w:szCs w:val="20"/>
                <w:lang w:val="fr-CA"/>
              </w:rPr>
              <w:t xml:space="preserve">Droit criminel </w:t>
            </w:r>
            <w:r w:rsidRPr="004A11B1">
              <w:rPr>
                <w:sz w:val="20"/>
                <w:szCs w:val="20"/>
                <w:lang w:val="fr-CA"/>
              </w:rPr>
              <w:noBreakHyphen/>
              <w:t xml:space="preserve"> Preuve - Article 686(1)b)iii) du </w:t>
            </w:r>
            <w:r w:rsidRPr="004A11B1">
              <w:rPr>
                <w:i/>
                <w:iCs/>
                <w:sz w:val="20"/>
                <w:szCs w:val="20"/>
                <w:lang w:val="fr-CA"/>
              </w:rPr>
              <w:t>Code criminel</w:t>
            </w:r>
            <w:r w:rsidRPr="004A11B1">
              <w:rPr>
                <w:sz w:val="20"/>
                <w:szCs w:val="20"/>
                <w:lang w:val="fr-CA"/>
              </w:rPr>
              <w:t xml:space="preserve"> </w:t>
            </w:r>
            <w:r w:rsidRPr="004A11B1">
              <w:rPr>
                <w:sz w:val="20"/>
                <w:szCs w:val="20"/>
                <w:lang w:val="fr-CA"/>
              </w:rPr>
              <w:noBreakHyphen/>
              <w:t xml:space="preserve"> Défaut par la Couronne de faire témoigner certains témoins - Communication tardive de la </w:t>
            </w:r>
            <w:r w:rsidRPr="004A11B1">
              <w:rPr>
                <w:sz w:val="20"/>
                <w:szCs w:val="20"/>
                <w:lang w:val="fr-CA"/>
              </w:rPr>
              <w:lastRenderedPageBreak/>
              <w:t>preuve - Enquête sur les événements ayant entouré la marche des jurés aux environs du Palais de justice lors des délibérations</w:t>
            </w:r>
            <w:r w:rsidRPr="004A11B1">
              <w:rPr>
                <w:rFonts w:ascii="Arial" w:hAnsi="Arial" w:cs="Arial"/>
                <w:sz w:val="20"/>
                <w:szCs w:val="20"/>
                <w:lang w:val="fr-CA"/>
              </w:rPr>
              <w:t>.</w:t>
            </w:r>
          </w:p>
        </w:tc>
      </w:tr>
    </w:tbl>
    <w:p w:rsidR="00AA7486" w:rsidRPr="00A32F2E" w:rsidRDefault="00AA7486" w:rsidP="00AA7486">
      <w:pPr>
        <w:widowControl w:val="0"/>
        <w:rPr>
          <w:rFonts w:eastAsia="Times New Roman" w:cs="Times New Roman"/>
          <w:sz w:val="20"/>
          <w:szCs w:val="20"/>
          <w:lang w:val="fr-CA" w:eastAsia="en-CA"/>
        </w:rPr>
      </w:pPr>
    </w:p>
    <w:p w:rsidR="00AA7486" w:rsidRDefault="00714478" w:rsidP="00AA7486">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6" style="width:2in;height:1pt" o:hrpct="0" o:hralign="center" o:hrstd="t" o:hrnoshade="t" o:hr="t" fillcolor="black [3213]" stroked="f"/>
        </w:pict>
      </w:r>
    </w:p>
    <w:p w:rsidR="00AA7486" w:rsidRPr="00A32F2E" w:rsidRDefault="00AA7486" w:rsidP="00AA7486">
      <w:pPr>
        <w:widowControl w:val="0"/>
        <w:rPr>
          <w:rFonts w:eastAsia="Times New Roman" w:cs="Times New Roman"/>
          <w:sz w:val="20"/>
          <w:szCs w:val="20"/>
          <w:lang w:val="fr-CA" w:eastAsia="en-CA"/>
        </w:rPr>
      </w:pPr>
    </w:p>
    <w:p w:rsidR="00AA7486" w:rsidRPr="003B3977" w:rsidRDefault="00AA7486" w:rsidP="00AA7486">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8C097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9D0E64" w:rsidRPr="003B3977" w:rsidTr="00E33C9D">
        <w:trPr>
          <w:cantSplit/>
        </w:trPr>
        <w:tc>
          <w:tcPr>
            <w:tcW w:w="2206" w:type="pct"/>
            <w:tcMar>
              <w:left w:w="0" w:type="dxa"/>
              <w:right w:w="0" w:type="dxa"/>
            </w:tcMar>
          </w:tcPr>
          <w:p w:rsidR="009D0E64" w:rsidRPr="003B3977" w:rsidRDefault="009D0E64" w:rsidP="00E33C9D">
            <w:pPr>
              <w:rPr>
                <w:sz w:val="20"/>
                <w:szCs w:val="20"/>
              </w:rPr>
            </w:pPr>
            <w:r>
              <w:rPr>
                <w:sz w:val="20"/>
                <w:szCs w:val="20"/>
              </w:rPr>
              <w:t>14</w:t>
            </w:r>
            <w:r w:rsidRPr="003B3977">
              <w:rPr>
                <w:sz w:val="20"/>
                <w:szCs w:val="20"/>
              </w:rPr>
              <w:t>.1</w:t>
            </w:r>
            <w:r>
              <w:rPr>
                <w:sz w:val="20"/>
                <w:szCs w:val="20"/>
              </w:rPr>
              <w:t>0</w:t>
            </w:r>
            <w:r w:rsidRPr="003B3977">
              <w:rPr>
                <w:sz w:val="20"/>
                <w:szCs w:val="20"/>
              </w:rPr>
              <w:t>.201</w:t>
            </w:r>
            <w:r>
              <w:rPr>
                <w:sz w:val="20"/>
                <w:szCs w:val="20"/>
              </w:rPr>
              <w:t>4</w:t>
            </w:r>
          </w:p>
          <w:p w:rsidR="009D0E64" w:rsidRPr="003B3977" w:rsidRDefault="009D0E64" w:rsidP="00E33C9D">
            <w:pPr>
              <w:rPr>
                <w:sz w:val="20"/>
                <w:szCs w:val="20"/>
              </w:rPr>
            </w:pPr>
          </w:p>
          <w:p w:rsidR="009D0E64" w:rsidRPr="003B3977" w:rsidRDefault="009D0E64" w:rsidP="00E33C9D">
            <w:pPr>
              <w:rPr>
                <w:b/>
                <w:sz w:val="20"/>
                <w:szCs w:val="20"/>
              </w:rPr>
            </w:pPr>
            <w:r>
              <w:rPr>
                <w:b/>
                <w:sz w:val="20"/>
                <w:szCs w:val="20"/>
              </w:rPr>
              <w:t>Hamalraj Handasamy</w:t>
            </w:r>
          </w:p>
          <w:p w:rsidR="009D0E64" w:rsidRPr="003B3977" w:rsidRDefault="009D0E64" w:rsidP="00E33C9D">
            <w:pPr>
              <w:rPr>
                <w:b/>
                <w:sz w:val="20"/>
                <w:szCs w:val="20"/>
              </w:rPr>
            </w:pPr>
          </w:p>
          <w:p w:rsidR="009D0E64" w:rsidRPr="003B3977" w:rsidRDefault="009D0E64" w:rsidP="00E33C9D">
            <w:pPr>
              <w:rPr>
                <w:b/>
                <w:sz w:val="20"/>
                <w:szCs w:val="20"/>
              </w:rPr>
            </w:pPr>
            <w:r w:rsidRPr="003B3977">
              <w:rPr>
                <w:b/>
                <w:sz w:val="20"/>
                <w:szCs w:val="20"/>
              </w:rPr>
              <w:tab/>
              <w:t>v. (3</w:t>
            </w:r>
            <w:r>
              <w:rPr>
                <w:b/>
                <w:sz w:val="20"/>
                <w:szCs w:val="20"/>
              </w:rPr>
              <w:t>5</w:t>
            </w:r>
            <w:r w:rsidRPr="003B3977">
              <w:rPr>
                <w:b/>
                <w:sz w:val="20"/>
                <w:szCs w:val="20"/>
              </w:rPr>
              <w:t>9</w:t>
            </w:r>
            <w:r>
              <w:rPr>
                <w:b/>
                <w:sz w:val="20"/>
                <w:szCs w:val="20"/>
              </w:rPr>
              <w:t>58</w:t>
            </w:r>
            <w:r w:rsidRPr="003B3977">
              <w:rPr>
                <w:b/>
                <w:sz w:val="20"/>
                <w:szCs w:val="20"/>
              </w:rPr>
              <w:t>)</w:t>
            </w:r>
          </w:p>
          <w:p w:rsidR="009D0E64" w:rsidRPr="003B3977" w:rsidRDefault="009D0E64" w:rsidP="00E33C9D">
            <w:pPr>
              <w:rPr>
                <w:b/>
                <w:sz w:val="20"/>
                <w:szCs w:val="20"/>
              </w:rPr>
            </w:pPr>
          </w:p>
          <w:p w:rsidR="009D0E64" w:rsidRPr="003B3977" w:rsidRDefault="009D0E64" w:rsidP="00E33C9D">
            <w:pPr>
              <w:rPr>
                <w:b/>
                <w:sz w:val="20"/>
                <w:szCs w:val="20"/>
              </w:rPr>
            </w:pPr>
            <w:r w:rsidRPr="003B3977">
              <w:rPr>
                <w:b/>
                <w:sz w:val="20"/>
                <w:szCs w:val="20"/>
              </w:rPr>
              <w:t>Her Majesty the Queen (</w:t>
            </w:r>
            <w:r>
              <w:rPr>
                <w:b/>
                <w:sz w:val="20"/>
                <w:szCs w:val="20"/>
              </w:rPr>
              <w:t>B.C</w:t>
            </w:r>
            <w:r w:rsidRPr="003B3977">
              <w:rPr>
                <w:b/>
                <w:sz w:val="20"/>
                <w:szCs w:val="20"/>
              </w:rPr>
              <w:t>.)</w:t>
            </w:r>
          </w:p>
          <w:p w:rsidR="009D0E64" w:rsidRPr="003B3977" w:rsidRDefault="009D0E64" w:rsidP="00E33C9D">
            <w:pPr>
              <w:rPr>
                <w:sz w:val="20"/>
                <w:szCs w:val="20"/>
              </w:rPr>
            </w:pPr>
          </w:p>
          <w:p w:rsidR="009D0E64" w:rsidRPr="003B3977" w:rsidRDefault="009D0E64" w:rsidP="00E33C9D">
            <w:pPr>
              <w:rPr>
                <w:sz w:val="20"/>
                <w:szCs w:val="20"/>
              </w:rPr>
            </w:pPr>
            <w:r w:rsidRPr="003B3977">
              <w:rPr>
                <w:sz w:val="20"/>
                <w:szCs w:val="20"/>
              </w:rPr>
              <w:t>(</w:t>
            </w:r>
            <w:r>
              <w:rPr>
                <w:sz w:val="20"/>
                <w:szCs w:val="20"/>
              </w:rPr>
              <w:t>By Leave</w:t>
            </w:r>
            <w:r w:rsidRPr="003B3977">
              <w:rPr>
                <w:sz w:val="20"/>
                <w:szCs w:val="20"/>
              </w:rPr>
              <w:t>)</w:t>
            </w:r>
          </w:p>
          <w:p w:rsidR="009D0E64" w:rsidRPr="003B3977" w:rsidRDefault="009D0E64" w:rsidP="00E33C9D">
            <w:pPr>
              <w:rPr>
                <w:sz w:val="20"/>
                <w:szCs w:val="20"/>
              </w:rPr>
            </w:pPr>
          </w:p>
          <w:p w:rsidR="009D0E64" w:rsidRPr="003B3977" w:rsidRDefault="00714478" w:rsidP="00E33C9D">
            <w:pPr>
              <w:rPr>
                <w:sz w:val="20"/>
                <w:szCs w:val="20"/>
                <w:lang w:val="fr-CA"/>
              </w:rPr>
            </w:pPr>
            <w:r>
              <w:rPr>
                <w:sz w:val="20"/>
                <w:szCs w:val="20"/>
                <w:lang w:val="fr-CA"/>
              </w:rPr>
              <w:pict>
                <v:rect id="_x0000_i1079" style="width:106.1pt;height:1pt" o:hrpct="500" o:hralign="center" o:hrstd="t" o:hrnoshade="t" o:hr="t" fillcolor="black [3213]" stroked="f"/>
              </w:pict>
            </w:r>
          </w:p>
        </w:tc>
        <w:tc>
          <w:tcPr>
            <w:tcW w:w="588" w:type="pct"/>
          </w:tcPr>
          <w:p w:rsidR="009D0E64" w:rsidRPr="003B3977" w:rsidRDefault="009D0E64" w:rsidP="00E33C9D">
            <w:pPr>
              <w:jc w:val="center"/>
              <w:rPr>
                <w:sz w:val="20"/>
                <w:szCs w:val="20"/>
              </w:rPr>
            </w:pPr>
          </w:p>
          <w:p w:rsidR="009D0E64" w:rsidRPr="003B3977" w:rsidRDefault="009D0E64" w:rsidP="00E33C9D">
            <w:pPr>
              <w:jc w:val="center"/>
              <w:rPr>
                <w:sz w:val="20"/>
                <w:szCs w:val="20"/>
              </w:rPr>
            </w:pPr>
          </w:p>
          <w:p w:rsidR="009D0E64" w:rsidRPr="003B3977" w:rsidRDefault="009D0E64" w:rsidP="00E33C9D">
            <w:pPr>
              <w:jc w:val="center"/>
              <w:rPr>
                <w:sz w:val="20"/>
                <w:szCs w:val="20"/>
              </w:rPr>
            </w:pPr>
          </w:p>
          <w:p w:rsidR="009D0E64" w:rsidRPr="003B3977" w:rsidRDefault="009D0E64" w:rsidP="00E33C9D">
            <w:pPr>
              <w:jc w:val="center"/>
              <w:rPr>
                <w:sz w:val="20"/>
                <w:szCs w:val="20"/>
              </w:rPr>
            </w:pPr>
          </w:p>
          <w:p w:rsidR="009D0E64" w:rsidRPr="003B3977" w:rsidRDefault="009D0E64" w:rsidP="00E33C9D">
            <w:pPr>
              <w:jc w:val="center"/>
              <w:rPr>
                <w:sz w:val="20"/>
                <w:szCs w:val="20"/>
              </w:rPr>
            </w:pPr>
          </w:p>
          <w:p w:rsidR="009D0E64" w:rsidRPr="003B3977" w:rsidRDefault="009D0E64" w:rsidP="00E33C9D">
            <w:pPr>
              <w:jc w:val="center"/>
              <w:rPr>
                <w:sz w:val="20"/>
                <w:szCs w:val="20"/>
              </w:rPr>
            </w:pPr>
          </w:p>
          <w:p w:rsidR="009D0E64" w:rsidRPr="003B3977" w:rsidRDefault="009D0E64" w:rsidP="00E33C9D">
            <w:pPr>
              <w:jc w:val="center"/>
              <w:rPr>
                <w:sz w:val="20"/>
                <w:szCs w:val="20"/>
              </w:rPr>
            </w:pPr>
          </w:p>
          <w:p w:rsidR="009D0E64" w:rsidRPr="003B3977" w:rsidRDefault="009D0E64" w:rsidP="00E33C9D">
            <w:pPr>
              <w:jc w:val="center"/>
              <w:rPr>
                <w:sz w:val="20"/>
                <w:szCs w:val="20"/>
              </w:rPr>
            </w:pPr>
          </w:p>
          <w:p w:rsidR="009D0E64" w:rsidRPr="003B3977" w:rsidRDefault="009D0E64" w:rsidP="00E33C9D">
            <w:pPr>
              <w:jc w:val="center"/>
              <w:rPr>
                <w:sz w:val="20"/>
                <w:szCs w:val="20"/>
              </w:rPr>
            </w:pPr>
          </w:p>
          <w:p w:rsidR="009D0E64" w:rsidRPr="003B3977" w:rsidRDefault="009D0E64" w:rsidP="00E33C9D">
            <w:pPr>
              <w:jc w:val="center"/>
              <w:rPr>
                <w:sz w:val="20"/>
                <w:szCs w:val="20"/>
              </w:rPr>
            </w:pPr>
          </w:p>
          <w:p w:rsidR="009D0E64" w:rsidRDefault="009D0E64" w:rsidP="00E33C9D">
            <w:pPr>
              <w:jc w:val="center"/>
              <w:rPr>
                <w:sz w:val="20"/>
                <w:szCs w:val="20"/>
              </w:rPr>
            </w:pPr>
          </w:p>
          <w:p w:rsidR="009D0E64" w:rsidRPr="003B3977" w:rsidRDefault="009D0E64" w:rsidP="00E33C9D">
            <w:pPr>
              <w:jc w:val="center"/>
              <w:rPr>
                <w:sz w:val="20"/>
                <w:szCs w:val="20"/>
              </w:rPr>
            </w:pPr>
          </w:p>
        </w:tc>
        <w:tc>
          <w:tcPr>
            <w:tcW w:w="2206" w:type="pct"/>
          </w:tcPr>
          <w:p w:rsidR="009D0E64" w:rsidRPr="003B3977" w:rsidRDefault="009D0E64" w:rsidP="00E33C9D">
            <w:pPr>
              <w:rPr>
                <w:sz w:val="20"/>
                <w:szCs w:val="20"/>
              </w:rPr>
            </w:pPr>
          </w:p>
        </w:tc>
      </w:tr>
    </w:tbl>
    <w:p w:rsidR="0010587F" w:rsidRDefault="0010587F" w:rsidP="00F40249">
      <w:pPr>
        <w:rPr>
          <w:sz w:val="20"/>
          <w:szCs w:val="20"/>
        </w:rPr>
      </w:pPr>
    </w:p>
    <w:p w:rsidR="009D0E64" w:rsidRPr="00C50A5C" w:rsidRDefault="009D0E64" w:rsidP="00F40249">
      <w:pPr>
        <w:rPr>
          <w:sz w:val="20"/>
          <w:szCs w:val="20"/>
        </w:rPr>
      </w:pPr>
    </w:p>
    <w:p w:rsidR="00EB2B90" w:rsidRPr="00C50A5C" w:rsidRDefault="00EB2B90" w:rsidP="00F40249">
      <w:pPr>
        <w:rPr>
          <w:sz w:val="20"/>
          <w:szCs w:val="20"/>
        </w:rPr>
        <w:sectPr w:rsidR="00EB2B90" w:rsidRPr="00C50A5C" w:rsidSect="00F40249">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8C097E"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623025" w:rsidRPr="008802EB" w:rsidRDefault="00623025" w:rsidP="00623025">
      <w:pPr>
        <w:widowControl w:val="0"/>
        <w:rPr>
          <w:sz w:val="20"/>
          <w:szCs w:val="20"/>
        </w:rPr>
      </w:pPr>
      <w:r>
        <w:rPr>
          <w:sz w:val="20"/>
          <w:szCs w:val="20"/>
        </w:rPr>
        <w:t>16</w:t>
      </w:r>
      <w:r w:rsidRPr="008802EB">
        <w:rPr>
          <w:sz w:val="20"/>
          <w:szCs w:val="20"/>
        </w:rPr>
        <w:t>.10.2014</w:t>
      </w:r>
    </w:p>
    <w:p w:rsidR="00623025" w:rsidRPr="008802EB" w:rsidRDefault="00623025" w:rsidP="00623025">
      <w:pPr>
        <w:widowControl w:val="0"/>
        <w:rPr>
          <w:sz w:val="20"/>
          <w:szCs w:val="20"/>
        </w:rPr>
      </w:pPr>
    </w:p>
    <w:p w:rsidR="00623025" w:rsidRDefault="00623025" w:rsidP="00623025">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 xml:space="preserve">Abella, Cromwell, Moldaver, Wagner and Gascon </w:t>
      </w:r>
      <w:r w:rsidRPr="00C50A5C">
        <w:rPr>
          <w:sz w:val="20"/>
          <w:szCs w:val="20"/>
          <w:u w:val="single"/>
        </w:rPr>
        <w:t>JJ.</w:t>
      </w:r>
      <w:r w:rsidRPr="00C50A5C">
        <w:rPr>
          <w:sz w:val="20"/>
          <w:szCs w:val="20"/>
        </w:rPr>
        <w:t xml:space="preserve"> </w:t>
      </w:r>
    </w:p>
    <w:p w:rsidR="00623025" w:rsidRPr="008802EB" w:rsidRDefault="00623025" w:rsidP="00623025">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23025" w:rsidRPr="008802EB" w:rsidTr="00E33C9D">
        <w:tc>
          <w:tcPr>
            <w:tcW w:w="4380" w:type="dxa"/>
            <w:tcMar>
              <w:left w:w="0" w:type="dxa"/>
              <w:right w:w="0" w:type="dxa"/>
            </w:tcMar>
          </w:tcPr>
          <w:p w:rsidR="00623025" w:rsidRDefault="00623025" w:rsidP="00E33C9D">
            <w:pPr>
              <w:rPr>
                <w:rFonts w:eastAsia="Calibri"/>
                <w:b/>
                <w:iCs/>
                <w:sz w:val="20"/>
                <w:szCs w:val="20"/>
              </w:rPr>
            </w:pPr>
            <w:r w:rsidRPr="009541B9">
              <w:rPr>
                <w:rFonts w:eastAsia="Calibri"/>
                <w:b/>
                <w:iCs/>
                <w:sz w:val="20"/>
                <w:szCs w:val="20"/>
              </w:rPr>
              <w:t xml:space="preserve">Her Majesty the Queen </w:t>
            </w:r>
          </w:p>
          <w:p w:rsidR="00623025" w:rsidRDefault="00623025" w:rsidP="00E33C9D">
            <w:pPr>
              <w:rPr>
                <w:rFonts w:eastAsia="Calibri"/>
                <w:b/>
                <w:iCs/>
                <w:sz w:val="20"/>
                <w:szCs w:val="20"/>
              </w:rPr>
            </w:pPr>
          </w:p>
          <w:p w:rsidR="00623025" w:rsidRDefault="00623025" w:rsidP="00E33C9D">
            <w:pPr>
              <w:rPr>
                <w:rFonts w:eastAsia="Calibri"/>
                <w:b/>
                <w:iCs/>
                <w:sz w:val="20"/>
                <w:szCs w:val="20"/>
              </w:rPr>
            </w:pPr>
            <w:r>
              <w:rPr>
                <w:rFonts w:eastAsia="Calibri"/>
                <w:b/>
                <w:iCs/>
                <w:sz w:val="20"/>
                <w:szCs w:val="20"/>
              </w:rPr>
              <w:tab/>
            </w:r>
            <w:r w:rsidRPr="009541B9">
              <w:rPr>
                <w:rFonts w:eastAsia="Calibri"/>
                <w:b/>
                <w:iCs/>
                <w:sz w:val="20"/>
                <w:szCs w:val="20"/>
              </w:rPr>
              <w:t xml:space="preserve">v. </w:t>
            </w:r>
            <w:r w:rsidRPr="009541B9">
              <w:rPr>
                <w:rFonts w:eastAsia="Calibri"/>
                <w:iCs/>
                <w:sz w:val="20"/>
                <w:szCs w:val="20"/>
              </w:rPr>
              <w:t>(</w:t>
            </w:r>
            <w:hyperlink r:id="rId86" w:history="1">
              <w:r w:rsidRPr="009541B9">
                <w:rPr>
                  <w:rStyle w:val="Hyperlink"/>
                  <w:rFonts w:eastAsia="Calibri"/>
                  <w:iCs/>
                  <w:sz w:val="20"/>
                  <w:szCs w:val="20"/>
                </w:rPr>
                <w:t>35690</w:t>
              </w:r>
            </w:hyperlink>
            <w:r w:rsidRPr="009541B9">
              <w:rPr>
                <w:rFonts w:eastAsia="Calibri"/>
                <w:iCs/>
                <w:sz w:val="20"/>
                <w:szCs w:val="20"/>
              </w:rPr>
              <w:t>)</w:t>
            </w:r>
          </w:p>
          <w:p w:rsidR="00623025" w:rsidRDefault="00623025" w:rsidP="00E33C9D">
            <w:pPr>
              <w:rPr>
                <w:rFonts w:eastAsia="Calibri"/>
                <w:b/>
                <w:iCs/>
                <w:sz w:val="20"/>
                <w:szCs w:val="20"/>
              </w:rPr>
            </w:pPr>
          </w:p>
          <w:p w:rsidR="00623025" w:rsidRPr="008802EB" w:rsidRDefault="00623025" w:rsidP="00E33C9D">
            <w:pPr>
              <w:rPr>
                <w:sz w:val="20"/>
                <w:szCs w:val="20"/>
              </w:rPr>
            </w:pPr>
            <w:r w:rsidRPr="009541B9">
              <w:rPr>
                <w:rFonts w:eastAsia="Calibri"/>
                <w:b/>
                <w:iCs/>
                <w:sz w:val="20"/>
                <w:szCs w:val="20"/>
              </w:rPr>
              <w:t xml:space="preserve">Sebastien Bouchard </w:t>
            </w:r>
            <w:r w:rsidRPr="00C07506">
              <w:rPr>
                <w:rFonts w:eastAsia="Calibri"/>
                <w:b/>
                <w:iCs/>
                <w:sz w:val="20"/>
                <w:szCs w:val="20"/>
              </w:rPr>
              <w:t>(Ont.) (Criminal) (As of Right)</w:t>
            </w:r>
            <w:r w:rsidRPr="009541B9">
              <w:rPr>
                <w:rFonts w:eastAsia="Calibri"/>
                <w:iCs/>
                <w:sz w:val="20"/>
                <w:szCs w:val="20"/>
              </w:rPr>
              <w:t xml:space="preserve"> </w:t>
            </w:r>
          </w:p>
        </w:tc>
        <w:tc>
          <w:tcPr>
            <w:tcW w:w="720" w:type="dxa"/>
            <w:tcMar>
              <w:left w:w="0" w:type="dxa"/>
              <w:right w:w="0" w:type="dxa"/>
            </w:tcMar>
          </w:tcPr>
          <w:p w:rsidR="00623025" w:rsidRPr="008802EB" w:rsidRDefault="00623025" w:rsidP="00E33C9D">
            <w:pPr>
              <w:widowControl w:val="0"/>
              <w:jc w:val="center"/>
              <w:rPr>
                <w:sz w:val="20"/>
                <w:szCs w:val="20"/>
              </w:rPr>
            </w:pPr>
          </w:p>
        </w:tc>
        <w:tc>
          <w:tcPr>
            <w:tcW w:w="4380" w:type="dxa"/>
            <w:tcMar>
              <w:left w:w="0" w:type="dxa"/>
              <w:right w:w="0" w:type="dxa"/>
            </w:tcMar>
          </w:tcPr>
          <w:p w:rsidR="00623025" w:rsidRPr="006E4D00" w:rsidRDefault="00623025" w:rsidP="00E33C9D">
            <w:pPr>
              <w:jc w:val="both"/>
              <w:rPr>
                <w:sz w:val="20"/>
                <w:szCs w:val="20"/>
              </w:rPr>
            </w:pPr>
            <w:r w:rsidRPr="006E4D00">
              <w:rPr>
                <w:sz w:val="20"/>
                <w:szCs w:val="20"/>
              </w:rPr>
              <w:t>Benita Wassenaar</w:t>
            </w:r>
            <w:r>
              <w:rPr>
                <w:sz w:val="20"/>
                <w:szCs w:val="20"/>
              </w:rPr>
              <w:t xml:space="preserve"> f</w:t>
            </w:r>
            <w:r w:rsidRPr="006E4D00">
              <w:rPr>
                <w:sz w:val="20"/>
                <w:szCs w:val="20"/>
              </w:rPr>
              <w:t xml:space="preserve">or the </w:t>
            </w:r>
            <w:r>
              <w:rPr>
                <w:sz w:val="20"/>
                <w:szCs w:val="20"/>
              </w:rPr>
              <w:t>a</w:t>
            </w:r>
            <w:r w:rsidRPr="006E4D00">
              <w:rPr>
                <w:sz w:val="20"/>
                <w:szCs w:val="20"/>
              </w:rPr>
              <w:t>ppellant.</w:t>
            </w:r>
          </w:p>
          <w:p w:rsidR="00623025" w:rsidRPr="006E4D00" w:rsidRDefault="00623025" w:rsidP="00E33C9D">
            <w:pPr>
              <w:jc w:val="both"/>
              <w:rPr>
                <w:sz w:val="20"/>
                <w:szCs w:val="20"/>
              </w:rPr>
            </w:pPr>
          </w:p>
          <w:p w:rsidR="00623025" w:rsidRPr="008802EB" w:rsidRDefault="00623025" w:rsidP="00E33C9D">
            <w:pPr>
              <w:widowControl w:val="0"/>
              <w:jc w:val="both"/>
              <w:rPr>
                <w:sz w:val="20"/>
                <w:szCs w:val="20"/>
              </w:rPr>
            </w:pPr>
            <w:r w:rsidRPr="006E4D00">
              <w:rPr>
                <w:sz w:val="20"/>
                <w:szCs w:val="20"/>
              </w:rPr>
              <w:t>Howard L. Krongold</w:t>
            </w:r>
            <w:r>
              <w:rPr>
                <w:sz w:val="20"/>
                <w:szCs w:val="20"/>
              </w:rPr>
              <w:t xml:space="preserve"> f</w:t>
            </w:r>
            <w:r w:rsidRPr="006E4D00">
              <w:rPr>
                <w:sz w:val="20"/>
                <w:szCs w:val="20"/>
              </w:rPr>
              <w:t xml:space="preserve">or the </w:t>
            </w:r>
            <w:r>
              <w:rPr>
                <w:sz w:val="20"/>
                <w:szCs w:val="20"/>
              </w:rPr>
              <w:t>r</w:t>
            </w:r>
            <w:r w:rsidRPr="006E4D00">
              <w:rPr>
                <w:sz w:val="20"/>
                <w:szCs w:val="20"/>
              </w:rPr>
              <w:t>espondent.</w:t>
            </w:r>
          </w:p>
        </w:tc>
      </w:tr>
    </w:tbl>
    <w:p w:rsidR="00623025" w:rsidRPr="008802EB" w:rsidRDefault="00623025" w:rsidP="00623025">
      <w:pPr>
        <w:widowControl w:val="0"/>
        <w:rPr>
          <w:sz w:val="20"/>
          <w:szCs w:val="20"/>
        </w:rPr>
      </w:pPr>
    </w:p>
    <w:p w:rsidR="00623025" w:rsidRPr="009541B9" w:rsidRDefault="00623025" w:rsidP="00623025">
      <w:pPr>
        <w:rPr>
          <w:rFonts w:eastAsia="Calibri"/>
          <w:b/>
          <w:iCs/>
          <w:sz w:val="20"/>
          <w:szCs w:val="20"/>
        </w:rPr>
      </w:pPr>
      <w:r w:rsidRPr="009541B9">
        <w:rPr>
          <w:rFonts w:eastAsia="Calibri"/>
          <w:b/>
          <w:iCs/>
          <w:sz w:val="20"/>
          <w:szCs w:val="20"/>
        </w:rPr>
        <w:t>2014 SCC 64 / 2014 CSC 64</w:t>
      </w:r>
    </w:p>
    <w:p w:rsidR="00623025" w:rsidRPr="00C07506" w:rsidRDefault="00623025" w:rsidP="00623025">
      <w:pPr>
        <w:widowControl w:val="0"/>
        <w:tabs>
          <w:tab w:val="left" w:pos="720"/>
          <w:tab w:val="left" w:pos="1440"/>
          <w:tab w:val="left" w:pos="2851"/>
          <w:tab w:val="left" w:pos="4320"/>
          <w:tab w:val="left" w:pos="10224"/>
          <w:tab w:val="left" w:pos="11376"/>
        </w:tabs>
        <w:rPr>
          <w:sz w:val="20"/>
          <w:szCs w:val="20"/>
        </w:rPr>
      </w:pPr>
    </w:p>
    <w:p w:rsidR="00623025" w:rsidRPr="009541B9" w:rsidRDefault="00623025" w:rsidP="00623025">
      <w:pPr>
        <w:widowControl w:val="0"/>
        <w:tabs>
          <w:tab w:val="left" w:pos="720"/>
          <w:tab w:val="left" w:pos="1440"/>
          <w:tab w:val="left" w:pos="2851"/>
          <w:tab w:val="left" w:pos="4320"/>
          <w:tab w:val="left" w:pos="10224"/>
          <w:tab w:val="left" w:pos="11376"/>
        </w:tabs>
        <w:rPr>
          <w:b/>
          <w:sz w:val="20"/>
          <w:szCs w:val="20"/>
        </w:rPr>
      </w:pPr>
      <w:r w:rsidRPr="009541B9">
        <w:rPr>
          <w:b/>
          <w:sz w:val="20"/>
          <w:szCs w:val="20"/>
        </w:rPr>
        <w:t>DISMISSED / REJETÉ</w:t>
      </w:r>
    </w:p>
    <w:p w:rsidR="00623025" w:rsidRPr="00833104" w:rsidRDefault="00623025" w:rsidP="00623025">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23025" w:rsidRPr="008C097E" w:rsidTr="00E33C9D">
        <w:tc>
          <w:tcPr>
            <w:tcW w:w="4380" w:type="dxa"/>
            <w:tcMar>
              <w:left w:w="0" w:type="dxa"/>
              <w:right w:w="0" w:type="dxa"/>
            </w:tcMar>
          </w:tcPr>
          <w:p w:rsidR="00623025" w:rsidRPr="00CC4D84" w:rsidRDefault="00623025" w:rsidP="00E33C9D">
            <w:pPr>
              <w:widowControl w:val="0"/>
              <w:jc w:val="both"/>
              <w:rPr>
                <w:b/>
                <w:sz w:val="20"/>
                <w:szCs w:val="20"/>
                <w:u w:val="single"/>
              </w:rPr>
            </w:pPr>
            <w:r>
              <w:rPr>
                <w:b/>
                <w:sz w:val="20"/>
                <w:szCs w:val="20"/>
                <w:u w:val="single"/>
              </w:rPr>
              <w:t>JUDGMENT</w:t>
            </w:r>
            <w:r w:rsidRPr="00CC4D84">
              <w:rPr>
                <w:b/>
                <w:sz w:val="20"/>
                <w:szCs w:val="20"/>
                <w:u w:val="single"/>
              </w:rPr>
              <w:t>:</w:t>
            </w:r>
          </w:p>
          <w:p w:rsidR="00623025" w:rsidRPr="001A663B" w:rsidRDefault="00623025" w:rsidP="00E33C9D">
            <w:pPr>
              <w:widowControl w:val="0"/>
              <w:jc w:val="both"/>
              <w:rPr>
                <w:b/>
                <w:sz w:val="20"/>
                <w:szCs w:val="20"/>
              </w:rPr>
            </w:pPr>
          </w:p>
          <w:p w:rsidR="00623025" w:rsidRPr="00942ECC" w:rsidRDefault="00623025" w:rsidP="00E33C9D">
            <w:pPr>
              <w:pStyle w:val="ListParagraph"/>
              <w:ind w:left="0"/>
              <w:jc w:val="both"/>
              <w:rPr>
                <w:rFonts w:cs="Times New Roman"/>
                <w:sz w:val="20"/>
                <w:szCs w:val="20"/>
              </w:rPr>
            </w:pPr>
            <w:r w:rsidRPr="00942ECC">
              <w:rPr>
                <w:rFonts w:cs="Times New Roman"/>
                <w:sz w:val="20"/>
                <w:szCs w:val="20"/>
              </w:rPr>
              <w:t>The appeal from the judgment of the Court of Appeal for Ontario, Number C53244, 2013 ONCA 791, dated December 31, 2013, was heard on October 16, 2014, and the Court on that day delivered the following judgment orally:</w:t>
            </w:r>
          </w:p>
          <w:p w:rsidR="00623025" w:rsidRPr="00942ECC" w:rsidRDefault="00623025" w:rsidP="00E33C9D">
            <w:pPr>
              <w:jc w:val="both"/>
              <w:rPr>
                <w:rFonts w:cs="Times New Roman"/>
                <w:sz w:val="20"/>
                <w:szCs w:val="20"/>
              </w:rPr>
            </w:pPr>
          </w:p>
          <w:p w:rsidR="00623025" w:rsidRPr="00942ECC" w:rsidRDefault="00623025" w:rsidP="00E33C9D">
            <w:pPr>
              <w:jc w:val="both"/>
              <w:rPr>
                <w:rFonts w:cs="Times New Roman"/>
                <w:sz w:val="20"/>
                <w:szCs w:val="20"/>
              </w:rPr>
            </w:pPr>
          </w:p>
          <w:p w:rsidR="00623025" w:rsidRPr="00942ECC" w:rsidRDefault="00623025" w:rsidP="00E33C9D">
            <w:pPr>
              <w:pStyle w:val="ListParagraph"/>
              <w:ind w:left="0"/>
              <w:jc w:val="both"/>
              <w:rPr>
                <w:rFonts w:cs="Times New Roman"/>
                <w:sz w:val="20"/>
                <w:szCs w:val="20"/>
                <w:lang w:val="en-US"/>
              </w:rPr>
            </w:pPr>
            <w:r w:rsidRPr="00942ECC">
              <w:rPr>
                <w:rFonts w:cs="Times New Roman"/>
                <w:smallCaps/>
                <w:sz w:val="20"/>
                <w:szCs w:val="20"/>
              </w:rPr>
              <w:t>Cromwell J.</w:t>
            </w:r>
            <w:r w:rsidRPr="00942ECC">
              <w:rPr>
                <w:rFonts w:cs="Times New Roman"/>
                <w:sz w:val="20"/>
                <w:szCs w:val="20"/>
              </w:rPr>
              <w:t xml:space="preserve"> ― </w:t>
            </w:r>
            <w:r w:rsidRPr="00942ECC">
              <w:rPr>
                <w:rFonts w:cs="Times New Roman"/>
                <w:sz w:val="20"/>
                <w:szCs w:val="20"/>
                <w:lang w:val="en-US"/>
              </w:rPr>
              <w:t xml:space="preserve">This Crown appeal comes to us as of right based on the dissent of Rouleau J.A. in the Court of Appeal for Ontario. </w:t>
            </w:r>
          </w:p>
          <w:p w:rsidR="00623025" w:rsidRDefault="00623025" w:rsidP="00E33C9D">
            <w:pPr>
              <w:pStyle w:val="ListParagraph"/>
              <w:ind w:left="0"/>
              <w:jc w:val="both"/>
              <w:rPr>
                <w:rFonts w:cs="Times New Roman"/>
                <w:sz w:val="20"/>
                <w:szCs w:val="20"/>
                <w:lang w:val="en-US"/>
              </w:rPr>
            </w:pPr>
          </w:p>
          <w:p w:rsidR="00623025" w:rsidRPr="00942ECC" w:rsidRDefault="00623025" w:rsidP="00E33C9D">
            <w:pPr>
              <w:pStyle w:val="ListParagraph"/>
              <w:ind w:left="0"/>
              <w:jc w:val="both"/>
              <w:rPr>
                <w:rFonts w:cs="Times New Roman"/>
                <w:sz w:val="20"/>
                <w:szCs w:val="20"/>
                <w:lang w:val="en-US"/>
              </w:rPr>
            </w:pPr>
          </w:p>
          <w:p w:rsidR="00623025" w:rsidRPr="00942ECC" w:rsidRDefault="00623025" w:rsidP="00E33C9D">
            <w:pPr>
              <w:pStyle w:val="ListParagraph"/>
              <w:ind w:left="0"/>
              <w:jc w:val="both"/>
              <w:rPr>
                <w:rFonts w:cs="Times New Roman"/>
                <w:sz w:val="20"/>
                <w:szCs w:val="20"/>
                <w:lang w:val="en-US"/>
              </w:rPr>
            </w:pPr>
            <w:r w:rsidRPr="00942ECC">
              <w:rPr>
                <w:rFonts w:cs="Times New Roman"/>
                <w:sz w:val="20"/>
                <w:szCs w:val="20"/>
                <w:lang w:val="en-US"/>
              </w:rPr>
              <w:t xml:space="preserve">We agree with Doherty J.A., writing for a majority of that Court, that the trial judge’s instructions may well have led the jury to understand that the deceased’s allegedly provocative acts and the respondent’s reaction to them had relevance to the </w:t>
            </w:r>
            <w:r w:rsidRPr="00942ECC">
              <w:rPr>
                <w:rFonts w:cs="Times New Roman"/>
                <w:i/>
                <w:sz w:val="20"/>
                <w:szCs w:val="20"/>
                <w:lang w:val="en-US"/>
              </w:rPr>
              <w:t>mens rea</w:t>
            </w:r>
            <w:r w:rsidRPr="00942ECC">
              <w:rPr>
                <w:rFonts w:cs="Times New Roman"/>
                <w:sz w:val="20"/>
                <w:szCs w:val="20"/>
                <w:lang w:val="en-US"/>
              </w:rPr>
              <w:t xml:space="preserve"> issue only if they met the narrow legal definition of provocation in s. 232 of the </w:t>
            </w:r>
            <w:r w:rsidRPr="00942ECC">
              <w:rPr>
                <w:rFonts w:cs="Times New Roman"/>
                <w:i/>
                <w:sz w:val="20"/>
                <w:szCs w:val="20"/>
                <w:lang w:val="en-US"/>
              </w:rPr>
              <w:t>Criminal Code</w:t>
            </w:r>
            <w:r w:rsidRPr="00942ECC">
              <w:rPr>
                <w:rFonts w:cs="Times New Roman"/>
                <w:sz w:val="20"/>
                <w:szCs w:val="20"/>
                <w:lang w:val="en-US"/>
              </w:rPr>
              <w:t xml:space="preserve"> and that this constituted misdirection.</w:t>
            </w:r>
          </w:p>
          <w:p w:rsidR="00623025" w:rsidRPr="00942ECC" w:rsidRDefault="00623025" w:rsidP="00E33C9D">
            <w:pPr>
              <w:jc w:val="both"/>
              <w:rPr>
                <w:rFonts w:cs="Times New Roman"/>
                <w:sz w:val="20"/>
                <w:szCs w:val="20"/>
                <w:lang w:val="en-US"/>
              </w:rPr>
            </w:pPr>
          </w:p>
          <w:p w:rsidR="00623025" w:rsidRPr="00282911" w:rsidRDefault="00623025" w:rsidP="00E33C9D">
            <w:pPr>
              <w:pStyle w:val="ListParagraph"/>
              <w:ind w:left="0"/>
              <w:jc w:val="both"/>
              <w:rPr>
                <w:b/>
                <w:sz w:val="20"/>
                <w:szCs w:val="20"/>
                <w:lang w:val="en-US"/>
              </w:rPr>
            </w:pPr>
            <w:r w:rsidRPr="00942ECC">
              <w:rPr>
                <w:rFonts w:cs="Times New Roman"/>
                <w:sz w:val="20"/>
                <w:szCs w:val="20"/>
                <w:lang w:val="en-US"/>
              </w:rPr>
              <w:t>We therefore dismiss the appeal and affirm the Court of Appeal’s order for a new trial.</w:t>
            </w:r>
          </w:p>
        </w:tc>
        <w:tc>
          <w:tcPr>
            <w:tcW w:w="720" w:type="dxa"/>
            <w:tcMar>
              <w:left w:w="0" w:type="dxa"/>
              <w:right w:w="0" w:type="dxa"/>
            </w:tcMar>
          </w:tcPr>
          <w:p w:rsidR="00623025" w:rsidRPr="00C1697B" w:rsidRDefault="00623025" w:rsidP="00E33C9D">
            <w:pPr>
              <w:widowControl w:val="0"/>
              <w:jc w:val="center"/>
              <w:rPr>
                <w:sz w:val="20"/>
                <w:szCs w:val="20"/>
              </w:rPr>
            </w:pPr>
          </w:p>
        </w:tc>
        <w:tc>
          <w:tcPr>
            <w:tcW w:w="4380" w:type="dxa"/>
            <w:tcMar>
              <w:left w:w="0" w:type="dxa"/>
              <w:right w:w="0" w:type="dxa"/>
            </w:tcMar>
          </w:tcPr>
          <w:p w:rsidR="00623025" w:rsidRPr="00CC4D84" w:rsidRDefault="00623025" w:rsidP="00E33C9D">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623025" w:rsidRPr="00C1697B" w:rsidRDefault="00623025" w:rsidP="00E33C9D">
            <w:pPr>
              <w:widowControl w:val="0"/>
              <w:jc w:val="both"/>
              <w:rPr>
                <w:sz w:val="20"/>
                <w:szCs w:val="20"/>
                <w:lang w:val="fr-CA"/>
              </w:rPr>
            </w:pPr>
          </w:p>
          <w:p w:rsidR="00623025" w:rsidRPr="00942ECC" w:rsidRDefault="00623025" w:rsidP="00E33C9D">
            <w:pPr>
              <w:pStyle w:val="ListParagraph"/>
              <w:ind w:left="18"/>
              <w:jc w:val="both"/>
              <w:rPr>
                <w:rFonts w:cs="Times New Roman"/>
                <w:sz w:val="20"/>
                <w:szCs w:val="20"/>
                <w:lang w:val="fr-CA"/>
              </w:rPr>
            </w:pPr>
            <w:r w:rsidRPr="00942ECC">
              <w:rPr>
                <w:rFonts w:cs="Times New Roman"/>
                <w:sz w:val="20"/>
                <w:szCs w:val="20"/>
                <w:lang w:val="fr-CA"/>
              </w:rPr>
              <w:t>L’appel interjeté contre l’arrêt de la Cour d’appel de l’Ontario, numéro C53244, 2013 ONCA 791, en date du 31 décembre 2013, a été entendu le 16 octobre 2014, et la Cour a prononcé oralement le même jour le jugement suivant :</w:t>
            </w:r>
          </w:p>
          <w:p w:rsidR="00623025" w:rsidRPr="00942ECC" w:rsidRDefault="00623025" w:rsidP="00E33C9D">
            <w:pPr>
              <w:jc w:val="both"/>
              <w:rPr>
                <w:rFonts w:cs="Times New Roman"/>
                <w:sz w:val="20"/>
                <w:szCs w:val="20"/>
                <w:lang w:val="fr-CA"/>
              </w:rPr>
            </w:pPr>
          </w:p>
          <w:p w:rsidR="00623025" w:rsidRPr="00942ECC" w:rsidRDefault="00623025" w:rsidP="00E33C9D">
            <w:pPr>
              <w:pStyle w:val="ListParagraph"/>
              <w:ind w:left="18" w:hanging="18"/>
              <w:jc w:val="both"/>
              <w:rPr>
                <w:rFonts w:cs="Times New Roman"/>
                <w:sz w:val="20"/>
                <w:szCs w:val="20"/>
                <w:lang w:val="fr-CA"/>
              </w:rPr>
            </w:pPr>
            <w:r w:rsidRPr="00942ECC">
              <w:rPr>
                <w:rFonts w:cs="Times New Roman"/>
                <w:sz w:val="20"/>
                <w:szCs w:val="20"/>
                <w:lang w:val="fr-CA"/>
              </w:rPr>
              <w:t>[</w:t>
            </w:r>
            <w:r w:rsidRPr="00942ECC">
              <w:rPr>
                <w:rFonts w:cs="Times New Roman"/>
                <w:smallCaps/>
                <w:sz w:val="20"/>
                <w:szCs w:val="20"/>
                <w:lang w:val="fr-CA"/>
              </w:rPr>
              <w:t>traduction</w:t>
            </w:r>
            <w:r w:rsidRPr="00942ECC">
              <w:rPr>
                <w:rFonts w:cs="Times New Roman"/>
                <w:sz w:val="20"/>
                <w:szCs w:val="20"/>
                <w:lang w:val="fr-CA"/>
              </w:rPr>
              <w:t>]</w:t>
            </w:r>
          </w:p>
          <w:p w:rsidR="00623025" w:rsidRPr="00942ECC" w:rsidRDefault="00623025" w:rsidP="00E33C9D">
            <w:pPr>
              <w:pStyle w:val="ListParagraph"/>
              <w:ind w:left="18" w:hanging="18"/>
              <w:jc w:val="both"/>
              <w:rPr>
                <w:rFonts w:cs="Times New Roman"/>
                <w:sz w:val="20"/>
                <w:szCs w:val="20"/>
                <w:lang w:val="fr-CA"/>
              </w:rPr>
            </w:pPr>
            <w:r w:rsidRPr="00942ECC">
              <w:rPr>
                <w:rFonts w:cs="Times New Roman"/>
                <w:smallCaps/>
                <w:sz w:val="20"/>
                <w:szCs w:val="20"/>
                <w:lang w:val="fr-CA"/>
              </w:rPr>
              <w:t>Le juge Cromwell</w:t>
            </w:r>
            <w:r w:rsidRPr="00942ECC">
              <w:rPr>
                <w:rFonts w:cs="Times New Roman"/>
                <w:sz w:val="20"/>
                <w:szCs w:val="20"/>
                <w:lang w:val="fr-CA"/>
              </w:rPr>
              <w:t xml:space="preserve"> — La Cour est saisie de l’appel du ministère public interjeté de plein droit sur le fondement de la dissidence du juge Rouleau de la Cour d’appel de l’Ontario.</w:t>
            </w:r>
          </w:p>
          <w:p w:rsidR="00623025" w:rsidRPr="00942ECC" w:rsidRDefault="00623025" w:rsidP="00E33C9D">
            <w:pPr>
              <w:jc w:val="both"/>
              <w:rPr>
                <w:rFonts w:cs="Times New Roman"/>
                <w:sz w:val="20"/>
                <w:szCs w:val="20"/>
                <w:lang w:val="fr-CA"/>
              </w:rPr>
            </w:pPr>
          </w:p>
          <w:p w:rsidR="00623025" w:rsidRPr="00942ECC" w:rsidRDefault="00623025" w:rsidP="00E33C9D">
            <w:pPr>
              <w:pStyle w:val="ListParagraph"/>
              <w:ind w:left="0"/>
              <w:jc w:val="both"/>
              <w:rPr>
                <w:rFonts w:cs="Times New Roman"/>
                <w:sz w:val="20"/>
                <w:szCs w:val="20"/>
                <w:lang w:val="fr-CA"/>
              </w:rPr>
            </w:pPr>
            <w:r w:rsidRPr="00942ECC">
              <w:rPr>
                <w:rFonts w:cs="Times New Roman"/>
                <w:sz w:val="20"/>
                <w:szCs w:val="20"/>
                <w:lang w:val="fr-CA"/>
              </w:rPr>
              <w:t>Nous convenons avec l’auteur des motifs majoritaires de la Cour d’appel, le juge Doherty, que les directives du juge du procès ont bien pu amener le jury à conclure que les actes de provocation imputés à la victime et la réaction de l’accusé à ceux</w:t>
            </w:r>
            <w:r w:rsidRPr="00942ECC">
              <w:rPr>
                <w:rFonts w:cs="Times New Roman"/>
                <w:sz w:val="20"/>
                <w:szCs w:val="20"/>
                <w:lang w:val="fr-CA"/>
              </w:rPr>
              <w:noBreakHyphen/>
              <w:t xml:space="preserve">ci n’étaient pertinents quant à la </w:t>
            </w:r>
            <w:r w:rsidRPr="00942ECC">
              <w:rPr>
                <w:rFonts w:cs="Times New Roman"/>
                <w:i/>
                <w:sz w:val="20"/>
                <w:szCs w:val="20"/>
                <w:lang w:val="fr-CA"/>
              </w:rPr>
              <w:t>mens rea</w:t>
            </w:r>
            <w:r w:rsidRPr="00942ECC">
              <w:rPr>
                <w:rFonts w:cs="Times New Roman"/>
                <w:sz w:val="20"/>
                <w:szCs w:val="20"/>
                <w:lang w:val="fr-CA"/>
              </w:rPr>
              <w:t xml:space="preserve"> que s’ils satisfaisaient à la définition stricte de l’art. 232 du </w:t>
            </w:r>
            <w:r w:rsidRPr="00942ECC">
              <w:rPr>
                <w:rFonts w:cs="Times New Roman"/>
                <w:i/>
                <w:sz w:val="20"/>
                <w:szCs w:val="20"/>
                <w:lang w:val="fr-CA"/>
              </w:rPr>
              <w:t>Code criminel</w:t>
            </w:r>
            <w:r w:rsidRPr="00942ECC">
              <w:rPr>
                <w:rFonts w:cs="Times New Roman"/>
                <w:sz w:val="20"/>
                <w:szCs w:val="20"/>
                <w:lang w:val="fr-CA"/>
              </w:rPr>
              <w:t>, de sorte qu’il s’agissait de directives erronées.</w:t>
            </w:r>
          </w:p>
          <w:p w:rsidR="00623025" w:rsidRPr="00942ECC" w:rsidRDefault="00623025" w:rsidP="00E33C9D">
            <w:pPr>
              <w:jc w:val="both"/>
              <w:rPr>
                <w:rFonts w:cs="Times New Roman"/>
                <w:sz w:val="20"/>
                <w:szCs w:val="20"/>
                <w:lang w:val="fr-CA"/>
              </w:rPr>
            </w:pPr>
          </w:p>
          <w:p w:rsidR="00623025" w:rsidRPr="00C1697B" w:rsidRDefault="00623025" w:rsidP="00E33C9D">
            <w:pPr>
              <w:jc w:val="both"/>
              <w:rPr>
                <w:sz w:val="20"/>
                <w:szCs w:val="20"/>
                <w:lang w:val="fr-CA"/>
              </w:rPr>
            </w:pPr>
            <w:r w:rsidRPr="00942ECC">
              <w:rPr>
                <w:rFonts w:cs="Times New Roman"/>
                <w:sz w:val="20"/>
                <w:szCs w:val="20"/>
                <w:lang w:val="fr-CA"/>
              </w:rPr>
              <w:t>Nous sommes donc d’avis de rejeter le pourvoi et de confirmer la décision de la Cour d’appel d’ordonner un nouveau procès.</w:t>
            </w:r>
          </w:p>
        </w:tc>
      </w:tr>
    </w:tbl>
    <w:p w:rsidR="00623025" w:rsidRPr="00282911" w:rsidRDefault="00623025" w:rsidP="00623025">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23025" w:rsidRPr="008C097E" w:rsidTr="00E33C9D">
        <w:tc>
          <w:tcPr>
            <w:tcW w:w="4380" w:type="dxa"/>
            <w:tcMar>
              <w:left w:w="0" w:type="dxa"/>
              <w:right w:w="0" w:type="dxa"/>
            </w:tcMar>
          </w:tcPr>
          <w:p w:rsidR="00623025" w:rsidRPr="00CC4D84" w:rsidRDefault="00623025" w:rsidP="00E33C9D">
            <w:pPr>
              <w:widowControl w:val="0"/>
              <w:jc w:val="both"/>
              <w:rPr>
                <w:b/>
                <w:sz w:val="20"/>
                <w:szCs w:val="20"/>
                <w:u w:val="single"/>
              </w:rPr>
            </w:pPr>
            <w:r w:rsidRPr="00CC4D84">
              <w:rPr>
                <w:b/>
                <w:sz w:val="20"/>
                <w:szCs w:val="20"/>
                <w:u w:val="single"/>
              </w:rPr>
              <w:t>Nature of the case:</w:t>
            </w:r>
          </w:p>
          <w:p w:rsidR="00623025" w:rsidRPr="001A663B" w:rsidRDefault="00623025" w:rsidP="00E33C9D">
            <w:pPr>
              <w:widowControl w:val="0"/>
              <w:jc w:val="both"/>
              <w:rPr>
                <w:b/>
                <w:sz w:val="20"/>
                <w:szCs w:val="20"/>
              </w:rPr>
            </w:pPr>
          </w:p>
          <w:p w:rsidR="00623025" w:rsidRPr="00C1697B" w:rsidRDefault="00623025" w:rsidP="00E33C9D">
            <w:pPr>
              <w:tabs>
                <w:tab w:val="left" w:pos="4320"/>
              </w:tabs>
              <w:jc w:val="both"/>
              <w:rPr>
                <w:b/>
                <w:sz w:val="20"/>
                <w:szCs w:val="20"/>
              </w:rPr>
            </w:pPr>
            <w:r w:rsidRPr="002A45C5">
              <w:rPr>
                <w:sz w:val="20"/>
                <w:szCs w:val="20"/>
              </w:rPr>
              <w:t>Criminal law - Defences - Provocation - Charge to the jury - Whether the trial judge misdirected the jury as to the application of the statutory defence of provocation to the evidence relevant to the respondent’s state of mind for the purpose of determining whether the Crown had established the requisite intent for murder.</w:t>
            </w:r>
          </w:p>
        </w:tc>
        <w:tc>
          <w:tcPr>
            <w:tcW w:w="720" w:type="dxa"/>
            <w:tcMar>
              <w:left w:w="0" w:type="dxa"/>
              <w:right w:w="0" w:type="dxa"/>
            </w:tcMar>
          </w:tcPr>
          <w:p w:rsidR="00623025" w:rsidRPr="00C1697B" w:rsidRDefault="00623025" w:rsidP="00E33C9D">
            <w:pPr>
              <w:widowControl w:val="0"/>
              <w:jc w:val="center"/>
              <w:rPr>
                <w:sz w:val="20"/>
                <w:szCs w:val="20"/>
              </w:rPr>
            </w:pPr>
          </w:p>
        </w:tc>
        <w:tc>
          <w:tcPr>
            <w:tcW w:w="4380" w:type="dxa"/>
            <w:tcMar>
              <w:left w:w="0" w:type="dxa"/>
              <w:right w:w="0" w:type="dxa"/>
            </w:tcMar>
          </w:tcPr>
          <w:p w:rsidR="00623025" w:rsidRPr="00CC4D84" w:rsidRDefault="00623025" w:rsidP="00E33C9D">
            <w:pPr>
              <w:widowControl w:val="0"/>
              <w:jc w:val="both"/>
              <w:rPr>
                <w:b/>
                <w:sz w:val="20"/>
                <w:szCs w:val="20"/>
                <w:u w:val="single"/>
                <w:lang w:val="fr-CA"/>
              </w:rPr>
            </w:pPr>
            <w:r w:rsidRPr="00CC4D84">
              <w:rPr>
                <w:b/>
                <w:sz w:val="20"/>
                <w:szCs w:val="20"/>
                <w:u w:val="single"/>
                <w:lang w:val="fr-CA"/>
              </w:rPr>
              <w:t>Nature de la cause :</w:t>
            </w:r>
          </w:p>
          <w:p w:rsidR="00623025" w:rsidRPr="00C1697B" w:rsidRDefault="00623025" w:rsidP="00E33C9D">
            <w:pPr>
              <w:widowControl w:val="0"/>
              <w:jc w:val="both"/>
              <w:rPr>
                <w:sz w:val="20"/>
                <w:szCs w:val="20"/>
                <w:lang w:val="fr-CA"/>
              </w:rPr>
            </w:pPr>
          </w:p>
          <w:p w:rsidR="00623025" w:rsidRPr="00C1697B" w:rsidRDefault="00623025" w:rsidP="00E33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A072BA">
              <w:rPr>
                <w:sz w:val="20"/>
                <w:szCs w:val="20"/>
                <w:lang w:val="fr-CA"/>
              </w:rPr>
              <w:t>Droit criminel - Moyens de défense - Provocation - Exposé au jury - Le juge du procès a-t-il donné des directives erronées au jury quant à savoir si la défense de provocation prévue par la loi s’applique à la preuve relative à l’état d’esprit de l’intimé lorsqu’il s’agit de déterminer si le ministère public a établi que l’accusé avait l’intention requise pour commettre le meurtre?</w:t>
            </w:r>
          </w:p>
        </w:tc>
      </w:tr>
    </w:tbl>
    <w:p w:rsidR="00623025" w:rsidRDefault="00623025" w:rsidP="00623025">
      <w:pPr>
        <w:widowControl w:val="0"/>
        <w:rPr>
          <w:sz w:val="20"/>
          <w:szCs w:val="20"/>
          <w:lang w:val="fr-CA"/>
        </w:rPr>
      </w:pPr>
    </w:p>
    <w:p w:rsidR="00623025" w:rsidRDefault="00714478" w:rsidP="00623025">
      <w:pPr>
        <w:widowControl w:val="0"/>
        <w:rPr>
          <w:sz w:val="20"/>
          <w:szCs w:val="20"/>
        </w:rPr>
      </w:pPr>
      <w:r>
        <w:rPr>
          <w:sz w:val="20"/>
          <w:szCs w:val="20"/>
          <w:lang w:val="fr-CA"/>
        </w:rPr>
        <w:pict>
          <v:rect id="_x0000_i1082" style="width:2in;height:1pt" o:hrpct="0" o:hralign="center" o:hrstd="t" o:hrnoshade="t" o:hr="t" fillcolor="black [3213]" stroked="f"/>
        </w:pict>
      </w:r>
    </w:p>
    <w:p w:rsidR="00623025" w:rsidRPr="008802EB" w:rsidRDefault="00623025" w:rsidP="00623025">
      <w:pPr>
        <w:widowControl w:val="0"/>
        <w:rPr>
          <w:sz w:val="20"/>
          <w:szCs w:val="20"/>
        </w:rPr>
      </w:pPr>
      <w:r>
        <w:rPr>
          <w:sz w:val="20"/>
          <w:szCs w:val="20"/>
        </w:rPr>
        <w:lastRenderedPageBreak/>
        <w:t>16</w:t>
      </w:r>
      <w:r w:rsidRPr="008802EB">
        <w:rPr>
          <w:sz w:val="20"/>
          <w:szCs w:val="20"/>
        </w:rPr>
        <w:t>.10.2014</w:t>
      </w:r>
    </w:p>
    <w:p w:rsidR="00623025" w:rsidRPr="008802EB" w:rsidRDefault="00623025" w:rsidP="00623025">
      <w:pPr>
        <w:widowControl w:val="0"/>
        <w:rPr>
          <w:sz w:val="20"/>
          <w:szCs w:val="20"/>
        </w:rPr>
      </w:pPr>
    </w:p>
    <w:p w:rsidR="00623025" w:rsidRDefault="00623025" w:rsidP="00623025">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 xml:space="preserve">Abella, Cromwell, Moldaver, Wagner and Gascon </w:t>
      </w:r>
      <w:r w:rsidRPr="00C50A5C">
        <w:rPr>
          <w:sz w:val="20"/>
          <w:szCs w:val="20"/>
          <w:u w:val="single"/>
        </w:rPr>
        <w:t>JJ.</w:t>
      </w:r>
      <w:r w:rsidRPr="00C50A5C">
        <w:rPr>
          <w:sz w:val="20"/>
          <w:szCs w:val="20"/>
        </w:rPr>
        <w:t xml:space="preserve"> </w:t>
      </w:r>
    </w:p>
    <w:p w:rsidR="00623025" w:rsidRPr="008802EB" w:rsidRDefault="00623025" w:rsidP="00623025">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23025" w:rsidRPr="008802EB" w:rsidTr="00E33C9D">
        <w:tc>
          <w:tcPr>
            <w:tcW w:w="4380" w:type="dxa"/>
            <w:tcMar>
              <w:left w:w="0" w:type="dxa"/>
              <w:right w:w="0" w:type="dxa"/>
            </w:tcMar>
          </w:tcPr>
          <w:p w:rsidR="00623025" w:rsidRDefault="00623025" w:rsidP="00E33C9D">
            <w:pPr>
              <w:rPr>
                <w:rFonts w:eastAsia="Calibri"/>
                <w:b/>
                <w:iCs/>
                <w:sz w:val="20"/>
                <w:szCs w:val="20"/>
              </w:rPr>
            </w:pPr>
            <w:r w:rsidRPr="009541B9">
              <w:rPr>
                <w:rFonts w:eastAsia="Calibri"/>
                <w:b/>
                <w:iCs/>
                <w:sz w:val="20"/>
                <w:szCs w:val="20"/>
              </w:rPr>
              <w:t xml:space="preserve">Vernon Lepine </w:t>
            </w:r>
          </w:p>
          <w:p w:rsidR="00623025" w:rsidRDefault="00623025" w:rsidP="00E33C9D">
            <w:pPr>
              <w:rPr>
                <w:rFonts w:eastAsia="Calibri"/>
                <w:b/>
                <w:iCs/>
                <w:sz w:val="20"/>
                <w:szCs w:val="20"/>
              </w:rPr>
            </w:pPr>
          </w:p>
          <w:p w:rsidR="00623025" w:rsidRDefault="00623025" w:rsidP="00E33C9D">
            <w:pPr>
              <w:rPr>
                <w:rFonts w:eastAsia="Calibri"/>
                <w:iCs/>
                <w:sz w:val="20"/>
                <w:szCs w:val="20"/>
              </w:rPr>
            </w:pPr>
            <w:r>
              <w:rPr>
                <w:rFonts w:eastAsia="Calibri"/>
                <w:b/>
                <w:iCs/>
                <w:sz w:val="20"/>
                <w:szCs w:val="20"/>
              </w:rPr>
              <w:tab/>
            </w:r>
            <w:r w:rsidRPr="009541B9">
              <w:rPr>
                <w:rFonts w:eastAsia="Calibri"/>
                <w:b/>
                <w:iCs/>
                <w:sz w:val="20"/>
                <w:szCs w:val="20"/>
              </w:rPr>
              <w:t xml:space="preserve">v. </w:t>
            </w:r>
            <w:r w:rsidRPr="009541B9">
              <w:rPr>
                <w:rFonts w:eastAsia="Calibri"/>
                <w:iCs/>
                <w:sz w:val="20"/>
                <w:szCs w:val="20"/>
              </w:rPr>
              <w:t>(</w:t>
            </w:r>
            <w:hyperlink r:id="rId87" w:history="1">
              <w:r w:rsidRPr="009541B9">
                <w:rPr>
                  <w:rStyle w:val="Hyperlink"/>
                  <w:rFonts w:eastAsia="Calibri"/>
                  <w:iCs/>
                  <w:sz w:val="20"/>
                  <w:szCs w:val="20"/>
                </w:rPr>
                <w:t>35665</w:t>
              </w:r>
            </w:hyperlink>
            <w:r w:rsidRPr="009541B9">
              <w:rPr>
                <w:rFonts w:eastAsia="Calibri"/>
                <w:iCs/>
                <w:sz w:val="20"/>
                <w:szCs w:val="20"/>
              </w:rPr>
              <w:t>)</w:t>
            </w:r>
          </w:p>
          <w:p w:rsidR="00623025" w:rsidRDefault="00623025" w:rsidP="00E33C9D">
            <w:pPr>
              <w:rPr>
                <w:rFonts w:eastAsia="Calibri"/>
                <w:b/>
                <w:iCs/>
                <w:sz w:val="20"/>
                <w:szCs w:val="20"/>
              </w:rPr>
            </w:pPr>
          </w:p>
          <w:p w:rsidR="00623025" w:rsidRPr="008802EB" w:rsidRDefault="00623025" w:rsidP="00E33C9D">
            <w:pPr>
              <w:rPr>
                <w:sz w:val="20"/>
                <w:szCs w:val="20"/>
              </w:rPr>
            </w:pPr>
            <w:r w:rsidRPr="009541B9">
              <w:rPr>
                <w:rFonts w:eastAsia="Calibri"/>
                <w:b/>
                <w:iCs/>
                <w:sz w:val="20"/>
                <w:szCs w:val="20"/>
              </w:rPr>
              <w:t>Her Majesty the Queen</w:t>
            </w:r>
            <w:r w:rsidRPr="009541B9">
              <w:rPr>
                <w:rFonts w:eastAsia="Calibri"/>
                <w:iCs/>
                <w:sz w:val="20"/>
                <w:szCs w:val="20"/>
              </w:rPr>
              <w:t xml:space="preserve"> </w:t>
            </w:r>
            <w:r w:rsidRPr="00C07506">
              <w:rPr>
                <w:rFonts w:eastAsia="Calibri"/>
                <w:b/>
                <w:iCs/>
                <w:sz w:val="20"/>
                <w:szCs w:val="20"/>
              </w:rPr>
              <w:t>(N.W.T.) (Criminal) (As of Right)</w:t>
            </w:r>
            <w:r w:rsidRPr="009541B9">
              <w:rPr>
                <w:rFonts w:eastAsia="Calibri"/>
                <w:iCs/>
                <w:sz w:val="20"/>
                <w:szCs w:val="20"/>
              </w:rPr>
              <w:t xml:space="preserve"> </w:t>
            </w:r>
          </w:p>
        </w:tc>
        <w:tc>
          <w:tcPr>
            <w:tcW w:w="720" w:type="dxa"/>
            <w:tcMar>
              <w:left w:w="0" w:type="dxa"/>
              <w:right w:w="0" w:type="dxa"/>
            </w:tcMar>
          </w:tcPr>
          <w:p w:rsidR="00623025" w:rsidRPr="008802EB" w:rsidRDefault="00623025" w:rsidP="00E33C9D">
            <w:pPr>
              <w:widowControl w:val="0"/>
              <w:jc w:val="center"/>
              <w:rPr>
                <w:sz w:val="20"/>
                <w:szCs w:val="20"/>
              </w:rPr>
            </w:pPr>
          </w:p>
        </w:tc>
        <w:tc>
          <w:tcPr>
            <w:tcW w:w="4380" w:type="dxa"/>
            <w:tcMar>
              <w:left w:w="0" w:type="dxa"/>
              <w:right w:w="0" w:type="dxa"/>
            </w:tcMar>
          </w:tcPr>
          <w:p w:rsidR="00623025" w:rsidRPr="00F576A2" w:rsidRDefault="00623025" w:rsidP="00E33C9D">
            <w:pPr>
              <w:jc w:val="both"/>
              <w:rPr>
                <w:sz w:val="20"/>
                <w:szCs w:val="20"/>
              </w:rPr>
            </w:pPr>
            <w:r w:rsidRPr="00F576A2">
              <w:rPr>
                <w:sz w:val="20"/>
                <w:szCs w:val="20"/>
              </w:rPr>
              <w:t>Adam Y. Karbani</w:t>
            </w:r>
            <w:r w:rsidRPr="00F576A2">
              <w:rPr>
                <w:sz w:val="20"/>
                <w:szCs w:val="20"/>
              </w:rPr>
              <w:tab/>
            </w:r>
            <w:r>
              <w:rPr>
                <w:sz w:val="20"/>
                <w:szCs w:val="20"/>
              </w:rPr>
              <w:t xml:space="preserve"> f</w:t>
            </w:r>
            <w:r w:rsidRPr="00F576A2">
              <w:rPr>
                <w:sz w:val="20"/>
                <w:szCs w:val="20"/>
              </w:rPr>
              <w:t xml:space="preserve">or the </w:t>
            </w:r>
            <w:r>
              <w:rPr>
                <w:sz w:val="20"/>
                <w:szCs w:val="20"/>
              </w:rPr>
              <w:t>a</w:t>
            </w:r>
            <w:r w:rsidRPr="00F576A2">
              <w:rPr>
                <w:sz w:val="20"/>
                <w:szCs w:val="20"/>
              </w:rPr>
              <w:t>ppellant.</w:t>
            </w:r>
          </w:p>
          <w:p w:rsidR="00623025" w:rsidRPr="00F576A2" w:rsidRDefault="00623025" w:rsidP="00E33C9D">
            <w:pPr>
              <w:jc w:val="both"/>
              <w:rPr>
                <w:sz w:val="20"/>
                <w:szCs w:val="20"/>
              </w:rPr>
            </w:pPr>
          </w:p>
          <w:p w:rsidR="00623025" w:rsidRPr="008802EB" w:rsidRDefault="00623025" w:rsidP="00E33C9D">
            <w:pPr>
              <w:widowControl w:val="0"/>
              <w:jc w:val="both"/>
              <w:rPr>
                <w:sz w:val="20"/>
                <w:szCs w:val="20"/>
              </w:rPr>
            </w:pPr>
            <w:r w:rsidRPr="00F576A2">
              <w:rPr>
                <w:sz w:val="20"/>
                <w:szCs w:val="20"/>
              </w:rPr>
              <w:t>Nicholas E. Devlin</w:t>
            </w:r>
            <w:r>
              <w:rPr>
                <w:sz w:val="20"/>
                <w:szCs w:val="20"/>
              </w:rPr>
              <w:t xml:space="preserve"> and </w:t>
            </w:r>
            <w:r w:rsidRPr="00F576A2">
              <w:rPr>
                <w:sz w:val="20"/>
                <w:szCs w:val="20"/>
              </w:rPr>
              <w:t>Blair MacPherson</w:t>
            </w:r>
            <w:r>
              <w:rPr>
                <w:sz w:val="20"/>
                <w:szCs w:val="20"/>
              </w:rPr>
              <w:t xml:space="preserve"> f</w:t>
            </w:r>
            <w:r w:rsidRPr="00F576A2">
              <w:rPr>
                <w:sz w:val="20"/>
                <w:szCs w:val="20"/>
              </w:rPr>
              <w:t xml:space="preserve">or the </w:t>
            </w:r>
            <w:r>
              <w:rPr>
                <w:sz w:val="20"/>
                <w:szCs w:val="20"/>
              </w:rPr>
              <w:t>r</w:t>
            </w:r>
            <w:r w:rsidRPr="00F576A2">
              <w:rPr>
                <w:sz w:val="20"/>
                <w:szCs w:val="20"/>
              </w:rPr>
              <w:t>espondent</w:t>
            </w:r>
            <w:r>
              <w:rPr>
                <w:sz w:val="20"/>
                <w:szCs w:val="20"/>
              </w:rPr>
              <w:t>.</w:t>
            </w:r>
          </w:p>
        </w:tc>
      </w:tr>
    </w:tbl>
    <w:p w:rsidR="00623025" w:rsidRPr="008802EB" w:rsidRDefault="00623025" w:rsidP="00623025">
      <w:pPr>
        <w:widowControl w:val="0"/>
        <w:rPr>
          <w:sz w:val="20"/>
          <w:szCs w:val="20"/>
        </w:rPr>
      </w:pPr>
    </w:p>
    <w:p w:rsidR="00623025" w:rsidRPr="009541B9" w:rsidRDefault="00623025" w:rsidP="00623025">
      <w:pPr>
        <w:rPr>
          <w:rFonts w:eastAsia="Calibri"/>
          <w:b/>
          <w:iCs/>
          <w:sz w:val="20"/>
          <w:szCs w:val="20"/>
        </w:rPr>
      </w:pPr>
      <w:r w:rsidRPr="009541B9">
        <w:rPr>
          <w:rFonts w:eastAsia="Calibri"/>
          <w:b/>
          <w:iCs/>
          <w:sz w:val="20"/>
          <w:szCs w:val="20"/>
        </w:rPr>
        <w:t>2014 SCC 65 / 2014 CSC 65</w:t>
      </w:r>
    </w:p>
    <w:p w:rsidR="00623025" w:rsidRPr="00C07506" w:rsidRDefault="00623025" w:rsidP="00623025">
      <w:pPr>
        <w:widowControl w:val="0"/>
        <w:tabs>
          <w:tab w:val="left" w:pos="720"/>
          <w:tab w:val="left" w:pos="1440"/>
          <w:tab w:val="left" w:pos="2851"/>
          <w:tab w:val="left" w:pos="4320"/>
          <w:tab w:val="left" w:pos="10224"/>
          <w:tab w:val="left" w:pos="11376"/>
        </w:tabs>
        <w:rPr>
          <w:sz w:val="20"/>
          <w:szCs w:val="20"/>
        </w:rPr>
      </w:pPr>
    </w:p>
    <w:p w:rsidR="00623025" w:rsidRPr="009541B9" w:rsidRDefault="00623025" w:rsidP="00623025">
      <w:pPr>
        <w:widowControl w:val="0"/>
        <w:tabs>
          <w:tab w:val="left" w:pos="720"/>
          <w:tab w:val="left" w:pos="1440"/>
          <w:tab w:val="left" w:pos="2851"/>
          <w:tab w:val="left" w:pos="4320"/>
          <w:tab w:val="left" w:pos="10224"/>
          <w:tab w:val="left" w:pos="11376"/>
        </w:tabs>
        <w:rPr>
          <w:b/>
          <w:sz w:val="20"/>
          <w:szCs w:val="20"/>
        </w:rPr>
      </w:pPr>
      <w:r w:rsidRPr="009541B9">
        <w:rPr>
          <w:b/>
          <w:sz w:val="20"/>
          <w:szCs w:val="20"/>
        </w:rPr>
        <w:t>DISMISSED / REJETÉ</w:t>
      </w:r>
    </w:p>
    <w:p w:rsidR="00623025" w:rsidRPr="00833104" w:rsidRDefault="00623025" w:rsidP="00623025">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23025" w:rsidRPr="00773A40" w:rsidTr="00E33C9D">
        <w:tc>
          <w:tcPr>
            <w:tcW w:w="4380" w:type="dxa"/>
            <w:tcMar>
              <w:left w:w="0" w:type="dxa"/>
              <w:right w:w="0" w:type="dxa"/>
            </w:tcMar>
          </w:tcPr>
          <w:p w:rsidR="00623025" w:rsidRPr="00CC4D84" w:rsidRDefault="00623025" w:rsidP="00E33C9D">
            <w:pPr>
              <w:widowControl w:val="0"/>
              <w:jc w:val="both"/>
              <w:rPr>
                <w:b/>
                <w:sz w:val="20"/>
                <w:szCs w:val="20"/>
                <w:u w:val="single"/>
              </w:rPr>
            </w:pPr>
            <w:r>
              <w:rPr>
                <w:b/>
                <w:sz w:val="20"/>
                <w:szCs w:val="20"/>
                <w:u w:val="single"/>
              </w:rPr>
              <w:t>JUDGMENT</w:t>
            </w:r>
            <w:r w:rsidRPr="00CC4D84">
              <w:rPr>
                <w:b/>
                <w:sz w:val="20"/>
                <w:szCs w:val="20"/>
                <w:u w:val="single"/>
              </w:rPr>
              <w:t>:</w:t>
            </w:r>
          </w:p>
          <w:p w:rsidR="00623025" w:rsidRPr="001A663B" w:rsidRDefault="00623025" w:rsidP="00E33C9D">
            <w:pPr>
              <w:widowControl w:val="0"/>
              <w:jc w:val="both"/>
              <w:rPr>
                <w:b/>
                <w:sz w:val="20"/>
                <w:szCs w:val="20"/>
              </w:rPr>
            </w:pPr>
          </w:p>
          <w:p w:rsidR="00623025" w:rsidRPr="00253733" w:rsidRDefault="00623025" w:rsidP="00E33C9D">
            <w:pPr>
              <w:jc w:val="both"/>
              <w:rPr>
                <w:sz w:val="20"/>
                <w:szCs w:val="20"/>
              </w:rPr>
            </w:pPr>
            <w:r w:rsidRPr="00253733">
              <w:rPr>
                <w:sz w:val="20"/>
                <w:szCs w:val="20"/>
              </w:rPr>
              <w:t>The appeal from the judgment of the Court of Appeal for the Northwest Territories, Number 2013 NWTCA 08, A-I-AP-2013-000002, dated November 25, 2013, was heard on October 16, 2014, and the Court on that day delivered the following judgment orally:</w:t>
            </w:r>
          </w:p>
          <w:p w:rsidR="00623025" w:rsidRDefault="00623025" w:rsidP="00E33C9D">
            <w:pPr>
              <w:jc w:val="both"/>
              <w:rPr>
                <w:sz w:val="20"/>
                <w:szCs w:val="20"/>
              </w:rPr>
            </w:pPr>
          </w:p>
          <w:p w:rsidR="00623025" w:rsidRDefault="00623025" w:rsidP="00E33C9D">
            <w:pPr>
              <w:jc w:val="both"/>
              <w:rPr>
                <w:sz w:val="20"/>
                <w:szCs w:val="20"/>
              </w:rPr>
            </w:pPr>
          </w:p>
          <w:p w:rsidR="00623025" w:rsidRPr="00253733" w:rsidRDefault="00623025" w:rsidP="00E33C9D">
            <w:pPr>
              <w:jc w:val="both"/>
              <w:rPr>
                <w:sz w:val="20"/>
                <w:szCs w:val="20"/>
              </w:rPr>
            </w:pPr>
          </w:p>
          <w:p w:rsidR="00623025" w:rsidRPr="00253733" w:rsidRDefault="00623025" w:rsidP="00E33C9D">
            <w:pPr>
              <w:jc w:val="both"/>
              <w:rPr>
                <w:rFonts w:cs="Times New Roman"/>
                <w:sz w:val="20"/>
                <w:szCs w:val="20"/>
                <w:lang w:val="en-US"/>
              </w:rPr>
            </w:pPr>
            <w:r w:rsidRPr="00253733">
              <w:rPr>
                <w:smallCaps/>
                <w:sz w:val="20"/>
                <w:szCs w:val="20"/>
              </w:rPr>
              <w:t>Cromwell J.</w:t>
            </w:r>
            <w:r w:rsidRPr="00253733">
              <w:rPr>
                <w:sz w:val="20"/>
                <w:szCs w:val="20"/>
              </w:rPr>
              <w:t xml:space="preserve"> </w:t>
            </w:r>
            <w:r w:rsidRPr="00253733">
              <w:rPr>
                <w:rFonts w:cs="Times New Roman"/>
                <w:sz w:val="20"/>
                <w:szCs w:val="20"/>
              </w:rPr>
              <w:t xml:space="preserve">― </w:t>
            </w:r>
            <w:r w:rsidRPr="00253733">
              <w:rPr>
                <w:rFonts w:cs="Times New Roman"/>
                <w:sz w:val="20"/>
                <w:szCs w:val="20"/>
                <w:lang w:val="en-US"/>
              </w:rPr>
              <w:t xml:space="preserve">This appeal as of right comes to us on the dissent of Bielby J.A. in the Court of Appeal of the Northwest Territories.  </w:t>
            </w:r>
          </w:p>
          <w:p w:rsidR="00623025" w:rsidRPr="00253733" w:rsidRDefault="00623025" w:rsidP="00E33C9D">
            <w:pPr>
              <w:jc w:val="both"/>
              <w:rPr>
                <w:rFonts w:cs="Times New Roman"/>
                <w:sz w:val="20"/>
                <w:szCs w:val="20"/>
                <w:lang w:val="en-US"/>
              </w:rPr>
            </w:pPr>
          </w:p>
          <w:p w:rsidR="00623025" w:rsidRPr="00253733" w:rsidRDefault="00623025" w:rsidP="00E33C9D">
            <w:pPr>
              <w:jc w:val="both"/>
              <w:rPr>
                <w:rFonts w:cs="Times New Roman"/>
                <w:sz w:val="20"/>
                <w:szCs w:val="20"/>
                <w:lang w:val="en-US"/>
              </w:rPr>
            </w:pPr>
          </w:p>
          <w:p w:rsidR="00623025" w:rsidRPr="00253733" w:rsidRDefault="00623025" w:rsidP="00E33C9D">
            <w:pPr>
              <w:jc w:val="both"/>
              <w:rPr>
                <w:rFonts w:cs="Times New Roman"/>
                <w:sz w:val="20"/>
                <w:szCs w:val="20"/>
                <w:lang w:val="en-US"/>
              </w:rPr>
            </w:pPr>
            <w:r w:rsidRPr="00253733">
              <w:rPr>
                <w:rFonts w:cs="Times New Roman"/>
                <w:sz w:val="20"/>
                <w:szCs w:val="20"/>
                <w:lang w:val="en-US"/>
              </w:rPr>
              <w:t xml:space="preserve">Unlike the majority of the Court of Appeal we see no reason to be in any way critical of the conduct of defence counsel at trial. However, we are not persuaded that the trial judge’s handling of the jury’s question, either in the timing or content of her response, constituted legal error or gave rise to a miscarriage of justice. The jury was immediately reminded not to deliberate until they had heard the addresses of counsel and the judge’s charge provided complete and correct legal instructions that were responsive to their question.  </w:t>
            </w:r>
          </w:p>
          <w:p w:rsidR="00623025" w:rsidRPr="00253733" w:rsidRDefault="00623025" w:rsidP="00E33C9D">
            <w:pPr>
              <w:jc w:val="both"/>
              <w:rPr>
                <w:rFonts w:cs="Times New Roman"/>
                <w:sz w:val="20"/>
                <w:szCs w:val="20"/>
                <w:lang w:val="en-US"/>
              </w:rPr>
            </w:pPr>
          </w:p>
          <w:p w:rsidR="00623025" w:rsidRPr="00253733" w:rsidRDefault="00623025" w:rsidP="00E33C9D">
            <w:pPr>
              <w:jc w:val="both"/>
              <w:rPr>
                <w:rFonts w:cs="Times New Roman"/>
                <w:sz w:val="20"/>
                <w:szCs w:val="20"/>
                <w:lang w:val="en-US"/>
              </w:rPr>
            </w:pPr>
          </w:p>
          <w:p w:rsidR="00623025" w:rsidRPr="00253733" w:rsidRDefault="00623025" w:rsidP="00E33C9D">
            <w:pPr>
              <w:jc w:val="both"/>
              <w:rPr>
                <w:rFonts w:cs="Times New Roman"/>
                <w:sz w:val="20"/>
                <w:szCs w:val="20"/>
                <w:lang w:val="en-US"/>
              </w:rPr>
            </w:pPr>
          </w:p>
          <w:p w:rsidR="00623025" w:rsidRPr="00C1697B" w:rsidRDefault="00623025" w:rsidP="00E33C9D">
            <w:pPr>
              <w:jc w:val="both"/>
              <w:rPr>
                <w:b/>
                <w:sz w:val="20"/>
                <w:szCs w:val="20"/>
              </w:rPr>
            </w:pPr>
            <w:r w:rsidRPr="00253733">
              <w:rPr>
                <w:rFonts w:cs="Times New Roman"/>
                <w:sz w:val="20"/>
                <w:szCs w:val="20"/>
                <w:lang w:val="en-US"/>
              </w:rPr>
              <w:t>The appeal is dismissed.</w:t>
            </w:r>
          </w:p>
        </w:tc>
        <w:tc>
          <w:tcPr>
            <w:tcW w:w="720" w:type="dxa"/>
            <w:tcMar>
              <w:left w:w="0" w:type="dxa"/>
              <w:right w:w="0" w:type="dxa"/>
            </w:tcMar>
          </w:tcPr>
          <w:p w:rsidR="00623025" w:rsidRPr="00C1697B" w:rsidRDefault="00623025" w:rsidP="00E33C9D">
            <w:pPr>
              <w:widowControl w:val="0"/>
              <w:jc w:val="center"/>
              <w:rPr>
                <w:sz w:val="20"/>
                <w:szCs w:val="20"/>
              </w:rPr>
            </w:pPr>
          </w:p>
        </w:tc>
        <w:tc>
          <w:tcPr>
            <w:tcW w:w="4380" w:type="dxa"/>
            <w:tcMar>
              <w:left w:w="0" w:type="dxa"/>
              <w:right w:w="0" w:type="dxa"/>
            </w:tcMar>
          </w:tcPr>
          <w:p w:rsidR="00623025" w:rsidRPr="00CC4D84" w:rsidRDefault="00623025" w:rsidP="00E33C9D">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623025" w:rsidRPr="00C1697B" w:rsidRDefault="00623025" w:rsidP="00E33C9D">
            <w:pPr>
              <w:widowControl w:val="0"/>
              <w:jc w:val="both"/>
              <w:rPr>
                <w:sz w:val="20"/>
                <w:szCs w:val="20"/>
                <w:lang w:val="fr-CA"/>
              </w:rPr>
            </w:pPr>
          </w:p>
          <w:p w:rsidR="00623025" w:rsidRPr="00253733" w:rsidRDefault="00623025" w:rsidP="00E33C9D">
            <w:pPr>
              <w:jc w:val="both"/>
              <w:rPr>
                <w:sz w:val="20"/>
                <w:szCs w:val="20"/>
                <w:lang w:val="fr-CA"/>
              </w:rPr>
            </w:pPr>
            <w:r w:rsidRPr="00253733">
              <w:rPr>
                <w:sz w:val="20"/>
                <w:szCs w:val="20"/>
                <w:lang w:val="fr-CA"/>
              </w:rPr>
              <w:t>L’appel interjeté contre l’arrêt de la Cour d’appel des Territoires du Nord-Ouest, numéro 2013 NWTCA 08, A-I-AP-2013-000002, en date du 25 novembre 2013, a été entendu le 16 octobre 2014, et la Cour a prononcé oralement le même jour le jugement suivant</w:t>
            </w:r>
            <w:r>
              <w:rPr>
                <w:sz w:val="20"/>
                <w:szCs w:val="20"/>
                <w:lang w:val="fr-CA"/>
              </w:rPr>
              <w:t> </w:t>
            </w:r>
            <w:r w:rsidRPr="00253733">
              <w:rPr>
                <w:sz w:val="20"/>
                <w:szCs w:val="20"/>
                <w:lang w:val="fr-CA"/>
              </w:rPr>
              <w:t>:</w:t>
            </w:r>
          </w:p>
          <w:p w:rsidR="00623025" w:rsidRPr="00253733" w:rsidRDefault="00623025" w:rsidP="00E33C9D">
            <w:pPr>
              <w:jc w:val="both"/>
              <w:rPr>
                <w:sz w:val="20"/>
                <w:szCs w:val="20"/>
                <w:lang w:val="fr-CA"/>
              </w:rPr>
            </w:pPr>
          </w:p>
          <w:p w:rsidR="00623025" w:rsidRPr="00253733" w:rsidRDefault="00623025" w:rsidP="00E33C9D">
            <w:pPr>
              <w:jc w:val="both"/>
              <w:rPr>
                <w:sz w:val="20"/>
                <w:szCs w:val="20"/>
                <w:lang w:val="fr-CA"/>
              </w:rPr>
            </w:pPr>
            <w:r w:rsidRPr="00253733">
              <w:rPr>
                <w:sz w:val="20"/>
                <w:szCs w:val="20"/>
                <w:lang w:val="fr-CA"/>
              </w:rPr>
              <w:t>[</w:t>
            </w:r>
            <w:r w:rsidRPr="00253733">
              <w:rPr>
                <w:smallCaps/>
                <w:sz w:val="20"/>
                <w:szCs w:val="20"/>
                <w:lang w:val="fr-CA"/>
              </w:rPr>
              <w:t>traduction</w:t>
            </w:r>
            <w:r w:rsidRPr="00253733">
              <w:rPr>
                <w:sz w:val="20"/>
                <w:szCs w:val="20"/>
                <w:lang w:val="fr-CA"/>
              </w:rPr>
              <w:t>]</w:t>
            </w:r>
          </w:p>
          <w:p w:rsidR="00623025" w:rsidRPr="00253733" w:rsidRDefault="00623025" w:rsidP="00E33C9D">
            <w:pPr>
              <w:jc w:val="both"/>
              <w:rPr>
                <w:rFonts w:cs="Times New Roman"/>
                <w:sz w:val="20"/>
                <w:szCs w:val="20"/>
                <w:lang w:val="fr-CA"/>
              </w:rPr>
            </w:pPr>
            <w:r w:rsidRPr="00253733">
              <w:rPr>
                <w:smallCaps/>
                <w:sz w:val="20"/>
                <w:szCs w:val="20"/>
                <w:lang w:val="fr-CA"/>
              </w:rPr>
              <w:t>Le juge Cromwell</w:t>
            </w:r>
            <w:r w:rsidRPr="00253733">
              <w:rPr>
                <w:sz w:val="20"/>
                <w:szCs w:val="20"/>
                <w:lang w:val="fr-CA"/>
              </w:rPr>
              <w:t xml:space="preserve"> </w:t>
            </w:r>
            <w:r w:rsidRPr="00253733">
              <w:rPr>
                <w:rFonts w:cs="Times New Roman"/>
                <w:sz w:val="20"/>
                <w:szCs w:val="20"/>
                <w:lang w:val="fr-CA"/>
              </w:rPr>
              <w:t>― La Cour est saisie d’un appel interjeté de plein droit sur le fondement de la dissidence de la juge Bielby de la Cour d’appel des Territoires du Nord</w:t>
            </w:r>
            <w:r w:rsidRPr="00253733">
              <w:rPr>
                <w:rFonts w:cs="Times New Roman"/>
                <w:sz w:val="20"/>
                <w:szCs w:val="20"/>
                <w:lang w:val="fr-CA"/>
              </w:rPr>
              <w:noBreakHyphen/>
              <w:t>Ouest.</w:t>
            </w:r>
          </w:p>
          <w:p w:rsidR="00623025" w:rsidRPr="00253733" w:rsidRDefault="00623025" w:rsidP="00E33C9D">
            <w:pPr>
              <w:jc w:val="both"/>
              <w:rPr>
                <w:rFonts w:cs="Times New Roman"/>
                <w:sz w:val="20"/>
                <w:szCs w:val="20"/>
                <w:lang w:val="fr-CA"/>
              </w:rPr>
            </w:pPr>
          </w:p>
          <w:p w:rsidR="00623025" w:rsidRPr="00253733" w:rsidRDefault="00623025" w:rsidP="00E33C9D">
            <w:pPr>
              <w:jc w:val="both"/>
              <w:rPr>
                <w:rFonts w:cs="Times New Roman"/>
                <w:sz w:val="20"/>
                <w:szCs w:val="20"/>
                <w:lang w:val="fr-CA"/>
              </w:rPr>
            </w:pPr>
            <w:r w:rsidRPr="00253733">
              <w:rPr>
                <w:rFonts w:cs="Times New Roman"/>
                <w:sz w:val="20"/>
                <w:szCs w:val="20"/>
                <w:lang w:val="fr-CA"/>
              </w:rPr>
              <w:t>Contrairement aux juges majoritaires de la Cour d’appel, nous ne voyons aucune raison de formuler quelque critique à l’endroit du comportement de l’avocat de la défense au procès.  Nous ne sommes toutefois pas persuadés que la réponse de la juge à la question des jurés, qu’il s’agisse du moment où elle est intervenue ou de sa teneur, constituait une erreur de droit ou a donné lieu à une erreur judiciaire.  La juge a immédiatement rappelé aux jurés qu’ils ne devaient pas entreprendre leurs délibérations avant d’avoir entendu les plaidoiries des avocats et elle leur a communiqué des directives complètes et appropriées sur le droit applicable qui répondaient à leur question.</w:t>
            </w:r>
          </w:p>
          <w:p w:rsidR="00623025" w:rsidRPr="00253733" w:rsidRDefault="00623025" w:rsidP="00E33C9D">
            <w:pPr>
              <w:jc w:val="both"/>
              <w:rPr>
                <w:sz w:val="20"/>
                <w:szCs w:val="20"/>
                <w:lang w:val="fr-CA"/>
              </w:rPr>
            </w:pPr>
          </w:p>
          <w:p w:rsidR="00623025" w:rsidRPr="00C1697B" w:rsidRDefault="00623025" w:rsidP="00E33C9D">
            <w:pPr>
              <w:jc w:val="both"/>
              <w:rPr>
                <w:sz w:val="20"/>
                <w:szCs w:val="20"/>
                <w:lang w:val="fr-CA"/>
              </w:rPr>
            </w:pPr>
            <w:r w:rsidRPr="00253733">
              <w:rPr>
                <w:sz w:val="20"/>
                <w:szCs w:val="20"/>
                <w:lang w:val="fr-CA"/>
              </w:rPr>
              <w:t>La pourvoi est rejeté.</w:t>
            </w:r>
          </w:p>
        </w:tc>
      </w:tr>
    </w:tbl>
    <w:p w:rsidR="00623025" w:rsidRPr="00833104" w:rsidRDefault="00623025" w:rsidP="00623025">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23025" w:rsidRPr="008C097E" w:rsidTr="00E33C9D">
        <w:tc>
          <w:tcPr>
            <w:tcW w:w="4380" w:type="dxa"/>
            <w:tcMar>
              <w:left w:w="0" w:type="dxa"/>
              <w:right w:w="0" w:type="dxa"/>
            </w:tcMar>
          </w:tcPr>
          <w:p w:rsidR="00623025" w:rsidRPr="00CC4D84" w:rsidRDefault="00623025" w:rsidP="00E33C9D">
            <w:pPr>
              <w:widowControl w:val="0"/>
              <w:jc w:val="both"/>
              <w:rPr>
                <w:b/>
                <w:sz w:val="20"/>
                <w:szCs w:val="20"/>
                <w:u w:val="single"/>
              </w:rPr>
            </w:pPr>
            <w:r w:rsidRPr="00CC4D84">
              <w:rPr>
                <w:b/>
                <w:sz w:val="20"/>
                <w:szCs w:val="20"/>
                <w:u w:val="single"/>
              </w:rPr>
              <w:t>Nature of the case:</w:t>
            </w:r>
          </w:p>
          <w:p w:rsidR="00623025" w:rsidRPr="001A663B" w:rsidRDefault="00623025" w:rsidP="00E33C9D">
            <w:pPr>
              <w:widowControl w:val="0"/>
              <w:jc w:val="both"/>
              <w:rPr>
                <w:b/>
                <w:sz w:val="20"/>
                <w:szCs w:val="20"/>
              </w:rPr>
            </w:pPr>
          </w:p>
          <w:p w:rsidR="00623025" w:rsidRPr="001A2931" w:rsidRDefault="00623025" w:rsidP="00E33C9D">
            <w:pPr>
              <w:widowControl w:val="0"/>
              <w:jc w:val="both"/>
              <w:rPr>
                <w:smallCaps/>
                <w:sz w:val="20"/>
                <w:szCs w:val="20"/>
              </w:rPr>
            </w:pPr>
            <w:r w:rsidRPr="001A2931">
              <w:rPr>
                <w:smallCaps/>
                <w:sz w:val="20"/>
                <w:szCs w:val="20"/>
              </w:rPr>
              <w:t>(Publication Ban in Case)</w:t>
            </w:r>
          </w:p>
          <w:p w:rsidR="00623025" w:rsidRDefault="00623025" w:rsidP="00E33C9D">
            <w:pPr>
              <w:widowControl w:val="0"/>
              <w:jc w:val="both"/>
              <w:rPr>
                <w:sz w:val="20"/>
                <w:szCs w:val="20"/>
              </w:rPr>
            </w:pPr>
          </w:p>
          <w:p w:rsidR="00623025" w:rsidRPr="001A2931" w:rsidRDefault="00623025" w:rsidP="00E33C9D">
            <w:pPr>
              <w:widowControl w:val="0"/>
              <w:jc w:val="both"/>
              <w:rPr>
                <w:sz w:val="20"/>
                <w:szCs w:val="20"/>
              </w:rPr>
            </w:pPr>
          </w:p>
          <w:p w:rsidR="00623025" w:rsidRPr="00C1697B" w:rsidRDefault="00623025" w:rsidP="00E33C9D">
            <w:pPr>
              <w:tabs>
                <w:tab w:val="left" w:pos="4320"/>
              </w:tabs>
              <w:jc w:val="both"/>
              <w:rPr>
                <w:b/>
                <w:sz w:val="20"/>
                <w:szCs w:val="20"/>
              </w:rPr>
            </w:pPr>
            <w:r w:rsidRPr="001A2931">
              <w:rPr>
                <w:sz w:val="20"/>
                <w:szCs w:val="20"/>
              </w:rPr>
              <w:t xml:space="preserve">Criminal law - Trial - Jury questions - Charge to jury - Whether the Court of Appeal erred in law by ruling that a verdict is safe where a trial judge fails to </w:t>
            </w:r>
            <w:r w:rsidRPr="001A2931">
              <w:rPr>
                <w:sz w:val="20"/>
                <w:szCs w:val="20"/>
              </w:rPr>
              <w:lastRenderedPageBreak/>
              <w:t xml:space="preserve">provide a response to a question posed by a jury post-evidence but prior to final addresses by counsel and the final charge - Whether the Court of Appeal erred in law by ruling that a standard </w:t>
            </w:r>
            <w:r w:rsidRPr="001A2931">
              <w:rPr>
                <w:i/>
                <w:sz w:val="20"/>
                <w:szCs w:val="20"/>
              </w:rPr>
              <w:t>R. v. W.(D.)</w:t>
            </w:r>
            <w:r w:rsidRPr="001A2931">
              <w:rPr>
                <w:sz w:val="20"/>
                <w:szCs w:val="20"/>
              </w:rPr>
              <w:t>, [1991] 1 S.C.R. 742, instruction in the final charge is sufficient to answer a question posed by a jury post-evidence but prior to final addresses by counsel and the final charge.</w:t>
            </w:r>
          </w:p>
        </w:tc>
        <w:tc>
          <w:tcPr>
            <w:tcW w:w="720" w:type="dxa"/>
            <w:tcMar>
              <w:left w:w="0" w:type="dxa"/>
              <w:right w:w="0" w:type="dxa"/>
            </w:tcMar>
          </w:tcPr>
          <w:p w:rsidR="00623025" w:rsidRPr="00C1697B" w:rsidRDefault="00623025" w:rsidP="00E33C9D">
            <w:pPr>
              <w:widowControl w:val="0"/>
              <w:jc w:val="center"/>
              <w:rPr>
                <w:sz w:val="20"/>
                <w:szCs w:val="20"/>
              </w:rPr>
            </w:pPr>
          </w:p>
        </w:tc>
        <w:tc>
          <w:tcPr>
            <w:tcW w:w="4380" w:type="dxa"/>
            <w:tcMar>
              <w:left w:w="0" w:type="dxa"/>
              <w:right w:w="0" w:type="dxa"/>
            </w:tcMar>
          </w:tcPr>
          <w:p w:rsidR="00623025" w:rsidRPr="00CC4D84" w:rsidRDefault="00623025" w:rsidP="00E33C9D">
            <w:pPr>
              <w:widowControl w:val="0"/>
              <w:jc w:val="both"/>
              <w:rPr>
                <w:b/>
                <w:sz w:val="20"/>
                <w:szCs w:val="20"/>
                <w:u w:val="single"/>
                <w:lang w:val="fr-CA"/>
              </w:rPr>
            </w:pPr>
            <w:r w:rsidRPr="00CC4D84">
              <w:rPr>
                <w:b/>
                <w:sz w:val="20"/>
                <w:szCs w:val="20"/>
                <w:u w:val="single"/>
                <w:lang w:val="fr-CA"/>
              </w:rPr>
              <w:t>Nature de la cause :</w:t>
            </w:r>
          </w:p>
          <w:p w:rsidR="00623025" w:rsidRPr="00C1697B" w:rsidRDefault="00623025" w:rsidP="00E33C9D">
            <w:pPr>
              <w:widowControl w:val="0"/>
              <w:jc w:val="both"/>
              <w:rPr>
                <w:sz w:val="20"/>
                <w:szCs w:val="20"/>
                <w:lang w:val="fr-CA"/>
              </w:rPr>
            </w:pPr>
          </w:p>
          <w:p w:rsidR="00623025" w:rsidRPr="00BA7581" w:rsidRDefault="00623025" w:rsidP="00E33C9D">
            <w:pPr>
              <w:widowControl w:val="0"/>
              <w:jc w:val="both"/>
              <w:rPr>
                <w:smallCaps/>
                <w:sz w:val="20"/>
                <w:szCs w:val="20"/>
                <w:lang w:val="fr-CA"/>
              </w:rPr>
            </w:pPr>
            <w:r w:rsidRPr="00BA7581">
              <w:rPr>
                <w:smallCaps/>
                <w:sz w:val="20"/>
                <w:szCs w:val="20"/>
                <w:lang w:val="fr-CA"/>
              </w:rPr>
              <w:t>(</w:t>
            </w:r>
            <w:r>
              <w:rPr>
                <w:smallCaps/>
                <w:sz w:val="20"/>
                <w:lang w:val="fr-CA"/>
              </w:rPr>
              <w:t>O</w:t>
            </w:r>
            <w:r w:rsidRPr="00BA7581">
              <w:rPr>
                <w:smallCaps/>
                <w:sz w:val="20"/>
                <w:szCs w:val="20"/>
                <w:lang w:val="fr-CA"/>
              </w:rPr>
              <w:t>rdonnance de non-publication dans le dossier)</w:t>
            </w:r>
          </w:p>
          <w:p w:rsidR="00623025" w:rsidRPr="00BA7581" w:rsidRDefault="00623025" w:rsidP="00E33C9D">
            <w:pPr>
              <w:widowControl w:val="0"/>
              <w:jc w:val="both"/>
              <w:rPr>
                <w:sz w:val="20"/>
                <w:szCs w:val="20"/>
                <w:lang w:val="fr-CA"/>
              </w:rPr>
            </w:pPr>
          </w:p>
          <w:p w:rsidR="00623025" w:rsidRPr="00C1697B" w:rsidRDefault="00623025" w:rsidP="00E33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A7581">
              <w:rPr>
                <w:sz w:val="20"/>
                <w:szCs w:val="20"/>
                <w:lang w:val="fr-CA"/>
              </w:rPr>
              <w:t xml:space="preserve">Droit criminel - Procès - Questions du jury - Exposé au jury - La Cour d’appel a-t-elle commis une erreur de droit en statuant qu’un verdict est sûr dans un cas </w:t>
            </w:r>
            <w:r w:rsidRPr="00BA7581">
              <w:rPr>
                <w:sz w:val="20"/>
                <w:szCs w:val="20"/>
                <w:lang w:val="fr-CA"/>
              </w:rPr>
              <w:lastRenderedPageBreak/>
              <w:t xml:space="preserve">où le juge du procès omet de répondre à une question posée par le jury après la clôture de la preuve mais avant les plaidoiries finales des avocats et avant l’exposé final? - La Cour d’appel a-t-elle commis une erreur de droit en statuant qu’une directive habituelle donnée conformément à l’arrêt </w:t>
            </w:r>
            <w:r w:rsidRPr="00BA7581">
              <w:rPr>
                <w:i/>
                <w:sz w:val="20"/>
                <w:szCs w:val="20"/>
                <w:lang w:val="fr-CA"/>
              </w:rPr>
              <w:t>R. c. W.(D.)</w:t>
            </w:r>
            <w:r w:rsidRPr="00BA7581">
              <w:rPr>
                <w:sz w:val="20"/>
                <w:szCs w:val="20"/>
                <w:lang w:val="fr-CA"/>
              </w:rPr>
              <w:t>, [1991] 1 R.C.S. 742 dans l’exposé final est suffisante pour répondre à une question posée par un jury après la clôture de la preuve mais avant les plaidoiries finales des avocats et avant l’exposé final?</w:t>
            </w:r>
          </w:p>
        </w:tc>
      </w:tr>
    </w:tbl>
    <w:p w:rsidR="00623025" w:rsidRDefault="00623025" w:rsidP="00623025">
      <w:pPr>
        <w:widowControl w:val="0"/>
        <w:rPr>
          <w:sz w:val="20"/>
          <w:szCs w:val="20"/>
          <w:lang w:val="fr-CA"/>
        </w:rPr>
      </w:pPr>
    </w:p>
    <w:p w:rsidR="00623025" w:rsidRDefault="00714478" w:rsidP="00623025">
      <w:pPr>
        <w:widowControl w:val="0"/>
        <w:rPr>
          <w:sz w:val="20"/>
          <w:szCs w:val="20"/>
        </w:rPr>
      </w:pPr>
      <w:r>
        <w:rPr>
          <w:sz w:val="20"/>
          <w:szCs w:val="20"/>
          <w:lang w:val="fr-CA"/>
        </w:rPr>
        <w:pict>
          <v:rect id="_x0000_i1083" style="width:2in;height:1pt" o:hrpct="0" o:hralign="center" o:hrstd="t" o:hrnoshade="t" o:hr="t" fillcolor="black [3213]" stroked="f"/>
        </w:pict>
      </w:r>
    </w:p>
    <w:p w:rsidR="00623025" w:rsidRPr="008802EB" w:rsidRDefault="00623025" w:rsidP="00623025">
      <w:pPr>
        <w:widowControl w:val="0"/>
        <w:rPr>
          <w:sz w:val="20"/>
          <w:szCs w:val="20"/>
        </w:rPr>
      </w:pPr>
    </w:p>
    <w:p w:rsidR="00623025" w:rsidRPr="009C0848" w:rsidRDefault="00623025" w:rsidP="00623025">
      <w:pPr>
        <w:widowControl w:val="0"/>
        <w:rPr>
          <w:sz w:val="20"/>
          <w:szCs w:val="20"/>
        </w:rPr>
      </w:pPr>
      <w:r w:rsidRPr="009C0848">
        <w:rPr>
          <w:sz w:val="20"/>
          <w:szCs w:val="20"/>
        </w:rPr>
        <w:t>17.10.2014</w:t>
      </w:r>
    </w:p>
    <w:p w:rsidR="00623025" w:rsidRPr="009C0848" w:rsidRDefault="00623025" w:rsidP="00623025">
      <w:pPr>
        <w:widowControl w:val="0"/>
        <w:rPr>
          <w:sz w:val="20"/>
          <w:szCs w:val="20"/>
        </w:rPr>
      </w:pPr>
    </w:p>
    <w:p w:rsidR="00623025" w:rsidRPr="00C96327" w:rsidRDefault="00623025" w:rsidP="00623025">
      <w:pPr>
        <w:widowControl w:val="0"/>
        <w:ind w:left="720" w:hanging="720"/>
        <w:rPr>
          <w:sz w:val="20"/>
          <w:szCs w:val="20"/>
          <w:u w:val="single"/>
        </w:rPr>
      </w:pPr>
      <w:r w:rsidRPr="00C96327">
        <w:rPr>
          <w:sz w:val="20"/>
          <w:szCs w:val="20"/>
        </w:rPr>
        <w:t xml:space="preserve">Coram: </w:t>
      </w:r>
      <w:r w:rsidRPr="00C96327">
        <w:rPr>
          <w:sz w:val="20"/>
          <w:szCs w:val="20"/>
        </w:rPr>
        <w:tab/>
      </w:r>
      <w:r w:rsidRPr="00C96327">
        <w:rPr>
          <w:sz w:val="20"/>
          <w:szCs w:val="20"/>
          <w:u w:val="single"/>
        </w:rPr>
        <w:t>McLachlin C.J. and Rothstein, Cromwell, Moldaver and Karakatsanis JJ.</w:t>
      </w:r>
    </w:p>
    <w:p w:rsidR="00623025" w:rsidRPr="009C0848" w:rsidRDefault="00623025" w:rsidP="00623025">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23025" w:rsidRPr="00E655AB" w:rsidTr="00E33C9D">
        <w:tc>
          <w:tcPr>
            <w:tcW w:w="4380" w:type="dxa"/>
            <w:tcMar>
              <w:left w:w="0" w:type="dxa"/>
              <w:right w:w="0" w:type="dxa"/>
            </w:tcMar>
          </w:tcPr>
          <w:p w:rsidR="00623025" w:rsidRDefault="00623025" w:rsidP="00E33C9D">
            <w:pPr>
              <w:rPr>
                <w:rFonts w:eastAsia="Calibri"/>
                <w:b/>
                <w:iCs/>
                <w:sz w:val="20"/>
                <w:szCs w:val="20"/>
              </w:rPr>
            </w:pPr>
            <w:r w:rsidRPr="00C96327">
              <w:rPr>
                <w:rFonts w:eastAsia="Calibri"/>
                <w:b/>
                <w:iCs/>
                <w:sz w:val="20"/>
                <w:szCs w:val="20"/>
              </w:rPr>
              <w:t xml:space="preserve">Her Majesty the Queen </w:t>
            </w:r>
          </w:p>
          <w:p w:rsidR="00623025" w:rsidRDefault="00623025" w:rsidP="00E33C9D">
            <w:pPr>
              <w:rPr>
                <w:rFonts w:eastAsia="Calibri"/>
                <w:b/>
                <w:iCs/>
                <w:sz w:val="20"/>
                <w:szCs w:val="20"/>
              </w:rPr>
            </w:pPr>
          </w:p>
          <w:p w:rsidR="00623025" w:rsidRDefault="00623025" w:rsidP="00E33C9D">
            <w:pPr>
              <w:rPr>
                <w:rFonts w:eastAsia="Calibri"/>
                <w:b/>
                <w:iCs/>
                <w:sz w:val="20"/>
                <w:szCs w:val="20"/>
              </w:rPr>
            </w:pPr>
            <w:r>
              <w:rPr>
                <w:rFonts w:eastAsia="Calibri"/>
                <w:b/>
                <w:iCs/>
                <w:sz w:val="20"/>
                <w:szCs w:val="20"/>
              </w:rPr>
              <w:tab/>
            </w:r>
            <w:r w:rsidRPr="00C96327">
              <w:rPr>
                <w:rFonts w:eastAsia="Calibri"/>
                <w:b/>
                <w:iCs/>
                <w:sz w:val="20"/>
                <w:szCs w:val="20"/>
              </w:rPr>
              <w:t xml:space="preserve">v. </w:t>
            </w:r>
            <w:r w:rsidRPr="00C96327">
              <w:rPr>
                <w:rFonts w:eastAsia="Calibri"/>
                <w:iCs/>
                <w:sz w:val="20"/>
                <w:szCs w:val="20"/>
              </w:rPr>
              <w:t>(</w:t>
            </w:r>
            <w:hyperlink r:id="rId88" w:history="1">
              <w:r w:rsidRPr="00C96327">
                <w:rPr>
                  <w:rStyle w:val="Hyperlink"/>
                  <w:rFonts w:eastAsia="Calibri"/>
                  <w:iCs/>
                  <w:sz w:val="20"/>
                  <w:szCs w:val="20"/>
                </w:rPr>
                <w:t>35669</w:t>
              </w:r>
            </w:hyperlink>
            <w:r w:rsidRPr="00C96327">
              <w:rPr>
                <w:rFonts w:eastAsia="Calibri"/>
                <w:iCs/>
                <w:sz w:val="20"/>
                <w:szCs w:val="20"/>
              </w:rPr>
              <w:t>)</w:t>
            </w:r>
          </w:p>
          <w:p w:rsidR="00623025" w:rsidRDefault="00623025" w:rsidP="00E33C9D">
            <w:pPr>
              <w:rPr>
                <w:rFonts w:eastAsia="Calibri"/>
                <w:b/>
                <w:iCs/>
                <w:sz w:val="20"/>
                <w:szCs w:val="20"/>
              </w:rPr>
            </w:pPr>
          </w:p>
          <w:p w:rsidR="00623025" w:rsidRPr="009C0848" w:rsidRDefault="00623025" w:rsidP="00E33C9D">
            <w:pPr>
              <w:rPr>
                <w:sz w:val="20"/>
                <w:szCs w:val="20"/>
              </w:rPr>
            </w:pPr>
            <w:r w:rsidRPr="00C96327">
              <w:rPr>
                <w:rFonts w:eastAsia="Calibri"/>
                <w:b/>
                <w:iCs/>
                <w:sz w:val="20"/>
                <w:szCs w:val="20"/>
              </w:rPr>
              <w:t>Nahoor Araya</w:t>
            </w:r>
            <w:r w:rsidRPr="00C96327">
              <w:rPr>
                <w:rFonts w:eastAsia="Calibri"/>
                <w:iCs/>
                <w:sz w:val="20"/>
                <w:szCs w:val="20"/>
              </w:rPr>
              <w:t xml:space="preserve"> </w:t>
            </w:r>
            <w:r w:rsidRPr="00282911">
              <w:rPr>
                <w:rFonts w:eastAsia="Calibri"/>
                <w:b/>
                <w:iCs/>
                <w:sz w:val="20"/>
                <w:szCs w:val="20"/>
              </w:rPr>
              <w:t>(Ont.) (Criminal) (As of Right)</w:t>
            </w:r>
          </w:p>
        </w:tc>
        <w:tc>
          <w:tcPr>
            <w:tcW w:w="720" w:type="dxa"/>
            <w:tcMar>
              <w:left w:w="0" w:type="dxa"/>
              <w:right w:w="0" w:type="dxa"/>
            </w:tcMar>
          </w:tcPr>
          <w:p w:rsidR="00623025" w:rsidRPr="009C0848" w:rsidRDefault="00623025" w:rsidP="00E33C9D">
            <w:pPr>
              <w:widowControl w:val="0"/>
              <w:jc w:val="center"/>
              <w:rPr>
                <w:sz w:val="20"/>
                <w:szCs w:val="20"/>
              </w:rPr>
            </w:pPr>
          </w:p>
        </w:tc>
        <w:tc>
          <w:tcPr>
            <w:tcW w:w="4380" w:type="dxa"/>
            <w:tcMar>
              <w:left w:w="0" w:type="dxa"/>
              <w:right w:w="0" w:type="dxa"/>
            </w:tcMar>
          </w:tcPr>
          <w:p w:rsidR="00623025" w:rsidRPr="00F32BA3" w:rsidRDefault="00623025" w:rsidP="00E33C9D">
            <w:pPr>
              <w:jc w:val="both"/>
              <w:rPr>
                <w:sz w:val="20"/>
                <w:szCs w:val="20"/>
              </w:rPr>
            </w:pPr>
            <w:r w:rsidRPr="00F32BA3">
              <w:rPr>
                <w:sz w:val="20"/>
                <w:szCs w:val="20"/>
              </w:rPr>
              <w:t>Michael Bernstein</w:t>
            </w:r>
            <w:r>
              <w:rPr>
                <w:sz w:val="20"/>
                <w:szCs w:val="20"/>
              </w:rPr>
              <w:t xml:space="preserve"> f</w:t>
            </w:r>
            <w:r w:rsidRPr="00F32BA3">
              <w:rPr>
                <w:sz w:val="20"/>
                <w:szCs w:val="20"/>
              </w:rPr>
              <w:t xml:space="preserve">or the </w:t>
            </w:r>
            <w:r>
              <w:rPr>
                <w:sz w:val="20"/>
                <w:szCs w:val="20"/>
              </w:rPr>
              <w:t>a</w:t>
            </w:r>
            <w:r w:rsidRPr="00F32BA3">
              <w:rPr>
                <w:sz w:val="20"/>
                <w:szCs w:val="20"/>
              </w:rPr>
              <w:t>ppellant.</w:t>
            </w:r>
          </w:p>
          <w:p w:rsidR="00623025" w:rsidRPr="00F32BA3" w:rsidRDefault="00623025" w:rsidP="00E33C9D">
            <w:pPr>
              <w:jc w:val="both"/>
              <w:rPr>
                <w:sz w:val="20"/>
                <w:szCs w:val="20"/>
              </w:rPr>
            </w:pPr>
          </w:p>
          <w:p w:rsidR="00623025" w:rsidRPr="00E655AB" w:rsidRDefault="00623025" w:rsidP="00E33C9D">
            <w:pPr>
              <w:widowControl w:val="0"/>
              <w:jc w:val="both"/>
              <w:rPr>
                <w:sz w:val="20"/>
                <w:szCs w:val="20"/>
              </w:rPr>
            </w:pPr>
            <w:r w:rsidRPr="00F32BA3">
              <w:rPr>
                <w:sz w:val="20"/>
                <w:szCs w:val="20"/>
              </w:rPr>
              <w:t>James Lockyer</w:t>
            </w:r>
            <w:r>
              <w:rPr>
                <w:sz w:val="20"/>
                <w:szCs w:val="20"/>
              </w:rPr>
              <w:t xml:space="preserve"> and </w:t>
            </w:r>
            <w:r w:rsidRPr="00F32BA3">
              <w:rPr>
                <w:sz w:val="20"/>
                <w:szCs w:val="20"/>
              </w:rPr>
              <w:t>Richard Posner</w:t>
            </w:r>
            <w:r>
              <w:rPr>
                <w:sz w:val="20"/>
                <w:szCs w:val="20"/>
              </w:rPr>
              <w:t xml:space="preserve"> f</w:t>
            </w:r>
            <w:r w:rsidRPr="00F32BA3">
              <w:rPr>
                <w:sz w:val="20"/>
                <w:szCs w:val="20"/>
              </w:rPr>
              <w:t xml:space="preserve">or the </w:t>
            </w:r>
            <w:r>
              <w:rPr>
                <w:sz w:val="20"/>
                <w:szCs w:val="20"/>
              </w:rPr>
              <w:t>r</w:t>
            </w:r>
            <w:r w:rsidRPr="00F32BA3">
              <w:rPr>
                <w:sz w:val="20"/>
                <w:szCs w:val="20"/>
              </w:rPr>
              <w:t>espondent.</w:t>
            </w:r>
          </w:p>
        </w:tc>
      </w:tr>
    </w:tbl>
    <w:p w:rsidR="00623025" w:rsidRPr="00E655AB" w:rsidRDefault="00623025" w:rsidP="00623025">
      <w:pPr>
        <w:widowControl w:val="0"/>
        <w:rPr>
          <w:sz w:val="20"/>
          <w:szCs w:val="20"/>
        </w:rPr>
      </w:pPr>
    </w:p>
    <w:p w:rsidR="00623025" w:rsidRPr="0085476B" w:rsidRDefault="00623025" w:rsidP="00623025">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623025" w:rsidRDefault="00623025" w:rsidP="00623025"/>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23025" w:rsidRPr="008C097E" w:rsidTr="00E33C9D">
        <w:tc>
          <w:tcPr>
            <w:tcW w:w="4380" w:type="dxa"/>
            <w:tcMar>
              <w:left w:w="0" w:type="dxa"/>
              <w:right w:w="0" w:type="dxa"/>
            </w:tcMar>
          </w:tcPr>
          <w:p w:rsidR="00623025" w:rsidRPr="00CC4D84" w:rsidRDefault="00623025" w:rsidP="00E33C9D">
            <w:pPr>
              <w:widowControl w:val="0"/>
              <w:jc w:val="both"/>
              <w:rPr>
                <w:b/>
                <w:sz w:val="20"/>
                <w:szCs w:val="20"/>
                <w:u w:val="single"/>
              </w:rPr>
            </w:pPr>
            <w:r w:rsidRPr="00CC4D84">
              <w:rPr>
                <w:b/>
                <w:sz w:val="20"/>
                <w:szCs w:val="20"/>
                <w:u w:val="single"/>
              </w:rPr>
              <w:t>Nature of the case:</w:t>
            </w:r>
          </w:p>
          <w:p w:rsidR="00623025" w:rsidRPr="001A663B" w:rsidRDefault="00623025" w:rsidP="00E33C9D">
            <w:pPr>
              <w:widowControl w:val="0"/>
              <w:jc w:val="both"/>
              <w:rPr>
                <w:b/>
                <w:sz w:val="20"/>
                <w:szCs w:val="20"/>
              </w:rPr>
            </w:pPr>
          </w:p>
          <w:p w:rsidR="00623025" w:rsidRPr="00C1697B" w:rsidRDefault="00623025" w:rsidP="00E33C9D">
            <w:pPr>
              <w:widowControl w:val="0"/>
              <w:jc w:val="both"/>
              <w:rPr>
                <w:b/>
                <w:sz w:val="20"/>
                <w:szCs w:val="20"/>
              </w:rPr>
            </w:pPr>
            <w:r w:rsidRPr="005C5B4C">
              <w:rPr>
                <w:sz w:val="20"/>
                <w:szCs w:val="20"/>
              </w:rPr>
              <w:t>Criminal law - Evidence - Identity - Charge to jury - Whether the trial judge misdirected the jury on the use it could make of certain photographs of the respondent.</w:t>
            </w:r>
          </w:p>
        </w:tc>
        <w:tc>
          <w:tcPr>
            <w:tcW w:w="720" w:type="dxa"/>
            <w:tcMar>
              <w:left w:w="0" w:type="dxa"/>
              <w:right w:w="0" w:type="dxa"/>
            </w:tcMar>
          </w:tcPr>
          <w:p w:rsidR="00623025" w:rsidRPr="00C1697B" w:rsidRDefault="00623025" w:rsidP="00E33C9D">
            <w:pPr>
              <w:widowControl w:val="0"/>
              <w:jc w:val="center"/>
              <w:rPr>
                <w:sz w:val="20"/>
                <w:szCs w:val="20"/>
              </w:rPr>
            </w:pPr>
          </w:p>
        </w:tc>
        <w:tc>
          <w:tcPr>
            <w:tcW w:w="4380" w:type="dxa"/>
            <w:tcMar>
              <w:left w:w="0" w:type="dxa"/>
              <w:right w:w="0" w:type="dxa"/>
            </w:tcMar>
          </w:tcPr>
          <w:p w:rsidR="00623025" w:rsidRPr="00CC4D84" w:rsidRDefault="00623025" w:rsidP="00E33C9D">
            <w:pPr>
              <w:widowControl w:val="0"/>
              <w:jc w:val="both"/>
              <w:rPr>
                <w:b/>
                <w:sz w:val="20"/>
                <w:szCs w:val="20"/>
                <w:u w:val="single"/>
                <w:lang w:val="fr-CA"/>
              </w:rPr>
            </w:pPr>
            <w:r w:rsidRPr="00CC4D84">
              <w:rPr>
                <w:b/>
                <w:sz w:val="20"/>
                <w:szCs w:val="20"/>
                <w:u w:val="single"/>
                <w:lang w:val="fr-CA"/>
              </w:rPr>
              <w:t>Nature de la cause :</w:t>
            </w:r>
          </w:p>
          <w:p w:rsidR="00623025" w:rsidRPr="00C1697B" w:rsidRDefault="00623025" w:rsidP="00E33C9D">
            <w:pPr>
              <w:widowControl w:val="0"/>
              <w:jc w:val="both"/>
              <w:rPr>
                <w:sz w:val="20"/>
                <w:szCs w:val="20"/>
                <w:lang w:val="fr-CA"/>
              </w:rPr>
            </w:pPr>
          </w:p>
          <w:p w:rsidR="00623025" w:rsidRPr="00C1697B" w:rsidRDefault="00623025" w:rsidP="00E33C9D">
            <w:pPr>
              <w:widowControl w:val="0"/>
              <w:jc w:val="both"/>
              <w:rPr>
                <w:sz w:val="20"/>
                <w:szCs w:val="20"/>
                <w:lang w:val="fr-CA"/>
              </w:rPr>
            </w:pPr>
            <w:r w:rsidRPr="00290570">
              <w:rPr>
                <w:sz w:val="20"/>
                <w:szCs w:val="20"/>
                <w:lang w:val="fr-CA"/>
              </w:rPr>
              <w:t>Droit criminel - Preuve - Identité - Exposé au jury - Le juge du procès a-t-il donné au jury des directives erronées sur l’utilisation qu’il pouvait faire de certaines photographies de l’intimé?</w:t>
            </w:r>
          </w:p>
        </w:tc>
      </w:tr>
    </w:tbl>
    <w:p w:rsidR="00623025" w:rsidRDefault="00623025" w:rsidP="00623025">
      <w:pPr>
        <w:widowControl w:val="0"/>
        <w:rPr>
          <w:sz w:val="20"/>
          <w:szCs w:val="20"/>
          <w:lang w:val="fr-CA"/>
        </w:rPr>
      </w:pPr>
    </w:p>
    <w:p w:rsidR="00623025" w:rsidRDefault="00714478" w:rsidP="00623025">
      <w:pPr>
        <w:widowControl w:val="0"/>
        <w:rPr>
          <w:sz w:val="20"/>
          <w:szCs w:val="20"/>
        </w:rPr>
      </w:pPr>
      <w:r>
        <w:rPr>
          <w:sz w:val="20"/>
          <w:szCs w:val="20"/>
          <w:lang w:val="fr-CA"/>
        </w:rPr>
        <w:pict>
          <v:rect id="_x0000_i1084" style="width:2in;height:1pt" o:hrpct="0" o:hralign="center" o:hrstd="t" o:hrnoshade="t" o:hr="t" fillcolor="black [3213]" stroked="f"/>
        </w:pict>
      </w:r>
    </w:p>
    <w:p w:rsidR="00623025" w:rsidRDefault="00623025" w:rsidP="00623025">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DD7981">
            <w:pPr>
              <w:keepNext/>
              <w:keepLines/>
              <w:rPr>
                <w:b/>
                <w:szCs w:val="24"/>
              </w:rPr>
            </w:pPr>
            <w:r w:rsidRPr="00C50A5C">
              <w:rPr>
                <w:b/>
                <w:szCs w:val="24"/>
              </w:rPr>
              <w:lastRenderedPageBreak/>
              <w:t xml:space="preserve">AGENDA FOR </w:t>
            </w:r>
            <w:r w:rsidR="00DD7981">
              <w:rPr>
                <w:b/>
                <w:szCs w:val="24"/>
              </w:rPr>
              <w:t>NOVEMBE</w:t>
            </w:r>
            <w:r w:rsidR="005F1ED8">
              <w:rPr>
                <w:b/>
                <w:szCs w:val="24"/>
              </w:rPr>
              <w:t>R 2014</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DD7981">
            <w:pPr>
              <w:keepNext/>
              <w:keepLines/>
              <w:rPr>
                <w:b/>
                <w:szCs w:val="24"/>
                <w:lang w:val="fr-CA"/>
              </w:rPr>
            </w:pPr>
            <w:r w:rsidRPr="00C50A5C">
              <w:rPr>
                <w:b/>
                <w:szCs w:val="24"/>
                <w:lang w:val="fr-CA"/>
              </w:rPr>
              <w:t>CALENDRIER D</w:t>
            </w:r>
            <w:r w:rsidR="00DD7981">
              <w:rPr>
                <w:b/>
                <w:szCs w:val="24"/>
                <w:lang w:val="fr-CA"/>
              </w:rPr>
              <w:t>E NOVEMBRE</w:t>
            </w:r>
            <w:r w:rsidRPr="00C50A5C">
              <w:rPr>
                <w:b/>
                <w:szCs w:val="24"/>
                <w:lang w:val="fr-CA"/>
              </w:rPr>
              <w:t xml:space="preserve"> </w:t>
            </w:r>
            <w:r w:rsidR="005F1ED8">
              <w:rPr>
                <w:b/>
                <w:szCs w:val="24"/>
                <w:lang w:val="fr-CA"/>
              </w:rPr>
              <w:t>2014</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DD7981">
        <w:rPr>
          <w:b/>
          <w:sz w:val="20"/>
          <w:szCs w:val="20"/>
        </w:rPr>
        <w:t>November</w:t>
      </w:r>
      <w:r>
        <w:rPr>
          <w:b/>
          <w:sz w:val="20"/>
          <w:szCs w:val="20"/>
        </w:rPr>
        <w:t xml:space="preserve"> </w:t>
      </w:r>
      <w:r w:rsidR="00DD7981">
        <w:rPr>
          <w:b/>
          <w:sz w:val="20"/>
          <w:szCs w:val="20"/>
        </w:rPr>
        <w:t>3</w:t>
      </w:r>
      <w:r w:rsidRPr="00DD0B49">
        <w:rPr>
          <w:b/>
          <w:sz w:val="20"/>
          <w:szCs w:val="20"/>
        </w:rPr>
        <w:t xml:space="preserve"> and </w:t>
      </w:r>
      <w:r>
        <w:rPr>
          <w:b/>
          <w:sz w:val="20"/>
          <w:szCs w:val="20"/>
        </w:rPr>
        <w:t>1</w:t>
      </w:r>
      <w:r w:rsidR="00DD7981">
        <w:rPr>
          <w:b/>
          <w:sz w:val="20"/>
          <w:szCs w:val="20"/>
        </w:rPr>
        <w:t>0</w:t>
      </w:r>
      <w:r w:rsidRPr="00DD0B49">
        <w:rPr>
          <w:b/>
          <w:sz w:val="20"/>
          <w:szCs w:val="20"/>
        </w:rPr>
        <w:t>, 201</w:t>
      </w:r>
      <w:r>
        <w:rPr>
          <w:b/>
          <w:sz w:val="20"/>
          <w:szCs w:val="20"/>
        </w:rPr>
        <w:t>4</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DD7981">
        <w:rPr>
          <w:b/>
          <w:sz w:val="20"/>
          <w:szCs w:val="20"/>
          <w:lang w:val="fr-CA"/>
        </w:rPr>
        <w:t>3</w:t>
      </w:r>
      <w:r>
        <w:rPr>
          <w:b/>
          <w:sz w:val="20"/>
          <w:szCs w:val="20"/>
          <w:lang w:val="fr-CA"/>
        </w:rPr>
        <w:t xml:space="preserve"> </w:t>
      </w:r>
      <w:r w:rsidR="00DD7981">
        <w:rPr>
          <w:b/>
          <w:sz w:val="20"/>
          <w:szCs w:val="20"/>
          <w:lang w:val="fr-CA"/>
        </w:rPr>
        <w:t>novemb</w:t>
      </w:r>
      <w:r>
        <w:rPr>
          <w:b/>
          <w:sz w:val="20"/>
          <w:szCs w:val="20"/>
          <w:lang w:val="fr-CA"/>
        </w:rPr>
        <w:t>r</w:t>
      </w:r>
      <w:r w:rsidR="00DD7981">
        <w:rPr>
          <w:b/>
          <w:sz w:val="20"/>
          <w:szCs w:val="20"/>
          <w:lang w:val="fr-CA"/>
        </w:rPr>
        <w:t>e</w:t>
      </w:r>
      <w:r>
        <w:rPr>
          <w:b/>
          <w:sz w:val="20"/>
          <w:szCs w:val="20"/>
          <w:lang w:val="fr-CA"/>
        </w:rPr>
        <w:t xml:space="preserve"> </w:t>
      </w:r>
      <w:r w:rsidRPr="00DD0B49">
        <w:rPr>
          <w:b/>
          <w:sz w:val="20"/>
          <w:szCs w:val="20"/>
          <w:lang w:val="fr-CA"/>
        </w:rPr>
        <w:t xml:space="preserve">et celle du </w:t>
      </w:r>
      <w:r>
        <w:rPr>
          <w:b/>
          <w:sz w:val="20"/>
          <w:szCs w:val="20"/>
          <w:lang w:val="fr-CA"/>
        </w:rPr>
        <w:t>1</w:t>
      </w:r>
      <w:r w:rsidR="00DD7981">
        <w:rPr>
          <w:b/>
          <w:sz w:val="20"/>
          <w:szCs w:val="20"/>
          <w:lang w:val="fr-CA"/>
        </w:rPr>
        <w:t>0</w:t>
      </w:r>
      <w:r w:rsidRPr="00DD0B49">
        <w:rPr>
          <w:b/>
          <w:sz w:val="20"/>
          <w:szCs w:val="20"/>
          <w:lang w:val="fr-CA"/>
        </w:rPr>
        <w:t xml:space="preserve"> </w:t>
      </w:r>
      <w:r w:rsidR="00DD7981">
        <w:rPr>
          <w:b/>
          <w:sz w:val="20"/>
          <w:szCs w:val="20"/>
          <w:lang w:val="fr-CA"/>
        </w:rPr>
        <w:t>no</w:t>
      </w:r>
      <w:r w:rsidRPr="00DD0B49">
        <w:rPr>
          <w:b/>
          <w:sz w:val="20"/>
          <w:szCs w:val="20"/>
          <w:lang w:val="fr-CA"/>
        </w:rPr>
        <w:t>v</w:t>
      </w:r>
      <w:r w:rsidR="00DD7981">
        <w:rPr>
          <w:b/>
          <w:sz w:val="20"/>
          <w:szCs w:val="20"/>
          <w:lang w:val="fr-CA"/>
        </w:rPr>
        <w:t>emb</w:t>
      </w:r>
      <w:r w:rsidRPr="00DD0B49">
        <w:rPr>
          <w:b/>
          <w:sz w:val="20"/>
          <w:szCs w:val="20"/>
          <w:lang w:val="fr-CA"/>
        </w:rPr>
        <w:t>r</w:t>
      </w:r>
      <w:r w:rsidR="00DD7981">
        <w:rPr>
          <w:b/>
          <w:sz w:val="20"/>
          <w:szCs w:val="20"/>
          <w:lang w:val="fr-CA"/>
        </w:rPr>
        <w:t>e</w:t>
      </w:r>
      <w:r w:rsidRPr="00DD0B49">
        <w:rPr>
          <w:b/>
          <w:sz w:val="20"/>
          <w:szCs w:val="20"/>
          <w:lang w:val="fr-CA"/>
        </w:rPr>
        <w:t xml:space="preserve"> 201</w:t>
      </w:r>
      <w:r>
        <w:rPr>
          <w:b/>
          <w:sz w:val="20"/>
          <w:szCs w:val="20"/>
          <w:lang w:val="fr-CA"/>
        </w:rPr>
        <w:t>4</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DD7981">
        <w:rPr>
          <w:sz w:val="20"/>
          <w:szCs w:val="20"/>
        </w:rPr>
        <w:t>November</w:t>
      </w:r>
      <w:r>
        <w:rPr>
          <w:sz w:val="20"/>
          <w:szCs w:val="20"/>
        </w:rPr>
        <w:t xml:space="preserve"> </w:t>
      </w:r>
      <w:r w:rsidR="00DD7981">
        <w:rPr>
          <w:sz w:val="20"/>
          <w:szCs w:val="20"/>
        </w:rPr>
        <w:t>1</w:t>
      </w:r>
      <w:r>
        <w:rPr>
          <w:sz w:val="20"/>
          <w:szCs w:val="20"/>
        </w:rPr>
        <w:t>7</w:t>
      </w:r>
      <w:r w:rsidRPr="00DD0B49">
        <w:rPr>
          <w:sz w:val="20"/>
          <w:szCs w:val="20"/>
        </w:rPr>
        <w:t xml:space="preserve"> and 2</w:t>
      </w:r>
      <w:r w:rsidR="00DD7981">
        <w:rPr>
          <w:sz w:val="20"/>
          <w:szCs w:val="20"/>
        </w:rPr>
        <w:t>4</w:t>
      </w:r>
      <w:r w:rsidRPr="00DD0B49">
        <w:rPr>
          <w:sz w:val="20"/>
          <w:szCs w:val="20"/>
        </w:rPr>
        <w:t>, 201</w:t>
      </w:r>
      <w:r>
        <w:rPr>
          <w:sz w:val="20"/>
          <w:szCs w:val="20"/>
        </w:rPr>
        <w:t>4</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DD7981">
        <w:rPr>
          <w:sz w:val="20"/>
          <w:szCs w:val="20"/>
          <w:lang w:val="fr-CA"/>
        </w:rPr>
        <w:t>1</w:t>
      </w:r>
      <w:r>
        <w:rPr>
          <w:sz w:val="20"/>
          <w:szCs w:val="20"/>
          <w:lang w:val="fr-CA"/>
        </w:rPr>
        <w:t>7</w:t>
      </w:r>
      <w:r w:rsidRPr="00DD0B49">
        <w:rPr>
          <w:sz w:val="20"/>
          <w:szCs w:val="20"/>
          <w:lang w:val="fr-CA"/>
        </w:rPr>
        <w:t xml:space="preserve"> et du 2</w:t>
      </w:r>
      <w:r w:rsidR="00DD7981">
        <w:rPr>
          <w:sz w:val="20"/>
          <w:szCs w:val="20"/>
          <w:lang w:val="fr-CA"/>
        </w:rPr>
        <w:t>4</w:t>
      </w:r>
      <w:r w:rsidRPr="00DD0B49">
        <w:rPr>
          <w:sz w:val="20"/>
          <w:szCs w:val="20"/>
          <w:lang w:val="fr-CA"/>
        </w:rPr>
        <w:t xml:space="preserve"> </w:t>
      </w:r>
      <w:r w:rsidR="00DD7981">
        <w:rPr>
          <w:sz w:val="20"/>
          <w:szCs w:val="20"/>
          <w:lang w:val="fr-CA"/>
        </w:rPr>
        <w:t>no</w:t>
      </w:r>
      <w:r w:rsidRPr="00DD0B49">
        <w:rPr>
          <w:sz w:val="20"/>
          <w:szCs w:val="20"/>
          <w:lang w:val="fr-CA"/>
        </w:rPr>
        <w:t>v</w:t>
      </w:r>
      <w:r w:rsidR="00DD7981">
        <w:rPr>
          <w:sz w:val="20"/>
          <w:szCs w:val="20"/>
          <w:lang w:val="fr-CA"/>
        </w:rPr>
        <w:t>embre</w:t>
      </w:r>
      <w:r w:rsidRPr="00DD0B49">
        <w:rPr>
          <w:sz w:val="20"/>
          <w:szCs w:val="20"/>
          <w:lang w:val="fr-CA"/>
        </w:rPr>
        <w:t xml:space="preserve"> 201</w:t>
      </w:r>
      <w:r>
        <w:rPr>
          <w:sz w:val="20"/>
          <w:szCs w:val="20"/>
          <w:lang w:val="fr-CA"/>
        </w:rPr>
        <w:t>4</w:t>
      </w:r>
      <w:r w:rsidRPr="00DD0B49">
        <w:rPr>
          <w:sz w:val="20"/>
          <w:szCs w:val="20"/>
          <w:lang w:val="fr-CA"/>
        </w:rPr>
        <w:t>.</w:t>
      </w:r>
    </w:p>
    <w:p w:rsidR="004B66B4" w:rsidRPr="00DD0B49" w:rsidRDefault="00714478" w:rsidP="004B66B4">
      <w:pPr>
        <w:rPr>
          <w:sz w:val="20"/>
          <w:szCs w:val="20"/>
        </w:rPr>
      </w:pPr>
      <w:r>
        <w:rPr>
          <w:sz w:val="20"/>
          <w:szCs w:val="20"/>
        </w:rPr>
        <w:pict>
          <v:rect id="_x0000_i1087"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8C097E"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F1ED8" w:rsidRPr="003A74F5" w:rsidTr="00FC7ECC">
        <w:trPr>
          <w:cantSplit/>
          <w:trHeight w:hRule="exact" w:val="432"/>
        </w:trPr>
        <w:tc>
          <w:tcPr>
            <w:tcW w:w="2398" w:type="dxa"/>
          </w:tcPr>
          <w:p w:rsidR="005F1ED8" w:rsidRPr="003A74F5" w:rsidRDefault="005F1ED8" w:rsidP="00FC7ECC">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sidR="00FC7ECC">
              <w:rPr>
                <w:rFonts w:eastAsia="Calibri" w:cs="Times New Roman"/>
                <w:sz w:val="20"/>
                <w:szCs w:val="20"/>
              </w:rPr>
              <w:t>11</w:t>
            </w:r>
            <w:r w:rsidRPr="003A74F5">
              <w:rPr>
                <w:rFonts w:eastAsia="Calibri" w:cs="Times New Roman"/>
                <w:sz w:val="20"/>
                <w:szCs w:val="20"/>
              </w:rPr>
              <w:t>-</w:t>
            </w:r>
            <w:r w:rsidR="00FC7ECC">
              <w:rPr>
                <w:rFonts w:eastAsia="Calibri" w:cs="Times New Roman"/>
                <w:sz w:val="20"/>
                <w:szCs w:val="20"/>
              </w:rPr>
              <w:t>0</w:t>
            </w:r>
            <w:r>
              <w:rPr>
                <w:rFonts w:eastAsia="Calibri" w:cs="Times New Roman"/>
                <w:sz w:val="20"/>
                <w:szCs w:val="20"/>
              </w:rPr>
              <w:t>4</w:t>
            </w:r>
          </w:p>
        </w:tc>
        <w:tc>
          <w:tcPr>
            <w:tcW w:w="7178" w:type="dxa"/>
          </w:tcPr>
          <w:p w:rsidR="005F1ED8" w:rsidRPr="003A74F5" w:rsidRDefault="00FC7ECC" w:rsidP="00FC7ECC">
            <w:pPr>
              <w:jc w:val="both"/>
              <w:rPr>
                <w:rFonts w:eastAsia="Calibri" w:cs="Times New Roman"/>
                <w:sz w:val="20"/>
                <w:szCs w:val="20"/>
              </w:rPr>
            </w:pPr>
            <w:r w:rsidRPr="00352CF6">
              <w:rPr>
                <w:rFonts w:eastAsia="Calibri" w:cs="Times New Roman"/>
                <w:i/>
                <w:sz w:val="20"/>
                <w:szCs w:val="20"/>
                <w:lang w:val="fr-CA"/>
              </w:rPr>
              <w:t>Apot</w:t>
            </w:r>
            <w:r w:rsidR="005F1ED8" w:rsidRPr="00352CF6">
              <w:rPr>
                <w:rFonts w:eastAsia="Calibri" w:cs="Times New Roman"/>
                <w:i/>
                <w:sz w:val="20"/>
                <w:szCs w:val="20"/>
                <w:lang w:val="fr-CA"/>
              </w:rPr>
              <w:t>e</w:t>
            </w:r>
            <w:r w:rsidRPr="00352CF6">
              <w:rPr>
                <w:rFonts w:eastAsia="Calibri" w:cs="Times New Roman"/>
                <w:i/>
                <w:sz w:val="20"/>
                <w:szCs w:val="20"/>
                <w:lang w:val="fr-CA"/>
              </w:rPr>
              <w:t xml:space="preserve">x Inc. </w:t>
            </w:r>
            <w:r w:rsidR="005F1ED8" w:rsidRPr="00352CF6">
              <w:rPr>
                <w:rFonts w:eastAsia="Calibri" w:cs="Times New Roman"/>
                <w:i/>
                <w:sz w:val="20"/>
                <w:szCs w:val="20"/>
                <w:lang w:val="fr-CA"/>
              </w:rPr>
              <w:t xml:space="preserve">et al. v. </w:t>
            </w:r>
            <w:r w:rsidRPr="00352CF6">
              <w:rPr>
                <w:rFonts w:eastAsia="Calibri" w:cs="Times New Roman"/>
                <w:i/>
                <w:sz w:val="20"/>
                <w:szCs w:val="20"/>
                <w:lang w:val="fr-CA"/>
              </w:rPr>
              <w:t>Sanofi-Aven</w:t>
            </w:r>
            <w:r w:rsidR="005F1ED8" w:rsidRPr="00352CF6">
              <w:rPr>
                <w:rFonts w:eastAsia="Calibri" w:cs="Times New Roman"/>
                <w:i/>
                <w:sz w:val="20"/>
                <w:szCs w:val="20"/>
                <w:lang w:val="fr-CA"/>
              </w:rPr>
              <w:t>tis</w:t>
            </w:r>
            <w:r w:rsidRPr="00352CF6">
              <w:rPr>
                <w:rFonts w:eastAsia="Calibri" w:cs="Times New Roman"/>
                <w:i/>
                <w:sz w:val="20"/>
                <w:szCs w:val="20"/>
                <w:lang w:val="fr-CA"/>
              </w:rPr>
              <w:t xml:space="preserve"> et </w:t>
            </w:r>
            <w:r w:rsidR="005F1ED8" w:rsidRPr="00352CF6">
              <w:rPr>
                <w:rFonts w:eastAsia="Calibri" w:cs="Times New Roman"/>
                <w:i/>
                <w:sz w:val="20"/>
                <w:szCs w:val="20"/>
                <w:lang w:val="fr-CA"/>
              </w:rPr>
              <w:t>a</w:t>
            </w:r>
            <w:r w:rsidRPr="00352CF6">
              <w:rPr>
                <w:rFonts w:eastAsia="Calibri" w:cs="Times New Roman"/>
                <w:i/>
                <w:sz w:val="20"/>
                <w:szCs w:val="20"/>
                <w:lang w:val="fr-CA"/>
              </w:rPr>
              <w:t>l.</w:t>
            </w:r>
            <w:r w:rsidR="005F1ED8" w:rsidRPr="00352CF6">
              <w:rPr>
                <w:rFonts w:eastAsia="Calibri" w:cs="Times New Roman"/>
                <w:i/>
                <w:sz w:val="20"/>
                <w:szCs w:val="20"/>
                <w:lang w:val="fr-CA"/>
              </w:rPr>
              <w:t xml:space="preserve"> </w:t>
            </w:r>
            <w:r w:rsidR="005F1ED8" w:rsidRPr="003A74F5">
              <w:rPr>
                <w:rFonts w:eastAsia="Calibri" w:cs="Times New Roman"/>
                <w:sz w:val="20"/>
                <w:szCs w:val="20"/>
              </w:rPr>
              <w:t>(</w:t>
            </w:r>
            <w:r>
              <w:rPr>
                <w:rFonts w:eastAsia="Calibri" w:cs="Times New Roman"/>
                <w:sz w:val="20"/>
                <w:szCs w:val="20"/>
              </w:rPr>
              <w:t>F</w:t>
            </w:r>
            <w:r w:rsidR="005F1ED8">
              <w:rPr>
                <w:rFonts w:eastAsia="Calibri" w:cs="Times New Roman"/>
                <w:sz w:val="20"/>
                <w:szCs w:val="20"/>
              </w:rPr>
              <w:t>.C</w:t>
            </w:r>
            <w:r w:rsidR="005F1ED8" w:rsidRPr="003A74F5">
              <w:rPr>
                <w:rFonts w:eastAsia="Calibri" w:cs="Times New Roman"/>
                <w:sz w:val="20"/>
                <w:szCs w:val="20"/>
              </w:rPr>
              <w:t>.) (Ci</w:t>
            </w:r>
            <w:r w:rsidR="005F1ED8">
              <w:rPr>
                <w:rFonts w:eastAsia="Calibri" w:cs="Times New Roman"/>
                <w:sz w:val="20"/>
                <w:szCs w:val="20"/>
              </w:rPr>
              <w:t>v</w:t>
            </w:r>
            <w:r w:rsidR="005F1ED8" w:rsidRPr="003A74F5">
              <w:rPr>
                <w:rFonts w:eastAsia="Calibri" w:cs="Times New Roman"/>
                <w:sz w:val="20"/>
                <w:szCs w:val="20"/>
              </w:rPr>
              <w:t>il) (By Leave) (3</w:t>
            </w:r>
            <w:r w:rsidR="005F1ED8">
              <w:rPr>
                <w:rFonts w:eastAsia="Calibri" w:cs="Times New Roman"/>
                <w:sz w:val="20"/>
                <w:szCs w:val="20"/>
              </w:rPr>
              <w:t>55</w:t>
            </w:r>
            <w:r>
              <w:rPr>
                <w:rFonts w:eastAsia="Calibri" w:cs="Times New Roman"/>
                <w:sz w:val="20"/>
                <w:szCs w:val="20"/>
              </w:rPr>
              <w:t>62</w:t>
            </w:r>
            <w:r w:rsidR="005F1ED8" w:rsidRPr="003A74F5">
              <w:rPr>
                <w:rFonts w:eastAsia="Calibri" w:cs="Times New Roman"/>
                <w:sz w:val="20"/>
                <w:szCs w:val="20"/>
              </w:rPr>
              <w:t>)</w:t>
            </w:r>
          </w:p>
        </w:tc>
      </w:tr>
      <w:tr w:rsidR="005F1ED8" w:rsidRPr="003A74F5" w:rsidTr="00FC7ECC">
        <w:trPr>
          <w:cantSplit/>
          <w:trHeight w:hRule="exact" w:val="432"/>
        </w:trPr>
        <w:tc>
          <w:tcPr>
            <w:tcW w:w="2398" w:type="dxa"/>
          </w:tcPr>
          <w:p w:rsidR="005F1ED8" w:rsidRPr="003A74F5" w:rsidRDefault="005F1ED8" w:rsidP="00FC7ECC">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sidR="00FC7ECC">
              <w:rPr>
                <w:rFonts w:eastAsia="Calibri" w:cs="Times New Roman"/>
                <w:sz w:val="20"/>
                <w:szCs w:val="20"/>
              </w:rPr>
              <w:t>11</w:t>
            </w:r>
            <w:r w:rsidRPr="003A74F5">
              <w:rPr>
                <w:rFonts w:eastAsia="Calibri" w:cs="Times New Roman"/>
                <w:sz w:val="20"/>
                <w:szCs w:val="20"/>
              </w:rPr>
              <w:t>-</w:t>
            </w:r>
            <w:r w:rsidR="00FC7ECC">
              <w:rPr>
                <w:rFonts w:eastAsia="Calibri" w:cs="Times New Roman"/>
                <w:sz w:val="20"/>
                <w:szCs w:val="20"/>
              </w:rPr>
              <w:t>0</w:t>
            </w:r>
            <w:r>
              <w:rPr>
                <w:rFonts w:eastAsia="Calibri" w:cs="Times New Roman"/>
                <w:sz w:val="20"/>
                <w:szCs w:val="20"/>
              </w:rPr>
              <w:t>5</w:t>
            </w:r>
          </w:p>
        </w:tc>
        <w:tc>
          <w:tcPr>
            <w:tcW w:w="7178" w:type="dxa"/>
          </w:tcPr>
          <w:p w:rsidR="005F1ED8" w:rsidRPr="003A74F5" w:rsidRDefault="00FC7ECC" w:rsidP="00FC7ECC">
            <w:pPr>
              <w:jc w:val="both"/>
              <w:rPr>
                <w:rFonts w:eastAsia="Calibri" w:cs="Times New Roman"/>
                <w:sz w:val="20"/>
                <w:szCs w:val="20"/>
              </w:rPr>
            </w:pPr>
            <w:r>
              <w:rPr>
                <w:rFonts w:eastAsia="Calibri" w:cs="Times New Roman"/>
                <w:i/>
                <w:sz w:val="20"/>
                <w:szCs w:val="20"/>
              </w:rPr>
              <w:t>C</w:t>
            </w:r>
            <w:r w:rsidR="005F1ED8">
              <w:rPr>
                <w:rFonts w:eastAsia="Calibri" w:cs="Times New Roman"/>
                <w:i/>
                <w:sz w:val="20"/>
                <w:szCs w:val="20"/>
              </w:rPr>
              <w:t>h</w:t>
            </w:r>
            <w:r>
              <w:rPr>
                <w:rFonts w:eastAsia="Calibri" w:cs="Times New Roman"/>
                <w:i/>
                <w:sz w:val="20"/>
                <w:szCs w:val="20"/>
              </w:rPr>
              <w:t>ristopher Du</w:t>
            </w:r>
            <w:r w:rsidR="005F1ED8">
              <w:rPr>
                <w:rFonts w:eastAsia="Calibri" w:cs="Times New Roman"/>
                <w:i/>
                <w:sz w:val="20"/>
                <w:szCs w:val="20"/>
              </w:rPr>
              <w:t xml:space="preserve">nn </w:t>
            </w:r>
            <w:r w:rsidR="005F1ED8" w:rsidRPr="003A74F5">
              <w:rPr>
                <w:rFonts w:eastAsia="Calibri" w:cs="Times New Roman"/>
                <w:i/>
                <w:sz w:val="20"/>
                <w:szCs w:val="20"/>
              </w:rPr>
              <w:t>v. Her Majesty the Queen</w:t>
            </w:r>
            <w:r w:rsidR="005F1ED8" w:rsidRPr="003A74F5">
              <w:rPr>
                <w:rFonts w:eastAsia="Calibri" w:cs="Times New Roman"/>
                <w:sz w:val="20"/>
                <w:szCs w:val="20"/>
              </w:rPr>
              <w:t xml:space="preserve"> (</w:t>
            </w:r>
            <w:r>
              <w:rPr>
                <w:rFonts w:eastAsia="Calibri" w:cs="Times New Roman"/>
                <w:sz w:val="20"/>
                <w:szCs w:val="20"/>
              </w:rPr>
              <w:t>On</w:t>
            </w:r>
            <w:r w:rsidR="005F1ED8">
              <w:rPr>
                <w:rFonts w:eastAsia="Calibri" w:cs="Times New Roman"/>
                <w:sz w:val="20"/>
                <w:szCs w:val="20"/>
              </w:rPr>
              <w:t>t</w:t>
            </w:r>
            <w:r w:rsidR="005F1ED8" w:rsidRPr="003A74F5">
              <w:rPr>
                <w:rFonts w:eastAsia="Calibri" w:cs="Times New Roman"/>
                <w:sz w:val="20"/>
                <w:szCs w:val="20"/>
              </w:rPr>
              <w:t>.) (Criminal) (</w:t>
            </w:r>
            <w:r w:rsidR="005F1ED8">
              <w:rPr>
                <w:rFonts w:eastAsia="Calibri" w:cs="Times New Roman"/>
                <w:sz w:val="20"/>
                <w:szCs w:val="20"/>
              </w:rPr>
              <w:t>By Leave</w:t>
            </w:r>
            <w:r w:rsidR="005F1ED8" w:rsidRPr="003A74F5">
              <w:rPr>
                <w:rFonts w:eastAsia="Calibri" w:cs="Times New Roman"/>
                <w:sz w:val="20"/>
                <w:szCs w:val="20"/>
              </w:rPr>
              <w:t>) (3</w:t>
            </w:r>
            <w:r w:rsidR="005F1ED8">
              <w:rPr>
                <w:rFonts w:eastAsia="Calibri" w:cs="Times New Roman"/>
                <w:sz w:val="20"/>
                <w:szCs w:val="20"/>
              </w:rPr>
              <w:t>5</w:t>
            </w:r>
            <w:r>
              <w:rPr>
                <w:rFonts w:eastAsia="Calibri" w:cs="Times New Roman"/>
                <w:sz w:val="20"/>
                <w:szCs w:val="20"/>
              </w:rPr>
              <w:t>599</w:t>
            </w:r>
            <w:r w:rsidR="005F1ED8" w:rsidRPr="003A74F5">
              <w:rPr>
                <w:rFonts w:eastAsia="Calibri" w:cs="Times New Roman"/>
                <w:sz w:val="20"/>
                <w:szCs w:val="20"/>
              </w:rPr>
              <w:t>)</w:t>
            </w:r>
          </w:p>
        </w:tc>
      </w:tr>
      <w:tr w:rsidR="005F1ED8" w:rsidRPr="008C097E" w:rsidTr="005F1ED8">
        <w:trPr>
          <w:cantSplit/>
          <w:trHeight w:hRule="exact" w:val="432"/>
        </w:trPr>
        <w:tc>
          <w:tcPr>
            <w:tcW w:w="2398" w:type="dxa"/>
          </w:tcPr>
          <w:p w:rsidR="005F1ED8" w:rsidRPr="003A74F5" w:rsidRDefault="005F1ED8" w:rsidP="00FC7ECC">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sidR="00FC7ECC">
              <w:rPr>
                <w:rFonts w:eastAsia="Calibri" w:cs="Times New Roman"/>
                <w:sz w:val="20"/>
                <w:szCs w:val="20"/>
              </w:rPr>
              <w:t>11</w:t>
            </w:r>
            <w:r w:rsidRPr="003A74F5">
              <w:rPr>
                <w:rFonts w:eastAsia="Calibri" w:cs="Times New Roman"/>
                <w:sz w:val="20"/>
                <w:szCs w:val="20"/>
              </w:rPr>
              <w:t>-</w:t>
            </w:r>
            <w:r w:rsidR="00FC7ECC">
              <w:rPr>
                <w:rFonts w:eastAsia="Calibri" w:cs="Times New Roman"/>
                <w:sz w:val="20"/>
                <w:szCs w:val="20"/>
              </w:rPr>
              <w:t>06</w:t>
            </w:r>
          </w:p>
        </w:tc>
        <w:tc>
          <w:tcPr>
            <w:tcW w:w="7178" w:type="dxa"/>
          </w:tcPr>
          <w:p w:rsidR="005F1ED8" w:rsidRPr="00216AEB" w:rsidRDefault="00FC7ECC" w:rsidP="00FC7ECC">
            <w:pPr>
              <w:jc w:val="both"/>
              <w:rPr>
                <w:rFonts w:eastAsia="Calibri" w:cs="Times New Roman"/>
                <w:sz w:val="20"/>
                <w:szCs w:val="20"/>
                <w:lang w:val="fr-CA"/>
              </w:rPr>
            </w:pPr>
            <w:r w:rsidRPr="00FC7ECC">
              <w:rPr>
                <w:rFonts w:eastAsia="Calibri" w:cs="Times New Roman"/>
                <w:i/>
                <w:sz w:val="20"/>
                <w:szCs w:val="20"/>
                <w:lang w:val="fr-CA"/>
              </w:rPr>
              <w:t>S</w:t>
            </w:r>
            <w:r w:rsidR="005F1ED8" w:rsidRPr="00FC7ECC">
              <w:rPr>
                <w:rFonts w:eastAsia="Calibri" w:cs="Times New Roman"/>
                <w:i/>
                <w:sz w:val="20"/>
                <w:szCs w:val="20"/>
                <w:lang w:val="fr-CA"/>
              </w:rPr>
              <w:t>a</w:t>
            </w:r>
            <w:r w:rsidRPr="00FC7ECC">
              <w:rPr>
                <w:rFonts w:eastAsia="Calibri" w:cs="Times New Roman"/>
                <w:i/>
                <w:sz w:val="20"/>
                <w:szCs w:val="20"/>
                <w:lang w:val="fr-CA"/>
              </w:rPr>
              <w:t xml:space="preserve"> Maj</w:t>
            </w:r>
            <w:r w:rsidR="005F1ED8" w:rsidRPr="00FC7ECC">
              <w:rPr>
                <w:rFonts w:eastAsia="Calibri" w:cs="Times New Roman"/>
                <w:i/>
                <w:sz w:val="20"/>
                <w:szCs w:val="20"/>
                <w:lang w:val="fr-CA"/>
              </w:rPr>
              <w:t>es</w:t>
            </w:r>
            <w:r w:rsidRPr="00FC7ECC">
              <w:rPr>
                <w:rFonts w:eastAsia="Calibri" w:cs="Times New Roman"/>
                <w:i/>
                <w:sz w:val="20"/>
                <w:szCs w:val="20"/>
                <w:lang w:val="fr-CA"/>
              </w:rPr>
              <w:t>té la R</w:t>
            </w:r>
            <w:r w:rsidR="005F1ED8" w:rsidRPr="00FC7ECC">
              <w:rPr>
                <w:rFonts w:eastAsia="Calibri" w:cs="Times New Roman"/>
                <w:i/>
                <w:sz w:val="20"/>
                <w:szCs w:val="20"/>
                <w:lang w:val="fr-CA"/>
              </w:rPr>
              <w:t>ei</w:t>
            </w:r>
            <w:r w:rsidRPr="00FC7ECC">
              <w:rPr>
                <w:rFonts w:eastAsia="Calibri" w:cs="Times New Roman"/>
                <w:i/>
                <w:sz w:val="20"/>
                <w:szCs w:val="20"/>
                <w:lang w:val="fr-CA"/>
              </w:rPr>
              <w:t>ne</w:t>
            </w:r>
            <w:r w:rsidR="005F1ED8" w:rsidRPr="00FC7ECC">
              <w:rPr>
                <w:rFonts w:eastAsia="Calibri" w:cs="Times New Roman"/>
                <w:i/>
                <w:sz w:val="20"/>
                <w:szCs w:val="20"/>
                <w:lang w:val="fr-CA"/>
              </w:rPr>
              <w:t xml:space="preserve"> </w:t>
            </w:r>
            <w:r w:rsidRPr="00FC7ECC">
              <w:rPr>
                <w:rFonts w:eastAsia="Calibri" w:cs="Times New Roman"/>
                <w:i/>
                <w:sz w:val="20"/>
                <w:szCs w:val="20"/>
                <w:lang w:val="fr-CA"/>
              </w:rPr>
              <w:t>c</w:t>
            </w:r>
            <w:r w:rsidR="005F1ED8" w:rsidRPr="00FC7ECC">
              <w:rPr>
                <w:rFonts w:eastAsia="Calibri" w:cs="Times New Roman"/>
                <w:i/>
                <w:sz w:val="20"/>
                <w:szCs w:val="20"/>
                <w:lang w:val="fr-CA"/>
              </w:rPr>
              <w:t xml:space="preserve">. </w:t>
            </w:r>
            <w:r w:rsidRPr="00FC7ECC">
              <w:rPr>
                <w:rFonts w:eastAsia="Calibri" w:cs="Times New Roman"/>
                <w:i/>
                <w:sz w:val="20"/>
                <w:szCs w:val="20"/>
                <w:lang w:val="fr-CA"/>
              </w:rPr>
              <w:t>J</w:t>
            </w:r>
            <w:r w:rsidR="005F1ED8" w:rsidRPr="00FC7ECC">
              <w:rPr>
                <w:rFonts w:eastAsia="Calibri" w:cs="Times New Roman"/>
                <w:i/>
                <w:sz w:val="20"/>
                <w:szCs w:val="20"/>
                <w:lang w:val="fr-CA"/>
              </w:rPr>
              <w:t>e</w:t>
            </w:r>
            <w:r w:rsidRPr="00FC7ECC">
              <w:rPr>
                <w:rFonts w:eastAsia="Calibri" w:cs="Times New Roman"/>
                <w:i/>
                <w:sz w:val="20"/>
                <w:szCs w:val="20"/>
                <w:lang w:val="fr-CA"/>
              </w:rPr>
              <w:t>ffr</w:t>
            </w:r>
            <w:r w:rsidR="005F1ED8" w:rsidRPr="00FC7ECC">
              <w:rPr>
                <w:rFonts w:eastAsia="Calibri" w:cs="Times New Roman"/>
                <w:i/>
                <w:sz w:val="20"/>
                <w:szCs w:val="20"/>
                <w:lang w:val="fr-CA"/>
              </w:rPr>
              <w:t xml:space="preserve">ey </w:t>
            </w:r>
            <w:r w:rsidRPr="00FC7ECC">
              <w:rPr>
                <w:rFonts w:eastAsia="Calibri" w:cs="Times New Roman"/>
                <w:i/>
                <w:sz w:val="20"/>
                <w:szCs w:val="20"/>
                <w:lang w:val="fr-CA"/>
              </w:rPr>
              <w:t>S</w:t>
            </w:r>
            <w:r w:rsidR="005F1ED8" w:rsidRPr="00FC7ECC">
              <w:rPr>
                <w:rFonts w:eastAsia="Calibri" w:cs="Times New Roman"/>
                <w:i/>
                <w:sz w:val="20"/>
                <w:szCs w:val="20"/>
                <w:lang w:val="fr-CA"/>
              </w:rPr>
              <w:t>t</w:t>
            </w:r>
            <w:r w:rsidRPr="00FC7ECC">
              <w:rPr>
                <w:rFonts w:eastAsia="Calibri" w:cs="Times New Roman"/>
                <w:i/>
                <w:sz w:val="20"/>
                <w:szCs w:val="20"/>
                <w:lang w:val="fr-CA"/>
              </w:rPr>
              <w:t>-Cloud</w:t>
            </w:r>
            <w:r w:rsidR="005F1ED8" w:rsidRPr="00FC7ECC">
              <w:rPr>
                <w:rFonts w:eastAsia="Calibri" w:cs="Times New Roman"/>
                <w:i/>
                <w:sz w:val="20"/>
                <w:szCs w:val="20"/>
                <w:lang w:val="fr-CA"/>
              </w:rPr>
              <w:t xml:space="preserve"> </w:t>
            </w:r>
            <w:r w:rsidR="005F1ED8" w:rsidRPr="00FC7ECC">
              <w:rPr>
                <w:rFonts w:eastAsia="Calibri" w:cs="Times New Roman"/>
                <w:sz w:val="20"/>
                <w:szCs w:val="20"/>
                <w:lang w:val="fr-CA"/>
              </w:rPr>
              <w:t>(</w:t>
            </w:r>
            <w:r w:rsidRPr="00FC7ECC">
              <w:rPr>
                <w:rFonts w:eastAsia="Calibri" w:cs="Times New Roman"/>
                <w:sz w:val="20"/>
                <w:szCs w:val="20"/>
                <w:lang w:val="fr-CA"/>
              </w:rPr>
              <w:t>Qc</w:t>
            </w:r>
            <w:r w:rsidR="005F1ED8" w:rsidRPr="00FC7ECC">
              <w:rPr>
                <w:rFonts w:eastAsia="Calibri" w:cs="Times New Roman"/>
                <w:sz w:val="20"/>
                <w:szCs w:val="20"/>
                <w:lang w:val="fr-CA"/>
              </w:rPr>
              <w:t xml:space="preserve">) </w:t>
            </w:r>
            <w:r w:rsidR="005F1ED8" w:rsidRPr="00216AEB">
              <w:rPr>
                <w:rFonts w:eastAsia="Calibri" w:cs="Times New Roman"/>
                <w:sz w:val="20"/>
                <w:szCs w:val="20"/>
                <w:lang w:val="fr-CA"/>
              </w:rPr>
              <w:t>(C</w:t>
            </w:r>
            <w:r w:rsidR="005F1ED8">
              <w:rPr>
                <w:rFonts w:eastAsia="Calibri" w:cs="Times New Roman"/>
                <w:sz w:val="20"/>
                <w:szCs w:val="20"/>
                <w:lang w:val="fr-CA"/>
              </w:rPr>
              <w:t>r</w:t>
            </w:r>
            <w:r w:rsidR="005F1ED8" w:rsidRPr="00216AEB">
              <w:rPr>
                <w:rFonts w:eastAsia="Calibri" w:cs="Times New Roman"/>
                <w:sz w:val="20"/>
                <w:szCs w:val="20"/>
                <w:lang w:val="fr-CA"/>
              </w:rPr>
              <w:t>i</w:t>
            </w:r>
            <w:r w:rsidR="005F1ED8">
              <w:rPr>
                <w:rFonts w:eastAsia="Calibri" w:cs="Times New Roman"/>
                <w:sz w:val="20"/>
                <w:szCs w:val="20"/>
                <w:lang w:val="fr-CA"/>
              </w:rPr>
              <w:t>m</w:t>
            </w:r>
            <w:r w:rsidR="005F1ED8" w:rsidRPr="00216AEB">
              <w:rPr>
                <w:rFonts w:eastAsia="Calibri" w:cs="Times New Roman"/>
                <w:sz w:val="20"/>
                <w:szCs w:val="20"/>
                <w:lang w:val="fr-CA"/>
              </w:rPr>
              <w:t>i</w:t>
            </w:r>
            <w:r w:rsidR="005F1ED8">
              <w:rPr>
                <w:rFonts w:eastAsia="Calibri" w:cs="Times New Roman"/>
                <w:sz w:val="20"/>
                <w:szCs w:val="20"/>
                <w:lang w:val="fr-CA"/>
              </w:rPr>
              <w:t>n</w:t>
            </w:r>
            <w:r>
              <w:rPr>
                <w:rFonts w:eastAsia="Calibri" w:cs="Times New Roman"/>
                <w:sz w:val="20"/>
                <w:szCs w:val="20"/>
                <w:lang w:val="fr-CA"/>
              </w:rPr>
              <w:t>e</w:t>
            </w:r>
            <w:r w:rsidR="005F1ED8" w:rsidRPr="00216AEB">
              <w:rPr>
                <w:rFonts w:eastAsia="Calibri" w:cs="Times New Roman"/>
                <w:sz w:val="20"/>
                <w:szCs w:val="20"/>
                <w:lang w:val="fr-CA"/>
              </w:rPr>
              <w:t>l</w:t>
            </w:r>
            <w:r>
              <w:rPr>
                <w:rFonts w:eastAsia="Calibri" w:cs="Times New Roman"/>
                <w:sz w:val="20"/>
                <w:szCs w:val="20"/>
                <w:lang w:val="fr-CA"/>
              </w:rPr>
              <w:t>lle</w:t>
            </w:r>
            <w:r w:rsidR="005F1ED8" w:rsidRPr="00216AEB">
              <w:rPr>
                <w:rFonts w:eastAsia="Calibri" w:cs="Times New Roman"/>
                <w:sz w:val="20"/>
                <w:szCs w:val="20"/>
                <w:lang w:val="fr-CA"/>
              </w:rPr>
              <w:t>) (</w:t>
            </w:r>
            <w:r>
              <w:rPr>
                <w:rFonts w:eastAsia="Calibri" w:cs="Times New Roman"/>
                <w:sz w:val="20"/>
                <w:szCs w:val="20"/>
                <w:lang w:val="fr-CA"/>
              </w:rPr>
              <w:t>Autorisation)</w:t>
            </w:r>
            <w:r w:rsidR="005F1ED8" w:rsidRPr="00216AEB">
              <w:rPr>
                <w:rFonts w:eastAsia="Calibri" w:cs="Times New Roman"/>
                <w:sz w:val="20"/>
                <w:szCs w:val="20"/>
                <w:lang w:val="fr-CA"/>
              </w:rPr>
              <w:t xml:space="preserve"> (3</w:t>
            </w:r>
            <w:r w:rsidR="005F1ED8">
              <w:rPr>
                <w:rFonts w:eastAsia="Calibri" w:cs="Times New Roman"/>
                <w:sz w:val="20"/>
                <w:szCs w:val="20"/>
                <w:lang w:val="fr-CA"/>
              </w:rPr>
              <w:t>5</w:t>
            </w:r>
            <w:r>
              <w:rPr>
                <w:rFonts w:eastAsia="Calibri" w:cs="Times New Roman"/>
                <w:sz w:val="20"/>
                <w:szCs w:val="20"/>
                <w:lang w:val="fr-CA"/>
              </w:rPr>
              <w:t>626</w:t>
            </w:r>
            <w:r w:rsidR="005F1ED8" w:rsidRPr="00216AEB">
              <w:rPr>
                <w:rFonts w:eastAsia="Calibri" w:cs="Times New Roman"/>
                <w:sz w:val="20"/>
                <w:szCs w:val="20"/>
                <w:lang w:val="fr-CA"/>
              </w:rPr>
              <w:t>)</w:t>
            </w:r>
          </w:p>
        </w:tc>
      </w:tr>
      <w:tr w:rsidR="005F1ED8" w:rsidRPr="00C5600D" w:rsidTr="00FC7ECC">
        <w:trPr>
          <w:cantSplit/>
          <w:trHeight w:hRule="exact" w:val="648"/>
        </w:trPr>
        <w:tc>
          <w:tcPr>
            <w:tcW w:w="2398" w:type="dxa"/>
          </w:tcPr>
          <w:p w:rsidR="005F1ED8" w:rsidRPr="00216AEB" w:rsidRDefault="005F1ED8" w:rsidP="00FC7ECC">
            <w:pPr>
              <w:rPr>
                <w:rFonts w:eastAsia="Calibri" w:cs="Times New Roman"/>
                <w:sz w:val="20"/>
                <w:szCs w:val="20"/>
                <w:lang w:val="fr-CA"/>
              </w:rPr>
            </w:pPr>
            <w:r>
              <w:rPr>
                <w:rFonts w:eastAsia="Calibri" w:cs="Times New Roman"/>
                <w:sz w:val="20"/>
                <w:szCs w:val="20"/>
                <w:lang w:val="fr-CA"/>
              </w:rPr>
              <w:t>2014</w:t>
            </w:r>
            <w:r w:rsidRPr="00216AEB">
              <w:rPr>
                <w:rFonts w:eastAsia="Calibri" w:cs="Times New Roman"/>
                <w:sz w:val="20"/>
                <w:szCs w:val="20"/>
                <w:lang w:val="fr-CA"/>
              </w:rPr>
              <w:t>-</w:t>
            </w:r>
            <w:r w:rsidR="00FC7ECC">
              <w:rPr>
                <w:rFonts w:eastAsia="Calibri" w:cs="Times New Roman"/>
                <w:sz w:val="20"/>
                <w:szCs w:val="20"/>
                <w:lang w:val="fr-CA"/>
              </w:rPr>
              <w:t>11</w:t>
            </w:r>
            <w:r w:rsidRPr="00216AEB">
              <w:rPr>
                <w:rFonts w:eastAsia="Calibri" w:cs="Times New Roman"/>
                <w:sz w:val="20"/>
                <w:szCs w:val="20"/>
                <w:lang w:val="fr-CA"/>
              </w:rPr>
              <w:t>-</w:t>
            </w:r>
            <w:r w:rsidR="00FC7ECC">
              <w:rPr>
                <w:rFonts w:eastAsia="Calibri" w:cs="Times New Roman"/>
                <w:sz w:val="20"/>
                <w:szCs w:val="20"/>
                <w:lang w:val="fr-CA"/>
              </w:rPr>
              <w:t>07</w:t>
            </w:r>
          </w:p>
        </w:tc>
        <w:tc>
          <w:tcPr>
            <w:tcW w:w="7178" w:type="dxa"/>
          </w:tcPr>
          <w:p w:rsidR="005F1ED8" w:rsidRPr="00FC7ECC" w:rsidRDefault="00FC7ECC" w:rsidP="005F1ED8">
            <w:pPr>
              <w:jc w:val="both"/>
              <w:rPr>
                <w:rFonts w:eastAsia="Calibri" w:cs="Times New Roman"/>
                <w:sz w:val="20"/>
                <w:szCs w:val="20"/>
              </w:rPr>
            </w:pPr>
            <w:r w:rsidRPr="003B7455">
              <w:rPr>
                <w:rFonts w:eastAsia="Calibri" w:cs="Times New Roman"/>
                <w:i/>
                <w:sz w:val="20"/>
                <w:szCs w:val="20"/>
              </w:rPr>
              <w:t xml:space="preserve">Her </w:t>
            </w:r>
            <w:r w:rsidRPr="0085047E">
              <w:rPr>
                <w:rFonts w:eastAsia="Calibri" w:cs="Times New Roman"/>
                <w:i/>
                <w:sz w:val="20"/>
                <w:szCs w:val="20"/>
              </w:rPr>
              <w:t>Majesty the Queen</w:t>
            </w:r>
            <w:r>
              <w:rPr>
                <w:rFonts w:eastAsia="Calibri" w:cs="Times New Roman"/>
                <w:i/>
                <w:sz w:val="20"/>
                <w:szCs w:val="20"/>
              </w:rPr>
              <w:t xml:space="preserve"> et al.</w:t>
            </w:r>
            <w:r w:rsidRPr="0085047E">
              <w:rPr>
                <w:rFonts w:eastAsia="Calibri" w:cs="Times New Roman"/>
                <w:sz w:val="20"/>
                <w:szCs w:val="20"/>
              </w:rPr>
              <w:t xml:space="preserve"> </w:t>
            </w:r>
            <w:r w:rsidRPr="003B7455">
              <w:rPr>
                <w:rFonts w:eastAsia="Calibri" w:cs="Times New Roman"/>
                <w:i/>
                <w:sz w:val="20"/>
                <w:szCs w:val="20"/>
              </w:rPr>
              <w:t>v.</w:t>
            </w:r>
            <w:r>
              <w:rPr>
                <w:rFonts w:eastAsia="Calibri" w:cs="Times New Roman"/>
                <w:i/>
                <w:sz w:val="20"/>
                <w:szCs w:val="20"/>
              </w:rPr>
              <w:t xml:space="preserve"> Hussein Jama Nur et al.</w:t>
            </w:r>
            <w:r w:rsidRPr="003B7455">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Ont</w:t>
            </w:r>
            <w:r w:rsidRPr="0085047E">
              <w:rPr>
                <w:rFonts w:eastAsia="Calibri" w:cs="Times New Roman"/>
                <w:sz w:val="20"/>
                <w:szCs w:val="20"/>
              </w:rPr>
              <w:t xml:space="preserve">.) </w:t>
            </w:r>
            <w:r w:rsidRPr="003B7455">
              <w:rPr>
                <w:rFonts w:eastAsia="Calibri" w:cs="Times New Roman"/>
                <w:sz w:val="20"/>
                <w:szCs w:val="20"/>
              </w:rPr>
              <w:t>(Criminal) (</w:t>
            </w:r>
            <w:r>
              <w:rPr>
                <w:rFonts w:eastAsia="Calibri" w:cs="Times New Roman"/>
                <w:sz w:val="20"/>
                <w:szCs w:val="20"/>
              </w:rPr>
              <w:t>By Leave)</w:t>
            </w:r>
            <w:r w:rsidRPr="003B7455">
              <w:rPr>
                <w:rFonts w:eastAsia="Calibri" w:cs="Times New Roman"/>
                <w:sz w:val="20"/>
                <w:szCs w:val="20"/>
              </w:rPr>
              <w:t xml:space="preserve"> (3</w:t>
            </w:r>
            <w:r>
              <w:rPr>
                <w:rFonts w:eastAsia="Calibri" w:cs="Times New Roman"/>
                <w:sz w:val="20"/>
                <w:szCs w:val="20"/>
              </w:rPr>
              <w:t>5678</w:t>
            </w:r>
            <w:r w:rsidRPr="003B7455">
              <w:rPr>
                <w:rFonts w:eastAsia="Calibri" w:cs="Times New Roman"/>
                <w:sz w:val="20"/>
                <w:szCs w:val="20"/>
              </w:rPr>
              <w:t>)</w:t>
            </w:r>
          </w:p>
        </w:tc>
      </w:tr>
      <w:tr w:rsidR="005F1ED8" w:rsidRPr="00216AEB" w:rsidTr="00FC7ECC">
        <w:trPr>
          <w:cantSplit/>
          <w:trHeight w:hRule="exact" w:val="648"/>
        </w:trPr>
        <w:tc>
          <w:tcPr>
            <w:tcW w:w="2398" w:type="dxa"/>
          </w:tcPr>
          <w:p w:rsidR="005F1ED8" w:rsidRPr="00216AEB" w:rsidRDefault="005F1ED8" w:rsidP="00FC7ECC">
            <w:pPr>
              <w:rPr>
                <w:rFonts w:eastAsia="Calibri" w:cs="Times New Roman"/>
                <w:sz w:val="20"/>
                <w:szCs w:val="20"/>
                <w:lang w:val="fr-CA"/>
              </w:rPr>
            </w:pPr>
            <w:r>
              <w:rPr>
                <w:rFonts w:eastAsia="Calibri" w:cs="Times New Roman"/>
                <w:sz w:val="20"/>
                <w:szCs w:val="20"/>
                <w:lang w:val="fr-CA"/>
              </w:rPr>
              <w:t>2014</w:t>
            </w:r>
            <w:r w:rsidRPr="00216AEB">
              <w:rPr>
                <w:rFonts w:eastAsia="Calibri" w:cs="Times New Roman"/>
                <w:sz w:val="20"/>
                <w:szCs w:val="20"/>
                <w:lang w:val="fr-CA"/>
              </w:rPr>
              <w:t>-</w:t>
            </w:r>
            <w:r w:rsidR="00FC7ECC">
              <w:rPr>
                <w:rFonts w:eastAsia="Calibri" w:cs="Times New Roman"/>
                <w:sz w:val="20"/>
                <w:szCs w:val="20"/>
                <w:lang w:val="fr-CA"/>
              </w:rPr>
              <w:t>11</w:t>
            </w:r>
            <w:r w:rsidRPr="00216AEB">
              <w:rPr>
                <w:rFonts w:eastAsia="Calibri" w:cs="Times New Roman"/>
                <w:sz w:val="20"/>
                <w:szCs w:val="20"/>
                <w:lang w:val="fr-CA"/>
              </w:rPr>
              <w:t>-</w:t>
            </w:r>
            <w:r w:rsidR="00FC7ECC">
              <w:rPr>
                <w:rFonts w:eastAsia="Calibri" w:cs="Times New Roman"/>
                <w:sz w:val="20"/>
                <w:szCs w:val="20"/>
                <w:lang w:val="fr-CA"/>
              </w:rPr>
              <w:t>0</w:t>
            </w:r>
            <w:r>
              <w:rPr>
                <w:rFonts w:eastAsia="Calibri" w:cs="Times New Roman"/>
                <w:sz w:val="20"/>
                <w:szCs w:val="20"/>
                <w:lang w:val="fr-CA"/>
              </w:rPr>
              <w:t>7</w:t>
            </w:r>
          </w:p>
        </w:tc>
        <w:tc>
          <w:tcPr>
            <w:tcW w:w="7178" w:type="dxa"/>
          </w:tcPr>
          <w:p w:rsidR="005F1ED8" w:rsidRPr="003B7455" w:rsidRDefault="00FC7ECC" w:rsidP="00FC7ECC">
            <w:pPr>
              <w:jc w:val="both"/>
              <w:rPr>
                <w:rFonts w:eastAsia="Calibri" w:cs="Times New Roman"/>
                <w:sz w:val="20"/>
                <w:szCs w:val="20"/>
              </w:rPr>
            </w:pPr>
            <w:r w:rsidRPr="003B7455">
              <w:rPr>
                <w:rFonts w:eastAsia="Calibri" w:cs="Times New Roman"/>
                <w:i/>
                <w:sz w:val="20"/>
                <w:szCs w:val="20"/>
              </w:rPr>
              <w:t xml:space="preserve">Her </w:t>
            </w:r>
            <w:r w:rsidRPr="0085047E">
              <w:rPr>
                <w:rFonts w:eastAsia="Calibri" w:cs="Times New Roman"/>
                <w:i/>
                <w:sz w:val="20"/>
                <w:szCs w:val="20"/>
              </w:rPr>
              <w:t>Majesty the Queen</w:t>
            </w:r>
            <w:r>
              <w:rPr>
                <w:rFonts w:eastAsia="Calibri" w:cs="Times New Roman"/>
                <w:i/>
                <w:sz w:val="20"/>
                <w:szCs w:val="20"/>
              </w:rPr>
              <w:t xml:space="preserve"> et al.</w:t>
            </w:r>
            <w:r w:rsidRPr="0085047E">
              <w:rPr>
                <w:rFonts w:eastAsia="Calibri" w:cs="Times New Roman"/>
                <w:i/>
                <w:sz w:val="20"/>
                <w:szCs w:val="20"/>
              </w:rPr>
              <w:t xml:space="preserve"> v. </w:t>
            </w:r>
            <w:r>
              <w:rPr>
                <w:rFonts w:eastAsia="Calibri" w:cs="Times New Roman"/>
                <w:i/>
                <w:sz w:val="20"/>
                <w:szCs w:val="20"/>
              </w:rPr>
              <w:t xml:space="preserve">Sidney Charles </w:t>
            </w:r>
            <w:r w:rsidRPr="0085047E">
              <w:rPr>
                <w:rFonts w:eastAsia="Calibri" w:cs="Times New Roman"/>
                <w:i/>
                <w:sz w:val="20"/>
                <w:szCs w:val="20"/>
              </w:rPr>
              <w:t>et al.</w:t>
            </w:r>
            <w:r w:rsidRPr="0085047E">
              <w:rPr>
                <w:rFonts w:eastAsia="Calibri" w:cs="Times New Roman"/>
                <w:sz w:val="20"/>
                <w:szCs w:val="20"/>
              </w:rPr>
              <w:t xml:space="preserve"> </w:t>
            </w:r>
            <w:r w:rsidRPr="003A74F5">
              <w:rPr>
                <w:rFonts w:eastAsia="Calibri" w:cs="Times New Roman"/>
                <w:sz w:val="20"/>
                <w:szCs w:val="20"/>
              </w:rPr>
              <w:t>(</w:t>
            </w:r>
            <w:r>
              <w:rPr>
                <w:rFonts w:eastAsia="Calibri" w:cs="Times New Roman"/>
                <w:sz w:val="20"/>
                <w:szCs w:val="20"/>
              </w:rPr>
              <w:t>Ont</w:t>
            </w:r>
            <w:r w:rsidRPr="003A74F5">
              <w:rPr>
                <w:rFonts w:eastAsia="Calibri" w:cs="Times New Roman"/>
                <w:sz w:val="20"/>
                <w:szCs w:val="20"/>
              </w:rPr>
              <w:t>.) (C</w:t>
            </w:r>
            <w:r>
              <w:rPr>
                <w:rFonts w:eastAsia="Calibri" w:cs="Times New Roman"/>
                <w:sz w:val="20"/>
                <w:szCs w:val="20"/>
              </w:rPr>
              <w:t>r</w:t>
            </w:r>
            <w:r w:rsidRPr="003A74F5">
              <w:rPr>
                <w:rFonts w:eastAsia="Calibri" w:cs="Times New Roman"/>
                <w:sz w:val="20"/>
                <w:szCs w:val="20"/>
              </w:rPr>
              <w:t>i</w:t>
            </w:r>
            <w:r>
              <w:rPr>
                <w:rFonts w:eastAsia="Calibri" w:cs="Times New Roman"/>
                <w:sz w:val="20"/>
                <w:szCs w:val="20"/>
              </w:rPr>
              <w:t>m</w:t>
            </w:r>
            <w:r w:rsidRPr="003A74F5">
              <w:rPr>
                <w:rFonts w:eastAsia="Calibri" w:cs="Times New Roman"/>
                <w:sz w:val="20"/>
                <w:szCs w:val="20"/>
              </w:rPr>
              <w:t>i</w:t>
            </w:r>
            <w:r>
              <w:rPr>
                <w:rFonts w:eastAsia="Calibri" w:cs="Times New Roman"/>
                <w:sz w:val="20"/>
                <w:szCs w:val="20"/>
              </w:rPr>
              <w:t>na</w:t>
            </w:r>
            <w:r w:rsidRPr="003A74F5">
              <w:rPr>
                <w:rFonts w:eastAsia="Calibri" w:cs="Times New Roman"/>
                <w:sz w:val="20"/>
                <w:szCs w:val="20"/>
              </w:rPr>
              <w:t>l) (By Leave) (3</w:t>
            </w:r>
            <w:r>
              <w:rPr>
                <w:rFonts w:eastAsia="Calibri" w:cs="Times New Roman"/>
                <w:sz w:val="20"/>
                <w:szCs w:val="20"/>
              </w:rPr>
              <w:t>5684</w:t>
            </w:r>
            <w:r w:rsidRPr="003A74F5">
              <w:rPr>
                <w:rFonts w:eastAsia="Calibri" w:cs="Times New Roman"/>
                <w:sz w:val="20"/>
                <w:szCs w:val="20"/>
              </w:rPr>
              <w:t>)</w:t>
            </w:r>
          </w:p>
        </w:tc>
      </w:tr>
      <w:tr w:rsidR="00FC7ECC" w:rsidRPr="008C097E" w:rsidTr="007E45CC">
        <w:trPr>
          <w:cantSplit/>
          <w:trHeight w:hRule="exact" w:val="432"/>
        </w:trPr>
        <w:tc>
          <w:tcPr>
            <w:tcW w:w="2398" w:type="dxa"/>
          </w:tcPr>
          <w:p w:rsidR="00FC7ECC" w:rsidRPr="003A74F5" w:rsidRDefault="00FC7ECC" w:rsidP="00FC7ECC">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11</w:t>
            </w:r>
            <w:r w:rsidRPr="003A74F5">
              <w:rPr>
                <w:rFonts w:eastAsia="Calibri" w:cs="Times New Roman"/>
                <w:sz w:val="20"/>
                <w:szCs w:val="20"/>
              </w:rPr>
              <w:t>-</w:t>
            </w:r>
            <w:r>
              <w:rPr>
                <w:rFonts w:eastAsia="Calibri" w:cs="Times New Roman"/>
                <w:sz w:val="20"/>
                <w:szCs w:val="20"/>
              </w:rPr>
              <w:t>10</w:t>
            </w:r>
          </w:p>
        </w:tc>
        <w:tc>
          <w:tcPr>
            <w:tcW w:w="7178" w:type="dxa"/>
          </w:tcPr>
          <w:p w:rsidR="00FC7ECC" w:rsidRPr="00216AEB" w:rsidRDefault="00FC7ECC" w:rsidP="007E45CC">
            <w:pPr>
              <w:jc w:val="both"/>
              <w:rPr>
                <w:rFonts w:eastAsia="Calibri" w:cs="Times New Roman"/>
                <w:sz w:val="20"/>
                <w:szCs w:val="20"/>
                <w:lang w:val="fr-CA"/>
              </w:rPr>
            </w:pPr>
            <w:r>
              <w:rPr>
                <w:rFonts w:eastAsia="Calibri" w:cs="Times New Roman"/>
                <w:i/>
                <w:sz w:val="20"/>
                <w:szCs w:val="20"/>
                <w:lang w:val="fr-CA"/>
              </w:rPr>
              <w:t>Réje</w:t>
            </w:r>
            <w:r w:rsidRPr="00FC7ECC">
              <w:rPr>
                <w:rFonts w:eastAsia="Calibri" w:cs="Times New Roman"/>
                <w:i/>
                <w:sz w:val="20"/>
                <w:szCs w:val="20"/>
                <w:lang w:val="fr-CA"/>
              </w:rPr>
              <w:t>a</w:t>
            </w:r>
            <w:r>
              <w:rPr>
                <w:rFonts w:eastAsia="Calibri" w:cs="Times New Roman"/>
                <w:i/>
                <w:sz w:val="20"/>
                <w:szCs w:val="20"/>
                <w:lang w:val="fr-CA"/>
              </w:rPr>
              <w:t>n Hinse</w:t>
            </w:r>
            <w:r w:rsidRPr="00FC7ECC">
              <w:rPr>
                <w:rFonts w:eastAsia="Calibri" w:cs="Times New Roman"/>
                <w:i/>
                <w:sz w:val="20"/>
                <w:szCs w:val="20"/>
                <w:lang w:val="fr-CA"/>
              </w:rPr>
              <w:t xml:space="preserve"> c. </w:t>
            </w:r>
            <w:r>
              <w:rPr>
                <w:rFonts w:eastAsia="Calibri" w:cs="Times New Roman"/>
                <w:i/>
                <w:sz w:val="20"/>
                <w:szCs w:val="20"/>
                <w:lang w:val="fr-CA"/>
              </w:rPr>
              <w:t>Procur</w:t>
            </w:r>
            <w:r w:rsidRPr="00FC7ECC">
              <w:rPr>
                <w:rFonts w:eastAsia="Calibri" w:cs="Times New Roman"/>
                <w:i/>
                <w:sz w:val="20"/>
                <w:szCs w:val="20"/>
                <w:lang w:val="fr-CA"/>
              </w:rPr>
              <w:t>e</w:t>
            </w:r>
            <w:r>
              <w:rPr>
                <w:rFonts w:eastAsia="Calibri" w:cs="Times New Roman"/>
                <w:i/>
                <w:sz w:val="20"/>
                <w:szCs w:val="20"/>
                <w:lang w:val="fr-CA"/>
              </w:rPr>
              <w:t>u</w:t>
            </w:r>
            <w:r w:rsidRPr="00FC7ECC">
              <w:rPr>
                <w:rFonts w:eastAsia="Calibri" w:cs="Times New Roman"/>
                <w:i/>
                <w:sz w:val="20"/>
                <w:szCs w:val="20"/>
                <w:lang w:val="fr-CA"/>
              </w:rPr>
              <w:t>r</w:t>
            </w:r>
            <w:r>
              <w:rPr>
                <w:rFonts w:eastAsia="Calibri" w:cs="Times New Roman"/>
                <w:i/>
                <w:sz w:val="20"/>
                <w:szCs w:val="20"/>
                <w:lang w:val="fr-CA"/>
              </w:rPr>
              <w:t xml:space="preserve"> général du Canada </w:t>
            </w:r>
            <w:r w:rsidRPr="00FC7ECC">
              <w:rPr>
                <w:rFonts w:eastAsia="Calibri" w:cs="Times New Roman"/>
                <w:sz w:val="20"/>
                <w:szCs w:val="20"/>
                <w:lang w:val="fr-CA"/>
              </w:rPr>
              <w:t xml:space="preserve">(Qc) </w:t>
            </w:r>
            <w:r w:rsidRPr="00216AEB">
              <w:rPr>
                <w:rFonts w:eastAsia="Calibri" w:cs="Times New Roman"/>
                <w:sz w:val="20"/>
                <w:szCs w:val="20"/>
                <w:lang w:val="fr-CA"/>
              </w:rPr>
              <w:t>(Ci</w:t>
            </w:r>
            <w:r>
              <w:rPr>
                <w:rFonts w:eastAsia="Calibri" w:cs="Times New Roman"/>
                <w:sz w:val="20"/>
                <w:szCs w:val="20"/>
                <w:lang w:val="fr-CA"/>
              </w:rPr>
              <w:t>v</w:t>
            </w:r>
            <w:r w:rsidRPr="00216AEB">
              <w:rPr>
                <w:rFonts w:eastAsia="Calibri" w:cs="Times New Roman"/>
                <w:sz w:val="20"/>
                <w:szCs w:val="20"/>
                <w:lang w:val="fr-CA"/>
              </w:rPr>
              <w:t>i</w:t>
            </w:r>
            <w:r>
              <w:rPr>
                <w:rFonts w:eastAsia="Calibri" w:cs="Times New Roman"/>
                <w:sz w:val="20"/>
                <w:szCs w:val="20"/>
                <w:lang w:val="fr-CA"/>
              </w:rPr>
              <w:t>le</w:t>
            </w:r>
            <w:r w:rsidRPr="00216AEB">
              <w:rPr>
                <w:rFonts w:eastAsia="Calibri" w:cs="Times New Roman"/>
                <w:sz w:val="20"/>
                <w:szCs w:val="20"/>
                <w:lang w:val="fr-CA"/>
              </w:rPr>
              <w:t>) (</w:t>
            </w:r>
            <w:r>
              <w:rPr>
                <w:rFonts w:eastAsia="Calibri" w:cs="Times New Roman"/>
                <w:sz w:val="20"/>
                <w:szCs w:val="20"/>
                <w:lang w:val="fr-CA"/>
              </w:rPr>
              <w:t>Autorisation)</w:t>
            </w:r>
            <w:r w:rsidRPr="00216AEB">
              <w:rPr>
                <w:rFonts w:eastAsia="Calibri" w:cs="Times New Roman"/>
                <w:sz w:val="20"/>
                <w:szCs w:val="20"/>
                <w:lang w:val="fr-CA"/>
              </w:rPr>
              <w:t xml:space="preserve"> (3</w:t>
            </w:r>
            <w:r>
              <w:rPr>
                <w:rFonts w:eastAsia="Calibri" w:cs="Times New Roman"/>
                <w:sz w:val="20"/>
                <w:szCs w:val="20"/>
                <w:lang w:val="fr-CA"/>
              </w:rPr>
              <w:t>56</w:t>
            </w:r>
            <w:r w:rsidR="007E45CC">
              <w:rPr>
                <w:rFonts w:eastAsia="Calibri" w:cs="Times New Roman"/>
                <w:sz w:val="20"/>
                <w:szCs w:val="20"/>
                <w:lang w:val="fr-CA"/>
              </w:rPr>
              <w:t>13</w:t>
            </w:r>
            <w:r w:rsidRPr="00216AEB">
              <w:rPr>
                <w:rFonts w:eastAsia="Calibri" w:cs="Times New Roman"/>
                <w:sz w:val="20"/>
                <w:szCs w:val="20"/>
                <w:lang w:val="fr-CA"/>
              </w:rPr>
              <w:t>)</w:t>
            </w:r>
          </w:p>
        </w:tc>
      </w:tr>
      <w:tr w:rsidR="005F1ED8" w:rsidRPr="003A74F5" w:rsidTr="005F1ED8">
        <w:trPr>
          <w:cantSplit/>
          <w:trHeight w:hRule="exact" w:val="648"/>
        </w:trPr>
        <w:tc>
          <w:tcPr>
            <w:tcW w:w="2398" w:type="dxa"/>
          </w:tcPr>
          <w:p w:rsidR="005F1ED8" w:rsidRPr="003A74F5" w:rsidRDefault="005F1ED8" w:rsidP="00FC7ECC">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sidR="00FC7ECC">
              <w:rPr>
                <w:rFonts w:eastAsia="Calibri" w:cs="Times New Roman"/>
                <w:sz w:val="20"/>
                <w:szCs w:val="20"/>
              </w:rPr>
              <w:t>11</w:t>
            </w:r>
            <w:r>
              <w:rPr>
                <w:rFonts w:eastAsia="Calibri" w:cs="Times New Roman"/>
                <w:sz w:val="20"/>
                <w:szCs w:val="20"/>
              </w:rPr>
              <w:t>-</w:t>
            </w:r>
            <w:r w:rsidR="00FC7ECC">
              <w:rPr>
                <w:rFonts w:eastAsia="Calibri" w:cs="Times New Roman"/>
                <w:sz w:val="20"/>
                <w:szCs w:val="20"/>
              </w:rPr>
              <w:t>1</w:t>
            </w:r>
            <w:r>
              <w:rPr>
                <w:rFonts w:eastAsia="Calibri" w:cs="Times New Roman"/>
                <w:sz w:val="20"/>
                <w:szCs w:val="20"/>
              </w:rPr>
              <w:t>2</w:t>
            </w:r>
          </w:p>
        </w:tc>
        <w:tc>
          <w:tcPr>
            <w:tcW w:w="7178" w:type="dxa"/>
          </w:tcPr>
          <w:p w:rsidR="005F1ED8" w:rsidRPr="003A74F5" w:rsidRDefault="007E45CC" w:rsidP="007E45CC">
            <w:pPr>
              <w:jc w:val="both"/>
              <w:rPr>
                <w:rFonts w:eastAsia="Calibri" w:cs="Times New Roman"/>
                <w:sz w:val="20"/>
                <w:szCs w:val="20"/>
              </w:rPr>
            </w:pPr>
            <w:r>
              <w:rPr>
                <w:rFonts w:eastAsia="Calibri" w:cs="Times New Roman"/>
                <w:i/>
                <w:sz w:val="20"/>
                <w:szCs w:val="20"/>
              </w:rPr>
              <w:t>British Columbia Teachers’ Federation et al.</w:t>
            </w:r>
            <w:r w:rsidR="005F1ED8">
              <w:rPr>
                <w:rFonts w:eastAsia="Calibri" w:cs="Times New Roman"/>
                <w:i/>
                <w:sz w:val="20"/>
                <w:szCs w:val="20"/>
              </w:rPr>
              <w:t xml:space="preserve"> v. </w:t>
            </w:r>
            <w:r>
              <w:rPr>
                <w:rFonts w:eastAsia="Calibri" w:cs="Times New Roman"/>
                <w:i/>
                <w:sz w:val="20"/>
                <w:szCs w:val="20"/>
              </w:rPr>
              <w:t>Br</w:t>
            </w:r>
            <w:r w:rsidR="005F1ED8">
              <w:rPr>
                <w:rFonts w:eastAsia="Calibri" w:cs="Times New Roman"/>
                <w:i/>
                <w:sz w:val="20"/>
                <w:szCs w:val="20"/>
              </w:rPr>
              <w:t>i</w:t>
            </w:r>
            <w:r>
              <w:rPr>
                <w:rFonts w:eastAsia="Calibri" w:cs="Times New Roman"/>
                <w:i/>
                <w:sz w:val="20"/>
                <w:szCs w:val="20"/>
              </w:rPr>
              <w:t>tish Columbia Public School Employ</w:t>
            </w:r>
            <w:r w:rsidR="005F1ED8">
              <w:rPr>
                <w:rFonts w:eastAsia="Calibri" w:cs="Times New Roman"/>
                <w:i/>
                <w:sz w:val="20"/>
                <w:szCs w:val="20"/>
              </w:rPr>
              <w:t>e</w:t>
            </w:r>
            <w:r>
              <w:rPr>
                <w:rFonts w:eastAsia="Calibri" w:cs="Times New Roman"/>
                <w:i/>
                <w:sz w:val="20"/>
                <w:szCs w:val="20"/>
              </w:rPr>
              <w:t xml:space="preserve">rs’ Association et </w:t>
            </w:r>
            <w:r w:rsidR="005F1ED8">
              <w:rPr>
                <w:rFonts w:eastAsia="Calibri" w:cs="Times New Roman"/>
                <w:i/>
                <w:sz w:val="20"/>
                <w:szCs w:val="20"/>
              </w:rPr>
              <w:t>al</w:t>
            </w:r>
            <w:r>
              <w:rPr>
                <w:rFonts w:eastAsia="Calibri" w:cs="Times New Roman"/>
                <w:i/>
                <w:sz w:val="20"/>
                <w:szCs w:val="20"/>
              </w:rPr>
              <w:t>.</w:t>
            </w:r>
            <w:r w:rsidR="005F1ED8">
              <w:rPr>
                <w:rFonts w:eastAsia="Calibri" w:cs="Times New Roman"/>
                <w:i/>
                <w:sz w:val="20"/>
                <w:szCs w:val="20"/>
              </w:rPr>
              <w:t xml:space="preserve"> </w:t>
            </w:r>
            <w:r w:rsidR="005F1ED8" w:rsidRPr="00202908">
              <w:rPr>
                <w:rFonts w:eastAsia="Calibri" w:cs="Times New Roman"/>
                <w:sz w:val="20"/>
                <w:szCs w:val="20"/>
              </w:rPr>
              <w:t>(</w:t>
            </w:r>
            <w:r>
              <w:rPr>
                <w:rFonts w:eastAsia="Calibri" w:cs="Times New Roman"/>
                <w:sz w:val="20"/>
                <w:szCs w:val="20"/>
              </w:rPr>
              <w:t>B.C</w:t>
            </w:r>
            <w:r w:rsidR="005F1ED8" w:rsidRPr="00202908">
              <w:rPr>
                <w:rFonts w:eastAsia="Calibri" w:cs="Times New Roman"/>
                <w:sz w:val="20"/>
                <w:szCs w:val="20"/>
              </w:rPr>
              <w:t xml:space="preserve">.) </w:t>
            </w:r>
            <w:r w:rsidR="005F1ED8" w:rsidRPr="005B6C58">
              <w:rPr>
                <w:rFonts w:eastAsia="Calibri" w:cs="Times New Roman"/>
                <w:sz w:val="20"/>
                <w:szCs w:val="20"/>
              </w:rPr>
              <w:t>(Ci</w:t>
            </w:r>
            <w:r>
              <w:rPr>
                <w:rFonts w:eastAsia="Calibri" w:cs="Times New Roman"/>
                <w:sz w:val="20"/>
                <w:szCs w:val="20"/>
              </w:rPr>
              <w:t>v</w:t>
            </w:r>
            <w:r w:rsidR="005F1ED8" w:rsidRPr="005B6C58">
              <w:rPr>
                <w:rFonts w:eastAsia="Calibri" w:cs="Times New Roman"/>
                <w:sz w:val="20"/>
                <w:szCs w:val="20"/>
              </w:rPr>
              <w:t>il) (</w:t>
            </w:r>
            <w:r>
              <w:rPr>
                <w:rFonts w:eastAsia="Calibri" w:cs="Times New Roman"/>
                <w:sz w:val="20"/>
                <w:szCs w:val="20"/>
              </w:rPr>
              <w:t>By Leave</w:t>
            </w:r>
            <w:r w:rsidR="005F1ED8" w:rsidRPr="005B6C58">
              <w:rPr>
                <w:rFonts w:eastAsia="Calibri" w:cs="Times New Roman"/>
                <w:sz w:val="20"/>
                <w:szCs w:val="20"/>
              </w:rPr>
              <w:t>) (3</w:t>
            </w:r>
            <w:r w:rsidR="005F1ED8">
              <w:rPr>
                <w:rFonts w:eastAsia="Calibri" w:cs="Times New Roman"/>
                <w:sz w:val="20"/>
                <w:szCs w:val="20"/>
              </w:rPr>
              <w:t>56</w:t>
            </w:r>
            <w:r>
              <w:rPr>
                <w:rFonts w:eastAsia="Calibri" w:cs="Times New Roman"/>
                <w:sz w:val="20"/>
                <w:szCs w:val="20"/>
              </w:rPr>
              <w:t>23</w:t>
            </w:r>
            <w:r w:rsidR="005F1ED8" w:rsidRPr="005B6C58">
              <w:rPr>
                <w:rFonts w:eastAsia="Calibri" w:cs="Times New Roman"/>
                <w:sz w:val="20"/>
                <w:szCs w:val="20"/>
              </w:rPr>
              <w:t>)</w:t>
            </w:r>
          </w:p>
        </w:tc>
      </w:tr>
      <w:tr w:rsidR="005F1ED8" w:rsidRPr="003A74F5" w:rsidTr="007E45CC">
        <w:trPr>
          <w:cantSplit/>
          <w:trHeight w:hRule="exact" w:val="821"/>
        </w:trPr>
        <w:tc>
          <w:tcPr>
            <w:tcW w:w="2398" w:type="dxa"/>
          </w:tcPr>
          <w:p w:rsidR="005F1ED8" w:rsidRDefault="005F1ED8" w:rsidP="00FC7ECC">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sidR="00FC7ECC">
              <w:rPr>
                <w:rFonts w:eastAsia="Calibri" w:cs="Times New Roman"/>
                <w:sz w:val="20"/>
                <w:szCs w:val="20"/>
              </w:rPr>
              <w:t>11</w:t>
            </w:r>
            <w:r>
              <w:rPr>
                <w:rFonts w:eastAsia="Calibri" w:cs="Times New Roman"/>
                <w:sz w:val="20"/>
                <w:szCs w:val="20"/>
              </w:rPr>
              <w:t>-</w:t>
            </w:r>
            <w:r w:rsidR="00FC7ECC">
              <w:rPr>
                <w:rFonts w:eastAsia="Calibri" w:cs="Times New Roman"/>
                <w:sz w:val="20"/>
                <w:szCs w:val="20"/>
              </w:rPr>
              <w:t>1</w:t>
            </w:r>
            <w:r>
              <w:rPr>
                <w:rFonts w:eastAsia="Calibri" w:cs="Times New Roman"/>
                <w:sz w:val="20"/>
                <w:szCs w:val="20"/>
              </w:rPr>
              <w:t>3</w:t>
            </w:r>
          </w:p>
        </w:tc>
        <w:tc>
          <w:tcPr>
            <w:tcW w:w="7178" w:type="dxa"/>
          </w:tcPr>
          <w:p w:rsidR="005F1ED8" w:rsidRPr="00202908" w:rsidRDefault="007E45CC" w:rsidP="007E45CC">
            <w:pPr>
              <w:jc w:val="both"/>
              <w:rPr>
                <w:rFonts w:eastAsia="Calibri" w:cs="Times New Roman"/>
                <w:i/>
                <w:sz w:val="20"/>
                <w:szCs w:val="20"/>
              </w:rPr>
            </w:pPr>
            <w:r>
              <w:rPr>
                <w:rFonts w:eastAsia="Calibri" w:cs="Times New Roman"/>
                <w:i/>
                <w:sz w:val="20"/>
                <w:szCs w:val="20"/>
              </w:rPr>
              <w:t>Ivan William Mervin Henry</w:t>
            </w:r>
            <w:r w:rsidR="005F1ED8">
              <w:rPr>
                <w:rFonts w:eastAsia="Calibri" w:cs="Times New Roman"/>
                <w:i/>
                <w:sz w:val="20"/>
                <w:szCs w:val="20"/>
              </w:rPr>
              <w:t xml:space="preserve"> v. </w:t>
            </w:r>
            <w:r w:rsidR="005F1ED8" w:rsidRPr="00202908">
              <w:rPr>
                <w:rFonts w:eastAsia="Calibri" w:cs="Times New Roman"/>
                <w:i/>
                <w:sz w:val="20"/>
                <w:szCs w:val="20"/>
              </w:rPr>
              <w:t>Her Majesty the</w:t>
            </w:r>
            <w:r w:rsidR="005F1ED8">
              <w:rPr>
                <w:rFonts w:eastAsia="Calibri" w:cs="Times New Roman"/>
                <w:i/>
                <w:sz w:val="20"/>
                <w:szCs w:val="20"/>
              </w:rPr>
              <w:t xml:space="preserve"> Quee</w:t>
            </w:r>
            <w:r w:rsidR="005F1ED8" w:rsidRPr="00202908">
              <w:rPr>
                <w:rFonts w:eastAsia="Calibri" w:cs="Times New Roman"/>
                <w:i/>
                <w:sz w:val="20"/>
                <w:szCs w:val="20"/>
              </w:rPr>
              <w:t>n</w:t>
            </w:r>
            <w:r w:rsidR="005F1ED8">
              <w:rPr>
                <w:rFonts w:eastAsia="Calibri" w:cs="Times New Roman"/>
                <w:i/>
                <w:sz w:val="20"/>
                <w:szCs w:val="20"/>
              </w:rPr>
              <w:t xml:space="preserve"> </w:t>
            </w:r>
            <w:r>
              <w:rPr>
                <w:rFonts w:eastAsia="Calibri" w:cs="Times New Roman"/>
                <w:i/>
                <w:sz w:val="20"/>
                <w:szCs w:val="20"/>
              </w:rPr>
              <w:t xml:space="preserve">in Right of the Province of British Columbia as Represented by the Attorney General of British Columbia et al. </w:t>
            </w:r>
            <w:r w:rsidR="005F1ED8" w:rsidRPr="00202908">
              <w:rPr>
                <w:rFonts w:eastAsia="Calibri" w:cs="Times New Roman"/>
                <w:sz w:val="20"/>
                <w:szCs w:val="20"/>
              </w:rPr>
              <w:t>(</w:t>
            </w:r>
            <w:r>
              <w:rPr>
                <w:rFonts w:eastAsia="Calibri" w:cs="Times New Roman"/>
                <w:sz w:val="20"/>
                <w:szCs w:val="20"/>
              </w:rPr>
              <w:t>B.C</w:t>
            </w:r>
            <w:r w:rsidR="005F1ED8" w:rsidRPr="00202908">
              <w:rPr>
                <w:rFonts w:eastAsia="Calibri" w:cs="Times New Roman"/>
                <w:sz w:val="20"/>
                <w:szCs w:val="20"/>
              </w:rPr>
              <w:t xml:space="preserve">.) </w:t>
            </w:r>
            <w:r w:rsidR="005F1ED8" w:rsidRPr="005B6C58">
              <w:rPr>
                <w:rFonts w:eastAsia="Calibri" w:cs="Times New Roman"/>
                <w:sz w:val="20"/>
                <w:szCs w:val="20"/>
              </w:rPr>
              <w:t>(Ci</w:t>
            </w:r>
            <w:r>
              <w:rPr>
                <w:rFonts w:eastAsia="Calibri" w:cs="Times New Roman"/>
                <w:sz w:val="20"/>
                <w:szCs w:val="20"/>
              </w:rPr>
              <w:t>vi</w:t>
            </w:r>
            <w:r w:rsidR="005F1ED8" w:rsidRPr="005B6C58">
              <w:rPr>
                <w:rFonts w:eastAsia="Calibri" w:cs="Times New Roman"/>
                <w:sz w:val="20"/>
                <w:szCs w:val="20"/>
              </w:rPr>
              <w:t>l) (</w:t>
            </w:r>
            <w:r>
              <w:rPr>
                <w:rFonts w:eastAsia="Calibri" w:cs="Times New Roman"/>
                <w:sz w:val="20"/>
                <w:szCs w:val="20"/>
              </w:rPr>
              <w:t>By Leave</w:t>
            </w:r>
            <w:r w:rsidR="005F1ED8" w:rsidRPr="005B6C58">
              <w:rPr>
                <w:rFonts w:eastAsia="Calibri" w:cs="Times New Roman"/>
                <w:sz w:val="20"/>
                <w:szCs w:val="20"/>
              </w:rPr>
              <w:t>) (3</w:t>
            </w:r>
            <w:r w:rsidR="005F1ED8">
              <w:rPr>
                <w:rFonts w:eastAsia="Calibri" w:cs="Times New Roman"/>
                <w:sz w:val="20"/>
                <w:szCs w:val="20"/>
              </w:rPr>
              <w:t>5</w:t>
            </w:r>
            <w:r>
              <w:rPr>
                <w:rFonts w:eastAsia="Calibri" w:cs="Times New Roman"/>
                <w:sz w:val="20"/>
                <w:szCs w:val="20"/>
              </w:rPr>
              <w:t>745</w:t>
            </w:r>
            <w:r w:rsidR="005F1ED8">
              <w:rPr>
                <w:rFonts w:eastAsia="Calibri" w:cs="Times New Roman"/>
                <w:sz w:val="20"/>
                <w:szCs w:val="20"/>
              </w:rPr>
              <w:t>)</w:t>
            </w:r>
          </w:p>
        </w:tc>
      </w:tr>
      <w:tr w:rsidR="007E45CC" w:rsidRPr="007E45CC" w:rsidTr="005F1ED8">
        <w:trPr>
          <w:cantSplit/>
          <w:trHeight w:hRule="exact" w:val="432"/>
        </w:trPr>
        <w:tc>
          <w:tcPr>
            <w:tcW w:w="2398" w:type="dxa"/>
          </w:tcPr>
          <w:p w:rsidR="007E45CC" w:rsidRDefault="007E45CC" w:rsidP="00FC7ECC">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11-14</w:t>
            </w:r>
          </w:p>
        </w:tc>
        <w:tc>
          <w:tcPr>
            <w:tcW w:w="7178" w:type="dxa"/>
          </w:tcPr>
          <w:p w:rsidR="007E45CC" w:rsidRPr="00FC7ECC" w:rsidRDefault="007E45CC" w:rsidP="007E45CC">
            <w:pPr>
              <w:jc w:val="both"/>
              <w:rPr>
                <w:rFonts w:eastAsia="Calibri" w:cs="Times New Roman"/>
                <w:sz w:val="20"/>
                <w:szCs w:val="20"/>
              </w:rPr>
            </w:pPr>
            <w:r w:rsidRPr="003B7455">
              <w:rPr>
                <w:rFonts w:eastAsia="Calibri" w:cs="Times New Roman"/>
                <w:i/>
                <w:sz w:val="20"/>
                <w:szCs w:val="20"/>
              </w:rPr>
              <w:t xml:space="preserve">Her </w:t>
            </w:r>
            <w:r w:rsidRPr="0085047E">
              <w:rPr>
                <w:rFonts w:eastAsia="Calibri" w:cs="Times New Roman"/>
                <w:i/>
                <w:sz w:val="20"/>
                <w:szCs w:val="20"/>
              </w:rPr>
              <w:t>Majesty the Queen</w:t>
            </w:r>
            <w:r>
              <w:rPr>
                <w:rFonts w:eastAsia="Calibri" w:cs="Times New Roman"/>
                <w:i/>
                <w:sz w:val="20"/>
                <w:szCs w:val="20"/>
              </w:rPr>
              <w:t xml:space="preserve"> </w:t>
            </w:r>
            <w:r w:rsidRPr="003B7455">
              <w:rPr>
                <w:rFonts w:eastAsia="Calibri" w:cs="Times New Roman"/>
                <w:i/>
                <w:sz w:val="20"/>
                <w:szCs w:val="20"/>
              </w:rPr>
              <w:t>v.</w:t>
            </w:r>
            <w:r>
              <w:rPr>
                <w:rFonts w:eastAsia="Calibri" w:cs="Times New Roman"/>
                <w:i/>
                <w:sz w:val="20"/>
                <w:szCs w:val="20"/>
              </w:rPr>
              <w:t xml:space="preserve"> Mark Edward Grant</w:t>
            </w:r>
            <w:r w:rsidRPr="003B7455">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Man</w:t>
            </w:r>
            <w:r w:rsidRPr="0085047E">
              <w:rPr>
                <w:rFonts w:eastAsia="Calibri" w:cs="Times New Roman"/>
                <w:sz w:val="20"/>
                <w:szCs w:val="20"/>
              </w:rPr>
              <w:t xml:space="preserve">.) </w:t>
            </w:r>
            <w:r w:rsidRPr="003B7455">
              <w:rPr>
                <w:rFonts w:eastAsia="Calibri" w:cs="Times New Roman"/>
                <w:sz w:val="20"/>
                <w:szCs w:val="20"/>
              </w:rPr>
              <w:t>(Criminal) (</w:t>
            </w:r>
            <w:r>
              <w:rPr>
                <w:rFonts w:eastAsia="Calibri" w:cs="Times New Roman"/>
                <w:sz w:val="20"/>
                <w:szCs w:val="20"/>
              </w:rPr>
              <w:t>By Leave)</w:t>
            </w:r>
            <w:r w:rsidRPr="003B7455">
              <w:rPr>
                <w:rFonts w:eastAsia="Calibri" w:cs="Times New Roman"/>
                <w:sz w:val="20"/>
                <w:szCs w:val="20"/>
              </w:rPr>
              <w:t xml:space="preserve"> (3</w:t>
            </w:r>
            <w:r>
              <w:rPr>
                <w:rFonts w:eastAsia="Calibri" w:cs="Times New Roman"/>
                <w:sz w:val="20"/>
                <w:szCs w:val="20"/>
              </w:rPr>
              <w:t>5664</w:t>
            </w:r>
            <w:r w:rsidRPr="003B7455">
              <w:rPr>
                <w:rFonts w:eastAsia="Calibri" w:cs="Times New Roman"/>
                <w:sz w:val="20"/>
                <w:szCs w:val="20"/>
              </w:rPr>
              <w:t>)</w:t>
            </w:r>
          </w:p>
        </w:tc>
      </w:tr>
      <w:tr w:rsidR="007E45CC" w:rsidRPr="007E45CC" w:rsidTr="007E45CC">
        <w:trPr>
          <w:cantSplit/>
          <w:trHeight w:hRule="exact" w:val="432"/>
        </w:trPr>
        <w:tc>
          <w:tcPr>
            <w:tcW w:w="2398" w:type="dxa"/>
          </w:tcPr>
          <w:p w:rsidR="007E45CC" w:rsidRDefault="007E45CC" w:rsidP="00FC7ECC">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11-14</w:t>
            </w:r>
          </w:p>
        </w:tc>
        <w:tc>
          <w:tcPr>
            <w:tcW w:w="7178" w:type="dxa"/>
          </w:tcPr>
          <w:p w:rsidR="007E45CC" w:rsidRPr="00FC7ECC" w:rsidRDefault="007E45CC" w:rsidP="007E45CC">
            <w:pPr>
              <w:jc w:val="both"/>
              <w:rPr>
                <w:rFonts w:eastAsia="Calibri" w:cs="Times New Roman"/>
                <w:sz w:val="20"/>
                <w:szCs w:val="20"/>
              </w:rPr>
            </w:pPr>
            <w:r>
              <w:rPr>
                <w:rFonts w:eastAsia="Calibri" w:cs="Times New Roman"/>
                <w:i/>
                <w:sz w:val="20"/>
                <w:szCs w:val="20"/>
              </w:rPr>
              <w:t>Br</w:t>
            </w:r>
            <w:r w:rsidRPr="007E45CC">
              <w:rPr>
                <w:rFonts w:eastAsia="Calibri" w:cs="Times New Roman"/>
                <w:i/>
                <w:sz w:val="20"/>
                <w:szCs w:val="20"/>
              </w:rPr>
              <w:t>a</w:t>
            </w:r>
            <w:r>
              <w:rPr>
                <w:rFonts w:eastAsia="Calibri" w:cs="Times New Roman"/>
                <w:i/>
                <w:sz w:val="20"/>
                <w:szCs w:val="20"/>
              </w:rPr>
              <w:t>ndon Wi</w:t>
            </w:r>
            <w:r w:rsidRPr="007E45CC">
              <w:rPr>
                <w:rFonts w:eastAsia="Calibri" w:cs="Times New Roman"/>
                <w:i/>
                <w:sz w:val="20"/>
                <w:szCs w:val="20"/>
              </w:rPr>
              <w:t>l</w:t>
            </w:r>
            <w:r>
              <w:rPr>
                <w:rFonts w:eastAsia="Calibri" w:cs="Times New Roman"/>
                <w:i/>
                <w:sz w:val="20"/>
                <w:szCs w:val="20"/>
              </w:rPr>
              <w:t>ls</w:t>
            </w:r>
            <w:r w:rsidRPr="007E45CC">
              <w:rPr>
                <w:rFonts w:eastAsia="Calibri" w:cs="Times New Roman"/>
                <w:sz w:val="20"/>
                <w:szCs w:val="20"/>
              </w:rPr>
              <w:t xml:space="preserve"> </w:t>
            </w:r>
            <w:r w:rsidRPr="007E45CC">
              <w:rPr>
                <w:rFonts w:eastAsia="Calibri" w:cs="Times New Roman"/>
                <w:i/>
                <w:sz w:val="20"/>
                <w:szCs w:val="20"/>
              </w:rPr>
              <w:t xml:space="preserve">v. </w:t>
            </w:r>
            <w:r w:rsidRPr="003B7455">
              <w:rPr>
                <w:rFonts w:eastAsia="Calibri" w:cs="Times New Roman"/>
                <w:i/>
                <w:sz w:val="20"/>
                <w:szCs w:val="20"/>
              </w:rPr>
              <w:t xml:space="preserve">Her </w:t>
            </w:r>
            <w:r w:rsidRPr="0085047E">
              <w:rPr>
                <w:rFonts w:eastAsia="Calibri" w:cs="Times New Roman"/>
                <w:i/>
                <w:sz w:val="20"/>
                <w:szCs w:val="20"/>
              </w:rPr>
              <w:t>Majesty the Queen</w:t>
            </w:r>
            <w:r>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Ont</w:t>
            </w:r>
            <w:r w:rsidRPr="0085047E">
              <w:rPr>
                <w:rFonts w:eastAsia="Calibri" w:cs="Times New Roman"/>
                <w:sz w:val="20"/>
                <w:szCs w:val="20"/>
              </w:rPr>
              <w:t xml:space="preserve">.) </w:t>
            </w:r>
            <w:r w:rsidRPr="003B7455">
              <w:rPr>
                <w:rFonts w:eastAsia="Calibri" w:cs="Times New Roman"/>
                <w:sz w:val="20"/>
                <w:szCs w:val="20"/>
              </w:rPr>
              <w:t>(Criminal) (</w:t>
            </w:r>
            <w:r>
              <w:rPr>
                <w:rFonts w:eastAsia="Calibri" w:cs="Times New Roman"/>
                <w:sz w:val="20"/>
                <w:szCs w:val="20"/>
              </w:rPr>
              <w:t>As of Right)</w:t>
            </w:r>
            <w:r w:rsidRPr="003B7455">
              <w:rPr>
                <w:rFonts w:eastAsia="Calibri" w:cs="Times New Roman"/>
                <w:sz w:val="20"/>
                <w:szCs w:val="20"/>
              </w:rPr>
              <w:t xml:space="preserve"> (3</w:t>
            </w:r>
            <w:r>
              <w:rPr>
                <w:rFonts w:eastAsia="Calibri" w:cs="Times New Roman"/>
                <w:sz w:val="20"/>
                <w:szCs w:val="20"/>
              </w:rPr>
              <w:t>5804</w:t>
            </w:r>
            <w:r w:rsidRPr="003B7455">
              <w:rPr>
                <w:rFonts w:eastAsia="Calibri" w:cs="Times New Roman"/>
                <w:sz w:val="20"/>
                <w:szCs w:val="20"/>
              </w:rPr>
              <w:t>)</w:t>
            </w:r>
          </w:p>
        </w:tc>
      </w:tr>
    </w:tbl>
    <w:p w:rsidR="005F1ED8" w:rsidRDefault="005F1ED8" w:rsidP="004B66B4">
      <w:pPr>
        <w:rPr>
          <w:sz w:val="20"/>
          <w:szCs w:val="20"/>
          <w:lang w:val="fr-CA"/>
        </w:rPr>
      </w:pPr>
    </w:p>
    <w:p w:rsidR="004B66B4" w:rsidRPr="00DD0B49" w:rsidRDefault="00714478" w:rsidP="002868D0">
      <w:pPr>
        <w:jc w:val="both"/>
        <w:rPr>
          <w:sz w:val="20"/>
          <w:szCs w:val="20"/>
        </w:rPr>
      </w:pPr>
      <w:r>
        <w:rPr>
          <w:sz w:val="20"/>
          <w:szCs w:val="20"/>
          <w:lang w:val="fr-CA"/>
        </w:rPr>
        <w:pict>
          <v:rect id="_x0000_i1088"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5F263E">
      <w:pPr>
        <w:tabs>
          <w:tab w:val="left" w:pos="-1440"/>
          <w:tab w:val="left" w:pos="-720"/>
        </w:tabs>
        <w:ind w:left="720" w:hanging="720"/>
        <w:jc w:val="both"/>
        <w:rPr>
          <w:sz w:val="20"/>
          <w:szCs w:val="20"/>
        </w:rPr>
      </w:pPr>
    </w:p>
    <w:p w:rsidR="00CB5104" w:rsidRPr="00AB1B5E" w:rsidRDefault="00A4467E" w:rsidP="00CB5104">
      <w:pPr>
        <w:widowControl w:val="0"/>
        <w:ind w:left="720" w:hanging="720"/>
        <w:jc w:val="both"/>
        <w:rPr>
          <w:sz w:val="20"/>
          <w:szCs w:val="20"/>
        </w:rPr>
      </w:pPr>
      <w:r w:rsidRPr="00AB1B5E">
        <w:rPr>
          <w:b/>
          <w:sz w:val="20"/>
          <w:szCs w:val="20"/>
        </w:rPr>
        <w:fldChar w:fldCharType="begin"/>
      </w:r>
      <w:r w:rsidR="00CB5104" w:rsidRPr="00AB1B5E">
        <w:rPr>
          <w:b/>
          <w:sz w:val="20"/>
          <w:szCs w:val="20"/>
        </w:rPr>
        <w:instrText xml:space="preserve"> SEQ CHAPTER \h \r 1</w:instrText>
      </w:r>
      <w:r w:rsidRPr="00AB1B5E">
        <w:rPr>
          <w:b/>
          <w:sz w:val="20"/>
          <w:szCs w:val="20"/>
        </w:rPr>
        <w:fldChar w:fldCharType="end"/>
      </w:r>
      <w:r w:rsidR="00CB5104" w:rsidRPr="00AB1B5E">
        <w:rPr>
          <w:b/>
          <w:sz w:val="20"/>
          <w:szCs w:val="20"/>
        </w:rPr>
        <w:t>35562</w:t>
      </w:r>
      <w:r w:rsidR="00CB5104" w:rsidRPr="00AB1B5E">
        <w:rPr>
          <w:sz w:val="20"/>
          <w:szCs w:val="20"/>
        </w:rPr>
        <w:tab/>
      </w:r>
      <w:r w:rsidR="00CB5104" w:rsidRPr="00AB1B5E">
        <w:rPr>
          <w:b/>
          <w:i/>
          <w:sz w:val="20"/>
          <w:szCs w:val="20"/>
        </w:rPr>
        <w:t>Apotex Inc., Apotex Pharmachem Inc. v. Sanofi-Aventis, Bristol-Myers Squibb Sanofi Pharmaceuticals Holding Partnership</w:t>
      </w:r>
    </w:p>
    <w:p w:rsidR="00CB5104" w:rsidRPr="00AB1B5E" w:rsidRDefault="00CB5104" w:rsidP="00CB5104">
      <w:pPr>
        <w:widowControl w:val="0"/>
        <w:jc w:val="both"/>
        <w:rPr>
          <w:sz w:val="20"/>
          <w:szCs w:val="20"/>
        </w:rPr>
      </w:pPr>
    </w:p>
    <w:p w:rsidR="00CB5104" w:rsidRPr="00AB1B5E" w:rsidRDefault="00CB5104" w:rsidP="00CB5104">
      <w:pPr>
        <w:jc w:val="both"/>
        <w:rPr>
          <w:sz w:val="20"/>
          <w:szCs w:val="20"/>
        </w:rPr>
      </w:pPr>
      <w:r w:rsidRPr="00AB1B5E">
        <w:rPr>
          <w:sz w:val="20"/>
          <w:szCs w:val="20"/>
        </w:rPr>
        <w:t>Intellectual property - Patents - Medicines - Patent for medicine held to be valid and infringed by generic manufacturer - How the utility promised by a patent is to be identified and ascertained - How an appellate court is to review factual findings of trial judge as to how skilled addressee would understand the promised utility - How limitations periods are to be applied in respect of activity that only involves conduct, including import and export, in one province.</w:t>
      </w:r>
    </w:p>
    <w:p w:rsidR="00CB5104" w:rsidRPr="00AB1B5E" w:rsidRDefault="00CB5104" w:rsidP="00CB5104">
      <w:pPr>
        <w:pStyle w:val="loose"/>
        <w:ind w:right="4"/>
        <w:jc w:val="both"/>
        <w:rPr>
          <w:sz w:val="20"/>
          <w:szCs w:val="20"/>
          <w:lang w:val="en-CA"/>
        </w:rPr>
      </w:pPr>
      <w:r w:rsidRPr="00AB1B5E">
        <w:rPr>
          <w:color w:val="000000"/>
          <w:sz w:val="20"/>
          <w:szCs w:val="20"/>
        </w:rPr>
        <w:t>Plavix is a drug useful in inhibiting platelet aggregation activity in the blood which was developed, patented, and marketed by the respondents (collectively, “Sanofi”).  The ’777 Patent for Plavix is considered to be a selection patent that claims a subset of compounds which are already within the scope of the prior genus ’875 Patent.  The active ingredient in Plavix is clopidogrel bisulphate, the dextro-rotatory isomer of the racemate, having beneficial properties over both the racemate and the levo-rotatory isomer.  Apotex Inc. (“Apotex”) attempted to market its own version of clopidogrel bisulfate.  It applied for a Notice of Compliance from the Minister of Health, alleging that its version of clopidogrel did not infringe Sanofi’s patent.  Apotex also alleged that the ’777 Patent for Plavix was invalid on several grounds.  Sanofi successfully obtained an order prohibiting the Minister from issuing the Notice of Compliance to Apotex.  This order was upheld on appeal and again at the Supreme Court of Canada (</w:t>
      </w:r>
      <w:r w:rsidRPr="00AB1B5E">
        <w:rPr>
          <w:i/>
          <w:color w:val="000000"/>
          <w:sz w:val="20"/>
          <w:szCs w:val="20"/>
        </w:rPr>
        <w:t>Apotex Inc. v. Sanofi-Syntholabo Canada Inc.</w:t>
      </w:r>
      <w:r w:rsidRPr="00AB1B5E">
        <w:rPr>
          <w:color w:val="000000"/>
          <w:sz w:val="20"/>
          <w:szCs w:val="20"/>
        </w:rPr>
        <w:t>, 2008 SCC 61 (“</w:t>
      </w:r>
      <w:r w:rsidRPr="00AB1B5E">
        <w:rPr>
          <w:i/>
          <w:color w:val="000000"/>
          <w:sz w:val="20"/>
          <w:szCs w:val="20"/>
        </w:rPr>
        <w:t>Plavix SCC</w:t>
      </w:r>
      <w:r w:rsidRPr="00AB1B5E">
        <w:rPr>
          <w:color w:val="000000"/>
          <w:sz w:val="20"/>
          <w:szCs w:val="20"/>
        </w:rPr>
        <w:t>”)).  Apotex then commenced an impeachment action in the Federal Court seeking a declaration that the ’777 Patent was invalid on several grounds including lack of utility.  Sanofi commenced its own action, alleging that Apotex had infringed its patent by importing clopidogrel into Canada and then exporting it from Canada for sale in other countries including the United States.  The two actions were consolidated.</w:t>
      </w:r>
    </w:p>
    <w:p w:rsidR="00CB5104" w:rsidRPr="00AB1B5E" w:rsidRDefault="00CB5104" w:rsidP="00CB5104">
      <w:pPr>
        <w:widowControl w:val="0"/>
        <w:jc w:val="both"/>
        <w:rPr>
          <w:sz w:val="20"/>
          <w:szCs w:val="20"/>
        </w:rPr>
      </w:pPr>
    </w:p>
    <w:p w:rsidR="00CB5104" w:rsidRPr="00AB1B5E" w:rsidRDefault="00CB5104" w:rsidP="00CB5104">
      <w:pPr>
        <w:widowControl w:val="0"/>
        <w:jc w:val="both"/>
        <w:rPr>
          <w:sz w:val="20"/>
          <w:szCs w:val="20"/>
        </w:rPr>
      </w:pPr>
    </w:p>
    <w:p w:rsidR="00CB5104" w:rsidRPr="00AB1B5E" w:rsidRDefault="00CB5104" w:rsidP="00CB5104">
      <w:pPr>
        <w:widowControl w:val="0"/>
        <w:ind w:left="2880" w:hanging="2880"/>
        <w:jc w:val="both"/>
        <w:rPr>
          <w:sz w:val="20"/>
          <w:szCs w:val="20"/>
        </w:rPr>
      </w:pPr>
      <w:r w:rsidRPr="00AB1B5E">
        <w:rPr>
          <w:sz w:val="20"/>
          <w:szCs w:val="20"/>
        </w:rPr>
        <w:t>Origin of the case:</w:t>
      </w:r>
      <w:r w:rsidRPr="00AB1B5E">
        <w:rPr>
          <w:sz w:val="20"/>
          <w:szCs w:val="20"/>
        </w:rPr>
        <w:tab/>
        <w:t xml:space="preserve">Federal Court of Appeal </w:t>
      </w:r>
    </w:p>
    <w:p w:rsidR="00CB5104" w:rsidRPr="00AB1B5E" w:rsidRDefault="00CB5104" w:rsidP="00CB5104">
      <w:pPr>
        <w:widowControl w:val="0"/>
        <w:ind w:left="2880" w:hanging="2880"/>
        <w:jc w:val="both"/>
        <w:rPr>
          <w:sz w:val="20"/>
          <w:szCs w:val="20"/>
        </w:rPr>
      </w:pPr>
    </w:p>
    <w:p w:rsidR="00CB5104" w:rsidRPr="00AB1B5E" w:rsidRDefault="00CB5104" w:rsidP="00CB5104">
      <w:pPr>
        <w:widowControl w:val="0"/>
        <w:ind w:left="2880" w:hanging="2880"/>
        <w:jc w:val="both"/>
        <w:rPr>
          <w:sz w:val="20"/>
          <w:szCs w:val="20"/>
        </w:rPr>
      </w:pPr>
      <w:r w:rsidRPr="00AB1B5E">
        <w:rPr>
          <w:sz w:val="20"/>
          <w:szCs w:val="20"/>
        </w:rPr>
        <w:t>File No.:</w:t>
      </w:r>
      <w:r w:rsidRPr="00AB1B5E">
        <w:rPr>
          <w:sz w:val="20"/>
          <w:szCs w:val="20"/>
        </w:rPr>
        <w:tab/>
        <w:t>35562</w:t>
      </w:r>
    </w:p>
    <w:p w:rsidR="00CB5104" w:rsidRPr="00AB1B5E" w:rsidRDefault="00CB5104" w:rsidP="00CB5104">
      <w:pPr>
        <w:widowControl w:val="0"/>
        <w:ind w:left="2880" w:hanging="2880"/>
        <w:jc w:val="both"/>
        <w:rPr>
          <w:sz w:val="20"/>
          <w:szCs w:val="20"/>
        </w:rPr>
      </w:pPr>
    </w:p>
    <w:p w:rsidR="00CB5104" w:rsidRPr="00AB1B5E" w:rsidRDefault="00CB5104" w:rsidP="00CB5104">
      <w:pPr>
        <w:ind w:left="2880" w:hanging="2880"/>
        <w:jc w:val="both"/>
        <w:rPr>
          <w:sz w:val="20"/>
          <w:szCs w:val="20"/>
        </w:rPr>
      </w:pPr>
      <w:r w:rsidRPr="00AB1B5E">
        <w:rPr>
          <w:sz w:val="20"/>
          <w:szCs w:val="20"/>
        </w:rPr>
        <w:t>Judgment of the Court of Appeal:</w:t>
      </w:r>
      <w:r w:rsidRPr="00AB1B5E">
        <w:rPr>
          <w:sz w:val="20"/>
          <w:szCs w:val="20"/>
        </w:rPr>
        <w:tab/>
        <w:t>Appeal allowed; Sanofi’s action for infringement allowed; Apotex’s impeachment action dismissed</w:t>
      </w:r>
    </w:p>
    <w:p w:rsidR="00CB5104" w:rsidRPr="00AB1B5E" w:rsidRDefault="00CB5104" w:rsidP="00CB5104">
      <w:pPr>
        <w:widowControl w:val="0"/>
        <w:ind w:left="2880" w:hanging="2880"/>
        <w:jc w:val="both"/>
        <w:rPr>
          <w:sz w:val="20"/>
          <w:szCs w:val="20"/>
        </w:rPr>
      </w:pPr>
    </w:p>
    <w:p w:rsidR="00CB5104" w:rsidRPr="00AB1B5E" w:rsidRDefault="00CB5104" w:rsidP="00CB5104">
      <w:pPr>
        <w:widowControl w:val="0"/>
        <w:ind w:left="2880" w:hanging="2880"/>
        <w:jc w:val="both"/>
        <w:rPr>
          <w:sz w:val="20"/>
          <w:szCs w:val="20"/>
        </w:rPr>
      </w:pPr>
      <w:r w:rsidRPr="00AB1B5E">
        <w:rPr>
          <w:sz w:val="20"/>
          <w:szCs w:val="20"/>
        </w:rPr>
        <w:t>Counsel:</w:t>
      </w:r>
      <w:r w:rsidRPr="00AB1B5E">
        <w:rPr>
          <w:sz w:val="20"/>
          <w:szCs w:val="20"/>
        </w:rPr>
        <w:tab/>
        <w:t>Harry B. Radomski and Nando De Luca for the Appellants</w:t>
      </w:r>
    </w:p>
    <w:p w:rsidR="00CB5104" w:rsidRPr="00AB1B5E" w:rsidRDefault="00CB5104" w:rsidP="00CB5104">
      <w:pPr>
        <w:widowControl w:val="0"/>
        <w:ind w:left="2880" w:hanging="2880"/>
        <w:jc w:val="both"/>
        <w:rPr>
          <w:sz w:val="20"/>
          <w:szCs w:val="20"/>
        </w:rPr>
      </w:pPr>
      <w:r>
        <w:rPr>
          <w:sz w:val="20"/>
          <w:szCs w:val="20"/>
        </w:rPr>
        <w:tab/>
      </w:r>
      <w:r w:rsidRPr="00AB1B5E">
        <w:rPr>
          <w:sz w:val="20"/>
          <w:szCs w:val="20"/>
        </w:rPr>
        <w:t>Anthony G. Creber, C. Wagner and M. Richard for the Respondents</w:t>
      </w:r>
    </w:p>
    <w:p w:rsidR="000B3C9A" w:rsidRPr="005F1ED8" w:rsidRDefault="000B3C9A" w:rsidP="000B3C9A">
      <w:pPr>
        <w:tabs>
          <w:tab w:val="left" w:pos="-1440"/>
          <w:tab w:val="left" w:pos="-720"/>
        </w:tabs>
        <w:ind w:left="720" w:hanging="720"/>
        <w:jc w:val="both"/>
        <w:rPr>
          <w:sz w:val="20"/>
          <w:szCs w:val="20"/>
        </w:rPr>
      </w:pPr>
    </w:p>
    <w:p w:rsidR="000B3C9A" w:rsidRPr="00DD0B49" w:rsidRDefault="00714478" w:rsidP="000B3C9A">
      <w:pPr>
        <w:tabs>
          <w:tab w:val="left" w:pos="-1440"/>
          <w:tab w:val="left" w:pos="-720"/>
        </w:tabs>
        <w:ind w:left="720" w:hanging="720"/>
        <w:jc w:val="both"/>
        <w:rPr>
          <w:sz w:val="20"/>
          <w:szCs w:val="20"/>
          <w:lang w:val="fr-CA"/>
        </w:rPr>
      </w:pPr>
      <w:r>
        <w:rPr>
          <w:sz w:val="20"/>
          <w:szCs w:val="20"/>
          <w:lang w:val="fr-CA"/>
        </w:rPr>
        <w:pict>
          <v:rect id="_x0000_i1091"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bookmarkStart w:id="4" w:name="1"/>
    <w:bookmarkEnd w:id="4"/>
    <w:p w:rsidR="00CB5104" w:rsidRPr="00467081" w:rsidRDefault="00A4467E" w:rsidP="00CB5104">
      <w:pPr>
        <w:widowControl w:val="0"/>
        <w:ind w:left="720" w:hanging="720"/>
        <w:jc w:val="both"/>
        <w:rPr>
          <w:sz w:val="20"/>
          <w:szCs w:val="20"/>
        </w:rPr>
      </w:pPr>
      <w:r w:rsidRPr="00467081">
        <w:rPr>
          <w:b/>
          <w:sz w:val="20"/>
          <w:szCs w:val="20"/>
          <w:lang w:val="fr-CA"/>
        </w:rPr>
        <w:lastRenderedPageBreak/>
        <w:fldChar w:fldCharType="begin"/>
      </w:r>
      <w:r w:rsidR="00CB5104" w:rsidRPr="00467081">
        <w:rPr>
          <w:b/>
          <w:sz w:val="20"/>
          <w:szCs w:val="20"/>
        </w:rPr>
        <w:instrText xml:space="preserve"> SEQ CHAPTER \h \r 1</w:instrText>
      </w:r>
      <w:r w:rsidRPr="00467081">
        <w:rPr>
          <w:b/>
          <w:sz w:val="20"/>
          <w:szCs w:val="20"/>
          <w:lang w:val="fr-CA"/>
        </w:rPr>
        <w:fldChar w:fldCharType="end"/>
      </w:r>
      <w:r w:rsidR="00CB5104" w:rsidRPr="00467081">
        <w:rPr>
          <w:b/>
          <w:sz w:val="20"/>
          <w:szCs w:val="20"/>
        </w:rPr>
        <w:t>35562</w:t>
      </w:r>
      <w:r w:rsidR="00CB5104" w:rsidRPr="00467081">
        <w:rPr>
          <w:sz w:val="20"/>
          <w:szCs w:val="20"/>
        </w:rPr>
        <w:tab/>
      </w:r>
      <w:bookmarkStart w:id="5" w:name="3"/>
      <w:bookmarkEnd w:id="5"/>
      <w:r w:rsidR="00CB5104" w:rsidRPr="00467081">
        <w:rPr>
          <w:b/>
          <w:i/>
          <w:sz w:val="20"/>
          <w:szCs w:val="20"/>
        </w:rPr>
        <w:t>Apotex</w:t>
      </w:r>
      <w:r w:rsidR="00CB5104" w:rsidRPr="00467081">
        <w:rPr>
          <w:b/>
          <w:sz w:val="20"/>
          <w:szCs w:val="20"/>
        </w:rPr>
        <w:t xml:space="preserve"> </w:t>
      </w:r>
      <w:r w:rsidR="00CB5104" w:rsidRPr="00467081">
        <w:rPr>
          <w:b/>
          <w:i/>
          <w:sz w:val="20"/>
          <w:szCs w:val="20"/>
        </w:rPr>
        <w:t>Inc., Apotex Pharmachem Inc. c. Sanofi-Aventis, Bristol-Myers Squibb Sanofi Pharmaceuticals Holding Partnership</w:t>
      </w:r>
    </w:p>
    <w:p w:rsidR="00CB5104" w:rsidRPr="00467081" w:rsidRDefault="00CB5104" w:rsidP="00CB5104">
      <w:pPr>
        <w:widowControl w:val="0"/>
        <w:jc w:val="both"/>
        <w:rPr>
          <w:sz w:val="20"/>
          <w:szCs w:val="20"/>
        </w:rPr>
      </w:pPr>
    </w:p>
    <w:p w:rsidR="00CB5104" w:rsidRPr="00467081" w:rsidRDefault="00CB5104" w:rsidP="00CB5104">
      <w:pPr>
        <w:jc w:val="both"/>
        <w:rPr>
          <w:sz w:val="20"/>
          <w:szCs w:val="20"/>
          <w:lang w:val="fr-CA"/>
        </w:rPr>
      </w:pPr>
      <w:r w:rsidRPr="00467081">
        <w:rPr>
          <w:sz w:val="20"/>
          <w:szCs w:val="20"/>
          <w:lang w:val="fr-CA"/>
        </w:rPr>
        <w:t>Propriété intellectuelle - Brevets - Médicaments - Le brevet pour un médicament est jugé valide et contrefait par un fabricant de médicaments génériques - Manière d’identifier et d’apprécier l’utilité promise par un brevet - Manière dont une cour d’appel doit examiner les conclusions de fait du juge de première instance sur la manière dont une personne versée dans l’art comprendrait l’utilité promise - Manière d’appliquer les délais de prescription à l’égard d’une activité, y compris l’importation et l’exportation, qui n’est exercée que dans une seule province.</w:t>
      </w:r>
    </w:p>
    <w:p w:rsidR="00CB5104" w:rsidRPr="00467081" w:rsidRDefault="00CB5104" w:rsidP="00CB5104">
      <w:pPr>
        <w:widowControl w:val="0"/>
        <w:jc w:val="both"/>
        <w:rPr>
          <w:sz w:val="20"/>
          <w:szCs w:val="20"/>
          <w:lang w:val="fr-CA"/>
        </w:rPr>
      </w:pPr>
    </w:p>
    <w:p w:rsidR="00CB5104" w:rsidRPr="00467081" w:rsidRDefault="00CB5104" w:rsidP="00CB5104">
      <w:pPr>
        <w:pStyle w:val="loose"/>
        <w:spacing w:before="0"/>
        <w:jc w:val="both"/>
        <w:rPr>
          <w:color w:val="000000"/>
          <w:sz w:val="20"/>
          <w:szCs w:val="20"/>
          <w:lang w:val="fr-CA"/>
        </w:rPr>
      </w:pPr>
      <w:r w:rsidRPr="00467081">
        <w:rPr>
          <w:color w:val="000000"/>
          <w:sz w:val="20"/>
          <w:szCs w:val="20"/>
          <w:lang w:val="fr-CA"/>
        </w:rPr>
        <w:t>Plavix est un médicament utile dans l’inhibition des plaquettes dans le sang qui a été mis au point, breveté et commercialisé par les intimées (collectivement, « Sanofi »).  Le brevet 777 pour le Plavix est considéré être un brevet de sélection qui revendique un sous-ensemble de composés qui est déjà visé par le brevet de genre antérieur 875.  L’ingrédient actif du Plavix est le bisulfate de clopidogrel, l’isomère dextrogyre du racémate, qui présente des avantages par rapport au racémate et à l’isomère lévogyre.  Apotex Inc. (« Apotex ») a tenté de commercialiser sa propre version du bisulfate de clopidogrel.  Elle a demandé un avis de conformité au ministre de la Santé, alléguant que sa version du clopidogrel ne contrefaisait pas le brevet de Sanofi.  Apotex a également allégué que le brevet 777 pour le Plavix était invalide pour plusieurs motifs.  Sanofi a obtenu une ordonnance interdisant au ministre de la Santé de délivrer un avis de conformité à Apotex.  Cette ordonnance a été confirmée en appel et encore à la Cour suprême du Canada (</w:t>
      </w:r>
      <w:r w:rsidRPr="00467081">
        <w:rPr>
          <w:i/>
          <w:color w:val="000000"/>
          <w:sz w:val="20"/>
          <w:szCs w:val="20"/>
          <w:lang w:val="fr-CA"/>
        </w:rPr>
        <w:t>Apotex Inc. c. Sanofi-Syntholabo Canada Inc.</w:t>
      </w:r>
      <w:r w:rsidRPr="00467081">
        <w:rPr>
          <w:color w:val="000000"/>
          <w:sz w:val="20"/>
          <w:szCs w:val="20"/>
          <w:lang w:val="fr-CA"/>
        </w:rPr>
        <w:t>, 2008 CSC 61 (« </w:t>
      </w:r>
      <w:r w:rsidRPr="00467081">
        <w:rPr>
          <w:i/>
          <w:color w:val="000000"/>
          <w:sz w:val="20"/>
          <w:szCs w:val="20"/>
          <w:lang w:val="fr-CA"/>
        </w:rPr>
        <w:t>Plavix CSC</w:t>
      </w:r>
      <w:r w:rsidRPr="00467081">
        <w:rPr>
          <w:color w:val="000000"/>
          <w:sz w:val="20"/>
          <w:szCs w:val="20"/>
          <w:lang w:val="fr-CA"/>
        </w:rPr>
        <w:t xml:space="preserve"> »)).  Apotex a alors intenté une action en invalidation en Cour fédérale,  pour que soit rendu un jugement déclarant que le brevet 777 était invalide pour plusieurs motifs, dont l’absence d’utilité.  Sanofi a intenté sa propre action, alléguant qu’Apotex avait contrefait son brevet en important du clopidogrel au Canada, puis en l’exportant du Canada pour être vendu dans d’autres pays, dont les États-Unis.  Les deux actions ont été réunies. </w:t>
      </w:r>
    </w:p>
    <w:p w:rsidR="00CB5104" w:rsidRPr="00467081" w:rsidRDefault="00CB5104" w:rsidP="00CB5104">
      <w:pPr>
        <w:widowControl w:val="0"/>
        <w:jc w:val="both"/>
        <w:rPr>
          <w:sz w:val="20"/>
          <w:szCs w:val="20"/>
          <w:lang w:val="fr-CA"/>
        </w:rPr>
      </w:pPr>
    </w:p>
    <w:p w:rsidR="00CB5104" w:rsidRPr="00467081" w:rsidRDefault="00CB5104" w:rsidP="00CB5104">
      <w:pPr>
        <w:widowControl w:val="0"/>
        <w:jc w:val="both"/>
        <w:rPr>
          <w:sz w:val="20"/>
          <w:szCs w:val="20"/>
          <w:lang w:val="fr-CA"/>
        </w:rPr>
      </w:pPr>
    </w:p>
    <w:p w:rsidR="00CB5104" w:rsidRPr="00467081" w:rsidRDefault="00CB5104" w:rsidP="00CB5104">
      <w:pPr>
        <w:ind w:left="2880" w:hanging="2880"/>
        <w:rPr>
          <w:sz w:val="20"/>
          <w:szCs w:val="20"/>
          <w:lang w:val="fr-CA"/>
        </w:rPr>
      </w:pPr>
      <w:r w:rsidRPr="00467081">
        <w:rPr>
          <w:sz w:val="20"/>
          <w:szCs w:val="20"/>
          <w:lang w:val="fr-CA"/>
        </w:rPr>
        <w:t>Origine :</w:t>
      </w:r>
      <w:r w:rsidRPr="00467081">
        <w:rPr>
          <w:sz w:val="20"/>
          <w:szCs w:val="20"/>
          <w:lang w:val="fr-CA"/>
        </w:rPr>
        <w:tab/>
      </w:r>
      <w:bookmarkStart w:id="6" w:name="4"/>
      <w:bookmarkEnd w:id="6"/>
      <w:r w:rsidRPr="00467081">
        <w:rPr>
          <w:sz w:val="20"/>
          <w:szCs w:val="20"/>
          <w:lang w:val="fr-CA"/>
        </w:rPr>
        <w:t>Cour d’appel fédérale</w:t>
      </w:r>
    </w:p>
    <w:p w:rsidR="00CB5104" w:rsidRPr="00467081" w:rsidRDefault="00CB5104" w:rsidP="00CB5104">
      <w:pPr>
        <w:widowControl w:val="0"/>
        <w:ind w:left="2880" w:hanging="2880"/>
        <w:jc w:val="both"/>
        <w:rPr>
          <w:sz w:val="20"/>
          <w:szCs w:val="20"/>
          <w:lang w:val="fr-CA"/>
        </w:rPr>
      </w:pPr>
    </w:p>
    <w:p w:rsidR="00CB5104" w:rsidRPr="00467081" w:rsidRDefault="00CB5104" w:rsidP="00CB5104">
      <w:pPr>
        <w:widowControl w:val="0"/>
        <w:ind w:left="2880" w:hanging="2880"/>
        <w:jc w:val="both"/>
        <w:rPr>
          <w:sz w:val="20"/>
          <w:szCs w:val="20"/>
          <w:lang w:val="fr-CA"/>
        </w:rPr>
      </w:pPr>
      <w:r w:rsidRPr="00467081">
        <w:rPr>
          <w:sz w:val="20"/>
          <w:szCs w:val="20"/>
          <w:lang w:val="fr-CA"/>
        </w:rPr>
        <w:t>N</w:t>
      </w:r>
      <w:r w:rsidRPr="00467081">
        <w:rPr>
          <w:sz w:val="20"/>
          <w:szCs w:val="20"/>
          <w:vertAlign w:val="superscript"/>
          <w:lang w:val="fr-CA"/>
        </w:rPr>
        <w:t>o</w:t>
      </w:r>
      <w:r w:rsidRPr="00467081">
        <w:rPr>
          <w:sz w:val="20"/>
          <w:szCs w:val="20"/>
          <w:lang w:val="fr-CA"/>
        </w:rPr>
        <w:t xml:space="preserve"> du greffe :</w:t>
      </w:r>
      <w:r w:rsidRPr="00467081">
        <w:rPr>
          <w:sz w:val="20"/>
          <w:szCs w:val="20"/>
          <w:lang w:val="fr-CA"/>
        </w:rPr>
        <w:tab/>
      </w:r>
      <w:bookmarkStart w:id="7" w:name="2"/>
      <w:bookmarkEnd w:id="7"/>
      <w:r w:rsidRPr="00467081">
        <w:rPr>
          <w:sz w:val="20"/>
          <w:szCs w:val="20"/>
          <w:lang w:val="fr-CA"/>
        </w:rPr>
        <w:t>35562</w:t>
      </w:r>
    </w:p>
    <w:p w:rsidR="00CB5104" w:rsidRPr="00467081" w:rsidRDefault="00CB5104" w:rsidP="00CB5104">
      <w:pPr>
        <w:widowControl w:val="0"/>
        <w:ind w:left="2880" w:hanging="2880"/>
        <w:jc w:val="both"/>
        <w:rPr>
          <w:sz w:val="20"/>
          <w:szCs w:val="20"/>
          <w:lang w:val="fr-CA"/>
        </w:rPr>
      </w:pPr>
    </w:p>
    <w:p w:rsidR="00CB5104" w:rsidRPr="00467081" w:rsidRDefault="00CB5104" w:rsidP="00CB5104">
      <w:pPr>
        <w:widowControl w:val="0"/>
        <w:ind w:left="2880" w:hanging="2880"/>
        <w:jc w:val="both"/>
        <w:rPr>
          <w:sz w:val="20"/>
          <w:szCs w:val="20"/>
          <w:lang w:val="fr-CA"/>
        </w:rPr>
      </w:pPr>
      <w:r w:rsidRPr="00467081">
        <w:rPr>
          <w:sz w:val="20"/>
          <w:szCs w:val="20"/>
          <w:lang w:val="fr-CA"/>
        </w:rPr>
        <w:t>Arrêt de la Cour d’appel :</w:t>
      </w:r>
      <w:r w:rsidRPr="00467081">
        <w:rPr>
          <w:sz w:val="20"/>
          <w:szCs w:val="20"/>
          <w:lang w:val="fr-CA"/>
        </w:rPr>
        <w:tab/>
      </w:r>
      <w:bookmarkStart w:id="8" w:name="5"/>
      <w:bookmarkEnd w:id="8"/>
      <w:r w:rsidRPr="00467081">
        <w:rPr>
          <w:sz w:val="20"/>
          <w:szCs w:val="20"/>
          <w:lang w:val="fr-CA"/>
        </w:rPr>
        <w:t>Appel accueilli; action de Sanofi en contrefaçon accueillie; action d’Apotex en invalidation rejetée</w:t>
      </w:r>
    </w:p>
    <w:p w:rsidR="00CB5104" w:rsidRPr="00467081" w:rsidRDefault="00CB5104" w:rsidP="00CB5104">
      <w:pPr>
        <w:widowControl w:val="0"/>
        <w:ind w:left="2880" w:hanging="2880"/>
        <w:jc w:val="both"/>
        <w:rPr>
          <w:sz w:val="20"/>
          <w:szCs w:val="20"/>
          <w:lang w:val="fr-CA"/>
        </w:rPr>
      </w:pPr>
    </w:p>
    <w:p w:rsidR="00CB5104" w:rsidRPr="00467081" w:rsidRDefault="00CB5104" w:rsidP="00CB5104">
      <w:pPr>
        <w:widowControl w:val="0"/>
        <w:ind w:left="2880" w:hanging="2880"/>
        <w:rPr>
          <w:sz w:val="20"/>
          <w:szCs w:val="20"/>
          <w:lang w:val="fr-CA"/>
        </w:rPr>
      </w:pPr>
      <w:r w:rsidRPr="00467081">
        <w:rPr>
          <w:sz w:val="20"/>
          <w:szCs w:val="20"/>
          <w:lang w:val="fr-CA"/>
        </w:rPr>
        <w:t>Avocats :</w:t>
      </w:r>
      <w:r w:rsidRPr="00467081">
        <w:rPr>
          <w:sz w:val="20"/>
          <w:szCs w:val="20"/>
          <w:lang w:val="fr-CA"/>
        </w:rPr>
        <w:tab/>
      </w:r>
      <w:bookmarkStart w:id="9" w:name="6"/>
      <w:bookmarkEnd w:id="9"/>
      <w:r w:rsidRPr="00467081">
        <w:rPr>
          <w:sz w:val="20"/>
          <w:szCs w:val="20"/>
          <w:lang w:val="fr-CA"/>
        </w:rPr>
        <w:t>Harry B. Radomski et Nando De Luca pour les appelantes</w:t>
      </w:r>
    </w:p>
    <w:p w:rsidR="00CB5104" w:rsidRPr="00467081" w:rsidRDefault="00CB5104" w:rsidP="00CB5104">
      <w:pPr>
        <w:widowControl w:val="0"/>
        <w:ind w:left="2880" w:hanging="2880"/>
        <w:jc w:val="both"/>
        <w:rPr>
          <w:sz w:val="20"/>
          <w:szCs w:val="20"/>
          <w:lang w:val="fr-CA"/>
        </w:rPr>
      </w:pPr>
      <w:bookmarkStart w:id="10" w:name="7"/>
      <w:bookmarkEnd w:id="10"/>
      <w:r>
        <w:rPr>
          <w:sz w:val="20"/>
          <w:szCs w:val="20"/>
          <w:lang w:val="fr-CA"/>
        </w:rPr>
        <w:tab/>
      </w:r>
      <w:r w:rsidRPr="00467081">
        <w:rPr>
          <w:sz w:val="20"/>
          <w:szCs w:val="20"/>
          <w:lang w:val="fr-CA"/>
        </w:rPr>
        <w:t>Anthony G. Creber, C. Wagner et M. Richard pour les intimées</w:t>
      </w:r>
    </w:p>
    <w:p w:rsidR="000B3C9A" w:rsidRPr="00DD0B49" w:rsidRDefault="000B3C9A" w:rsidP="000B3C9A">
      <w:pPr>
        <w:tabs>
          <w:tab w:val="left" w:pos="-1440"/>
          <w:tab w:val="left" w:pos="-720"/>
        </w:tabs>
        <w:jc w:val="both"/>
        <w:rPr>
          <w:sz w:val="20"/>
          <w:szCs w:val="20"/>
          <w:lang w:val="fr-CA"/>
        </w:rPr>
      </w:pPr>
    </w:p>
    <w:p w:rsidR="000B3C9A" w:rsidRDefault="00714478" w:rsidP="000B3C9A">
      <w:pPr>
        <w:tabs>
          <w:tab w:val="left" w:pos="-1440"/>
          <w:tab w:val="left" w:pos="-720"/>
        </w:tabs>
        <w:jc w:val="both"/>
        <w:rPr>
          <w:sz w:val="20"/>
          <w:szCs w:val="20"/>
          <w:lang w:val="fr-CA"/>
        </w:rPr>
      </w:pPr>
      <w:r>
        <w:rPr>
          <w:sz w:val="20"/>
          <w:szCs w:val="20"/>
          <w:lang w:val="fr-CA"/>
        </w:rPr>
        <w:pict>
          <v:rect id="_x0000_i1092" style="width:2in;height:1pt" o:hrpct="0" o:hralign="center" o:hrstd="t" o:hrnoshade="t" o:hr="t" fillcolor="black [3213]" stroked="f"/>
        </w:pict>
      </w:r>
    </w:p>
    <w:p w:rsidR="00DD7981" w:rsidRDefault="00DD7981" w:rsidP="000B3C9A">
      <w:pPr>
        <w:tabs>
          <w:tab w:val="left" w:pos="-1440"/>
          <w:tab w:val="left" w:pos="-720"/>
        </w:tabs>
        <w:jc w:val="both"/>
        <w:rPr>
          <w:sz w:val="20"/>
          <w:szCs w:val="20"/>
          <w:lang w:val="fr-CA"/>
        </w:rPr>
      </w:pPr>
    </w:p>
    <w:p w:rsidR="00DD7981" w:rsidRDefault="00DD7981" w:rsidP="000B3C9A">
      <w:pPr>
        <w:tabs>
          <w:tab w:val="left" w:pos="-1440"/>
          <w:tab w:val="left" w:pos="-720"/>
        </w:tabs>
        <w:jc w:val="both"/>
        <w:rPr>
          <w:sz w:val="20"/>
          <w:szCs w:val="20"/>
          <w:lang w:val="fr-CA"/>
        </w:rPr>
      </w:pPr>
    </w:p>
    <w:p w:rsidR="00DD7981" w:rsidRDefault="00DD7981">
      <w:pPr>
        <w:rPr>
          <w:sz w:val="20"/>
          <w:szCs w:val="20"/>
          <w:lang w:val="fr-CA"/>
        </w:rPr>
      </w:pPr>
      <w:r>
        <w:rPr>
          <w:sz w:val="20"/>
          <w:szCs w:val="20"/>
          <w:lang w:val="fr-CA"/>
        </w:rPr>
        <w:br w:type="page"/>
      </w:r>
    </w:p>
    <w:p w:rsidR="00824771" w:rsidRPr="00213F50" w:rsidRDefault="00A4467E" w:rsidP="00824771">
      <w:pPr>
        <w:widowControl w:val="0"/>
        <w:ind w:left="709" w:hanging="709"/>
        <w:jc w:val="both"/>
        <w:rPr>
          <w:b/>
          <w:i/>
          <w:sz w:val="20"/>
          <w:szCs w:val="20"/>
        </w:rPr>
      </w:pPr>
      <w:r w:rsidRPr="00213F50">
        <w:rPr>
          <w:b/>
          <w:sz w:val="20"/>
          <w:szCs w:val="20"/>
        </w:rPr>
        <w:lastRenderedPageBreak/>
        <w:fldChar w:fldCharType="begin"/>
      </w:r>
      <w:r w:rsidR="00824771" w:rsidRPr="00213F50">
        <w:rPr>
          <w:b/>
          <w:sz w:val="20"/>
          <w:szCs w:val="20"/>
        </w:rPr>
        <w:instrText xml:space="preserve"> SEQ CHAPTER \h \r 1</w:instrText>
      </w:r>
      <w:r w:rsidRPr="00213F50">
        <w:rPr>
          <w:b/>
          <w:sz w:val="20"/>
          <w:szCs w:val="20"/>
        </w:rPr>
        <w:fldChar w:fldCharType="end"/>
      </w:r>
      <w:r w:rsidR="00824771" w:rsidRPr="00213F50">
        <w:rPr>
          <w:b/>
          <w:sz w:val="20"/>
          <w:szCs w:val="20"/>
        </w:rPr>
        <w:t>35599</w:t>
      </w:r>
      <w:r w:rsidR="00824771" w:rsidRPr="00213F50">
        <w:rPr>
          <w:sz w:val="20"/>
          <w:szCs w:val="20"/>
        </w:rPr>
        <w:tab/>
      </w:r>
      <w:r w:rsidR="00824771" w:rsidRPr="00213F50">
        <w:rPr>
          <w:b/>
          <w:i/>
          <w:sz w:val="20"/>
          <w:szCs w:val="20"/>
        </w:rPr>
        <w:t>Christopher Dunn v. Her Majesty the Queen</w:t>
      </w:r>
    </w:p>
    <w:p w:rsidR="00824771" w:rsidRPr="00213F50" w:rsidRDefault="00824771" w:rsidP="00824771">
      <w:pPr>
        <w:widowControl w:val="0"/>
        <w:jc w:val="both"/>
        <w:rPr>
          <w:sz w:val="20"/>
          <w:szCs w:val="20"/>
        </w:rPr>
      </w:pPr>
    </w:p>
    <w:p w:rsidR="00824771" w:rsidRPr="00213F50" w:rsidRDefault="00824771" w:rsidP="00824771">
      <w:pPr>
        <w:jc w:val="both"/>
        <w:rPr>
          <w:sz w:val="20"/>
          <w:szCs w:val="20"/>
        </w:rPr>
      </w:pPr>
      <w:r w:rsidRPr="00213F50">
        <w:rPr>
          <w:sz w:val="20"/>
          <w:szCs w:val="20"/>
        </w:rPr>
        <w:t xml:space="preserve">Criminal Law - Offences - Elements of offence - Firearms offences - Whether an airgun is a “firearm” or a “weapon” within the meaning of s. 2 of the </w:t>
      </w:r>
      <w:r w:rsidRPr="00213F50">
        <w:rPr>
          <w:i/>
          <w:sz w:val="20"/>
          <w:szCs w:val="20"/>
        </w:rPr>
        <w:t>Criminal Code</w:t>
      </w:r>
      <w:r w:rsidRPr="00213F50">
        <w:rPr>
          <w:sz w:val="20"/>
          <w:szCs w:val="20"/>
        </w:rPr>
        <w:t>, R.S.C. 1985, c. C-46.</w:t>
      </w:r>
    </w:p>
    <w:p w:rsidR="00824771" w:rsidRPr="00213F50" w:rsidRDefault="00824771" w:rsidP="00824771">
      <w:pPr>
        <w:widowControl w:val="0"/>
        <w:jc w:val="both"/>
        <w:rPr>
          <w:sz w:val="20"/>
          <w:szCs w:val="20"/>
        </w:rPr>
      </w:pPr>
    </w:p>
    <w:p w:rsidR="00824771" w:rsidRPr="00213F50" w:rsidRDefault="00824771" w:rsidP="00824771">
      <w:pPr>
        <w:autoSpaceDE w:val="0"/>
        <w:autoSpaceDN w:val="0"/>
        <w:adjustRightInd w:val="0"/>
        <w:jc w:val="both"/>
        <w:rPr>
          <w:sz w:val="20"/>
          <w:szCs w:val="20"/>
        </w:rPr>
      </w:pPr>
      <w:r w:rsidRPr="00213F50">
        <w:rPr>
          <w:sz w:val="20"/>
          <w:szCs w:val="20"/>
        </w:rPr>
        <w:t>The appellant was observed and videtaped holding an object resembling a handgun and pointing it in the direction of a wall. A friend was nearby but the evidence does not disclose the location of the friend at the precise time that the appellant pointed the object.  The object was an airgun that resembles a 9mm pistol. It fires BB pellets with a muzzle velocity of 261.41 ft/sec. The appellant was charged with pointing a firearm at another person, handling a firearm or imitation thereof in a careless manner, carrying a weapon or imitation thereof for a purpose dangerous to the public peace, and carrying a concealed weapon. The appellant’s friend testified that the appellant never pointed a gun at him and never threatened or intimidated him.  The trial judge acquitted the appellant on all charges. The Court of Appeal upheld the acquittal on the charge of pointing a firearm at another person. It set aside the acquittals on the remaining three charges and ordered a new trial.</w:t>
      </w:r>
    </w:p>
    <w:p w:rsidR="00824771" w:rsidRPr="00213F50" w:rsidRDefault="00824771" w:rsidP="00824771">
      <w:pPr>
        <w:widowControl w:val="0"/>
        <w:jc w:val="both"/>
        <w:rPr>
          <w:sz w:val="20"/>
          <w:szCs w:val="20"/>
        </w:rPr>
      </w:pPr>
    </w:p>
    <w:p w:rsidR="00824771" w:rsidRPr="00213F50" w:rsidRDefault="00824771" w:rsidP="00824771">
      <w:pPr>
        <w:widowControl w:val="0"/>
        <w:jc w:val="both"/>
        <w:rPr>
          <w:sz w:val="20"/>
          <w:szCs w:val="20"/>
        </w:rPr>
      </w:pPr>
    </w:p>
    <w:p w:rsidR="00824771" w:rsidRPr="00213F50" w:rsidRDefault="00824771" w:rsidP="00824771">
      <w:pPr>
        <w:widowControl w:val="0"/>
        <w:ind w:left="2880" w:hanging="2880"/>
        <w:jc w:val="both"/>
        <w:rPr>
          <w:sz w:val="20"/>
          <w:szCs w:val="20"/>
        </w:rPr>
      </w:pPr>
      <w:r w:rsidRPr="00213F50">
        <w:rPr>
          <w:sz w:val="20"/>
          <w:szCs w:val="20"/>
        </w:rPr>
        <w:t>Origin of the case:</w:t>
      </w:r>
      <w:r w:rsidRPr="00213F50">
        <w:rPr>
          <w:sz w:val="20"/>
          <w:szCs w:val="20"/>
        </w:rPr>
        <w:tab/>
        <w:t>Ontario</w:t>
      </w:r>
    </w:p>
    <w:p w:rsidR="00824771" w:rsidRPr="00213F50" w:rsidRDefault="00824771" w:rsidP="00824771">
      <w:pPr>
        <w:widowControl w:val="0"/>
        <w:ind w:left="2880" w:hanging="2880"/>
        <w:jc w:val="both"/>
        <w:rPr>
          <w:sz w:val="20"/>
          <w:szCs w:val="20"/>
        </w:rPr>
      </w:pPr>
    </w:p>
    <w:p w:rsidR="00824771" w:rsidRPr="00213F50" w:rsidRDefault="00824771" w:rsidP="00824771">
      <w:pPr>
        <w:widowControl w:val="0"/>
        <w:ind w:left="2880" w:hanging="2880"/>
        <w:jc w:val="both"/>
        <w:rPr>
          <w:sz w:val="20"/>
          <w:szCs w:val="20"/>
        </w:rPr>
      </w:pPr>
      <w:r w:rsidRPr="00213F50">
        <w:rPr>
          <w:sz w:val="20"/>
          <w:szCs w:val="20"/>
        </w:rPr>
        <w:t>File No.:</w:t>
      </w:r>
      <w:r w:rsidRPr="00213F50">
        <w:rPr>
          <w:sz w:val="20"/>
          <w:szCs w:val="20"/>
        </w:rPr>
        <w:tab/>
        <w:t>35599</w:t>
      </w:r>
    </w:p>
    <w:p w:rsidR="00824771" w:rsidRPr="00213F50" w:rsidRDefault="00824771" w:rsidP="00824771">
      <w:pPr>
        <w:widowControl w:val="0"/>
        <w:ind w:left="2880" w:hanging="2880"/>
        <w:jc w:val="both"/>
        <w:rPr>
          <w:sz w:val="20"/>
          <w:szCs w:val="20"/>
        </w:rPr>
      </w:pPr>
    </w:p>
    <w:p w:rsidR="00824771" w:rsidRPr="00213F50" w:rsidRDefault="00824771" w:rsidP="00824771">
      <w:pPr>
        <w:widowControl w:val="0"/>
        <w:ind w:left="2880" w:hanging="2880"/>
        <w:jc w:val="both"/>
        <w:rPr>
          <w:sz w:val="20"/>
          <w:szCs w:val="20"/>
        </w:rPr>
      </w:pPr>
      <w:r w:rsidRPr="00213F50">
        <w:rPr>
          <w:sz w:val="20"/>
          <w:szCs w:val="20"/>
        </w:rPr>
        <w:t>Judgment of the Court of Appeal:</w:t>
      </w:r>
      <w:r w:rsidRPr="00213F50">
        <w:rPr>
          <w:sz w:val="20"/>
          <w:szCs w:val="20"/>
        </w:rPr>
        <w:tab/>
        <w:t>September 4, 2013</w:t>
      </w:r>
    </w:p>
    <w:p w:rsidR="00824771" w:rsidRPr="00213F50" w:rsidRDefault="00824771" w:rsidP="00824771">
      <w:pPr>
        <w:widowControl w:val="0"/>
        <w:ind w:left="2880" w:hanging="2880"/>
        <w:jc w:val="both"/>
        <w:rPr>
          <w:sz w:val="20"/>
          <w:szCs w:val="20"/>
        </w:rPr>
      </w:pPr>
    </w:p>
    <w:p w:rsidR="00824771" w:rsidRPr="00213F50" w:rsidRDefault="00824771" w:rsidP="00824771">
      <w:pPr>
        <w:widowControl w:val="0"/>
        <w:ind w:left="2880" w:hanging="2880"/>
        <w:jc w:val="both"/>
        <w:rPr>
          <w:sz w:val="20"/>
          <w:szCs w:val="20"/>
        </w:rPr>
      </w:pPr>
      <w:r w:rsidRPr="00213F50">
        <w:rPr>
          <w:sz w:val="20"/>
          <w:szCs w:val="20"/>
        </w:rPr>
        <w:t>Counsel:</w:t>
      </w:r>
      <w:r w:rsidRPr="00213F50">
        <w:rPr>
          <w:sz w:val="20"/>
          <w:szCs w:val="20"/>
        </w:rPr>
        <w:tab/>
        <w:t>Solomon Friedman, for the appellant</w:t>
      </w:r>
    </w:p>
    <w:p w:rsidR="00824771" w:rsidRPr="00213F50" w:rsidRDefault="00824771" w:rsidP="00824771">
      <w:pPr>
        <w:widowControl w:val="0"/>
        <w:ind w:left="2880" w:hanging="2880"/>
        <w:jc w:val="both"/>
        <w:rPr>
          <w:sz w:val="20"/>
          <w:szCs w:val="20"/>
        </w:rPr>
      </w:pPr>
      <w:r w:rsidRPr="00213F50">
        <w:rPr>
          <w:sz w:val="20"/>
          <w:szCs w:val="20"/>
        </w:rPr>
        <w:tab/>
        <w:t>John S. McInnes, for the respondent</w:t>
      </w:r>
    </w:p>
    <w:p w:rsidR="00824771" w:rsidRPr="00213F50" w:rsidRDefault="00824771" w:rsidP="00824771">
      <w:pPr>
        <w:ind w:left="2880" w:hanging="2880"/>
        <w:rPr>
          <w:sz w:val="20"/>
          <w:szCs w:val="20"/>
        </w:rPr>
      </w:pPr>
    </w:p>
    <w:p w:rsidR="00DD7981" w:rsidRPr="00824771" w:rsidRDefault="00DD7981">
      <w:pPr>
        <w:rPr>
          <w:sz w:val="20"/>
          <w:szCs w:val="20"/>
        </w:rPr>
      </w:pPr>
    </w:p>
    <w:p w:rsidR="00DD7981" w:rsidRDefault="00714478">
      <w:pPr>
        <w:rPr>
          <w:sz w:val="20"/>
          <w:szCs w:val="20"/>
          <w:lang w:val="fr-CA"/>
        </w:rPr>
      </w:pPr>
      <w:r>
        <w:rPr>
          <w:sz w:val="20"/>
          <w:szCs w:val="20"/>
          <w:lang w:val="fr-CA"/>
        </w:rPr>
        <w:pict>
          <v:rect id="_x0000_i1093" style="width:2in;height:1pt" o:hrpct="0" o:hralign="center" o:hrstd="t" o:hrnoshade="t" o:hr="t" fillcolor="black [3213]" stroked="f"/>
        </w:pict>
      </w:r>
    </w:p>
    <w:p w:rsidR="00DD7981" w:rsidRDefault="00DD7981">
      <w:pPr>
        <w:rPr>
          <w:sz w:val="20"/>
          <w:szCs w:val="20"/>
          <w:lang w:val="fr-CA"/>
        </w:rPr>
      </w:pPr>
      <w:r>
        <w:rPr>
          <w:sz w:val="20"/>
          <w:szCs w:val="20"/>
          <w:lang w:val="fr-CA"/>
        </w:rPr>
        <w:br w:type="page"/>
      </w:r>
    </w:p>
    <w:p w:rsidR="00824771" w:rsidRPr="007372C1" w:rsidRDefault="00A4467E" w:rsidP="00824771">
      <w:pPr>
        <w:widowControl w:val="0"/>
        <w:ind w:left="709" w:hanging="709"/>
        <w:jc w:val="both"/>
        <w:rPr>
          <w:b/>
          <w:i/>
          <w:sz w:val="20"/>
          <w:szCs w:val="20"/>
          <w:lang w:val="fr-CA"/>
        </w:rPr>
      </w:pPr>
      <w:r w:rsidRPr="007372C1">
        <w:rPr>
          <w:b/>
          <w:sz w:val="20"/>
          <w:szCs w:val="20"/>
          <w:lang w:val="fr-CA"/>
        </w:rPr>
        <w:lastRenderedPageBreak/>
        <w:fldChar w:fldCharType="begin"/>
      </w:r>
      <w:r w:rsidR="00824771" w:rsidRPr="007372C1">
        <w:rPr>
          <w:b/>
          <w:sz w:val="20"/>
          <w:szCs w:val="20"/>
          <w:lang w:val="fr-CA"/>
        </w:rPr>
        <w:instrText xml:space="preserve"> SEQ CHAPTER \h \r 1</w:instrText>
      </w:r>
      <w:r w:rsidRPr="007372C1">
        <w:rPr>
          <w:b/>
          <w:sz w:val="20"/>
          <w:szCs w:val="20"/>
          <w:lang w:val="fr-CA"/>
        </w:rPr>
        <w:fldChar w:fldCharType="end"/>
      </w:r>
      <w:r w:rsidR="00824771" w:rsidRPr="007372C1">
        <w:rPr>
          <w:b/>
          <w:sz w:val="20"/>
          <w:szCs w:val="20"/>
          <w:lang w:val="fr-CA"/>
        </w:rPr>
        <w:t>35599</w:t>
      </w:r>
      <w:r w:rsidR="00824771" w:rsidRPr="007372C1">
        <w:rPr>
          <w:sz w:val="20"/>
          <w:szCs w:val="20"/>
          <w:lang w:val="fr-CA"/>
        </w:rPr>
        <w:tab/>
      </w:r>
      <w:r w:rsidR="00824771" w:rsidRPr="007372C1">
        <w:rPr>
          <w:b/>
          <w:i/>
          <w:sz w:val="20"/>
          <w:szCs w:val="20"/>
          <w:lang w:val="fr-CA"/>
        </w:rPr>
        <w:t>Christopher Dunn c. Sa Majesté la Reine</w:t>
      </w:r>
    </w:p>
    <w:p w:rsidR="00824771" w:rsidRPr="007372C1" w:rsidRDefault="00824771" w:rsidP="00824771">
      <w:pPr>
        <w:widowControl w:val="0"/>
        <w:jc w:val="both"/>
        <w:rPr>
          <w:sz w:val="20"/>
          <w:szCs w:val="20"/>
          <w:lang w:val="fr-CA"/>
        </w:rPr>
      </w:pPr>
    </w:p>
    <w:p w:rsidR="00824771" w:rsidRPr="007372C1" w:rsidRDefault="00824771" w:rsidP="00824771">
      <w:pPr>
        <w:jc w:val="both"/>
        <w:rPr>
          <w:sz w:val="20"/>
          <w:szCs w:val="20"/>
          <w:lang w:val="fr-CA"/>
        </w:rPr>
      </w:pPr>
      <w:r w:rsidRPr="007372C1">
        <w:rPr>
          <w:sz w:val="20"/>
          <w:szCs w:val="20"/>
          <w:lang w:val="fr-CA"/>
        </w:rPr>
        <w:t xml:space="preserve">Droit criminel - Infractions - Éléments de l’infraction - Infractions relatives aux armes à feu - Un pistolet à air comprimé est-il une « arme à feu » ou une « arme » au sens de l’art. 2 du </w:t>
      </w:r>
      <w:r w:rsidRPr="007372C1">
        <w:rPr>
          <w:i/>
          <w:sz w:val="20"/>
          <w:szCs w:val="20"/>
          <w:lang w:val="fr-CA"/>
        </w:rPr>
        <w:t>Code criminel</w:t>
      </w:r>
      <w:r w:rsidRPr="007372C1">
        <w:rPr>
          <w:sz w:val="20"/>
          <w:szCs w:val="20"/>
          <w:lang w:val="fr-CA"/>
        </w:rPr>
        <w:t>, L.R.C. 1985, c. C-46 ?</w:t>
      </w:r>
    </w:p>
    <w:p w:rsidR="00824771" w:rsidRPr="007372C1" w:rsidRDefault="00824771" w:rsidP="00824771">
      <w:pPr>
        <w:widowControl w:val="0"/>
        <w:jc w:val="both"/>
        <w:rPr>
          <w:sz w:val="20"/>
          <w:szCs w:val="20"/>
          <w:lang w:val="fr-CA"/>
        </w:rPr>
      </w:pPr>
    </w:p>
    <w:p w:rsidR="00824771" w:rsidRPr="007372C1" w:rsidRDefault="00824771" w:rsidP="00824771">
      <w:pPr>
        <w:autoSpaceDE w:val="0"/>
        <w:autoSpaceDN w:val="0"/>
        <w:adjustRightInd w:val="0"/>
        <w:jc w:val="both"/>
        <w:rPr>
          <w:sz w:val="20"/>
          <w:szCs w:val="20"/>
          <w:lang w:val="fr-CA"/>
        </w:rPr>
      </w:pPr>
      <w:r w:rsidRPr="007372C1">
        <w:rPr>
          <w:sz w:val="20"/>
          <w:szCs w:val="20"/>
          <w:lang w:val="fr-CA"/>
        </w:rPr>
        <w:t>L’appelant a été vu et enregistré sur bande vidéo tenant un objet qui ressemblait à un pistolet et le braquant en direction d’un mur.  Un ami se trouvait non loin, mais la preuve n’a pas révélé l’endroit où il était au moment précis où l’appelant a braqué l’objet.  L’objet en question était un pistolet à air comprimé qui ressemblait à un pistolet 9 mm.  Le pistolet tire des plombs BB projetés à une vitesse à la bouche de 261,41 pi/sec.  L’appelant a été accusé d’avoir braqué une arme à feu sur une autre personne, d’avoir manié une arme à feu ou une imitation d’une telle arme d’une manière négligente, d’avoir porté une arme à feu ou une imitation d’une telle arme dans un dessein dangereux pour la paix publique et d’avoir porté une arme dissimulée.  L’ami de l’appelant a témoigné que l’appelant n’avait jamais braqué d’arme sur lui et qu’il ne l’avait jamais menacé ou intimidé.  La juge du procès a acquitté l’appelant relativement à toutes les accusations.  La Cour d’appel a maintenu l’acquittement quant à l’accusation d’avoir braqué une arme à feu sur une autre personne.  Elle a annulé les acquittements relativement aux trois autres accusations et a ordonné la tenue d’un nouveau procès.</w:t>
      </w:r>
    </w:p>
    <w:p w:rsidR="00824771" w:rsidRPr="007372C1" w:rsidRDefault="00824771" w:rsidP="00824771">
      <w:pPr>
        <w:widowControl w:val="0"/>
        <w:jc w:val="both"/>
        <w:rPr>
          <w:sz w:val="20"/>
          <w:szCs w:val="20"/>
          <w:lang w:val="fr-CA"/>
        </w:rPr>
      </w:pPr>
    </w:p>
    <w:p w:rsidR="00824771" w:rsidRPr="007372C1" w:rsidRDefault="00824771" w:rsidP="00824771">
      <w:pPr>
        <w:widowControl w:val="0"/>
        <w:jc w:val="both"/>
        <w:rPr>
          <w:sz w:val="20"/>
          <w:szCs w:val="20"/>
          <w:lang w:val="fr-CA"/>
        </w:rPr>
      </w:pPr>
    </w:p>
    <w:p w:rsidR="00824771" w:rsidRPr="007372C1" w:rsidRDefault="00824771" w:rsidP="00824771">
      <w:pPr>
        <w:widowControl w:val="0"/>
        <w:ind w:left="2880" w:hanging="2880"/>
        <w:jc w:val="both"/>
        <w:rPr>
          <w:sz w:val="20"/>
          <w:szCs w:val="20"/>
          <w:lang w:val="fr-CA"/>
        </w:rPr>
      </w:pPr>
      <w:r w:rsidRPr="007372C1">
        <w:rPr>
          <w:sz w:val="20"/>
          <w:szCs w:val="20"/>
          <w:lang w:val="fr-CA"/>
        </w:rPr>
        <w:t>Origine :</w:t>
      </w:r>
      <w:r w:rsidRPr="007372C1">
        <w:rPr>
          <w:sz w:val="20"/>
          <w:szCs w:val="20"/>
          <w:lang w:val="fr-CA"/>
        </w:rPr>
        <w:tab/>
        <w:t>Ontario</w:t>
      </w:r>
    </w:p>
    <w:p w:rsidR="00824771" w:rsidRPr="007372C1" w:rsidRDefault="00824771" w:rsidP="00824771">
      <w:pPr>
        <w:widowControl w:val="0"/>
        <w:ind w:left="2880" w:hanging="2880"/>
        <w:jc w:val="both"/>
        <w:rPr>
          <w:sz w:val="20"/>
          <w:szCs w:val="20"/>
          <w:lang w:val="fr-CA"/>
        </w:rPr>
      </w:pPr>
    </w:p>
    <w:p w:rsidR="00824771" w:rsidRPr="007372C1" w:rsidRDefault="00824771" w:rsidP="00824771">
      <w:pPr>
        <w:widowControl w:val="0"/>
        <w:ind w:left="2880" w:hanging="2880"/>
        <w:jc w:val="both"/>
        <w:rPr>
          <w:sz w:val="20"/>
          <w:szCs w:val="20"/>
          <w:lang w:val="fr-CA"/>
        </w:rPr>
      </w:pPr>
      <w:r w:rsidRPr="007372C1">
        <w:rPr>
          <w:sz w:val="20"/>
          <w:szCs w:val="20"/>
          <w:lang w:val="fr-CA"/>
        </w:rPr>
        <w:t>N</w:t>
      </w:r>
      <w:r w:rsidRPr="007372C1">
        <w:rPr>
          <w:sz w:val="20"/>
          <w:szCs w:val="20"/>
          <w:vertAlign w:val="superscript"/>
          <w:lang w:val="fr-CA"/>
        </w:rPr>
        <w:t>o</w:t>
      </w:r>
      <w:r w:rsidRPr="007372C1">
        <w:rPr>
          <w:sz w:val="20"/>
          <w:szCs w:val="20"/>
          <w:lang w:val="fr-CA"/>
        </w:rPr>
        <w:t xml:space="preserve"> du greffe :</w:t>
      </w:r>
      <w:r w:rsidRPr="007372C1">
        <w:rPr>
          <w:sz w:val="20"/>
          <w:szCs w:val="20"/>
          <w:lang w:val="fr-CA"/>
        </w:rPr>
        <w:tab/>
        <w:t>35599</w:t>
      </w:r>
    </w:p>
    <w:p w:rsidR="00824771" w:rsidRPr="007372C1" w:rsidRDefault="00824771" w:rsidP="00824771">
      <w:pPr>
        <w:widowControl w:val="0"/>
        <w:ind w:left="2880" w:hanging="2880"/>
        <w:jc w:val="both"/>
        <w:rPr>
          <w:sz w:val="20"/>
          <w:szCs w:val="20"/>
          <w:lang w:val="fr-CA"/>
        </w:rPr>
      </w:pPr>
    </w:p>
    <w:p w:rsidR="00824771" w:rsidRPr="007372C1" w:rsidRDefault="00824771" w:rsidP="00824771">
      <w:pPr>
        <w:widowControl w:val="0"/>
        <w:ind w:left="2880" w:hanging="2880"/>
        <w:jc w:val="both"/>
        <w:rPr>
          <w:sz w:val="20"/>
          <w:szCs w:val="20"/>
          <w:lang w:val="fr-CA"/>
        </w:rPr>
      </w:pPr>
      <w:r w:rsidRPr="007372C1">
        <w:rPr>
          <w:sz w:val="20"/>
          <w:szCs w:val="20"/>
          <w:lang w:val="fr-CA"/>
        </w:rPr>
        <w:t>Arrêt de la Cour d’appel :</w:t>
      </w:r>
      <w:r w:rsidRPr="007372C1">
        <w:rPr>
          <w:sz w:val="20"/>
          <w:szCs w:val="20"/>
          <w:lang w:val="fr-CA"/>
        </w:rPr>
        <w:tab/>
        <w:t>le 4 septembre 2013</w:t>
      </w:r>
    </w:p>
    <w:p w:rsidR="00824771" w:rsidRPr="007372C1" w:rsidRDefault="00824771" w:rsidP="00824771">
      <w:pPr>
        <w:widowControl w:val="0"/>
        <w:ind w:left="2880" w:hanging="2880"/>
        <w:jc w:val="both"/>
        <w:rPr>
          <w:sz w:val="20"/>
          <w:szCs w:val="20"/>
          <w:lang w:val="fr-CA"/>
        </w:rPr>
      </w:pPr>
    </w:p>
    <w:p w:rsidR="00824771" w:rsidRPr="007372C1" w:rsidRDefault="00824771" w:rsidP="00824771">
      <w:pPr>
        <w:widowControl w:val="0"/>
        <w:ind w:left="2880" w:hanging="2880"/>
        <w:jc w:val="both"/>
        <w:rPr>
          <w:sz w:val="20"/>
          <w:szCs w:val="20"/>
          <w:lang w:val="fr-CA"/>
        </w:rPr>
      </w:pPr>
      <w:r w:rsidRPr="007372C1">
        <w:rPr>
          <w:sz w:val="20"/>
          <w:szCs w:val="20"/>
          <w:lang w:val="fr-CA"/>
        </w:rPr>
        <w:t>Avocats :</w:t>
      </w:r>
      <w:r w:rsidRPr="007372C1">
        <w:rPr>
          <w:sz w:val="20"/>
          <w:szCs w:val="20"/>
          <w:lang w:val="fr-CA"/>
        </w:rPr>
        <w:tab/>
        <w:t>Solomon Friedman, pour l’appelant</w:t>
      </w:r>
    </w:p>
    <w:p w:rsidR="00824771" w:rsidRPr="007372C1" w:rsidRDefault="00824771" w:rsidP="00824771">
      <w:pPr>
        <w:widowControl w:val="0"/>
        <w:ind w:left="2880" w:hanging="2880"/>
        <w:jc w:val="both"/>
        <w:rPr>
          <w:sz w:val="20"/>
          <w:szCs w:val="20"/>
          <w:lang w:val="fr-CA"/>
        </w:rPr>
      </w:pPr>
      <w:r w:rsidRPr="007372C1">
        <w:rPr>
          <w:sz w:val="20"/>
          <w:szCs w:val="20"/>
          <w:lang w:val="fr-CA"/>
        </w:rPr>
        <w:tab/>
        <w:t>John S. McInnes, pour l’intimée</w:t>
      </w:r>
    </w:p>
    <w:p w:rsidR="00DD7981" w:rsidRDefault="00DD7981">
      <w:pPr>
        <w:rPr>
          <w:sz w:val="20"/>
          <w:szCs w:val="20"/>
          <w:lang w:val="fr-CA"/>
        </w:rPr>
      </w:pPr>
    </w:p>
    <w:p w:rsidR="00DD7981" w:rsidRDefault="00714478">
      <w:pPr>
        <w:rPr>
          <w:sz w:val="20"/>
          <w:szCs w:val="20"/>
          <w:lang w:val="fr-CA"/>
        </w:rPr>
      </w:pPr>
      <w:r>
        <w:rPr>
          <w:sz w:val="20"/>
          <w:szCs w:val="20"/>
          <w:lang w:val="fr-CA"/>
        </w:rPr>
        <w:pict>
          <v:rect id="_x0000_i1094" style="width:2in;height:1pt" o:hrpct="0" o:hralign="center" o:hrstd="t" o:hrnoshade="t" o:hr="t" fillcolor="black [3213]" stroked="f"/>
        </w:pict>
      </w:r>
    </w:p>
    <w:p w:rsidR="00DD7981" w:rsidRDefault="00DD7981">
      <w:pPr>
        <w:rPr>
          <w:sz w:val="20"/>
          <w:szCs w:val="20"/>
          <w:lang w:val="fr-CA"/>
        </w:rPr>
      </w:pPr>
      <w:r>
        <w:rPr>
          <w:sz w:val="20"/>
          <w:szCs w:val="20"/>
          <w:lang w:val="fr-CA"/>
        </w:rPr>
        <w:br w:type="page"/>
      </w:r>
    </w:p>
    <w:p w:rsidR="00C30EE2" w:rsidRPr="00E30FD4" w:rsidRDefault="00A4467E" w:rsidP="00C30EE2">
      <w:pPr>
        <w:widowControl w:val="0"/>
        <w:ind w:left="720" w:hanging="720"/>
        <w:jc w:val="both"/>
        <w:rPr>
          <w:sz w:val="20"/>
          <w:szCs w:val="20"/>
        </w:rPr>
      </w:pPr>
      <w:r w:rsidRPr="00E30FD4">
        <w:rPr>
          <w:b/>
          <w:sz w:val="20"/>
          <w:szCs w:val="20"/>
        </w:rPr>
        <w:lastRenderedPageBreak/>
        <w:fldChar w:fldCharType="begin"/>
      </w:r>
      <w:r w:rsidR="00C30EE2" w:rsidRPr="00E30FD4">
        <w:rPr>
          <w:b/>
          <w:sz w:val="20"/>
          <w:szCs w:val="20"/>
        </w:rPr>
        <w:instrText xml:space="preserve"> SEQ CHAPTER \h \r 1</w:instrText>
      </w:r>
      <w:r w:rsidRPr="00E30FD4">
        <w:rPr>
          <w:b/>
          <w:sz w:val="20"/>
          <w:szCs w:val="20"/>
        </w:rPr>
        <w:fldChar w:fldCharType="end"/>
      </w:r>
      <w:r w:rsidR="00C30EE2" w:rsidRPr="00E30FD4">
        <w:rPr>
          <w:b/>
          <w:sz w:val="20"/>
          <w:szCs w:val="20"/>
        </w:rPr>
        <w:t>35626</w:t>
      </w:r>
      <w:r w:rsidR="00C30EE2" w:rsidRPr="00E30FD4">
        <w:rPr>
          <w:sz w:val="20"/>
          <w:szCs w:val="20"/>
        </w:rPr>
        <w:tab/>
      </w:r>
      <w:r w:rsidR="00C30EE2" w:rsidRPr="00E30FD4">
        <w:rPr>
          <w:b/>
          <w:i/>
          <w:sz w:val="20"/>
          <w:szCs w:val="20"/>
        </w:rPr>
        <w:t>Her Majesty the Queen v. Jeffrey St-Cloud</w:t>
      </w:r>
    </w:p>
    <w:p w:rsidR="00C30EE2" w:rsidRPr="00E30FD4" w:rsidRDefault="00C30EE2" w:rsidP="00C30EE2">
      <w:pPr>
        <w:widowControl w:val="0"/>
        <w:jc w:val="both"/>
        <w:rPr>
          <w:sz w:val="20"/>
          <w:szCs w:val="20"/>
        </w:rPr>
      </w:pPr>
    </w:p>
    <w:p w:rsidR="00C30EE2" w:rsidRPr="00E30FD4" w:rsidRDefault="00C30EE2" w:rsidP="00C30EE2">
      <w:pPr>
        <w:widowControl w:val="0"/>
        <w:jc w:val="both"/>
        <w:rPr>
          <w:smallCaps/>
          <w:sz w:val="20"/>
          <w:szCs w:val="20"/>
        </w:rPr>
      </w:pPr>
      <w:r w:rsidRPr="00E30FD4">
        <w:rPr>
          <w:smallCaps/>
          <w:sz w:val="20"/>
          <w:szCs w:val="20"/>
        </w:rPr>
        <w:t>(Publication Ban in Case)</w:t>
      </w:r>
    </w:p>
    <w:p w:rsidR="00C30EE2" w:rsidRPr="00E30FD4" w:rsidRDefault="00C30EE2" w:rsidP="00C30EE2">
      <w:pPr>
        <w:widowControl w:val="0"/>
        <w:jc w:val="both"/>
        <w:rPr>
          <w:sz w:val="20"/>
          <w:szCs w:val="20"/>
        </w:rPr>
      </w:pPr>
    </w:p>
    <w:p w:rsidR="00C30EE2" w:rsidRPr="00E30FD4" w:rsidRDefault="00C30EE2" w:rsidP="00C30EE2">
      <w:pPr>
        <w:widowControl w:val="0"/>
        <w:jc w:val="both"/>
        <w:rPr>
          <w:sz w:val="20"/>
          <w:szCs w:val="20"/>
        </w:rPr>
      </w:pPr>
      <w:r w:rsidRPr="00E30FD4">
        <w:rPr>
          <w:sz w:val="20"/>
          <w:szCs w:val="20"/>
        </w:rPr>
        <w:t xml:space="preserve">Criminal law - Judicial interim release - Standard of review - Justification for detention in custody - Standard of review applicable to review of interim release decision under s. 520 of </w:t>
      </w:r>
      <w:r w:rsidRPr="00E30FD4">
        <w:rPr>
          <w:i/>
          <w:sz w:val="20"/>
          <w:szCs w:val="20"/>
        </w:rPr>
        <w:t>Criminal Code</w:t>
      </w:r>
      <w:r w:rsidRPr="00E30FD4">
        <w:rPr>
          <w:sz w:val="20"/>
          <w:szCs w:val="20"/>
        </w:rPr>
        <w:t>, R.S.C. 1985, c. C-46, and, more specifically, whether Superior Court judge erred in exercising role as reviewing judge by simply substituting his assessment of evidence for that of justices - Proper interpretation of s. 515(10)(</w:t>
      </w:r>
      <w:r w:rsidRPr="00E30FD4">
        <w:rPr>
          <w:i/>
          <w:sz w:val="20"/>
          <w:szCs w:val="20"/>
        </w:rPr>
        <w:t>c</w:t>
      </w:r>
      <w:r w:rsidRPr="00E30FD4">
        <w:rPr>
          <w:sz w:val="20"/>
          <w:szCs w:val="20"/>
        </w:rPr>
        <w:t xml:space="preserve">) of </w:t>
      </w:r>
      <w:r w:rsidRPr="00E30FD4">
        <w:rPr>
          <w:i/>
          <w:sz w:val="20"/>
          <w:szCs w:val="20"/>
        </w:rPr>
        <w:t>Criminal Code</w:t>
      </w:r>
      <w:r w:rsidRPr="00E30FD4">
        <w:rPr>
          <w:sz w:val="20"/>
          <w:szCs w:val="20"/>
        </w:rPr>
        <w:t xml:space="preserve"> and whether Superior Court judge erred in unduly restricting its scope.</w:t>
      </w:r>
    </w:p>
    <w:p w:rsidR="00C30EE2" w:rsidRPr="00E30FD4" w:rsidRDefault="00C30EE2" w:rsidP="00C30EE2">
      <w:pPr>
        <w:widowControl w:val="0"/>
        <w:jc w:val="both"/>
        <w:rPr>
          <w:sz w:val="20"/>
          <w:szCs w:val="20"/>
        </w:rPr>
      </w:pPr>
    </w:p>
    <w:p w:rsidR="00C30EE2" w:rsidRPr="00E30FD4" w:rsidRDefault="00C30EE2" w:rsidP="00C30EE2">
      <w:pPr>
        <w:widowControl w:val="0"/>
        <w:jc w:val="both"/>
        <w:rPr>
          <w:sz w:val="20"/>
          <w:szCs w:val="20"/>
        </w:rPr>
      </w:pPr>
      <w:r w:rsidRPr="00E30FD4">
        <w:rPr>
          <w:sz w:val="20"/>
          <w:szCs w:val="20"/>
        </w:rPr>
        <w:t>The respondent was charged with aggravated assault committed against a Montréal bus driver in April 2013.  The recording from two cameras in the bus clearly showed that the respondent was an active participant in the assault.  Applying s. 515(10)(</w:t>
      </w:r>
      <w:r w:rsidRPr="00E30FD4">
        <w:rPr>
          <w:i/>
          <w:sz w:val="20"/>
          <w:szCs w:val="20"/>
        </w:rPr>
        <w:t>c</w:t>
      </w:r>
      <w:r w:rsidRPr="00E30FD4">
        <w:rPr>
          <w:sz w:val="20"/>
          <w:szCs w:val="20"/>
        </w:rPr>
        <w:t xml:space="preserve">) of the </w:t>
      </w:r>
      <w:r w:rsidRPr="00E30FD4">
        <w:rPr>
          <w:i/>
          <w:sz w:val="20"/>
          <w:szCs w:val="20"/>
        </w:rPr>
        <w:t>Criminal Code</w:t>
      </w:r>
      <w:r w:rsidRPr="00E30FD4">
        <w:rPr>
          <w:sz w:val="20"/>
          <w:szCs w:val="20"/>
        </w:rPr>
        <w:t xml:space="preserve">, two justices found that the respondent’s detention was necessary to maintain confidence in the administration of justice.  On review under s. 520 of the </w:t>
      </w:r>
      <w:r w:rsidRPr="00E30FD4">
        <w:rPr>
          <w:i/>
          <w:sz w:val="20"/>
          <w:szCs w:val="20"/>
        </w:rPr>
        <w:t>Criminal Code</w:t>
      </w:r>
      <w:r w:rsidRPr="00E30FD4">
        <w:rPr>
          <w:sz w:val="20"/>
          <w:szCs w:val="20"/>
        </w:rPr>
        <w:t>, the Superior Court found that the case law required s. 515(10)(</w:t>
      </w:r>
      <w:r w:rsidRPr="00E30FD4">
        <w:rPr>
          <w:i/>
          <w:sz w:val="20"/>
          <w:szCs w:val="20"/>
        </w:rPr>
        <w:t>c</w:t>
      </w:r>
      <w:r w:rsidRPr="00E30FD4">
        <w:rPr>
          <w:sz w:val="20"/>
          <w:szCs w:val="20"/>
        </w:rPr>
        <w:t>) to be used sparingly and that the trial judges had erred in applying it in this case.  The Superior Court explained that the respondent’s behaviour was appalling but that his detention could not be justified under s. 515(10)(</w:t>
      </w:r>
      <w:r w:rsidRPr="00E30FD4">
        <w:rPr>
          <w:i/>
          <w:sz w:val="20"/>
          <w:szCs w:val="20"/>
        </w:rPr>
        <w:t>c</w:t>
      </w:r>
      <w:r w:rsidRPr="00E30FD4">
        <w:rPr>
          <w:sz w:val="20"/>
          <w:szCs w:val="20"/>
        </w:rPr>
        <w:t>).</w:t>
      </w:r>
    </w:p>
    <w:p w:rsidR="00C30EE2" w:rsidRPr="00E30FD4" w:rsidRDefault="00C30EE2" w:rsidP="00C30EE2">
      <w:pPr>
        <w:widowControl w:val="0"/>
        <w:jc w:val="both"/>
        <w:rPr>
          <w:sz w:val="20"/>
          <w:szCs w:val="20"/>
        </w:rPr>
      </w:pPr>
    </w:p>
    <w:p w:rsidR="00C30EE2" w:rsidRPr="00E30FD4" w:rsidRDefault="00C30EE2" w:rsidP="00C30EE2">
      <w:pPr>
        <w:widowControl w:val="0"/>
        <w:jc w:val="both"/>
        <w:rPr>
          <w:sz w:val="20"/>
          <w:szCs w:val="20"/>
        </w:rPr>
      </w:pPr>
    </w:p>
    <w:p w:rsidR="00C30EE2" w:rsidRPr="00E30FD4" w:rsidRDefault="00C30EE2" w:rsidP="00C30EE2">
      <w:pPr>
        <w:widowControl w:val="0"/>
        <w:ind w:left="2880" w:hanging="2880"/>
        <w:jc w:val="both"/>
        <w:rPr>
          <w:sz w:val="20"/>
          <w:szCs w:val="20"/>
        </w:rPr>
      </w:pPr>
      <w:r w:rsidRPr="00E30FD4">
        <w:rPr>
          <w:sz w:val="20"/>
          <w:szCs w:val="20"/>
        </w:rPr>
        <w:t>Origin of the case:</w:t>
      </w:r>
      <w:r w:rsidRPr="00E30FD4">
        <w:rPr>
          <w:sz w:val="20"/>
          <w:szCs w:val="20"/>
        </w:rPr>
        <w:tab/>
        <w:t>Quebec</w:t>
      </w:r>
    </w:p>
    <w:p w:rsidR="00C30EE2" w:rsidRPr="00E30FD4" w:rsidRDefault="00C30EE2" w:rsidP="00C30EE2">
      <w:pPr>
        <w:widowControl w:val="0"/>
        <w:ind w:left="2880" w:hanging="2880"/>
        <w:jc w:val="both"/>
        <w:rPr>
          <w:sz w:val="20"/>
          <w:szCs w:val="20"/>
        </w:rPr>
      </w:pPr>
    </w:p>
    <w:p w:rsidR="00C30EE2" w:rsidRPr="00E30FD4" w:rsidRDefault="00C30EE2" w:rsidP="00C30EE2">
      <w:pPr>
        <w:widowControl w:val="0"/>
        <w:ind w:left="2880" w:hanging="2880"/>
        <w:jc w:val="both"/>
        <w:rPr>
          <w:sz w:val="20"/>
          <w:szCs w:val="20"/>
        </w:rPr>
      </w:pPr>
      <w:r w:rsidRPr="00E30FD4">
        <w:rPr>
          <w:sz w:val="20"/>
          <w:szCs w:val="20"/>
        </w:rPr>
        <w:t>File No.:</w:t>
      </w:r>
      <w:r w:rsidRPr="00E30FD4">
        <w:rPr>
          <w:sz w:val="20"/>
          <w:szCs w:val="20"/>
        </w:rPr>
        <w:tab/>
        <w:t>35626</w:t>
      </w:r>
    </w:p>
    <w:p w:rsidR="00C30EE2" w:rsidRPr="00E30FD4" w:rsidRDefault="00C30EE2" w:rsidP="00C30EE2">
      <w:pPr>
        <w:widowControl w:val="0"/>
        <w:ind w:left="2880" w:hanging="2880"/>
        <w:jc w:val="both"/>
        <w:rPr>
          <w:sz w:val="20"/>
          <w:szCs w:val="20"/>
        </w:rPr>
      </w:pPr>
    </w:p>
    <w:p w:rsidR="00C30EE2" w:rsidRPr="00E30FD4" w:rsidRDefault="00C30EE2" w:rsidP="00C30EE2">
      <w:pPr>
        <w:widowControl w:val="0"/>
        <w:ind w:left="2880" w:hanging="2880"/>
        <w:jc w:val="both"/>
        <w:rPr>
          <w:sz w:val="20"/>
          <w:szCs w:val="20"/>
        </w:rPr>
      </w:pPr>
      <w:r w:rsidRPr="00E30FD4">
        <w:rPr>
          <w:sz w:val="20"/>
          <w:szCs w:val="20"/>
        </w:rPr>
        <w:t>Judgment of the Court of Appeal:</w:t>
      </w:r>
      <w:r w:rsidRPr="00E30FD4">
        <w:rPr>
          <w:sz w:val="20"/>
          <w:szCs w:val="20"/>
        </w:rPr>
        <w:tab/>
        <w:t>September 26, 2014</w:t>
      </w:r>
    </w:p>
    <w:p w:rsidR="00C30EE2" w:rsidRPr="00E30FD4" w:rsidRDefault="00C30EE2" w:rsidP="00C30EE2">
      <w:pPr>
        <w:widowControl w:val="0"/>
        <w:ind w:left="2880" w:hanging="2880"/>
        <w:jc w:val="both"/>
        <w:rPr>
          <w:sz w:val="20"/>
          <w:szCs w:val="20"/>
        </w:rPr>
      </w:pPr>
    </w:p>
    <w:p w:rsidR="00C30EE2" w:rsidRPr="00E30FD4" w:rsidRDefault="00C30EE2" w:rsidP="00C30EE2">
      <w:pPr>
        <w:widowControl w:val="0"/>
        <w:ind w:left="2880" w:hanging="2880"/>
        <w:jc w:val="both"/>
        <w:rPr>
          <w:sz w:val="20"/>
          <w:szCs w:val="20"/>
        </w:rPr>
      </w:pPr>
      <w:r w:rsidRPr="00E30FD4">
        <w:rPr>
          <w:sz w:val="20"/>
          <w:szCs w:val="20"/>
        </w:rPr>
        <w:t>Counsel:</w:t>
      </w:r>
      <w:r w:rsidRPr="00E30FD4">
        <w:rPr>
          <w:sz w:val="20"/>
          <w:szCs w:val="20"/>
        </w:rPr>
        <w:tab/>
        <w:t>Christian Jarry and Geneviève Langlois for the appellant</w:t>
      </w:r>
    </w:p>
    <w:p w:rsidR="00C30EE2" w:rsidRPr="00E30FD4" w:rsidRDefault="00C30EE2" w:rsidP="00C30EE2">
      <w:pPr>
        <w:widowControl w:val="0"/>
        <w:ind w:left="2880" w:hanging="2880"/>
        <w:jc w:val="both"/>
        <w:rPr>
          <w:sz w:val="20"/>
          <w:szCs w:val="20"/>
        </w:rPr>
      </w:pPr>
      <w:r>
        <w:rPr>
          <w:sz w:val="20"/>
          <w:szCs w:val="20"/>
        </w:rPr>
        <w:tab/>
      </w:r>
      <w:r w:rsidRPr="00E30FD4">
        <w:rPr>
          <w:sz w:val="20"/>
          <w:szCs w:val="20"/>
        </w:rPr>
        <w:t>André Lapointe and Guylaine Tardif for the respondent</w:t>
      </w:r>
    </w:p>
    <w:p w:rsidR="00DD7981" w:rsidRPr="00C30EE2" w:rsidRDefault="00DD7981">
      <w:pPr>
        <w:rPr>
          <w:sz w:val="20"/>
          <w:szCs w:val="20"/>
        </w:rPr>
      </w:pPr>
    </w:p>
    <w:p w:rsidR="00DD7981" w:rsidRDefault="00714478">
      <w:pPr>
        <w:rPr>
          <w:sz w:val="20"/>
          <w:szCs w:val="20"/>
          <w:lang w:val="fr-CA"/>
        </w:rPr>
      </w:pPr>
      <w:r>
        <w:rPr>
          <w:sz w:val="20"/>
          <w:szCs w:val="20"/>
          <w:lang w:val="fr-CA"/>
        </w:rPr>
        <w:pict>
          <v:rect id="_x0000_i1095" style="width:2in;height:1pt" o:hrpct="0" o:hralign="center" o:hrstd="t" o:hrnoshade="t" o:hr="t" fillcolor="black [3213]" stroked="f"/>
        </w:pict>
      </w:r>
    </w:p>
    <w:p w:rsidR="00DD7981" w:rsidRDefault="00DD7981">
      <w:pPr>
        <w:rPr>
          <w:sz w:val="20"/>
          <w:szCs w:val="20"/>
          <w:lang w:val="fr-CA"/>
        </w:rPr>
      </w:pPr>
      <w:r>
        <w:rPr>
          <w:sz w:val="20"/>
          <w:szCs w:val="20"/>
          <w:lang w:val="fr-CA"/>
        </w:rPr>
        <w:br w:type="page"/>
      </w:r>
    </w:p>
    <w:p w:rsidR="00E33C9D" w:rsidRPr="001020E2" w:rsidRDefault="00A4467E" w:rsidP="00E33C9D">
      <w:pPr>
        <w:widowControl w:val="0"/>
        <w:ind w:left="720" w:hanging="720"/>
        <w:jc w:val="both"/>
        <w:rPr>
          <w:sz w:val="20"/>
          <w:szCs w:val="20"/>
          <w:lang w:val="fr-CA"/>
        </w:rPr>
      </w:pPr>
      <w:r w:rsidRPr="001020E2">
        <w:rPr>
          <w:b/>
          <w:sz w:val="20"/>
          <w:szCs w:val="20"/>
          <w:lang w:val="fr-CA"/>
        </w:rPr>
        <w:lastRenderedPageBreak/>
        <w:fldChar w:fldCharType="begin"/>
      </w:r>
      <w:r w:rsidR="00E33C9D" w:rsidRPr="001020E2">
        <w:rPr>
          <w:b/>
          <w:sz w:val="20"/>
          <w:szCs w:val="20"/>
          <w:lang w:val="fr-CA"/>
        </w:rPr>
        <w:instrText xml:space="preserve"> SEQ CHAPTER \h \r 1</w:instrText>
      </w:r>
      <w:r w:rsidRPr="001020E2">
        <w:rPr>
          <w:b/>
          <w:sz w:val="20"/>
          <w:szCs w:val="20"/>
        </w:rPr>
        <w:fldChar w:fldCharType="end"/>
      </w:r>
      <w:r w:rsidR="00E33C9D" w:rsidRPr="001020E2">
        <w:rPr>
          <w:b/>
          <w:sz w:val="20"/>
          <w:szCs w:val="20"/>
          <w:lang w:val="fr-CA"/>
        </w:rPr>
        <w:t>35626</w:t>
      </w:r>
      <w:r w:rsidR="00E33C9D" w:rsidRPr="001020E2">
        <w:rPr>
          <w:sz w:val="20"/>
          <w:szCs w:val="20"/>
          <w:lang w:val="fr-CA"/>
        </w:rPr>
        <w:tab/>
      </w:r>
      <w:r w:rsidR="00E33C9D" w:rsidRPr="001020E2">
        <w:rPr>
          <w:b/>
          <w:i/>
          <w:sz w:val="20"/>
          <w:szCs w:val="20"/>
          <w:lang w:val="fr-CA"/>
        </w:rPr>
        <w:t>Sa Majesté la Reine c. Jeffrey St-Cloud</w:t>
      </w:r>
    </w:p>
    <w:p w:rsidR="00E33C9D" w:rsidRPr="001020E2" w:rsidRDefault="00E33C9D" w:rsidP="00E33C9D">
      <w:pPr>
        <w:widowControl w:val="0"/>
        <w:jc w:val="both"/>
        <w:rPr>
          <w:sz w:val="20"/>
          <w:szCs w:val="20"/>
          <w:lang w:val="fr-CA"/>
        </w:rPr>
      </w:pPr>
    </w:p>
    <w:p w:rsidR="00E33C9D" w:rsidRPr="001020E2" w:rsidRDefault="00E33C9D" w:rsidP="00E33C9D">
      <w:pPr>
        <w:widowControl w:val="0"/>
        <w:jc w:val="both"/>
        <w:rPr>
          <w:smallCaps/>
          <w:sz w:val="20"/>
          <w:szCs w:val="20"/>
          <w:lang w:val="fr-CA"/>
        </w:rPr>
      </w:pPr>
      <w:r w:rsidRPr="001020E2">
        <w:rPr>
          <w:smallCaps/>
          <w:sz w:val="20"/>
          <w:szCs w:val="20"/>
          <w:lang w:val="fr-CA"/>
        </w:rPr>
        <w:t>(Ordonnance de non publication dans le dossier)</w:t>
      </w:r>
    </w:p>
    <w:p w:rsidR="00E33C9D" w:rsidRPr="001020E2" w:rsidRDefault="00E33C9D" w:rsidP="00E33C9D">
      <w:pPr>
        <w:widowControl w:val="0"/>
        <w:jc w:val="both"/>
        <w:rPr>
          <w:sz w:val="20"/>
          <w:szCs w:val="20"/>
          <w:lang w:val="fr-CA"/>
        </w:rPr>
      </w:pPr>
    </w:p>
    <w:p w:rsidR="00E33C9D" w:rsidRPr="001020E2" w:rsidRDefault="00E33C9D" w:rsidP="00E33C9D">
      <w:pPr>
        <w:widowControl w:val="0"/>
        <w:jc w:val="both"/>
        <w:rPr>
          <w:sz w:val="20"/>
          <w:szCs w:val="20"/>
          <w:lang w:val="fr-CA"/>
        </w:rPr>
      </w:pPr>
      <w:r w:rsidRPr="001020E2">
        <w:rPr>
          <w:sz w:val="20"/>
          <w:szCs w:val="20"/>
          <w:lang w:val="fr-CA"/>
        </w:rPr>
        <w:t xml:space="preserve">Droit criminel - Mise en liberté provisoire par voie judiciaire - Norme de contrôle - Motifs justifiant la détention - Quelle est la norme de contrôle applicable à la révision en vertu de l’art. 520 du </w:t>
      </w:r>
      <w:r w:rsidRPr="001020E2">
        <w:rPr>
          <w:i/>
          <w:sz w:val="20"/>
          <w:szCs w:val="20"/>
          <w:lang w:val="fr-CA"/>
        </w:rPr>
        <w:t>Code criminel</w:t>
      </w:r>
      <w:r w:rsidRPr="001020E2">
        <w:rPr>
          <w:sz w:val="20"/>
          <w:szCs w:val="20"/>
          <w:lang w:val="fr-CA"/>
        </w:rPr>
        <w:t>, L.R.C. 1985, ch. C-46, d’une décision en matière de mise en liberté provisoire et, plus précisément, le juge de la Cour supérieure a-t-il erronément exercé son rôle de juge réviseur en substituant purement et simplement son appréciation de la preuve à celle des juges de paix? - Quelle est l’interprétation que doit recevoir l’al. 515(10)</w:t>
      </w:r>
      <w:r w:rsidRPr="001020E2">
        <w:rPr>
          <w:i/>
          <w:sz w:val="20"/>
          <w:szCs w:val="20"/>
          <w:lang w:val="fr-CA"/>
        </w:rPr>
        <w:t>c</w:t>
      </w:r>
      <w:r w:rsidRPr="001020E2">
        <w:rPr>
          <w:sz w:val="20"/>
          <w:szCs w:val="20"/>
          <w:lang w:val="fr-CA"/>
        </w:rPr>
        <w:t xml:space="preserve">) du </w:t>
      </w:r>
      <w:r w:rsidRPr="001020E2">
        <w:rPr>
          <w:i/>
          <w:sz w:val="20"/>
          <w:szCs w:val="20"/>
          <w:lang w:val="fr-CA"/>
        </w:rPr>
        <w:t>Code criminel</w:t>
      </w:r>
      <w:r w:rsidRPr="001020E2">
        <w:rPr>
          <w:sz w:val="20"/>
          <w:szCs w:val="20"/>
          <w:lang w:val="fr-CA"/>
        </w:rPr>
        <w:t>, et le juge de la Cour supérieure a-t-il erré en restreignant indûment la portée?</w:t>
      </w:r>
    </w:p>
    <w:p w:rsidR="00E33C9D" w:rsidRPr="001020E2" w:rsidRDefault="00E33C9D" w:rsidP="00E33C9D">
      <w:pPr>
        <w:widowControl w:val="0"/>
        <w:jc w:val="both"/>
        <w:rPr>
          <w:sz w:val="20"/>
          <w:szCs w:val="20"/>
          <w:lang w:val="fr-CA"/>
        </w:rPr>
      </w:pPr>
    </w:p>
    <w:p w:rsidR="00E33C9D" w:rsidRPr="001020E2" w:rsidRDefault="00E33C9D" w:rsidP="00E33C9D">
      <w:pPr>
        <w:widowControl w:val="0"/>
        <w:jc w:val="both"/>
        <w:rPr>
          <w:sz w:val="20"/>
          <w:szCs w:val="20"/>
          <w:lang w:val="fr-CA"/>
        </w:rPr>
      </w:pPr>
      <w:r w:rsidRPr="001020E2">
        <w:rPr>
          <w:sz w:val="20"/>
          <w:szCs w:val="20"/>
          <w:lang w:val="fr-CA"/>
        </w:rPr>
        <w:t>L’intimé est accusé de voies de fait graves commises en avril 2013 à l’endroit d’un chauffeur d’autobus de Montréal.  L’enregistrement de deux caméras dans l’autobus démontre nettement la participation active de l’intimé dans l’agression.  Appliquant l’al. 515(10)</w:t>
      </w:r>
      <w:r w:rsidRPr="001020E2">
        <w:rPr>
          <w:i/>
          <w:sz w:val="20"/>
          <w:szCs w:val="20"/>
          <w:lang w:val="fr-CA"/>
        </w:rPr>
        <w:t>c</w:t>
      </w:r>
      <w:r w:rsidRPr="001020E2">
        <w:rPr>
          <w:sz w:val="20"/>
          <w:szCs w:val="20"/>
          <w:lang w:val="fr-CA"/>
        </w:rPr>
        <w:t xml:space="preserve">) du </w:t>
      </w:r>
      <w:r w:rsidRPr="001020E2">
        <w:rPr>
          <w:i/>
          <w:sz w:val="20"/>
          <w:szCs w:val="20"/>
          <w:lang w:val="fr-CA"/>
        </w:rPr>
        <w:t>Code criminel</w:t>
      </w:r>
      <w:r w:rsidRPr="001020E2">
        <w:rPr>
          <w:sz w:val="20"/>
          <w:szCs w:val="20"/>
          <w:lang w:val="fr-CA"/>
        </w:rPr>
        <w:t xml:space="preserve">, deux juges de paix ont conclu que la détention de l’intimé était nécessaire pour ne pas miner la confiance du public envers l’administration de la justice.  En révision en vertu de l’art. 520 du </w:t>
      </w:r>
      <w:r w:rsidRPr="001020E2">
        <w:rPr>
          <w:i/>
          <w:sz w:val="20"/>
          <w:szCs w:val="20"/>
          <w:lang w:val="fr-CA"/>
        </w:rPr>
        <w:t>Code criminel</w:t>
      </w:r>
      <w:r w:rsidRPr="001020E2">
        <w:rPr>
          <w:sz w:val="20"/>
          <w:szCs w:val="20"/>
          <w:lang w:val="fr-CA"/>
        </w:rPr>
        <w:t>, la Cour supérieure a conclu que selon la jurisprudence, l’al. 515(10)</w:t>
      </w:r>
      <w:r w:rsidRPr="001020E2">
        <w:rPr>
          <w:i/>
          <w:sz w:val="20"/>
          <w:szCs w:val="20"/>
          <w:lang w:val="fr-CA"/>
        </w:rPr>
        <w:t>c</w:t>
      </w:r>
      <w:r w:rsidRPr="001020E2">
        <w:rPr>
          <w:sz w:val="20"/>
          <w:szCs w:val="20"/>
          <w:lang w:val="fr-CA"/>
        </w:rPr>
        <w:t>) devait être appliqué avec parcimonie et qu’en l’espèce, les premiers juges ont erré en l’appliquant.  En effet, la Cour supérieure a expliqué que le comportement de l’intimé était « odieux » mais que sa détention ne pouvait être justifiée en vertu de l’al. 515(10)</w:t>
      </w:r>
      <w:r w:rsidRPr="001020E2">
        <w:rPr>
          <w:i/>
          <w:sz w:val="20"/>
          <w:szCs w:val="20"/>
          <w:lang w:val="fr-CA"/>
        </w:rPr>
        <w:t>c</w:t>
      </w:r>
      <w:r w:rsidRPr="001020E2">
        <w:rPr>
          <w:sz w:val="20"/>
          <w:szCs w:val="20"/>
          <w:lang w:val="fr-CA"/>
        </w:rPr>
        <w:t>).</w:t>
      </w:r>
    </w:p>
    <w:p w:rsidR="00E33C9D" w:rsidRPr="001020E2" w:rsidRDefault="00E33C9D" w:rsidP="00E33C9D">
      <w:pPr>
        <w:widowControl w:val="0"/>
        <w:jc w:val="both"/>
        <w:rPr>
          <w:sz w:val="20"/>
          <w:szCs w:val="20"/>
          <w:lang w:val="fr-CA"/>
        </w:rPr>
      </w:pPr>
    </w:p>
    <w:p w:rsidR="00E33C9D" w:rsidRPr="001020E2" w:rsidRDefault="00E33C9D" w:rsidP="00E33C9D">
      <w:pPr>
        <w:widowControl w:val="0"/>
        <w:jc w:val="both"/>
        <w:rPr>
          <w:sz w:val="20"/>
          <w:szCs w:val="20"/>
          <w:lang w:val="fr-CA"/>
        </w:rPr>
      </w:pPr>
    </w:p>
    <w:p w:rsidR="00E33C9D" w:rsidRPr="001020E2" w:rsidRDefault="00E33C9D" w:rsidP="00D02681">
      <w:pPr>
        <w:widowControl w:val="0"/>
        <w:ind w:left="2880" w:hanging="2880"/>
        <w:jc w:val="both"/>
        <w:rPr>
          <w:sz w:val="20"/>
          <w:szCs w:val="20"/>
          <w:lang w:val="fr-CA"/>
        </w:rPr>
      </w:pPr>
      <w:r w:rsidRPr="001020E2">
        <w:rPr>
          <w:sz w:val="20"/>
          <w:szCs w:val="20"/>
          <w:lang w:val="fr-CA"/>
        </w:rPr>
        <w:t>Origine :</w:t>
      </w:r>
      <w:r w:rsidRPr="001020E2">
        <w:rPr>
          <w:sz w:val="20"/>
          <w:szCs w:val="20"/>
          <w:lang w:val="fr-CA"/>
        </w:rPr>
        <w:tab/>
        <w:t>Québec</w:t>
      </w:r>
    </w:p>
    <w:p w:rsidR="00E33C9D" w:rsidRPr="001020E2" w:rsidRDefault="00E33C9D" w:rsidP="00D02681">
      <w:pPr>
        <w:widowControl w:val="0"/>
        <w:ind w:left="2880" w:hanging="2880"/>
        <w:jc w:val="both"/>
        <w:rPr>
          <w:sz w:val="20"/>
          <w:szCs w:val="20"/>
          <w:lang w:val="fr-CA"/>
        </w:rPr>
      </w:pPr>
    </w:p>
    <w:p w:rsidR="00E33C9D" w:rsidRPr="001020E2" w:rsidRDefault="00E33C9D" w:rsidP="00D02681">
      <w:pPr>
        <w:widowControl w:val="0"/>
        <w:ind w:left="2880" w:hanging="2880"/>
        <w:jc w:val="both"/>
        <w:rPr>
          <w:sz w:val="20"/>
          <w:szCs w:val="20"/>
          <w:lang w:val="fr-CA"/>
        </w:rPr>
      </w:pPr>
      <w:r w:rsidRPr="001020E2">
        <w:rPr>
          <w:sz w:val="20"/>
          <w:szCs w:val="20"/>
          <w:lang w:val="fr-CA"/>
        </w:rPr>
        <w:t>N</w:t>
      </w:r>
      <w:r w:rsidRPr="001020E2">
        <w:rPr>
          <w:sz w:val="20"/>
          <w:szCs w:val="20"/>
          <w:vertAlign w:val="superscript"/>
          <w:lang w:val="fr-CA"/>
        </w:rPr>
        <w:t>o</w:t>
      </w:r>
      <w:r w:rsidRPr="001020E2">
        <w:rPr>
          <w:sz w:val="20"/>
          <w:szCs w:val="20"/>
          <w:lang w:val="fr-CA"/>
        </w:rPr>
        <w:t xml:space="preserve"> du greffe :</w:t>
      </w:r>
      <w:r w:rsidRPr="001020E2">
        <w:rPr>
          <w:sz w:val="20"/>
          <w:szCs w:val="20"/>
          <w:lang w:val="fr-CA"/>
        </w:rPr>
        <w:tab/>
        <w:t>35626</w:t>
      </w:r>
    </w:p>
    <w:p w:rsidR="00E33C9D" w:rsidRPr="001020E2" w:rsidRDefault="00E33C9D" w:rsidP="00D02681">
      <w:pPr>
        <w:widowControl w:val="0"/>
        <w:ind w:left="2880" w:hanging="2880"/>
        <w:jc w:val="both"/>
        <w:rPr>
          <w:sz w:val="20"/>
          <w:szCs w:val="20"/>
          <w:lang w:val="fr-CA"/>
        </w:rPr>
      </w:pPr>
    </w:p>
    <w:p w:rsidR="00E33C9D" w:rsidRPr="001020E2" w:rsidRDefault="00E33C9D" w:rsidP="00D02681">
      <w:pPr>
        <w:widowControl w:val="0"/>
        <w:ind w:left="2880" w:hanging="2880"/>
        <w:jc w:val="both"/>
        <w:rPr>
          <w:sz w:val="20"/>
          <w:szCs w:val="20"/>
          <w:lang w:val="fr-CA"/>
        </w:rPr>
      </w:pPr>
      <w:r w:rsidRPr="001020E2">
        <w:rPr>
          <w:sz w:val="20"/>
          <w:szCs w:val="20"/>
          <w:lang w:val="fr-CA"/>
        </w:rPr>
        <w:t>Arrêt de la Cour d’appel :</w:t>
      </w:r>
      <w:r w:rsidRPr="001020E2">
        <w:rPr>
          <w:sz w:val="20"/>
          <w:szCs w:val="20"/>
          <w:lang w:val="fr-CA"/>
        </w:rPr>
        <w:tab/>
      </w:r>
      <w:r w:rsidR="00E3500D">
        <w:rPr>
          <w:sz w:val="20"/>
          <w:szCs w:val="20"/>
          <w:lang w:val="fr-CA"/>
        </w:rPr>
        <w:t>l</w:t>
      </w:r>
      <w:r w:rsidRPr="001020E2">
        <w:rPr>
          <w:sz w:val="20"/>
          <w:szCs w:val="20"/>
          <w:lang w:val="fr-CA"/>
        </w:rPr>
        <w:t>e 26 septembre 2014</w:t>
      </w:r>
    </w:p>
    <w:p w:rsidR="00E33C9D" w:rsidRPr="001020E2" w:rsidRDefault="00E33C9D" w:rsidP="00D02681">
      <w:pPr>
        <w:widowControl w:val="0"/>
        <w:ind w:left="2880" w:hanging="2880"/>
        <w:jc w:val="both"/>
        <w:rPr>
          <w:sz w:val="20"/>
          <w:szCs w:val="20"/>
          <w:lang w:val="fr-CA"/>
        </w:rPr>
      </w:pPr>
    </w:p>
    <w:p w:rsidR="00E33C9D" w:rsidRPr="001020E2" w:rsidRDefault="00E33C9D" w:rsidP="00D02681">
      <w:pPr>
        <w:widowControl w:val="0"/>
        <w:ind w:left="2880" w:hanging="2880"/>
        <w:jc w:val="both"/>
        <w:rPr>
          <w:sz w:val="20"/>
          <w:szCs w:val="20"/>
          <w:lang w:val="fr-CA"/>
        </w:rPr>
      </w:pPr>
      <w:r w:rsidRPr="001020E2">
        <w:rPr>
          <w:sz w:val="20"/>
          <w:szCs w:val="20"/>
          <w:lang w:val="fr-CA"/>
        </w:rPr>
        <w:t>Avocats :</w:t>
      </w:r>
      <w:r w:rsidRPr="001020E2">
        <w:rPr>
          <w:sz w:val="20"/>
          <w:szCs w:val="20"/>
          <w:lang w:val="fr-CA"/>
        </w:rPr>
        <w:tab/>
        <w:t>Christian Jarry et Geneviève Langlois pour l’appelante</w:t>
      </w:r>
    </w:p>
    <w:p w:rsidR="00E33C9D" w:rsidRPr="001020E2" w:rsidRDefault="00D02681" w:rsidP="00D02681">
      <w:pPr>
        <w:widowControl w:val="0"/>
        <w:ind w:left="2880" w:hanging="2880"/>
        <w:jc w:val="both"/>
        <w:rPr>
          <w:sz w:val="20"/>
          <w:szCs w:val="20"/>
          <w:lang w:val="fr-CA"/>
        </w:rPr>
      </w:pPr>
      <w:r>
        <w:rPr>
          <w:sz w:val="20"/>
          <w:szCs w:val="20"/>
          <w:lang w:val="fr-CA"/>
        </w:rPr>
        <w:tab/>
      </w:r>
      <w:r w:rsidR="00E33C9D" w:rsidRPr="001020E2">
        <w:rPr>
          <w:sz w:val="20"/>
          <w:szCs w:val="20"/>
          <w:lang w:val="fr-CA"/>
        </w:rPr>
        <w:t>André Lapointe et Guylaine Tardif pour l’intimé</w:t>
      </w:r>
    </w:p>
    <w:p w:rsidR="00DD7981" w:rsidRDefault="00DD7981">
      <w:pPr>
        <w:rPr>
          <w:sz w:val="20"/>
          <w:szCs w:val="20"/>
          <w:lang w:val="fr-CA"/>
        </w:rPr>
      </w:pPr>
    </w:p>
    <w:p w:rsidR="00DD7981" w:rsidRDefault="00714478">
      <w:pPr>
        <w:rPr>
          <w:sz w:val="20"/>
          <w:szCs w:val="20"/>
          <w:lang w:val="fr-CA"/>
        </w:rPr>
      </w:pPr>
      <w:r>
        <w:rPr>
          <w:sz w:val="20"/>
          <w:szCs w:val="20"/>
          <w:lang w:val="fr-CA"/>
        </w:rPr>
        <w:pict>
          <v:rect id="_x0000_i1096" style="width:2in;height:1pt" o:hrpct="0" o:hralign="center" o:hrstd="t" o:hrnoshade="t" o:hr="t" fillcolor="black [3213]" stroked="f"/>
        </w:pict>
      </w:r>
    </w:p>
    <w:p w:rsidR="00DD7981" w:rsidRDefault="00DD7981">
      <w:pPr>
        <w:rPr>
          <w:sz w:val="20"/>
          <w:szCs w:val="20"/>
          <w:lang w:val="fr-CA"/>
        </w:rPr>
      </w:pPr>
      <w:r>
        <w:rPr>
          <w:sz w:val="20"/>
          <w:szCs w:val="20"/>
          <w:lang w:val="fr-CA"/>
        </w:rPr>
        <w:br w:type="page"/>
      </w:r>
    </w:p>
    <w:p w:rsidR="00BF5D43" w:rsidRPr="009B0ECC" w:rsidRDefault="00A4467E" w:rsidP="00BF5D43">
      <w:pPr>
        <w:widowControl w:val="0"/>
        <w:ind w:left="720" w:hanging="720"/>
        <w:jc w:val="both"/>
        <w:rPr>
          <w:b/>
          <w:sz w:val="20"/>
          <w:szCs w:val="20"/>
        </w:rPr>
      </w:pPr>
      <w:r w:rsidRPr="009B0ECC">
        <w:rPr>
          <w:b/>
          <w:sz w:val="20"/>
          <w:szCs w:val="20"/>
        </w:rPr>
        <w:lastRenderedPageBreak/>
        <w:fldChar w:fldCharType="begin"/>
      </w:r>
      <w:r w:rsidR="00BF5D43" w:rsidRPr="009B0ECC">
        <w:rPr>
          <w:b/>
          <w:sz w:val="20"/>
          <w:szCs w:val="20"/>
        </w:rPr>
        <w:instrText xml:space="preserve"> SEQ CHAPTER \h \r 1</w:instrText>
      </w:r>
      <w:r w:rsidRPr="009B0ECC">
        <w:rPr>
          <w:b/>
          <w:sz w:val="20"/>
          <w:szCs w:val="20"/>
        </w:rPr>
        <w:fldChar w:fldCharType="end"/>
      </w:r>
      <w:r w:rsidR="00BF5D43" w:rsidRPr="009B0ECC">
        <w:rPr>
          <w:b/>
          <w:sz w:val="20"/>
          <w:szCs w:val="20"/>
        </w:rPr>
        <w:t>35678</w:t>
      </w:r>
      <w:r w:rsidR="00BF5D43" w:rsidRPr="009B0ECC">
        <w:rPr>
          <w:b/>
          <w:sz w:val="20"/>
          <w:szCs w:val="20"/>
        </w:rPr>
        <w:tab/>
      </w:r>
      <w:r w:rsidR="00BF5D43" w:rsidRPr="009B0ECC">
        <w:rPr>
          <w:b/>
          <w:i/>
          <w:sz w:val="20"/>
          <w:szCs w:val="20"/>
        </w:rPr>
        <w:t>Her Majesty the Queen, et al. v. Hussein Jama Nur</w:t>
      </w:r>
    </w:p>
    <w:p w:rsidR="00BF5D43" w:rsidRPr="009B0ECC" w:rsidRDefault="00BF5D43" w:rsidP="00BF5D43">
      <w:pPr>
        <w:widowControl w:val="0"/>
        <w:jc w:val="both"/>
        <w:rPr>
          <w:sz w:val="20"/>
          <w:szCs w:val="20"/>
        </w:rPr>
      </w:pPr>
    </w:p>
    <w:p w:rsidR="00BF5D43" w:rsidRPr="009B0ECC" w:rsidRDefault="00BF5D43" w:rsidP="00BF5D43">
      <w:pPr>
        <w:jc w:val="both"/>
        <w:rPr>
          <w:sz w:val="20"/>
          <w:szCs w:val="20"/>
        </w:rPr>
      </w:pPr>
      <w:r w:rsidRPr="009B0ECC">
        <w:rPr>
          <w:i/>
          <w:sz w:val="20"/>
          <w:szCs w:val="20"/>
        </w:rPr>
        <w:t>Canadian Charter of Rights and Freedoms</w:t>
      </w:r>
      <w:r w:rsidRPr="009B0ECC">
        <w:rPr>
          <w:sz w:val="20"/>
          <w:szCs w:val="20"/>
        </w:rPr>
        <w:t xml:space="preserve"> - Criminal law - Cruel and unusual treatment or punishment - Mandatory minimum sentence - Possession of prohibited or restricted firearm with ammunition - Does s. 95(2)(a)(i) of the </w:t>
      </w:r>
      <w:r w:rsidRPr="009B0ECC">
        <w:rPr>
          <w:i/>
          <w:sz w:val="20"/>
          <w:szCs w:val="20"/>
        </w:rPr>
        <w:t>Criminal Code</w:t>
      </w:r>
      <w:r w:rsidRPr="009B0ECC">
        <w:rPr>
          <w:sz w:val="20"/>
          <w:szCs w:val="20"/>
        </w:rPr>
        <w:t xml:space="preserve"> infringe s. 12 of the </w:t>
      </w:r>
      <w:r w:rsidRPr="009B0ECC">
        <w:rPr>
          <w:i/>
          <w:sz w:val="20"/>
          <w:szCs w:val="20"/>
        </w:rPr>
        <w:t>Canadian Charter of Rights and Freedoms</w:t>
      </w:r>
      <w:r w:rsidRPr="009B0ECC">
        <w:rPr>
          <w:sz w:val="20"/>
          <w:szCs w:val="20"/>
        </w:rPr>
        <w:t xml:space="preserve">? - If so, is the infringement a reasonable limit prescribed by law as can be demonstrably justified in a free and democratic society under s. 1 of the </w:t>
      </w:r>
      <w:r w:rsidRPr="009B0ECC">
        <w:rPr>
          <w:i/>
          <w:sz w:val="20"/>
          <w:szCs w:val="20"/>
        </w:rPr>
        <w:t>Canadian Charter of Rights and Freedoms</w:t>
      </w:r>
      <w:r w:rsidRPr="009B0ECC">
        <w:rPr>
          <w:sz w:val="20"/>
          <w:szCs w:val="20"/>
        </w:rPr>
        <w:t xml:space="preserve">? - Does s. 95(2) of the </w:t>
      </w:r>
      <w:r w:rsidRPr="009B0ECC">
        <w:rPr>
          <w:i/>
          <w:sz w:val="20"/>
          <w:szCs w:val="20"/>
        </w:rPr>
        <w:t>Criminal Code</w:t>
      </w:r>
      <w:r w:rsidRPr="009B0ECC">
        <w:rPr>
          <w:sz w:val="20"/>
          <w:szCs w:val="20"/>
        </w:rPr>
        <w:t xml:space="preserve"> infringe s. 7 of the </w:t>
      </w:r>
      <w:r w:rsidRPr="009B0ECC">
        <w:rPr>
          <w:i/>
          <w:sz w:val="20"/>
          <w:szCs w:val="20"/>
        </w:rPr>
        <w:t>Canadian Charter of Rights and Freedoms</w:t>
      </w:r>
      <w:r w:rsidRPr="009B0ECC">
        <w:rPr>
          <w:sz w:val="20"/>
          <w:szCs w:val="20"/>
        </w:rPr>
        <w:t xml:space="preserve">? - If so, is the infringement a reasonable limit prescribed by law as can be demonstrably justified in a free and democratic society under s. 1 of the </w:t>
      </w:r>
      <w:r w:rsidRPr="009B0ECC">
        <w:rPr>
          <w:i/>
          <w:sz w:val="20"/>
          <w:szCs w:val="20"/>
        </w:rPr>
        <w:t>Canadian Charter of Rights and Freedoms</w:t>
      </w:r>
      <w:r w:rsidRPr="009B0ECC">
        <w:rPr>
          <w:sz w:val="20"/>
          <w:szCs w:val="20"/>
        </w:rPr>
        <w:t xml:space="preserve">? - </w:t>
      </w:r>
      <w:r w:rsidRPr="009B0ECC">
        <w:rPr>
          <w:i/>
          <w:sz w:val="20"/>
          <w:szCs w:val="20"/>
          <w:lang w:eastAsia="fr-CA"/>
        </w:rPr>
        <w:t>Criminal Code</w:t>
      </w:r>
      <w:r w:rsidRPr="009B0ECC">
        <w:rPr>
          <w:sz w:val="20"/>
          <w:szCs w:val="20"/>
          <w:lang w:eastAsia="fr-CA"/>
        </w:rPr>
        <w:t>, R.S.C., 1985, c. C-46.</w:t>
      </w:r>
    </w:p>
    <w:p w:rsidR="00BF5D43" w:rsidRPr="009B0ECC" w:rsidRDefault="00BF5D43" w:rsidP="00BF5D43">
      <w:pPr>
        <w:widowControl w:val="0"/>
        <w:jc w:val="both"/>
        <w:rPr>
          <w:sz w:val="20"/>
          <w:szCs w:val="20"/>
        </w:rPr>
      </w:pPr>
    </w:p>
    <w:p w:rsidR="00BF5D43" w:rsidRPr="009B0ECC" w:rsidRDefault="00BF5D43" w:rsidP="00BF5D43">
      <w:pPr>
        <w:jc w:val="both"/>
        <w:rPr>
          <w:sz w:val="20"/>
          <w:szCs w:val="20"/>
        </w:rPr>
      </w:pPr>
      <w:r w:rsidRPr="009B0ECC">
        <w:rPr>
          <w:sz w:val="20"/>
          <w:szCs w:val="20"/>
        </w:rPr>
        <w:t xml:space="preserve">In 2009, a young man approached a staff member at a community centre and said that someone was waiting outside to “get him.”  The staff member put the community centre on lockdown and called the police.  When the police arrived, they saw four men outside an entrance run off in different directions.  One officer chased the Respondent who was seen throwing something away, later determined to be a fully operable, 22-calibre semiautomatic hand gun, a prohibited firearm, fully loaded with an oversized ammunition clip containing 23 bullets.  The Respondent was 19 years old at the time of the offence and was not licensed to possess a firearm which was not itself registered.  The Crown elected to proceed by indictment.  In 2010, the Respondent pled guilty to possession of a loaded prohibited firearm, contrary to s. 95(1) of the </w:t>
      </w:r>
      <w:r w:rsidRPr="009B0ECC">
        <w:rPr>
          <w:i/>
          <w:sz w:val="20"/>
          <w:szCs w:val="20"/>
        </w:rPr>
        <w:t>Criminal Code</w:t>
      </w:r>
      <w:r w:rsidRPr="009B0ECC">
        <w:rPr>
          <w:sz w:val="20"/>
          <w:szCs w:val="20"/>
        </w:rPr>
        <w:t xml:space="preserve">, but challenged the three-year mandatory minimum sentencing regime under s. 95(2)(a)(i) of the </w:t>
      </w:r>
      <w:r w:rsidRPr="009B0ECC">
        <w:rPr>
          <w:i/>
          <w:iCs/>
          <w:sz w:val="20"/>
          <w:szCs w:val="20"/>
        </w:rPr>
        <w:t>Criminal Code</w:t>
      </w:r>
      <w:r w:rsidRPr="009B0ECC">
        <w:rPr>
          <w:iCs/>
          <w:sz w:val="20"/>
          <w:szCs w:val="20"/>
        </w:rPr>
        <w:t>.</w:t>
      </w:r>
    </w:p>
    <w:p w:rsidR="00BF5D43" w:rsidRPr="009B0ECC" w:rsidRDefault="00BF5D43" w:rsidP="00BF5D43">
      <w:pPr>
        <w:widowControl w:val="0"/>
        <w:jc w:val="both"/>
        <w:rPr>
          <w:sz w:val="20"/>
          <w:szCs w:val="20"/>
        </w:rPr>
      </w:pPr>
    </w:p>
    <w:p w:rsidR="00BF5D43" w:rsidRPr="009B0ECC" w:rsidRDefault="00BF5D43" w:rsidP="00BF5D43">
      <w:pPr>
        <w:widowControl w:val="0"/>
        <w:jc w:val="both"/>
        <w:rPr>
          <w:sz w:val="20"/>
          <w:szCs w:val="20"/>
        </w:rPr>
      </w:pPr>
    </w:p>
    <w:p w:rsidR="00BF5D43" w:rsidRPr="009B0ECC" w:rsidRDefault="00BF5D43" w:rsidP="00BF5D43">
      <w:pPr>
        <w:widowControl w:val="0"/>
        <w:ind w:left="2880" w:hanging="2880"/>
        <w:jc w:val="both"/>
        <w:rPr>
          <w:sz w:val="20"/>
          <w:szCs w:val="20"/>
        </w:rPr>
      </w:pPr>
      <w:r w:rsidRPr="009B0ECC">
        <w:rPr>
          <w:sz w:val="20"/>
          <w:szCs w:val="20"/>
        </w:rPr>
        <w:t>Origin of the case:</w:t>
      </w:r>
      <w:r w:rsidRPr="009B0ECC">
        <w:rPr>
          <w:sz w:val="20"/>
          <w:szCs w:val="20"/>
        </w:rPr>
        <w:tab/>
        <w:t>Ontario</w:t>
      </w:r>
    </w:p>
    <w:p w:rsidR="00BF5D43" w:rsidRPr="009B0ECC" w:rsidRDefault="00BF5D43" w:rsidP="00BF5D43">
      <w:pPr>
        <w:widowControl w:val="0"/>
        <w:ind w:left="2880" w:hanging="2880"/>
        <w:jc w:val="both"/>
        <w:rPr>
          <w:sz w:val="20"/>
          <w:szCs w:val="20"/>
        </w:rPr>
      </w:pPr>
    </w:p>
    <w:p w:rsidR="00BF5D43" w:rsidRPr="009B0ECC" w:rsidRDefault="00BF5D43" w:rsidP="00BF5D43">
      <w:pPr>
        <w:widowControl w:val="0"/>
        <w:ind w:left="2880" w:hanging="2880"/>
        <w:jc w:val="both"/>
        <w:rPr>
          <w:sz w:val="20"/>
          <w:szCs w:val="20"/>
        </w:rPr>
      </w:pPr>
      <w:r w:rsidRPr="009B0ECC">
        <w:rPr>
          <w:sz w:val="20"/>
          <w:szCs w:val="20"/>
        </w:rPr>
        <w:t>File No.:</w:t>
      </w:r>
      <w:r w:rsidRPr="009B0ECC">
        <w:rPr>
          <w:sz w:val="20"/>
          <w:szCs w:val="20"/>
        </w:rPr>
        <w:tab/>
        <w:t>35678</w:t>
      </w:r>
    </w:p>
    <w:p w:rsidR="00BF5D43" w:rsidRPr="009B0ECC" w:rsidRDefault="00BF5D43" w:rsidP="00BF5D43">
      <w:pPr>
        <w:widowControl w:val="0"/>
        <w:ind w:left="2880" w:hanging="2880"/>
        <w:jc w:val="both"/>
        <w:rPr>
          <w:sz w:val="20"/>
          <w:szCs w:val="20"/>
        </w:rPr>
      </w:pPr>
    </w:p>
    <w:p w:rsidR="00BF5D43" w:rsidRPr="009B0ECC" w:rsidRDefault="00BF5D43" w:rsidP="00BF5D43">
      <w:pPr>
        <w:widowControl w:val="0"/>
        <w:ind w:left="2880" w:hanging="2880"/>
        <w:jc w:val="both"/>
        <w:rPr>
          <w:sz w:val="20"/>
          <w:szCs w:val="20"/>
        </w:rPr>
      </w:pPr>
      <w:r w:rsidRPr="009B0ECC">
        <w:rPr>
          <w:sz w:val="20"/>
          <w:szCs w:val="20"/>
        </w:rPr>
        <w:t>Judgment of the Court of Appeal:</w:t>
      </w:r>
      <w:r w:rsidRPr="009B0ECC">
        <w:rPr>
          <w:sz w:val="20"/>
          <w:szCs w:val="20"/>
        </w:rPr>
        <w:tab/>
        <w:t>November 12, 2013</w:t>
      </w:r>
    </w:p>
    <w:p w:rsidR="00BF5D43" w:rsidRPr="009B0ECC" w:rsidRDefault="00BF5D43" w:rsidP="00BF5D43">
      <w:pPr>
        <w:widowControl w:val="0"/>
        <w:ind w:left="2880" w:hanging="2880"/>
        <w:jc w:val="both"/>
        <w:rPr>
          <w:sz w:val="20"/>
          <w:szCs w:val="20"/>
        </w:rPr>
      </w:pPr>
    </w:p>
    <w:p w:rsidR="00BF5D43" w:rsidRPr="009B0ECC" w:rsidRDefault="00BF5D43" w:rsidP="00BF5D43">
      <w:pPr>
        <w:widowControl w:val="0"/>
        <w:ind w:left="2880" w:hanging="2880"/>
        <w:jc w:val="both"/>
        <w:rPr>
          <w:sz w:val="20"/>
          <w:szCs w:val="20"/>
        </w:rPr>
      </w:pPr>
      <w:r w:rsidRPr="009B0ECC">
        <w:rPr>
          <w:sz w:val="20"/>
          <w:szCs w:val="20"/>
        </w:rPr>
        <w:t>Counsel:</w:t>
      </w:r>
      <w:r w:rsidRPr="009B0ECC">
        <w:rPr>
          <w:sz w:val="20"/>
          <w:szCs w:val="20"/>
        </w:rPr>
        <w:tab/>
        <w:t>Riun Shandler and Andreea Baiasu for the Appellant Her Majesty the Queen</w:t>
      </w:r>
    </w:p>
    <w:p w:rsidR="00BF5D43" w:rsidRPr="009B0ECC" w:rsidRDefault="00BF5D43" w:rsidP="00BF5D43">
      <w:pPr>
        <w:widowControl w:val="0"/>
        <w:ind w:left="2880" w:hanging="2880"/>
        <w:jc w:val="both"/>
        <w:rPr>
          <w:sz w:val="20"/>
          <w:szCs w:val="20"/>
        </w:rPr>
      </w:pPr>
      <w:r>
        <w:rPr>
          <w:sz w:val="20"/>
          <w:szCs w:val="20"/>
        </w:rPr>
        <w:tab/>
      </w:r>
      <w:r w:rsidRPr="009B0ECC">
        <w:rPr>
          <w:sz w:val="20"/>
          <w:szCs w:val="20"/>
        </w:rPr>
        <w:t>Richard Kramer and Nancy Dennison for the Appellant Attorney General of Canada</w:t>
      </w:r>
    </w:p>
    <w:p w:rsidR="00BF5D43" w:rsidRPr="009B0ECC" w:rsidRDefault="00BF5D43" w:rsidP="00BF5D43">
      <w:pPr>
        <w:widowControl w:val="0"/>
        <w:ind w:left="2880" w:hanging="2880"/>
        <w:jc w:val="both"/>
        <w:rPr>
          <w:sz w:val="20"/>
          <w:szCs w:val="20"/>
        </w:rPr>
      </w:pPr>
      <w:r>
        <w:rPr>
          <w:sz w:val="20"/>
          <w:szCs w:val="20"/>
        </w:rPr>
        <w:tab/>
      </w:r>
      <w:r w:rsidRPr="009B0ECC">
        <w:rPr>
          <w:sz w:val="20"/>
          <w:szCs w:val="20"/>
        </w:rPr>
        <w:t>Dirk Derstine and Jananai Shanmuganathan for the Respondent</w:t>
      </w:r>
    </w:p>
    <w:p w:rsidR="00DD7981" w:rsidRPr="00BF5D43" w:rsidRDefault="00DD7981">
      <w:pPr>
        <w:rPr>
          <w:sz w:val="20"/>
          <w:szCs w:val="20"/>
        </w:rPr>
      </w:pPr>
    </w:p>
    <w:p w:rsidR="00DD7981" w:rsidRDefault="00714478">
      <w:pPr>
        <w:rPr>
          <w:sz w:val="20"/>
          <w:szCs w:val="20"/>
          <w:lang w:val="fr-CA"/>
        </w:rPr>
      </w:pPr>
      <w:r>
        <w:rPr>
          <w:sz w:val="20"/>
          <w:szCs w:val="20"/>
          <w:lang w:val="fr-CA"/>
        </w:rPr>
        <w:pict>
          <v:rect id="_x0000_i1097" style="width:2in;height:1pt" o:hrpct="0" o:hralign="center" o:hrstd="t" o:hrnoshade="t" o:hr="t" fillcolor="black [3213]" stroked="f"/>
        </w:pict>
      </w:r>
    </w:p>
    <w:p w:rsidR="00DD7981" w:rsidRDefault="00DD7981">
      <w:pPr>
        <w:rPr>
          <w:sz w:val="20"/>
          <w:szCs w:val="20"/>
          <w:lang w:val="fr-CA"/>
        </w:rPr>
      </w:pPr>
      <w:r>
        <w:rPr>
          <w:sz w:val="20"/>
          <w:szCs w:val="20"/>
          <w:lang w:val="fr-CA"/>
        </w:rPr>
        <w:br w:type="page"/>
      </w:r>
    </w:p>
    <w:p w:rsidR="00BF5D43" w:rsidRPr="008A1738" w:rsidRDefault="00A4467E" w:rsidP="00BF5D43">
      <w:pPr>
        <w:widowControl w:val="0"/>
        <w:ind w:left="720" w:hanging="720"/>
        <w:jc w:val="both"/>
        <w:rPr>
          <w:sz w:val="20"/>
          <w:szCs w:val="20"/>
          <w:lang w:val="fr-CA"/>
        </w:rPr>
      </w:pPr>
      <w:r w:rsidRPr="008A1738">
        <w:rPr>
          <w:b/>
          <w:sz w:val="20"/>
          <w:szCs w:val="20"/>
          <w:lang w:val="fr-CA"/>
        </w:rPr>
        <w:lastRenderedPageBreak/>
        <w:fldChar w:fldCharType="begin"/>
      </w:r>
      <w:r w:rsidR="00BF5D43" w:rsidRPr="008A1738">
        <w:rPr>
          <w:b/>
          <w:sz w:val="20"/>
          <w:szCs w:val="20"/>
          <w:lang w:val="fr-CA"/>
        </w:rPr>
        <w:instrText xml:space="preserve"> SEQ CHAPTER \h \r 1</w:instrText>
      </w:r>
      <w:r w:rsidRPr="008A1738">
        <w:rPr>
          <w:b/>
          <w:sz w:val="20"/>
          <w:szCs w:val="20"/>
          <w:lang w:val="fr-CA"/>
        </w:rPr>
        <w:fldChar w:fldCharType="end"/>
      </w:r>
      <w:r w:rsidR="00BF5D43" w:rsidRPr="008A1738">
        <w:rPr>
          <w:b/>
          <w:sz w:val="20"/>
          <w:szCs w:val="20"/>
          <w:lang w:val="fr-CA"/>
        </w:rPr>
        <w:t>35678</w:t>
      </w:r>
      <w:r w:rsidR="00BF5D43" w:rsidRPr="008A1738">
        <w:rPr>
          <w:sz w:val="20"/>
          <w:szCs w:val="20"/>
          <w:lang w:val="fr-CA"/>
        </w:rPr>
        <w:tab/>
      </w:r>
      <w:r w:rsidR="00BF5D43" w:rsidRPr="008A1738">
        <w:rPr>
          <w:b/>
          <w:i/>
          <w:sz w:val="20"/>
          <w:szCs w:val="20"/>
          <w:lang w:val="fr-CA"/>
        </w:rPr>
        <w:t>Sa Majesté la Reine et al. c. Hussein Jama Nur</w:t>
      </w:r>
    </w:p>
    <w:p w:rsidR="00BF5D43" w:rsidRPr="008A1738" w:rsidRDefault="00BF5D43" w:rsidP="00BF5D43">
      <w:pPr>
        <w:widowControl w:val="0"/>
        <w:jc w:val="both"/>
        <w:rPr>
          <w:sz w:val="20"/>
          <w:szCs w:val="20"/>
          <w:lang w:val="fr-CA"/>
        </w:rPr>
      </w:pPr>
    </w:p>
    <w:p w:rsidR="00BF5D43" w:rsidRPr="008A1738" w:rsidRDefault="00BF5D43" w:rsidP="00BF5D43">
      <w:pPr>
        <w:jc w:val="both"/>
        <w:rPr>
          <w:sz w:val="20"/>
          <w:szCs w:val="20"/>
          <w:lang w:val="fr-CA"/>
        </w:rPr>
      </w:pPr>
      <w:r w:rsidRPr="008A1738">
        <w:rPr>
          <w:i/>
          <w:sz w:val="20"/>
          <w:szCs w:val="20"/>
          <w:lang w:val="fr-CA"/>
        </w:rPr>
        <w:t>Charte canadienne des droits et libertés</w:t>
      </w:r>
      <w:r w:rsidRPr="008A1738">
        <w:rPr>
          <w:sz w:val="20"/>
          <w:szCs w:val="20"/>
          <w:lang w:val="fr-CA"/>
        </w:rPr>
        <w:t xml:space="preserve"> - Droit criminel - Traitements ou peines cruels et inusités - Peine minimale obligatoire - Possession d’une arme à feu prohibée ou à autorisation restreinte avec des munitions - Le sous-al. 95(2)</w:t>
      </w:r>
      <w:r w:rsidRPr="008A1738">
        <w:rPr>
          <w:i/>
          <w:sz w:val="20"/>
          <w:szCs w:val="20"/>
          <w:lang w:val="fr-CA"/>
        </w:rPr>
        <w:t>a</w:t>
      </w:r>
      <w:r w:rsidRPr="008A1738">
        <w:rPr>
          <w:sz w:val="20"/>
          <w:szCs w:val="20"/>
          <w:lang w:val="fr-CA"/>
        </w:rPr>
        <w:t xml:space="preserve">)(i) du </w:t>
      </w:r>
      <w:r w:rsidRPr="008A1738">
        <w:rPr>
          <w:i/>
          <w:sz w:val="20"/>
          <w:szCs w:val="20"/>
          <w:lang w:val="fr-CA"/>
        </w:rPr>
        <w:t>Code criminel</w:t>
      </w:r>
      <w:r w:rsidRPr="008A1738">
        <w:rPr>
          <w:sz w:val="20"/>
          <w:szCs w:val="20"/>
          <w:lang w:val="fr-CA"/>
        </w:rPr>
        <w:t xml:space="preserve"> contrevient-il à l’art. 12 de la </w:t>
      </w:r>
      <w:r w:rsidRPr="008A1738">
        <w:rPr>
          <w:i/>
          <w:sz w:val="20"/>
          <w:szCs w:val="20"/>
          <w:lang w:val="fr-CA"/>
        </w:rPr>
        <w:t>Charte canadienne des droits et libertés</w:t>
      </w:r>
      <w:r w:rsidRPr="008A1738">
        <w:rPr>
          <w:sz w:val="20"/>
          <w:szCs w:val="20"/>
          <w:lang w:val="fr-CA"/>
        </w:rPr>
        <w:t xml:space="preserve">? - Dans l’affirmative, s’agit-il d’une restriction établie par une règle de droit dans des limites qui soient raisonnables et dont la justification puisse se démontrer dans le cadre d’une société libre et démocratique suivant l’article premier de la </w:t>
      </w:r>
      <w:r w:rsidRPr="008A1738">
        <w:rPr>
          <w:i/>
          <w:sz w:val="20"/>
          <w:szCs w:val="20"/>
          <w:lang w:val="fr-CA"/>
        </w:rPr>
        <w:t>Charte canadienne des droits et libertés</w:t>
      </w:r>
      <w:r w:rsidRPr="008A1738">
        <w:rPr>
          <w:sz w:val="20"/>
          <w:szCs w:val="20"/>
          <w:lang w:val="fr-CA"/>
        </w:rPr>
        <w:t xml:space="preserve">? Le par. 95(2) du </w:t>
      </w:r>
      <w:r w:rsidRPr="008A1738">
        <w:rPr>
          <w:i/>
          <w:sz w:val="20"/>
          <w:szCs w:val="20"/>
          <w:lang w:val="fr-CA"/>
        </w:rPr>
        <w:t>Code criminel</w:t>
      </w:r>
      <w:r w:rsidRPr="008A1738">
        <w:rPr>
          <w:sz w:val="20"/>
          <w:szCs w:val="20"/>
          <w:lang w:val="fr-CA"/>
        </w:rPr>
        <w:t xml:space="preserve"> contrevient-il à l’art. 7 de la </w:t>
      </w:r>
      <w:r w:rsidRPr="008A1738">
        <w:rPr>
          <w:i/>
          <w:sz w:val="20"/>
          <w:szCs w:val="20"/>
          <w:lang w:val="fr-CA"/>
        </w:rPr>
        <w:t>Charte canadienne des droits et libertés</w:t>
      </w:r>
      <w:r w:rsidRPr="008A1738">
        <w:rPr>
          <w:sz w:val="20"/>
          <w:szCs w:val="20"/>
          <w:lang w:val="fr-CA"/>
        </w:rPr>
        <w:t xml:space="preserve">? Dans l’affirmative, s’agit-il d’une restriction établie par une règle de droit dans des limites qui soient raisonnables et dont la justification puisse se démontrer dans le cadre d’une société libre et démocratique suivant l’article premier de la </w:t>
      </w:r>
      <w:r w:rsidRPr="008A1738">
        <w:rPr>
          <w:i/>
          <w:sz w:val="20"/>
          <w:szCs w:val="20"/>
          <w:lang w:val="fr-CA"/>
        </w:rPr>
        <w:t>Charte canadienne des droits et libertés</w:t>
      </w:r>
      <w:r w:rsidRPr="008A1738">
        <w:rPr>
          <w:sz w:val="20"/>
          <w:szCs w:val="20"/>
          <w:lang w:val="fr-CA"/>
        </w:rPr>
        <w:t xml:space="preserve">? - </w:t>
      </w:r>
      <w:r w:rsidRPr="008A1738">
        <w:rPr>
          <w:i/>
          <w:sz w:val="20"/>
          <w:szCs w:val="20"/>
          <w:lang w:val="fr-CA" w:eastAsia="fr-CA"/>
        </w:rPr>
        <w:t>Code criminel</w:t>
      </w:r>
      <w:r w:rsidRPr="008A1738">
        <w:rPr>
          <w:sz w:val="20"/>
          <w:szCs w:val="20"/>
          <w:lang w:val="fr-CA" w:eastAsia="fr-CA"/>
        </w:rPr>
        <w:t>, L.R.C. 1985, ch. C-46.</w:t>
      </w:r>
    </w:p>
    <w:p w:rsidR="00BF5D43" w:rsidRPr="008A1738" w:rsidRDefault="00BF5D43" w:rsidP="00BF5D43">
      <w:pPr>
        <w:widowControl w:val="0"/>
        <w:jc w:val="both"/>
        <w:rPr>
          <w:sz w:val="20"/>
          <w:szCs w:val="20"/>
          <w:lang w:val="fr-CA"/>
        </w:rPr>
      </w:pPr>
    </w:p>
    <w:p w:rsidR="00BF5D43" w:rsidRPr="008A1738" w:rsidRDefault="00BF5D43" w:rsidP="00BF5D43">
      <w:pPr>
        <w:widowControl w:val="0"/>
        <w:jc w:val="both"/>
        <w:rPr>
          <w:sz w:val="20"/>
          <w:szCs w:val="20"/>
          <w:lang w:val="fr-CA"/>
        </w:rPr>
      </w:pPr>
      <w:r w:rsidRPr="008A1738">
        <w:rPr>
          <w:sz w:val="20"/>
          <w:szCs w:val="20"/>
          <w:lang w:val="fr-CA"/>
        </w:rPr>
        <w:t xml:space="preserve">En 2009, un jeune homme est allé voir un membre du personnel d’un centre communautaire pour lui dire qu’une personne voulant « avoir sa peau » l’attendait dehors.  L’employé en question a placé le centre en confinement barricadé et a appelé la police.  À leur arrivée, les policiers ont vu quatre hommes se trouvant devant une entrée s’enfuir dans différentes directions.  Un agent a poursuivi l’intimé et a vu celui-ci se débarrasser de quelque chose; il a plus tard été établi qu’il s’agissait en fait d’une arme de poing semi-automatique de calibre 22 pleinement opérationnelle, une arme à feu prohibée, pleinement chargée et munie d’une lame-chargeur surdimensionnée contenant 23 balles.  Âgé de 19 ans au moment de l’infraction, l’intimé n’était pas titulaire d’un permis l’autorisant à posséder une arme à feu, qui n’était pas elle-même enregistrée.  Le ministère public a choisi de procéder par voie de mise en accusation.  En 2010, l’intimé a plaidé coupable à une accusation de possession d’une arme à feu prohibée chargée fondée sur le par. 95(1) du </w:t>
      </w:r>
      <w:r w:rsidRPr="008A1738">
        <w:rPr>
          <w:i/>
          <w:sz w:val="20"/>
          <w:szCs w:val="20"/>
          <w:lang w:val="fr-CA"/>
        </w:rPr>
        <w:t>Code criminel</w:t>
      </w:r>
      <w:r w:rsidRPr="008A1738">
        <w:rPr>
          <w:sz w:val="20"/>
          <w:szCs w:val="20"/>
          <w:lang w:val="fr-CA"/>
        </w:rPr>
        <w:t>, mais a contesté le régime établi au sous-al. 95(2)</w:t>
      </w:r>
      <w:r w:rsidRPr="008A1738">
        <w:rPr>
          <w:i/>
          <w:sz w:val="20"/>
          <w:szCs w:val="20"/>
          <w:lang w:val="fr-CA"/>
        </w:rPr>
        <w:t>a</w:t>
      </w:r>
      <w:r w:rsidRPr="008A1738">
        <w:rPr>
          <w:sz w:val="20"/>
          <w:szCs w:val="20"/>
          <w:lang w:val="fr-CA"/>
        </w:rPr>
        <w:t xml:space="preserve">)(i) du </w:t>
      </w:r>
      <w:r w:rsidRPr="008A1738">
        <w:rPr>
          <w:i/>
          <w:iCs/>
          <w:sz w:val="20"/>
          <w:szCs w:val="20"/>
          <w:lang w:val="fr-CA"/>
        </w:rPr>
        <w:t>Code criminel</w:t>
      </w:r>
      <w:r w:rsidRPr="008A1738">
        <w:rPr>
          <w:sz w:val="20"/>
          <w:szCs w:val="20"/>
          <w:lang w:val="fr-CA"/>
        </w:rPr>
        <w:t xml:space="preserve"> prévoyant une peine minimale obligatoire de trois ans d’emprisonnement.</w:t>
      </w:r>
    </w:p>
    <w:p w:rsidR="00BF5D43" w:rsidRPr="008A1738" w:rsidRDefault="00BF5D43" w:rsidP="00BF5D43">
      <w:pPr>
        <w:widowControl w:val="0"/>
        <w:jc w:val="both"/>
        <w:rPr>
          <w:sz w:val="20"/>
          <w:szCs w:val="20"/>
          <w:lang w:val="fr-CA"/>
        </w:rPr>
      </w:pPr>
    </w:p>
    <w:p w:rsidR="00BF5D43" w:rsidRPr="008A1738" w:rsidRDefault="00BF5D43" w:rsidP="00BF5D43">
      <w:pPr>
        <w:widowControl w:val="0"/>
        <w:jc w:val="both"/>
        <w:rPr>
          <w:sz w:val="20"/>
          <w:szCs w:val="20"/>
          <w:lang w:val="fr-CA"/>
        </w:rPr>
      </w:pPr>
    </w:p>
    <w:p w:rsidR="00BF5D43" w:rsidRPr="008A1738" w:rsidRDefault="00BF5D43" w:rsidP="00BF5D43">
      <w:pPr>
        <w:widowControl w:val="0"/>
        <w:ind w:left="2880" w:hanging="2880"/>
        <w:jc w:val="both"/>
        <w:rPr>
          <w:sz w:val="20"/>
          <w:szCs w:val="20"/>
          <w:lang w:val="fr-CA"/>
        </w:rPr>
      </w:pPr>
      <w:r w:rsidRPr="008A1738">
        <w:rPr>
          <w:sz w:val="20"/>
          <w:szCs w:val="20"/>
          <w:lang w:val="fr-CA"/>
        </w:rPr>
        <w:t>Origine :</w:t>
      </w:r>
      <w:r w:rsidRPr="008A1738">
        <w:rPr>
          <w:sz w:val="20"/>
          <w:szCs w:val="20"/>
          <w:lang w:val="fr-CA"/>
        </w:rPr>
        <w:tab/>
        <w:t>Ontario</w:t>
      </w:r>
    </w:p>
    <w:p w:rsidR="00BF5D43" w:rsidRPr="008A1738" w:rsidRDefault="00BF5D43" w:rsidP="00BF5D43">
      <w:pPr>
        <w:widowControl w:val="0"/>
        <w:ind w:left="2880" w:hanging="2880"/>
        <w:jc w:val="both"/>
        <w:rPr>
          <w:sz w:val="20"/>
          <w:szCs w:val="20"/>
          <w:lang w:val="fr-CA"/>
        </w:rPr>
      </w:pPr>
    </w:p>
    <w:p w:rsidR="00BF5D43" w:rsidRPr="008A1738" w:rsidRDefault="00BF5D43" w:rsidP="00BF5D43">
      <w:pPr>
        <w:widowControl w:val="0"/>
        <w:ind w:left="2880" w:hanging="2880"/>
        <w:jc w:val="both"/>
        <w:rPr>
          <w:sz w:val="20"/>
          <w:szCs w:val="20"/>
          <w:lang w:val="fr-CA"/>
        </w:rPr>
      </w:pPr>
      <w:r w:rsidRPr="008A1738">
        <w:rPr>
          <w:sz w:val="20"/>
          <w:szCs w:val="20"/>
          <w:lang w:val="fr-CA"/>
        </w:rPr>
        <w:t>N</w:t>
      </w:r>
      <w:r w:rsidRPr="008A1738">
        <w:rPr>
          <w:sz w:val="20"/>
          <w:szCs w:val="20"/>
          <w:vertAlign w:val="superscript"/>
          <w:lang w:val="fr-CA"/>
        </w:rPr>
        <w:t>o</w:t>
      </w:r>
      <w:r w:rsidRPr="008A1738">
        <w:rPr>
          <w:sz w:val="20"/>
          <w:szCs w:val="20"/>
          <w:lang w:val="fr-CA"/>
        </w:rPr>
        <w:t xml:space="preserve"> du greffe :</w:t>
      </w:r>
      <w:r w:rsidRPr="008A1738">
        <w:rPr>
          <w:sz w:val="20"/>
          <w:szCs w:val="20"/>
          <w:lang w:val="fr-CA"/>
        </w:rPr>
        <w:tab/>
        <w:t>35678</w:t>
      </w:r>
    </w:p>
    <w:p w:rsidR="00BF5D43" w:rsidRPr="008A1738" w:rsidRDefault="00BF5D43" w:rsidP="00BF5D43">
      <w:pPr>
        <w:widowControl w:val="0"/>
        <w:ind w:left="2880" w:hanging="2880"/>
        <w:jc w:val="both"/>
        <w:rPr>
          <w:sz w:val="20"/>
          <w:szCs w:val="20"/>
          <w:lang w:val="fr-CA"/>
        </w:rPr>
      </w:pPr>
    </w:p>
    <w:p w:rsidR="00BF5D43" w:rsidRPr="008A1738" w:rsidRDefault="00BF5D43" w:rsidP="00BF5D43">
      <w:pPr>
        <w:ind w:left="2880" w:hanging="2880"/>
        <w:rPr>
          <w:sz w:val="20"/>
          <w:szCs w:val="20"/>
          <w:lang w:val="fr-CA"/>
        </w:rPr>
      </w:pPr>
      <w:r w:rsidRPr="008A1738">
        <w:rPr>
          <w:sz w:val="20"/>
          <w:szCs w:val="20"/>
          <w:lang w:val="fr-CA"/>
        </w:rPr>
        <w:t>Arrêt de la Cour d’appel :</w:t>
      </w:r>
      <w:r w:rsidRPr="008A1738">
        <w:rPr>
          <w:sz w:val="20"/>
          <w:szCs w:val="20"/>
          <w:lang w:val="fr-CA"/>
        </w:rPr>
        <w:tab/>
      </w:r>
      <w:r w:rsidR="00E3500D">
        <w:rPr>
          <w:sz w:val="20"/>
          <w:szCs w:val="20"/>
          <w:lang w:val="fr-CA"/>
        </w:rPr>
        <w:t xml:space="preserve">le </w:t>
      </w:r>
      <w:r w:rsidRPr="008A1738">
        <w:rPr>
          <w:sz w:val="20"/>
          <w:szCs w:val="20"/>
          <w:lang w:val="fr-CA"/>
        </w:rPr>
        <w:t>12 novembre 2013</w:t>
      </w:r>
    </w:p>
    <w:p w:rsidR="00BF5D43" w:rsidRPr="008A1738" w:rsidRDefault="00BF5D43" w:rsidP="00BF5D43">
      <w:pPr>
        <w:widowControl w:val="0"/>
        <w:ind w:left="2880" w:hanging="2880"/>
        <w:jc w:val="both"/>
        <w:rPr>
          <w:sz w:val="20"/>
          <w:szCs w:val="20"/>
          <w:lang w:val="fr-CA"/>
        </w:rPr>
      </w:pPr>
    </w:p>
    <w:p w:rsidR="00BF5D43" w:rsidRPr="008A1738" w:rsidRDefault="00BF5D43" w:rsidP="00BF5D43">
      <w:pPr>
        <w:ind w:left="2880" w:hanging="2880"/>
        <w:rPr>
          <w:sz w:val="20"/>
          <w:szCs w:val="20"/>
          <w:lang w:val="fr-CA"/>
        </w:rPr>
      </w:pPr>
      <w:r w:rsidRPr="008A1738">
        <w:rPr>
          <w:sz w:val="20"/>
          <w:szCs w:val="20"/>
          <w:lang w:val="fr-CA"/>
        </w:rPr>
        <w:t>Avocats :</w:t>
      </w:r>
      <w:r w:rsidRPr="008A1738">
        <w:rPr>
          <w:sz w:val="20"/>
          <w:szCs w:val="20"/>
          <w:lang w:val="fr-CA"/>
        </w:rPr>
        <w:tab/>
        <w:t>Riun Shandler et Andreea Baiasu pour l’appelante Sa Majesté la Reine</w:t>
      </w:r>
    </w:p>
    <w:p w:rsidR="00BF5D43" w:rsidRPr="008A1738" w:rsidRDefault="00BF5D43" w:rsidP="00BF5D43">
      <w:pPr>
        <w:widowControl w:val="0"/>
        <w:ind w:left="2880" w:hanging="2880"/>
        <w:jc w:val="both"/>
        <w:rPr>
          <w:sz w:val="20"/>
          <w:szCs w:val="20"/>
          <w:lang w:val="fr-CA"/>
        </w:rPr>
      </w:pPr>
      <w:r>
        <w:rPr>
          <w:sz w:val="20"/>
          <w:szCs w:val="20"/>
          <w:lang w:val="fr-CA"/>
        </w:rPr>
        <w:tab/>
      </w:r>
      <w:r w:rsidRPr="008A1738">
        <w:rPr>
          <w:sz w:val="20"/>
          <w:szCs w:val="20"/>
          <w:lang w:val="fr-CA"/>
        </w:rPr>
        <w:t>Richard Kramer et Nancy Dennison pour l’appelant le procureur général du Canada</w:t>
      </w:r>
    </w:p>
    <w:p w:rsidR="00BF5D43" w:rsidRPr="008A1738" w:rsidRDefault="00BF5D43" w:rsidP="00BF5D43">
      <w:pPr>
        <w:widowControl w:val="0"/>
        <w:ind w:left="2880" w:hanging="2880"/>
        <w:jc w:val="both"/>
        <w:rPr>
          <w:sz w:val="20"/>
          <w:szCs w:val="20"/>
          <w:lang w:val="fr-CA"/>
        </w:rPr>
      </w:pPr>
      <w:r>
        <w:rPr>
          <w:sz w:val="20"/>
          <w:szCs w:val="20"/>
          <w:lang w:val="fr-CA"/>
        </w:rPr>
        <w:tab/>
      </w:r>
      <w:r w:rsidRPr="008A1738">
        <w:rPr>
          <w:sz w:val="20"/>
          <w:szCs w:val="20"/>
          <w:lang w:val="fr-CA"/>
        </w:rPr>
        <w:t>Dirk Derstine et Jananai Shanmuganathan pour l’intimé</w:t>
      </w:r>
    </w:p>
    <w:p w:rsidR="00DD7981" w:rsidRDefault="00DD7981">
      <w:pPr>
        <w:rPr>
          <w:sz w:val="20"/>
          <w:szCs w:val="20"/>
          <w:lang w:val="fr-CA"/>
        </w:rPr>
      </w:pPr>
    </w:p>
    <w:p w:rsidR="00DD7981" w:rsidRDefault="00714478">
      <w:pPr>
        <w:rPr>
          <w:sz w:val="20"/>
          <w:szCs w:val="20"/>
          <w:lang w:val="fr-CA"/>
        </w:rPr>
      </w:pPr>
      <w:r>
        <w:rPr>
          <w:sz w:val="20"/>
          <w:szCs w:val="20"/>
          <w:lang w:val="fr-CA"/>
        </w:rPr>
        <w:pict>
          <v:rect id="_x0000_i1098" style="width:2in;height:1pt" o:hrpct="0" o:hralign="center" o:hrstd="t" o:hrnoshade="t" o:hr="t" fillcolor="black [3213]" stroked="f"/>
        </w:pict>
      </w:r>
    </w:p>
    <w:p w:rsidR="00DD7981" w:rsidRDefault="00DD7981">
      <w:pPr>
        <w:rPr>
          <w:sz w:val="20"/>
          <w:szCs w:val="20"/>
          <w:lang w:val="fr-CA"/>
        </w:rPr>
      </w:pPr>
      <w:r>
        <w:rPr>
          <w:sz w:val="20"/>
          <w:szCs w:val="20"/>
          <w:lang w:val="fr-CA"/>
        </w:rPr>
        <w:br w:type="page"/>
      </w:r>
    </w:p>
    <w:p w:rsidR="00C71A5A" w:rsidRPr="0022552E" w:rsidRDefault="00A4467E" w:rsidP="00C71A5A">
      <w:pPr>
        <w:widowControl w:val="0"/>
        <w:ind w:left="720" w:hanging="720"/>
        <w:jc w:val="both"/>
        <w:rPr>
          <w:sz w:val="20"/>
          <w:szCs w:val="20"/>
        </w:rPr>
      </w:pPr>
      <w:r w:rsidRPr="0022552E">
        <w:rPr>
          <w:b/>
          <w:sz w:val="20"/>
          <w:szCs w:val="20"/>
        </w:rPr>
        <w:lastRenderedPageBreak/>
        <w:fldChar w:fldCharType="begin"/>
      </w:r>
      <w:r w:rsidR="00C71A5A" w:rsidRPr="0022552E">
        <w:rPr>
          <w:b/>
          <w:sz w:val="20"/>
          <w:szCs w:val="20"/>
        </w:rPr>
        <w:instrText xml:space="preserve"> SEQ CHAPTER \h \r 1</w:instrText>
      </w:r>
      <w:r w:rsidRPr="0022552E">
        <w:rPr>
          <w:b/>
          <w:sz w:val="20"/>
          <w:szCs w:val="20"/>
        </w:rPr>
        <w:fldChar w:fldCharType="end"/>
      </w:r>
      <w:r w:rsidR="00C71A5A" w:rsidRPr="0022552E">
        <w:rPr>
          <w:b/>
          <w:sz w:val="20"/>
          <w:szCs w:val="20"/>
        </w:rPr>
        <w:t>35684</w:t>
      </w:r>
      <w:r w:rsidR="00C71A5A" w:rsidRPr="0022552E">
        <w:rPr>
          <w:sz w:val="20"/>
          <w:szCs w:val="20"/>
        </w:rPr>
        <w:tab/>
      </w:r>
      <w:r w:rsidR="00C71A5A" w:rsidRPr="0022552E">
        <w:rPr>
          <w:b/>
          <w:i/>
          <w:sz w:val="20"/>
          <w:szCs w:val="20"/>
        </w:rPr>
        <w:t>Her Majesty the Queen, et al. v. Sidney Charles</w:t>
      </w:r>
    </w:p>
    <w:p w:rsidR="00C71A5A" w:rsidRPr="0022552E" w:rsidRDefault="00C71A5A" w:rsidP="00C71A5A">
      <w:pPr>
        <w:widowControl w:val="0"/>
        <w:jc w:val="both"/>
        <w:rPr>
          <w:sz w:val="20"/>
          <w:szCs w:val="20"/>
        </w:rPr>
      </w:pPr>
    </w:p>
    <w:p w:rsidR="00C71A5A" w:rsidRPr="0022552E" w:rsidRDefault="00C71A5A" w:rsidP="00C71A5A">
      <w:pPr>
        <w:autoSpaceDE w:val="0"/>
        <w:autoSpaceDN w:val="0"/>
        <w:adjustRightInd w:val="0"/>
        <w:jc w:val="both"/>
        <w:rPr>
          <w:sz w:val="20"/>
          <w:szCs w:val="20"/>
        </w:rPr>
      </w:pPr>
      <w:r w:rsidRPr="0022552E">
        <w:rPr>
          <w:i/>
          <w:sz w:val="20"/>
          <w:szCs w:val="20"/>
        </w:rPr>
        <w:t>Canadian Charter of Rights and Freedoms</w:t>
      </w:r>
      <w:r w:rsidRPr="0022552E">
        <w:rPr>
          <w:sz w:val="20"/>
          <w:szCs w:val="20"/>
        </w:rPr>
        <w:t xml:space="preserve"> - Criminal law - Cruel and unusual treatment or punishment - Mandatory minimum sentence - Possession of prohibited or restricted firearm with ammunition - Does s. 95(2)(a)(ii) of the </w:t>
      </w:r>
      <w:r w:rsidRPr="0022552E">
        <w:rPr>
          <w:i/>
          <w:iCs/>
          <w:sz w:val="20"/>
          <w:szCs w:val="20"/>
        </w:rPr>
        <w:t>Criminal Code</w:t>
      </w:r>
      <w:r w:rsidRPr="0022552E">
        <w:rPr>
          <w:sz w:val="20"/>
          <w:szCs w:val="20"/>
        </w:rPr>
        <w:t xml:space="preserve"> infringe s. 12 of the </w:t>
      </w:r>
      <w:r w:rsidRPr="0022552E">
        <w:rPr>
          <w:i/>
          <w:iCs/>
          <w:sz w:val="20"/>
          <w:szCs w:val="20"/>
        </w:rPr>
        <w:t>Canadian Charter of Rights and Freedoms</w:t>
      </w:r>
      <w:r w:rsidRPr="0022552E">
        <w:rPr>
          <w:iCs/>
          <w:sz w:val="20"/>
          <w:szCs w:val="20"/>
        </w:rPr>
        <w:t>? -</w:t>
      </w:r>
      <w:r w:rsidRPr="0022552E">
        <w:rPr>
          <w:sz w:val="20"/>
          <w:szCs w:val="20"/>
        </w:rPr>
        <w:t xml:space="preserve"> If so, is the infringement a reasonable limit prescribed by law as can be demonstrably justified in a free and democratic society under s. 1 of the </w:t>
      </w:r>
      <w:r w:rsidRPr="0022552E">
        <w:rPr>
          <w:i/>
          <w:iCs/>
          <w:sz w:val="20"/>
          <w:szCs w:val="20"/>
        </w:rPr>
        <w:t>Canadian Charter of Rights and Freedoms</w:t>
      </w:r>
      <w:r w:rsidRPr="0022552E">
        <w:rPr>
          <w:iCs/>
          <w:sz w:val="20"/>
          <w:szCs w:val="20"/>
        </w:rPr>
        <w:t>? -</w:t>
      </w:r>
      <w:r w:rsidRPr="0022552E">
        <w:rPr>
          <w:sz w:val="20"/>
          <w:szCs w:val="20"/>
        </w:rPr>
        <w:t xml:space="preserve"> Does s. 95(2)(a)(ii) of the </w:t>
      </w:r>
      <w:r w:rsidRPr="0022552E">
        <w:rPr>
          <w:i/>
          <w:iCs/>
          <w:sz w:val="20"/>
          <w:szCs w:val="20"/>
        </w:rPr>
        <w:t>Criminal Code</w:t>
      </w:r>
      <w:r w:rsidRPr="0022552E">
        <w:rPr>
          <w:sz w:val="20"/>
          <w:szCs w:val="20"/>
        </w:rPr>
        <w:t xml:space="preserve"> infringe s. 7 of the </w:t>
      </w:r>
      <w:r w:rsidRPr="0022552E">
        <w:rPr>
          <w:iCs/>
          <w:sz w:val="20"/>
          <w:szCs w:val="20"/>
        </w:rPr>
        <w:t>Canadian Charter of Rights and Freedoms? -</w:t>
      </w:r>
      <w:r w:rsidRPr="0022552E">
        <w:rPr>
          <w:sz w:val="20"/>
          <w:szCs w:val="20"/>
        </w:rPr>
        <w:t xml:space="preserve"> If so, is the infringement a reasonable limit prescribed by law as can be demonstrably justified in a free and democratic society under s. 1 of the </w:t>
      </w:r>
      <w:r w:rsidRPr="0022552E">
        <w:rPr>
          <w:i/>
          <w:iCs/>
          <w:sz w:val="20"/>
          <w:szCs w:val="20"/>
        </w:rPr>
        <w:t>Canadian Charter of Rights and Freedoms</w:t>
      </w:r>
      <w:r w:rsidRPr="0022552E">
        <w:rPr>
          <w:iCs/>
          <w:sz w:val="20"/>
          <w:szCs w:val="20"/>
        </w:rPr>
        <w:t xml:space="preserve">? - </w:t>
      </w:r>
      <w:r w:rsidRPr="0022552E">
        <w:rPr>
          <w:i/>
          <w:iCs/>
          <w:sz w:val="20"/>
          <w:szCs w:val="20"/>
        </w:rPr>
        <w:t>Criminal Code</w:t>
      </w:r>
      <w:r w:rsidRPr="0022552E">
        <w:rPr>
          <w:iCs/>
          <w:sz w:val="20"/>
          <w:szCs w:val="20"/>
        </w:rPr>
        <w:t xml:space="preserve">, </w:t>
      </w:r>
      <w:r w:rsidRPr="0022552E">
        <w:rPr>
          <w:sz w:val="20"/>
          <w:szCs w:val="20"/>
        </w:rPr>
        <w:t>R.S.C. 1985, c. C-46.</w:t>
      </w:r>
    </w:p>
    <w:p w:rsidR="00C71A5A" w:rsidRPr="0022552E" w:rsidRDefault="00C71A5A" w:rsidP="00C71A5A">
      <w:pPr>
        <w:widowControl w:val="0"/>
        <w:jc w:val="both"/>
        <w:rPr>
          <w:sz w:val="20"/>
          <w:szCs w:val="20"/>
        </w:rPr>
      </w:pPr>
    </w:p>
    <w:p w:rsidR="00C71A5A" w:rsidRPr="0022552E" w:rsidRDefault="00C71A5A" w:rsidP="00C71A5A">
      <w:pPr>
        <w:jc w:val="both"/>
        <w:rPr>
          <w:sz w:val="20"/>
          <w:szCs w:val="20"/>
        </w:rPr>
      </w:pPr>
      <w:r w:rsidRPr="0022552E">
        <w:rPr>
          <w:sz w:val="20"/>
          <w:szCs w:val="20"/>
        </w:rPr>
        <w:t xml:space="preserve">In 2008, the police seized a loaded semi-automatic handgun and ammunition from the Respondent’s room at a boarding house.  He did not have a licence to possess the prohibited firearm, nor was the gun registered.  The serial number on the gun had been removed.  The Crown elected to proceed by indictment.  In 2010, the Respondent pled guilty to possession of a loaded prohibited firearm, contrary to s. 95(1) of the </w:t>
      </w:r>
      <w:r w:rsidRPr="0022552E">
        <w:rPr>
          <w:i/>
          <w:sz w:val="20"/>
          <w:szCs w:val="20"/>
        </w:rPr>
        <w:t>Criminal Code</w:t>
      </w:r>
      <w:r w:rsidRPr="0022552E">
        <w:rPr>
          <w:sz w:val="20"/>
          <w:szCs w:val="20"/>
        </w:rPr>
        <w:t xml:space="preserve">, and to other offences including possession of a firearm and ammunition while subject to a prohibition order, but challenged the five-year mandatory minimum sentencing regime under s. 95(2)(a)(ii) of the </w:t>
      </w:r>
      <w:r w:rsidRPr="0022552E">
        <w:rPr>
          <w:i/>
          <w:iCs/>
          <w:sz w:val="20"/>
          <w:szCs w:val="20"/>
        </w:rPr>
        <w:t>Criminal Code</w:t>
      </w:r>
      <w:r w:rsidRPr="0022552E">
        <w:rPr>
          <w:sz w:val="20"/>
          <w:szCs w:val="20"/>
        </w:rPr>
        <w:t>.  The Respondent had a criminal record, which included two convictions in the prior ten years for predicate offences listed in s. 84(5) that trigger the increased mandatory minimum prison sentence in s. 95(2)(a)(ii).</w:t>
      </w:r>
    </w:p>
    <w:p w:rsidR="00C71A5A" w:rsidRPr="0022552E" w:rsidRDefault="00C71A5A" w:rsidP="00C71A5A">
      <w:pPr>
        <w:widowControl w:val="0"/>
        <w:jc w:val="both"/>
        <w:rPr>
          <w:sz w:val="20"/>
          <w:szCs w:val="20"/>
        </w:rPr>
      </w:pPr>
    </w:p>
    <w:p w:rsidR="00C71A5A" w:rsidRPr="0022552E" w:rsidRDefault="00C71A5A" w:rsidP="00C71A5A">
      <w:pPr>
        <w:widowControl w:val="0"/>
        <w:jc w:val="both"/>
        <w:rPr>
          <w:sz w:val="20"/>
          <w:szCs w:val="20"/>
        </w:rPr>
      </w:pPr>
    </w:p>
    <w:p w:rsidR="00C71A5A" w:rsidRPr="0022552E" w:rsidRDefault="00C71A5A" w:rsidP="00C71A5A">
      <w:pPr>
        <w:widowControl w:val="0"/>
        <w:ind w:left="2880" w:hanging="2880"/>
        <w:jc w:val="both"/>
        <w:rPr>
          <w:sz w:val="20"/>
          <w:szCs w:val="20"/>
        </w:rPr>
      </w:pPr>
      <w:r w:rsidRPr="0022552E">
        <w:rPr>
          <w:sz w:val="20"/>
          <w:szCs w:val="20"/>
        </w:rPr>
        <w:t>Origin of the case:</w:t>
      </w:r>
      <w:r w:rsidRPr="0022552E">
        <w:rPr>
          <w:sz w:val="20"/>
          <w:szCs w:val="20"/>
        </w:rPr>
        <w:tab/>
        <w:t>Ontario</w:t>
      </w:r>
    </w:p>
    <w:p w:rsidR="00C71A5A" w:rsidRPr="0022552E" w:rsidRDefault="00C71A5A" w:rsidP="00C71A5A">
      <w:pPr>
        <w:widowControl w:val="0"/>
        <w:ind w:left="2880" w:hanging="2880"/>
        <w:jc w:val="both"/>
        <w:rPr>
          <w:sz w:val="20"/>
          <w:szCs w:val="20"/>
        </w:rPr>
      </w:pPr>
    </w:p>
    <w:p w:rsidR="00C71A5A" w:rsidRPr="0022552E" w:rsidRDefault="00C71A5A" w:rsidP="00C71A5A">
      <w:pPr>
        <w:widowControl w:val="0"/>
        <w:ind w:left="2880" w:hanging="2880"/>
        <w:jc w:val="both"/>
        <w:rPr>
          <w:sz w:val="20"/>
          <w:szCs w:val="20"/>
        </w:rPr>
      </w:pPr>
      <w:r w:rsidRPr="0022552E">
        <w:rPr>
          <w:sz w:val="20"/>
          <w:szCs w:val="20"/>
        </w:rPr>
        <w:t>File No.:</w:t>
      </w:r>
      <w:r w:rsidRPr="0022552E">
        <w:rPr>
          <w:sz w:val="20"/>
          <w:szCs w:val="20"/>
        </w:rPr>
        <w:tab/>
        <w:t>35684</w:t>
      </w:r>
    </w:p>
    <w:p w:rsidR="00C71A5A" w:rsidRPr="0022552E" w:rsidRDefault="00C71A5A" w:rsidP="00C71A5A">
      <w:pPr>
        <w:widowControl w:val="0"/>
        <w:ind w:left="2880" w:hanging="2880"/>
        <w:jc w:val="both"/>
        <w:rPr>
          <w:sz w:val="20"/>
          <w:szCs w:val="20"/>
        </w:rPr>
      </w:pPr>
    </w:p>
    <w:p w:rsidR="00C71A5A" w:rsidRPr="0022552E" w:rsidRDefault="00C71A5A" w:rsidP="00C71A5A">
      <w:pPr>
        <w:widowControl w:val="0"/>
        <w:ind w:left="2880" w:hanging="2880"/>
        <w:jc w:val="both"/>
        <w:rPr>
          <w:sz w:val="20"/>
          <w:szCs w:val="20"/>
        </w:rPr>
      </w:pPr>
      <w:r w:rsidRPr="0022552E">
        <w:rPr>
          <w:sz w:val="20"/>
          <w:szCs w:val="20"/>
        </w:rPr>
        <w:t>Judgment of the Court of Appeal:</w:t>
      </w:r>
      <w:r w:rsidRPr="0022552E">
        <w:rPr>
          <w:sz w:val="20"/>
          <w:szCs w:val="20"/>
        </w:rPr>
        <w:tab/>
        <w:t>November 12, 2013</w:t>
      </w:r>
    </w:p>
    <w:p w:rsidR="00C71A5A" w:rsidRPr="0022552E" w:rsidRDefault="00C71A5A" w:rsidP="00C71A5A">
      <w:pPr>
        <w:widowControl w:val="0"/>
        <w:ind w:left="2880" w:hanging="2880"/>
        <w:jc w:val="both"/>
        <w:rPr>
          <w:sz w:val="20"/>
          <w:szCs w:val="20"/>
        </w:rPr>
      </w:pPr>
    </w:p>
    <w:p w:rsidR="00C71A5A" w:rsidRPr="0022552E" w:rsidRDefault="00C71A5A" w:rsidP="00C71A5A">
      <w:pPr>
        <w:widowControl w:val="0"/>
        <w:ind w:left="2880" w:hanging="2880"/>
        <w:jc w:val="both"/>
        <w:rPr>
          <w:sz w:val="20"/>
          <w:szCs w:val="20"/>
        </w:rPr>
      </w:pPr>
      <w:r w:rsidRPr="0022552E">
        <w:rPr>
          <w:sz w:val="20"/>
          <w:szCs w:val="20"/>
        </w:rPr>
        <w:t>Counsel:</w:t>
      </w:r>
      <w:r w:rsidRPr="0022552E">
        <w:rPr>
          <w:sz w:val="20"/>
          <w:szCs w:val="20"/>
        </w:rPr>
        <w:tab/>
        <w:t>Riun Shandler and Andreea Baiasu for the Appellant Her Majesty the Queen</w:t>
      </w:r>
    </w:p>
    <w:p w:rsidR="00C71A5A" w:rsidRPr="0022552E" w:rsidRDefault="00C71A5A" w:rsidP="00C71A5A">
      <w:pPr>
        <w:widowControl w:val="0"/>
        <w:ind w:left="2880" w:hanging="2880"/>
        <w:jc w:val="both"/>
        <w:rPr>
          <w:sz w:val="20"/>
          <w:szCs w:val="20"/>
        </w:rPr>
      </w:pPr>
      <w:r>
        <w:rPr>
          <w:sz w:val="20"/>
          <w:szCs w:val="20"/>
        </w:rPr>
        <w:tab/>
      </w:r>
      <w:r w:rsidRPr="0022552E">
        <w:rPr>
          <w:sz w:val="20"/>
          <w:szCs w:val="20"/>
        </w:rPr>
        <w:t>Richard Kramer and Nancy Dennison for the Appellant Attorney General of Canada</w:t>
      </w:r>
    </w:p>
    <w:p w:rsidR="00C71A5A" w:rsidRPr="0022552E" w:rsidRDefault="00C71A5A" w:rsidP="00C71A5A">
      <w:pPr>
        <w:widowControl w:val="0"/>
        <w:ind w:left="2880" w:hanging="2880"/>
        <w:jc w:val="both"/>
        <w:rPr>
          <w:sz w:val="20"/>
          <w:szCs w:val="20"/>
        </w:rPr>
      </w:pPr>
      <w:r>
        <w:rPr>
          <w:sz w:val="20"/>
          <w:szCs w:val="20"/>
        </w:rPr>
        <w:tab/>
      </w:r>
      <w:r w:rsidRPr="0022552E">
        <w:rPr>
          <w:sz w:val="20"/>
          <w:szCs w:val="20"/>
        </w:rPr>
        <w:t>Michal Dineen and Carlos Rippell for the Respondent</w:t>
      </w:r>
    </w:p>
    <w:p w:rsidR="00DD7981" w:rsidRPr="00C71A5A" w:rsidRDefault="00DD7981">
      <w:pPr>
        <w:rPr>
          <w:sz w:val="20"/>
          <w:szCs w:val="20"/>
        </w:rPr>
      </w:pPr>
    </w:p>
    <w:p w:rsidR="00DD7981" w:rsidRDefault="00714478">
      <w:pPr>
        <w:rPr>
          <w:sz w:val="20"/>
          <w:szCs w:val="20"/>
          <w:lang w:val="fr-CA"/>
        </w:rPr>
      </w:pPr>
      <w:r>
        <w:rPr>
          <w:sz w:val="20"/>
          <w:szCs w:val="20"/>
          <w:lang w:val="fr-CA"/>
        </w:rPr>
        <w:pict>
          <v:rect id="_x0000_i1099" style="width:2in;height:1pt" o:hrpct="0" o:hralign="center" o:hrstd="t" o:hrnoshade="t" o:hr="t" fillcolor="black [3213]" stroked="f"/>
        </w:pict>
      </w:r>
    </w:p>
    <w:p w:rsidR="00DD7981" w:rsidRDefault="00DD7981">
      <w:pPr>
        <w:rPr>
          <w:sz w:val="20"/>
          <w:szCs w:val="20"/>
          <w:lang w:val="fr-CA"/>
        </w:rPr>
      </w:pPr>
      <w:r>
        <w:rPr>
          <w:sz w:val="20"/>
          <w:szCs w:val="20"/>
          <w:lang w:val="fr-CA"/>
        </w:rPr>
        <w:br w:type="page"/>
      </w:r>
    </w:p>
    <w:p w:rsidR="00C71A5A" w:rsidRPr="00C71A5A" w:rsidRDefault="00C71A5A" w:rsidP="00C71A5A">
      <w:pPr>
        <w:pStyle w:val="SCCLsocParty"/>
        <w:jc w:val="left"/>
        <w:rPr>
          <w:sz w:val="20"/>
          <w:szCs w:val="20"/>
        </w:rPr>
      </w:pPr>
      <w:r w:rsidRPr="00C71A5A">
        <w:rPr>
          <w:rStyle w:val="SCCFileNumberChar"/>
          <w:sz w:val="20"/>
          <w:szCs w:val="20"/>
          <w:lang w:val="fr-CA"/>
        </w:rPr>
        <w:lastRenderedPageBreak/>
        <w:t>35684</w:t>
      </w:r>
      <w:r w:rsidR="00A4467E" w:rsidRPr="00C71A5A">
        <w:rPr>
          <w:sz w:val="20"/>
          <w:szCs w:val="20"/>
        </w:rPr>
        <w:fldChar w:fldCharType="begin"/>
      </w:r>
      <w:r w:rsidRPr="00C71A5A">
        <w:rPr>
          <w:sz w:val="20"/>
          <w:szCs w:val="20"/>
        </w:rPr>
        <w:instrText xml:space="preserve"> SEQ CHAPTER \h \r 1</w:instrText>
      </w:r>
      <w:r w:rsidR="00A4467E" w:rsidRPr="00C71A5A">
        <w:rPr>
          <w:sz w:val="20"/>
          <w:szCs w:val="20"/>
        </w:rPr>
        <w:fldChar w:fldCharType="end"/>
      </w:r>
      <w:r w:rsidRPr="00C71A5A">
        <w:rPr>
          <w:sz w:val="20"/>
          <w:szCs w:val="20"/>
        </w:rPr>
        <w:tab/>
      </w:r>
      <w:r w:rsidRPr="00C71A5A">
        <w:rPr>
          <w:b/>
          <w:i/>
          <w:sz w:val="20"/>
          <w:szCs w:val="20"/>
        </w:rPr>
        <w:t>Sa Majesté la Reine et al. c. Sidney Charles</w:t>
      </w:r>
    </w:p>
    <w:p w:rsidR="00C71A5A" w:rsidRPr="00BF18D2" w:rsidRDefault="00C71A5A" w:rsidP="00C71A5A">
      <w:pPr>
        <w:widowControl w:val="0"/>
        <w:ind w:left="720" w:hanging="720"/>
        <w:jc w:val="both"/>
        <w:rPr>
          <w:sz w:val="20"/>
          <w:szCs w:val="20"/>
          <w:lang w:val="fr-CA"/>
        </w:rPr>
      </w:pPr>
    </w:p>
    <w:p w:rsidR="00C71A5A" w:rsidRPr="00BF18D2" w:rsidRDefault="00C71A5A" w:rsidP="00C71A5A">
      <w:pPr>
        <w:jc w:val="both"/>
        <w:rPr>
          <w:sz w:val="20"/>
          <w:szCs w:val="20"/>
          <w:lang w:val="fr-CA"/>
        </w:rPr>
      </w:pPr>
      <w:r w:rsidRPr="00BF18D2">
        <w:rPr>
          <w:i/>
          <w:sz w:val="20"/>
          <w:szCs w:val="20"/>
          <w:lang w:val="fr-CA"/>
        </w:rPr>
        <w:t>Charte canadienne des droits et libertés</w:t>
      </w:r>
      <w:r w:rsidRPr="00BF18D2">
        <w:rPr>
          <w:sz w:val="20"/>
          <w:szCs w:val="20"/>
          <w:lang w:val="fr-CA"/>
        </w:rPr>
        <w:t xml:space="preserve"> - Droit criminel - Traitements ou peines cruels et inusités - Peine minimale obligatoire - Possession d’une arme à feu prohibée ou à autorisation restreinte avec des munitions - Le sous</w:t>
      </w:r>
      <w:r w:rsidRPr="00BF18D2">
        <w:rPr>
          <w:sz w:val="20"/>
          <w:szCs w:val="20"/>
          <w:lang w:val="fr-CA"/>
        </w:rPr>
        <w:noBreakHyphen/>
        <w:t>al. 95(2)</w:t>
      </w:r>
      <w:r w:rsidRPr="00BF18D2">
        <w:rPr>
          <w:i/>
          <w:sz w:val="20"/>
          <w:szCs w:val="20"/>
          <w:lang w:val="fr-CA"/>
        </w:rPr>
        <w:t>a</w:t>
      </w:r>
      <w:r w:rsidRPr="00BF18D2">
        <w:rPr>
          <w:sz w:val="20"/>
          <w:szCs w:val="20"/>
          <w:lang w:val="fr-CA"/>
        </w:rPr>
        <w:t xml:space="preserve">)(ii) du </w:t>
      </w:r>
      <w:r w:rsidRPr="00BF18D2">
        <w:rPr>
          <w:i/>
          <w:sz w:val="20"/>
          <w:szCs w:val="20"/>
          <w:lang w:val="fr-CA"/>
        </w:rPr>
        <w:t>Code criminel</w:t>
      </w:r>
      <w:r w:rsidRPr="00BF18D2">
        <w:rPr>
          <w:sz w:val="20"/>
          <w:szCs w:val="20"/>
          <w:lang w:val="fr-CA"/>
        </w:rPr>
        <w:t xml:space="preserve"> contrevient-il à l’art. 12 de la </w:t>
      </w:r>
      <w:r w:rsidRPr="00BF18D2">
        <w:rPr>
          <w:i/>
          <w:sz w:val="20"/>
          <w:szCs w:val="20"/>
          <w:lang w:val="fr-CA"/>
        </w:rPr>
        <w:t>Charte canadienne des droits et libertés</w:t>
      </w:r>
      <w:r w:rsidRPr="00BF18D2">
        <w:rPr>
          <w:sz w:val="20"/>
          <w:szCs w:val="20"/>
          <w:lang w:val="fr-CA"/>
        </w:rPr>
        <w:t xml:space="preserve">? - Dans l’affirmative, s’agit-il d’une restriction établie par une règle de droit dans des limites qui soient raisonnables et dont la justification puisse se démontrer dans le cadre d’une société libre et démocratique suivant l’article premier de la </w:t>
      </w:r>
      <w:r w:rsidRPr="00BF18D2">
        <w:rPr>
          <w:i/>
          <w:sz w:val="20"/>
          <w:szCs w:val="20"/>
          <w:lang w:val="fr-CA"/>
        </w:rPr>
        <w:t>Charte canadienne des droits et libertés</w:t>
      </w:r>
      <w:r w:rsidRPr="00BF18D2">
        <w:rPr>
          <w:sz w:val="20"/>
          <w:szCs w:val="20"/>
          <w:lang w:val="fr-CA"/>
        </w:rPr>
        <w:t>? L’al. 95(2)</w:t>
      </w:r>
      <w:r w:rsidRPr="00BF18D2">
        <w:rPr>
          <w:i/>
          <w:sz w:val="20"/>
          <w:szCs w:val="20"/>
          <w:lang w:val="fr-CA"/>
        </w:rPr>
        <w:t>a</w:t>
      </w:r>
      <w:r w:rsidRPr="00BF18D2">
        <w:rPr>
          <w:sz w:val="20"/>
          <w:szCs w:val="20"/>
          <w:lang w:val="fr-CA"/>
        </w:rPr>
        <w:t xml:space="preserve">)ii) du </w:t>
      </w:r>
      <w:r w:rsidRPr="00BF18D2">
        <w:rPr>
          <w:i/>
          <w:sz w:val="20"/>
          <w:szCs w:val="20"/>
          <w:lang w:val="fr-CA"/>
        </w:rPr>
        <w:t>Code criminel</w:t>
      </w:r>
      <w:r w:rsidRPr="00BF18D2">
        <w:rPr>
          <w:sz w:val="20"/>
          <w:szCs w:val="20"/>
          <w:lang w:val="fr-CA"/>
        </w:rPr>
        <w:t xml:space="preserve"> contrevient-il à l’art. 7 de la </w:t>
      </w:r>
      <w:r w:rsidRPr="00BF18D2">
        <w:rPr>
          <w:i/>
          <w:sz w:val="20"/>
          <w:szCs w:val="20"/>
          <w:lang w:val="fr-CA"/>
        </w:rPr>
        <w:t>Charte canadienne des droits et libertés</w:t>
      </w:r>
      <w:r w:rsidRPr="00BF18D2">
        <w:rPr>
          <w:sz w:val="20"/>
          <w:szCs w:val="20"/>
          <w:lang w:val="fr-CA"/>
        </w:rPr>
        <w:t xml:space="preserve">? Dans l’affirmative, s’agit-il d’une restriction établie par une règle de droit dans des limites qui soient raisonnables et dont la justification puisse se démontrer dans le cadre d’une société libre et démocratique suivant l’article premier de la </w:t>
      </w:r>
      <w:r w:rsidRPr="00BF18D2">
        <w:rPr>
          <w:i/>
          <w:sz w:val="20"/>
          <w:szCs w:val="20"/>
          <w:lang w:val="fr-CA"/>
        </w:rPr>
        <w:t>Charte canadienne des droits et libertés</w:t>
      </w:r>
      <w:r w:rsidRPr="00BF18D2">
        <w:rPr>
          <w:sz w:val="20"/>
          <w:szCs w:val="20"/>
          <w:lang w:val="fr-CA"/>
        </w:rPr>
        <w:t xml:space="preserve">? - </w:t>
      </w:r>
      <w:r w:rsidRPr="00BF18D2">
        <w:rPr>
          <w:i/>
          <w:sz w:val="20"/>
          <w:szCs w:val="20"/>
          <w:lang w:val="fr-CA" w:eastAsia="fr-CA"/>
        </w:rPr>
        <w:t>Code criminel</w:t>
      </w:r>
      <w:r w:rsidRPr="00BF18D2">
        <w:rPr>
          <w:sz w:val="20"/>
          <w:szCs w:val="20"/>
          <w:lang w:val="fr-CA" w:eastAsia="fr-CA"/>
        </w:rPr>
        <w:t>, L.R.C. 1985, ch. C-46.</w:t>
      </w:r>
    </w:p>
    <w:p w:rsidR="00C71A5A" w:rsidRPr="00BF18D2" w:rsidRDefault="00C71A5A" w:rsidP="00C71A5A">
      <w:pPr>
        <w:widowControl w:val="0"/>
        <w:jc w:val="both"/>
        <w:rPr>
          <w:sz w:val="20"/>
          <w:szCs w:val="20"/>
          <w:lang w:val="fr-CA"/>
        </w:rPr>
      </w:pPr>
    </w:p>
    <w:p w:rsidR="00C71A5A" w:rsidRPr="00BF18D2" w:rsidRDefault="00C71A5A" w:rsidP="00C71A5A">
      <w:pPr>
        <w:jc w:val="both"/>
        <w:rPr>
          <w:sz w:val="20"/>
          <w:szCs w:val="20"/>
          <w:lang w:val="fr-CA"/>
        </w:rPr>
      </w:pPr>
      <w:r w:rsidRPr="00BF18D2">
        <w:rPr>
          <w:sz w:val="20"/>
          <w:szCs w:val="20"/>
          <w:lang w:val="fr-CA"/>
        </w:rPr>
        <w:t xml:space="preserve">En 2008, la police a saisi une arme de poing semi-automatique chargée et des munitions dans la chambre occupée par l’intimé dans une maison de pension.  Celui-ci n’était pas titulaire d’un permis l’autorisant à posséder l’arme à feu prohibée, laquelle n’était pas non plus enregistrée.  Le numéro de série de l’arme avait été enlevé.  Le ministère public a choisi de procéder par voie de mise en accusation.  En 2010, l’intimé a plaidé coupable à une accusation de possession d’une arme à feu prohibée chargée fondée sur le par. 95(1) du </w:t>
      </w:r>
      <w:r w:rsidRPr="00BF18D2">
        <w:rPr>
          <w:i/>
          <w:sz w:val="20"/>
          <w:szCs w:val="20"/>
          <w:lang w:val="fr-CA"/>
        </w:rPr>
        <w:t>Code criminel</w:t>
      </w:r>
      <w:r w:rsidRPr="00BF18D2">
        <w:rPr>
          <w:sz w:val="20"/>
          <w:szCs w:val="20"/>
          <w:lang w:val="fr-CA"/>
        </w:rPr>
        <w:t>, et à d’autres infractions, dont celle d’avoir été en possession d’une arme à feu avec des munitions alors qu’il était sous le coup d’une ordonnance d’interdiction; il a toutefois contesté le régime établi au sous-al. 95(2)</w:t>
      </w:r>
      <w:r w:rsidRPr="00BF18D2">
        <w:rPr>
          <w:i/>
          <w:sz w:val="20"/>
          <w:szCs w:val="20"/>
          <w:lang w:val="fr-CA"/>
        </w:rPr>
        <w:t>a</w:t>
      </w:r>
      <w:r w:rsidRPr="00BF18D2">
        <w:rPr>
          <w:sz w:val="20"/>
          <w:szCs w:val="20"/>
          <w:lang w:val="fr-CA"/>
        </w:rPr>
        <w:t xml:space="preserve">)(ii) du </w:t>
      </w:r>
      <w:r w:rsidRPr="00BF18D2">
        <w:rPr>
          <w:i/>
          <w:iCs/>
          <w:sz w:val="20"/>
          <w:szCs w:val="20"/>
          <w:lang w:val="fr-CA"/>
        </w:rPr>
        <w:t>Code criminel</w:t>
      </w:r>
      <w:r w:rsidRPr="00BF18D2">
        <w:rPr>
          <w:sz w:val="20"/>
          <w:szCs w:val="20"/>
          <w:lang w:val="fr-CA"/>
        </w:rPr>
        <w:t xml:space="preserve"> prévoyant une peine minimale obligatoire de cinq ans d’emprisonnement.  L’intimé avait un casier judiciaire, comportant deux déclarations de culpabilité prononcées dans les dix ans pour des infractions sous-jacentes énoncées au par. 84(5) qui emportent l’application de la peine minimale obligatoire accrue prévue au sous-al. 95(2)</w:t>
      </w:r>
      <w:r w:rsidRPr="00BF18D2">
        <w:rPr>
          <w:i/>
          <w:sz w:val="20"/>
          <w:szCs w:val="20"/>
          <w:lang w:val="fr-CA"/>
        </w:rPr>
        <w:t>a</w:t>
      </w:r>
      <w:r w:rsidRPr="00BF18D2">
        <w:rPr>
          <w:sz w:val="20"/>
          <w:szCs w:val="20"/>
          <w:lang w:val="fr-CA"/>
        </w:rPr>
        <w:t>)(ii).</w:t>
      </w:r>
    </w:p>
    <w:p w:rsidR="00C71A5A" w:rsidRPr="00BF18D2" w:rsidRDefault="00C71A5A" w:rsidP="00C71A5A">
      <w:pPr>
        <w:widowControl w:val="0"/>
        <w:jc w:val="both"/>
        <w:rPr>
          <w:sz w:val="20"/>
          <w:szCs w:val="20"/>
          <w:lang w:val="fr-CA"/>
        </w:rPr>
      </w:pPr>
    </w:p>
    <w:p w:rsidR="00C71A5A" w:rsidRPr="00BF18D2" w:rsidRDefault="00C71A5A" w:rsidP="00C71A5A">
      <w:pPr>
        <w:widowControl w:val="0"/>
        <w:jc w:val="both"/>
        <w:rPr>
          <w:sz w:val="20"/>
          <w:szCs w:val="20"/>
          <w:lang w:val="fr-CA"/>
        </w:rPr>
      </w:pPr>
    </w:p>
    <w:p w:rsidR="00C71A5A" w:rsidRPr="00BF18D2" w:rsidRDefault="00C71A5A" w:rsidP="00C71A5A">
      <w:pPr>
        <w:widowControl w:val="0"/>
        <w:ind w:left="2880" w:hanging="2880"/>
        <w:jc w:val="both"/>
        <w:rPr>
          <w:sz w:val="20"/>
          <w:szCs w:val="20"/>
          <w:lang w:val="fr-CA"/>
        </w:rPr>
      </w:pPr>
      <w:r w:rsidRPr="00BF18D2">
        <w:rPr>
          <w:sz w:val="20"/>
          <w:szCs w:val="20"/>
          <w:lang w:val="fr-CA"/>
        </w:rPr>
        <w:t>Origine :</w:t>
      </w:r>
      <w:r w:rsidRPr="00BF18D2">
        <w:rPr>
          <w:sz w:val="20"/>
          <w:szCs w:val="20"/>
          <w:lang w:val="fr-CA"/>
        </w:rPr>
        <w:tab/>
        <w:t>Ontario</w:t>
      </w:r>
    </w:p>
    <w:p w:rsidR="00C71A5A" w:rsidRPr="00BF18D2" w:rsidRDefault="00C71A5A" w:rsidP="00C71A5A">
      <w:pPr>
        <w:widowControl w:val="0"/>
        <w:ind w:left="2880" w:hanging="2880"/>
        <w:jc w:val="both"/>
        <w:rPr>
          <w:sz w:val="20"/>
          <w:szCs w:val="20"/>
          <w:lang w:val="fr-CA"/>
        </w:rPr>
      </w:pPr>
    </w:p>
    <w:p w:rsidR="00C71A5A" w:rsidRPr="00BF18D2" w:rsidRDefault="00C71A5A" w:rsidP="00C71A5A">
      <w:pPr>
        <w:widowControl w:val="0"/>
        <w:ind w:left="2880" w:hanging="2880"/>
        <w:jc w:val="both"/>
        <w:rPr>
          <w:sz w:val="20"/>
          <w:szCs w:val="20"/>
          <w:lang w:val="fr-CA"/>
        </w:rPr>
      </w:pPr>
      <w:r w:rsidRPr="00BF18D2">
        <w:rPr>
          <w:sz w:val="20"/>
          <w:szCs w:val="20"/>
          <w:lang w:val="fr-CA"/>
        </w:rPr>
        <w:t>N</w:t>
      </w:r>
      <w:r w:rsidRPr="00BF18D2">
        <w:rPr>
          <w:sz w:val="20"/>
          <w:szCs w:val="20"/>
          <w:vertAlign w:val="superscript"/>
          <w:lang w:val="fr-CA"/>
        </w:rPr>
        <w:t>o</w:t>
      </w:r>
      <w:r w:rsidRPr="00BF18D2">
        <w:rPr>
          <w:sz w:val="20"/>
          <w:szCs w:val="20"/>
          <w:lang w:val="fr-CA"/>
        </w:rPr>
        <w:t xml:space="preserve"> du greffe :</w:t>
      </w:r>
      <w:r w:rsidRPr="00BF18D2">
        <w:rPr>
          <w:sz w:val="20"/>
          <w:szCs w:val="20"/>
          <w:lang w:val="fr-CA"/>
        </w:rPr>
        <w:tab/>
        <w:t>35684</w:t>
      </w:r>
    </w:p>
    <w:p w:rsidR="00C71A5A" w:rsidRPr="00BF18D2" w:rsidRDefault="00C71A5A" w:rsidP="00C71A5A">
      <w:pPr>
        <w:widowControl w:val="0"/>
        <w:ind w:left="2880" w:hanging="2880"/>
        <w:jc w:val="both"/>
        <w:rPr>
          <w:sz w:val="20"/>
          <w:szCs w:val="20"/>
          <w:lang w:val="fr-CA"/>
        </w:rPr>
      </w:pPr>
    </w:p>
    <w:p w:rsidR="00C71A5A" w:rsidRPr="00BF18D2" w:rsidRDefault="00C71A5A" w:rsidP="00C71A5A">
      <w:pPr>
        <w:widowControl w:val="0"/>
        <w:ind w:left="2880" w:hanging="2880"/>
        <w:jc w:val="both"/>
        <w:rPr>
          <w:sz w:val="20"/>
          <w:szCs w:val="20"/>
          <w:lang w:val="fr-CA"/>
        </w:rPr>
      </w:pPr>
      <w:r w:rsidRPr="00BF18D2">
        <w:rPr>
          <w:sz w:val="20"/>
          <w:szCs w:val="20"/>
          <w:lang w:val="fr-CA"/>
        </w:rPr>
        <w:t>Arrêt de la Cour d’appel :</w:t>
      </w:r>
      <w:r w:rsidRPr="00BF18D2">
        <w:rPr>
          <w:sz w:val="20"/>
          <w:szCs w:val="20"/>
          <w:lang w:val="fr-CA"/>
        </w:rPr>
        <w:tab/>
        <w:t>le 12 novembre 2014</w:t>
      </w:r>
    </w:p>
    <w:p w:rsidR="00C71A5A" w:rsidRPr="00BF18D2" w:rsidRDefault="00C71A5A" w:rsidP="00C71A5A">
      <w:pPr>
        <w:widowControl w:val="0"/>
        <w:ind w:left="2880" w:hanging="2880"/>
        <w:jc w:val="both"/>
        <w:rPr>
          <w:sz w:val="20"/>
          <w:szCs w:val="20"/>
          <w:lang w:val="fr-CA"/>
        </w:rPr>
      </w:pPr>
    </w:p>
    <w:p w:rsidR="00C71A5A" w:rsidRPr="00BF18D2" w:rsidRDefault="00C71A5A" w:rsidP="00C71A5A">
      <w:pPr>
        <w:widowControl w:val="0"/>
        <w:ind w:left="2880" w:hanging="2880"/>
        <w:jc w:val="both"/>
        <w:rPr>
          <w:sz w:val="20"/>
          <w:szCs w:val="20"/>
          <w:lang w:val="fr-CA"/>
        </w:rPr>
      </w:pPr>
      <w:r w:rsidRPr="00BF18D2">
        <w:rPr>
          <w:sz w:val="20"/>
          <w:szCs w:val="20"/>
          <w:lang w:val="fr-CA"/>
        </w:rPr>
        <w:t>Avocats :</w:t>
      </w:r>
      <w:r w:rsidRPr="00BF18D2">
        <w:rPr>
          <w:sz w:val="20"/>
          <w:szCs w:val="20"/>
          <w:lang w:val="fr-CA"/>
        </w:rPr>
        <w:tab/>
        <w:t>Riun Shandler et Andreea Baiasu pour l’appelante Sa Majesté la Reine</w:t>
      </w:r>
    </w:p>
    <w:p w:rsidR="00C71A5A" w:rsidRPr="00BF18D2" w:rsidRDefault="00C71A5A" w:rsidP="00C71A5A">
      <w:pPr>
        <w:widowControl w:val="0"/>
        <w:ind w:left="2880" w:hanging="2880"/>
        <w:jc w:val="both"/>
        <w:rPr>
          <w:sz w:val="20"/>
          <w:szCs w:val="20"/>
          <w:lang w:val="fr-CA"/>
        </w:rPr>
      </w:pPr>
      <w:r>
        <w:rPr>
          <w:sz w:val="20"/>
          <w:szCs w:val="20"/>
          <w:lang w:val="fr-CA"/>
        </w:rPr>
        <w:tab/>
      </w:r>
      <w:r w:rsidRPr="00BF18D2">
        <w:rPr>
          <w:sz w:val="20"/>
          <w:szCs w:val="20"/>
          <w:lang w:val="fr-CA"/>
        </w:rPr>
        <w:t>Richard Kramer et Nancy Dennison pour l’appelant le procureur général du Canada</w:t>
      </w:r>
      <w:r>
        <w:rPr>
          <w:sz w:val="20"/>
          <w:szCs w:val="20"/>
          <w:lang w:val="fr-CA"/>
        </w:rPr>
        <w:t xml:space="preserve"> </w:t>
      </w:r>
      <w:r w:rsidRPr="00BF18D2">
        <w:rPr>
          <w:sz w:val="20"/>
          <w:szCs w:val="20"/>
          <w:lang w:val="fr-CA"/>
        </w:rPr>
        <w:t>pour l’intimé</w:t>
      </w:r>
    </w:p>
    <w:p w:rsidR="00C71A5A" w:rsidRPr="00BF18D2" w:rsidRDefault="00C71A5A" w:rsidP="00C71A5A">
      <w:pPr>
        <w:widowControl w:val="0"/>
        <w:ind w:left="2880" w:hanging="2880"/>
        <w:jc w:val="both"/>
        <w:rPr>
          <w:sz w:val="20"/>
          <w:szCs w:val="20"/>
          <w:lang w:val="fr-CA"/>
        </w:rPr>
      </w:pPr>
      <w:r>
        <w:rPr>
          <w:sz w:val="20"/>
          <w:szCs w:val="20"/>
          <w:lang w:val="fr-CA"/>
        </w:rPr>
        <w:tab/>
      </w:r>
      <w:r w:rsidRPr="00BF18D2">
        <w:rPr>
          <w:sz w:val="20"/>
          <w:szCs w:val="20"/>
          <w:lang w:val="fr-CA"/>
        </w:rPr>
        <w:t>Michal Dineen et Carlos Rippell pour l’intimée</w:t>
      </w:r>
    </w:p>
    <w:p w:rsidR="00DD7981" w:rsidRDefault="00DD7981" w:rsidP="000B3C9A">
      <w:pPr>
        <w:tabs>
          <w:tab w:val="left" w:pos="-1440"/>
          <w:tab w:val="left" w:pos="-720"/>
        </w:tabs>
        <w:jc w:val="both"/>
        <w:rPr>
          <w:sz w:val="20"/>
          <w:szCs w:val="20"/>
          <w:lang w:val="fr-CA"/>
        </w:rPr>
      </w:pPr>
    </w:p>
    <w:p w:rsidR="00DD7981" w:rsidRDefault="00714478" w:rsidP="000B3C9A">
      <w:pPr>
        <w:tabs>
          <w:tab w:val="left" w:pos="-1440"/>
          <w:tab w:val="left" w:pos="-720"/>
        </w:tabs>
        <w:jc w:val="both"/>
        <w:rPr>
          <w:sz w:val="20"/>
          <w:szCs w:val="20"/>
          <w:lang w:val="fr-CA"/>
        </w:rPr>
      </w:pPr>
      <w:r>
        <w:rPr>
          <w:sz w:val="20"/>
          <w:szCs w:val="20"/>
          <w:lang w:val="fr-CA"/>
        </w:rPr>
        <w:pict>
          <v:rect id="_x0000_i1100" style="width:2in;height:1pt" o:hrpct="0" o:hralign="center" o:hrstd="t" o:hrnoshade="t" o:hr="t" fillcolor="black [3213]" stroked="f"/>
        </w:pict>
      </w:r>
    </w:p>
    <w:p w:rsidR="00DD7981" w:rsidRDefault="00DD7981" w:rsidP="000B3C9A">
      <w:pPr>
        <w:tabs>
          <w:tab w:val="left" w:pos="-1440"/>
          <w:tab w:val="left" w:pos="-720"/>
        </w:tabs>
        <w:jc w:val="both"/>
        <w:rPr>
          <w:sz w:val="20"/>
          <w:szCs w:val="20"/>
          <w:lang w:val="fr-CA"/>
        </w:rPr>
      </w:pPr>
    </w:p>
    <w:p w:rsidR="00DD7981" w:rsidRDefault="00DD7981">
      <w:pPr>
        <w:rPr>
          <w:sz w:val="20"/>
          <w:szCs w:val="20"/>
          <w:lang w:val="fr-CA"/>
        </w:rPr>
      </w:pPr>
      <w:r>
        <w:rPr>
          <w:sz w:val="20"/>
          <w:szCs w:val="20"/>
          <w:lang w:val="fr-CA"/>
        </w:rPr>
        <w:br w:type="page"/>
      </w:r>
    </w:p>
    <w:p w:rsidR="00EF4459" w:rsidRPr="00B27132" w:rsidRDefault="00A4467E" w:rsidP="00EF4459">
      <w:pPr>
        <w:widowControl w:val="0"/>
        <w:ind w:left="720" w:hanging="720"/>
        <w:jc w:val="both"/>
        <w:rPr>
          <w:sz w:val="20"/>
          <w:szCs w:val="20"/>
        </w:rPr>
      </w:pPr>
      <w:r w:rsidRPr="00B27132">
        <w:rPr>
          <w:b/>
          <w:sz w:val="20"/>
          <w:szCs w:val="20"/>
        </w:rPr>
        <w:lastRenderedPageBreak/>
        <w:fldChar w:fldCharType="begin"/>
      </w:r>
      <w:r w:rsidR="00EF4459" w:rsidRPr="00B27132">
        <w:rPr>
          <w:b/>
          <w:sz w:val="20"/>
          <w:szCs w:val="20"/>
        </w:rPr>
        <w:instrText xml:space="preserve"> SEQ CHAPTER \h \r 1</w:instrText>
      </w:r>
      <w:r w:rsidRPr="00B27132">
        <w:rPr>
          <w:b/>
          <w:sz w:val="20"/>
          <w:szCs w:val="20"/>
        </w:rPr>
        <w:fldChar w:fldCharType="end"/>
      </w:r>
      <w:r w:rsidR="00EF4459" w:rsidRPr="00B27132">
        <w:rPr>
          <w:b/>
          <w:sz w:val="20"/>
          <w:szCs w:val="20"/>
        </w:rPr>
        <w:t>35613</w:t>
      </w:r>
      <w:r w:rsidR="00EF4459" w:rsidRPr="00B27132">
        <w:rPr>
          <w:sz w:val="20"/>
          <w:szCs w:val="20"/>
        </w:rPr>
        <w:tab/>
      </w:r>
      <w:r w:rsidR="00EF4459" w:rsidRPr="00B27132">
        <w:rPr>
          <w:b/>
          <w:i/>
          <w:sz w:val="20"/>
          <w:szCs w:val="20"/>
        </w:rPr>
        <w:t>Réjean Hinse v. Attorney General of Canada</w:t>
      </w:r>
    </w:p>
    <w:p w:rsidR="00EF4459" w:rsidRPr="00B27132" w:rsidRDefault="00EF4459" w:rsidP="00EF4459">
      <w:pPr>
        <w:widowControl w:val="0"/>
        <w:jc w:val="both"/>
        <w:rPr>
          <w:sz w:val="20"/>
          <w:szCs w:val="20"/>
        </w:rPr>
      </w:pPr>
    </w:p>
    <w:p w:rsidR="00EF4459" w:rsidRPr="00B27132" w:rsidRDefault="00EF4459" w:rsidP="00EF4459">
      <w:pPr>
        <w:jc w:val="both"/>
        <w:rPr>
          <w:sz w:val="20"/>
          <w:szCs w:val="20"/>
        </w:rPr>
      </w:pPr>
      <w:r w:rsidRPr="00B27132">
        <w:rPr>
          <w:sz w:val="20"/>
          <w:szCs w:val="20"/>
        </w:rPr>
        <w:t>Crown law - Crown liability - Fault - Prejudice - Action brought against federal Crown on basis of miscarriage of justice - Standard of liability applicable to conduct in issue - Whether Quebec Court of Appeal erred in reversing trial judge’s conclusions concerning lack of meaningful review of appellant’s applications - Whether trial judge’s conclusions concerning award of various heads of damages should be upheld.</w:t>
      </w:r>
    </w:p>
    <w:p w:rsidR="00EF4459" w:rsidRPr="00B27132" w:rsidRDefault="00EF4459" w:rsidP="00EF4459">
      <w:pPr>
        <w:widowControl w:val="0"/>
        <w:jc w:val="both"/>
        <w:rPr>
          <w:sz w:val="20"/>
          <w:szCs w:val="20"/>
        </w:rPr>
      </w:pPr>
    </w:p>
    <w:p w:rsidR="00EF4459" w:rsidRPr="00B27132" w:rsidRDefault="00EF4459" w:rsidP="00EF4459">
      <w:pPr>
        <w:widowControl w:val="0"/>
        <w:jc w:val="both"/>
        <w:rPr>
          <w:sz w:val="20"/>
          <w:szCs w:val="20"/>
        </w:rPr>
      </w:pPr>
      <w:r w:rsidRPr="00B27132">
        <w:rPr>
          <w:sz w:val="20"/>
          <w:szCs w:val="20"/>
        </w:rPr>
        <w:t>On November 3, 1964, Réjean Hinse was convicted of robbery and sentenced to imprisonment for 15 years.  From that time on, Mr. Hinse repeatedly, and by various means, sought recognition that he was a victim of a miscarriage of justice, including by trying to obtain a pardon from the Governor in Council and by appealing to the Crown’s power of mercy.  It was not until 33 years later, on January 21, 1997, that Mr. Hinse was acquitted by the Supreme Court of Canada after obtaining an extension of the time for appealing his conviction.  Following the acquittal, Mr. Hinse brought an action against the town of Mont-Laurier, the Attorney General of Quebec and the Attorney General of Canada solidarily.  However, a settlement agreement was reached with the town ($250,000) and the Attorney General of Quebec ($5,300,000).</w:t>
      </w:r>
    </w:p>
    <w:p w:rsidR="00EF4459" w:rsidRPr="00B27132" w:rsidRDefault="00EF4459" w:rsidP="00EF4459">
      <w:pPr>
        <w:widowControl w:val="0"/>
        <w:jc w:val="both"/>
        <w:rPr>
          <w:sz w:val="20"/>
          <w:szCs w:val="20"/>
        </w:rPr>
      </w:pPr>
    </w:p>
    <w:p w:rsidR="00EF4459" w:rsidRPr="00B27132" w:rsidRDefault="00EF4459" w:rsidP="00EF4459">
      <w:pPr>
        <w:widowControl w:val="0"/>
        <w:jc w:val="both"/>
        <w:rPr>
          <w:sz w:val="20"/>
          <w:szCs w:val="20"/>
        </w:rPr>
      </w:pPr>
      <w:r w:rsidRPr="00B27132">
        <w:rPr>
          <w:sz w:val="20"/>
          <w:szCs w:val="20"/>
        </w:rPr>
        <w:t>Against the Attorney General of Canada, Mr. Hinse alleged that the federal government had helped to perpetuate and exacerbate the prejudice he had suffered as a result of the miscarriage of justice and was guilty of systemic contributory fault in failing to act to acknowledge and remedy the miscarriage.  He also argued that the conduct of the federal authorities in his case [translation] “was indicative of reprehensible carelessness, recklessness and total denial, which must be denounced and condemned”.  He claimed $1,079,871 in compensation for pecuniary damage, $1,900,000 in compensation for non-pecuniary damage and $10,000,000 in punitive damages.  The Superior Court allowed the action and ordered the Attorney General of Canada to pay nearly $5.8 million.  Finding that Mr. Hinse had not discharged his burden of establishing the fault of the federal authorities, the Court of Appeal set aside the decision.</w:t>
      </w:r>
    </w:p>
    <w:p w:rsidR="00EF4459" w:rsidRPr="00B27132" w:rsidRDefault="00EF4459" w:rsidP="00EF4459">
      <w:pPr>
        <w:widowControl w:val="0"/>
        <w:jc w:val="both"/>
        <w:rPr>
          <w:sz w:val="20"/>
          <w:szCs w:val="20"/>
        </w:rPr>
      </w:pPr>
    </w:p>
    <w:p w:rsidR="00EF4459" w:rsidRPr="00B27132" w:rsidRDefault="00EF4459" w:rsidP="00EF4459">
      <w:pPr>
        <w:widowControl w:val="0"/>
        <w:jc w:val="both"/>
        <w:rPr>
          <w:sz w:val="20"/>
          <w:szCs w:val="20"/>
        </w:rPr>
      </w:pPr>
    </w:p>
    <w:p w:rsidR="00EF4459" w:rsidRPr="00B27132" w:rsidRDefault="00EF4459" w:rsidP="00EF4459">
      <w:pPr>
        <w:widowControl w:val="0"/>
        <w:ind w:left="2880" w:hanging="2880"/>
        <w:jc w:val="both"/>
        <w:rPr>
          <w:sz w:val="20"/>
          <w:szCs w:val="20"/>
        </w:rPr>
      </w:pPr>
      <w:r w:rsidRPr="00B27132">
        <w:rPr>
          <w:sz w:val="20"/>
          <w:szCs w:val="20"/>
        </w:rPr>
        <w:t>Origin of the case:</w:t>
      </w:r>
      <w:r w:rsidRPr="00B27132">
        <w:rPr>
          <w:sz w:val="20"/>
          <w:szCs w:val="20"/>
        </w:rPr>
        <w:tab/>
        <w:t>Quebec</w:t>
      </w:r>
    </w:p>
    <w:p w:rsidR="00EF4459" w:rsidRPr="00B27132" w:rsidRDefault="00EF4459" w:rsidP="00EF4459">
      <w:pPr>
        <w:widowControl w:val="0"/>
        <w:ind w:left="2880" w:hanging="2880"/>
        <w:jc w:val="both"/>
        <w:rPr>
          <w:sz w:val="20"/>
          <w:szCs w:val="20"/>
        </w:rPr>
      </w:pPr>
    </w:p>
    <w:p w:rsidR="00EF4459" w:rsidRPr="00B27132" w:rsidRDefault="00EF4459" w:rsidP="00EF4459">
      <w:pPr>
        <w:widowControl w:val="0"/>
        <w:ind w:left="2880" w:hanging="2880"/>
        <w:jc w:val="both"/>
        <w:rPr>
          <w:sz w:val="20"/>
          <w:szCs w:val="20"/>
        </w:rPr>
      </w:pPr>
      <w:r w:rsidRPr="00B27132">
        <w:rPr>
          <w:sz w:val="20"/>
          <w:szCs w:val="20"/>
        </w:rPr>
        <w:t>File No.:</w:t>
      </w:r>
      <w:r w:rsidRPr="00B27132">
        <w:rPr>
          <w:sz w:val="20"/>
          <w:szCs w:val="20"/>
        </w:rPr>
        <w:tab/>
        <w:t>35613</w:t>
      </w:r>
    </w:p>
    <w:p w:rsidR="00EF4459" w:rsidRPr="00B27132" w:rsidRDefault="00EF4459" w:rsidP="00EF4459">
      <w:pPr>
        <w:widowControl w:val="0"/>
        <w:ind w:left="2880" w:hanging="2880"/>
        <w:jc w:val="both"/>
        <w:rPr>
          <w:sz w:val="20"/>
          <w:szCs w:val="20"/>
        </w:rPr>
      </w:pPr>
    </w:p>
    <w:p w:rsidR="00EF4459" w:rsidRPr="00B27132" w:rsidRDefault="00EF4459" w:rsidP="00EF4459">
      <w:pPr>
        <w:widowControl w:val="0"/>
        <w:ind w:left="2880" w:hanging="2880"/>
        <w:jc w:val="both"/>
        <w:rPr>
          <w:sz w:val="20"/>
          <w:szCs w:val="20"/>
        </w:rPr>
      </w:pPr>
      <w:r w:rsidRPr="00B27132">
        <w:rPr>
          <w:sz w:val="20"/>
          <w:szCs w:val="20"/>
        </w:rPr>
        <w:t>Judgment of the Court of Appeal:</w:t>
      </w:r>
      <w:r w:rsidRPr="00B27132">
        <w:rPr>
          <w:sz w:val="20"/>
          <w:szCs w:val="20"/>
        </w:rPr>
        <w:tab/>
        <w:t>September 11, 2013</w:t>
      </w:r>
    </w:p>
    <w:p w:rsidR="00EF4459" w:rsidRPr="00B27132" w:rsidRDefault="00EF4459" w:rsidP="00EF4459">
      <w:pPr>
        <w:widowControl w:val="0"/>
        <w:ind w:left="2880" w:hanging="2880"/>
        <w:jc w:val="both"/>
        <w:rPr>
          <w:sz w:val="20"/>
          <w:szCs w:val="20"/>
        </w:rPr>
      </w:pPr>
    </w:p>
    <w:p w:rsidR="00EF4459" w:rsidRPr="00B27132" w:rsidRDefault="00EF4459" w:rsidP="00EF4459">
      <w:pPr>
        <w:widowControl w:val="0"/>
        <w:ind w:left="2880" w:hanging="2880"/>
        <w:rPr>
          <w:sz w:val="20"/>
          <w:szCs w:val="20"/>
        </w:rPr>
      </w:pPr>
      <w:r w:rsidRPr="00B27132">
        <w:rPr>
          <w:sz w:val="20"/>
          <w:szCs w:val="20"/>
        </w:rPr>
        <w:t>Counsel:</w:t>
      </w:r>
      <w:r w:rsidRPr="00B27132">
        <w:rPr>
          <w:sz w:val="20"/>
          <w:szCs w:val="20"/>
        </w:rPr>
        <w:tab/>
        <w:t>Guy J. Pratte, Alexander L. De Zordo and Marc-André Grou for the appellant</w:t>
      </w:r>
    </w:p>
    <w:p w:rsidR="00EF4459" w:rsidRPr="00B27132" w:rsidRDefault="00EF4459" w:rsidP="00EF4459">
      <w:pPr>
        <w:widowControl w:val="0"/>
        <w:ind w:left="2880" w:hanging="2880"/>
        <w:jc w:val="both"/>
        <w:rPr>
          <w:sz w:val="20"/>
          <w:szCs w:val="20"/>
        </w:rPr>
      </w:pPr>
      <w:r w:rsidRPr="00B27132">
        <w:rPr>
          <w:sz w:val="20"/>
          <w:szCs w:val="20"/>
        </w:rPr>
        <w:tab/>
        <w:t>Bernard Letarte for the respondent</w:t>
      </w:r>
    </w:p>
    <w:p w:rsidR="00DD7981" w:rsidRPr="00EF4459" w:rsidRDefault="00DD7981">
      <w:pPr>
        <w:rPr>
          <w:sz w:val="20"/>
          <w:szCs w:val="20"/>
        </w:rPr>
      </w:pPr>
    </w:p>
    <w:p w:rsidR="00DD7981" w:rsidRDefault="00714478">
      <w:pPr>
        <w:rPr>
          <w:sz w:val="20"/>
          <w:szCs w:val="20"/>
          <w:lang w:val="fr-CA"/>
        </w:rPr>
      </w:pPr>
      <w:r>
        <w:rPr>
          <w:sz w:val="20"/>
          <w:szCs w:val="20"/>
          <w:lang w:val="fr-CA"/>
        </w:rPr>
        <w:pict>
          <v:rect id="_x0000_i1101" style="width:2in;height:1pt" o:hrpct="0" o:hralign="center" o:hrstd="t" o:hrnoshade="t" o:hr="t" fillcolor="black [3213]" stroked="f"/>
        </w:pict>
      </w:r>
    </w:p>
    <w:p w:rsidR="00DD7981" w:rsidRDefault="00DD7981">
      <w:pPr>
        <w:rPr>
          <w:sz w:val="20"/>
          <w:szCs w:val="20"/>
          <w:lang w:val="fr-CA"/>
        </w:rPr>
      </w:pPr>
      <w:r>
        <w:rPr>
          <w:sz w:val="20"/>
          <w:szCs w:val="20"/>
          <w:lang w:val="fr-CA"/>
        </w:rPr>
        <w:br w:type="page"/>
      </w:r>
    </w:p>
    <w:p w:rsidR="00EF4459" w:rsidRPr="00AD7BD1" w:rsidRDefault="00A4467E" w:rsidP="00EF4459">
      <w:pPr>
        <w:widowControl w:val="0"/>
        <w:ind w:left="720" w:hanging="720"/>
        <w:jc w:val="both"/>
        <w:rPr>
          <w:sz w:val="20"/>
          <w:szCs w:val="20"/>
          <w:lang w:val="fr-CA"/>
        </w:rPr>
      </w:pPr>
      <w:r w:rsidRPr="00AD7BD1">
        <w:rPr>
          <w:b/>
          <w:sz w:val="20"/>
          <w:szCs w:val="20"/>
          <w:lang w:val="fr-CA"/>
        </w:rPr>
        <w:lastRenderedPageBreak/>
        <w:fldChar w:fldCharType="begin"/>
      </w:r>
      <w:r w:rsidR="00EF4459" w:rsidRPr="00AD7BD1">
        <w:rPr>
          <w:b/>
          <w:sz w:val="20"/>
          <w:szCs w:val="20"/>
          <w:lang w:val="fr-CA"/>
        </w:rPr>
        <w:instrText xml:space="preserve"> SEQ CHAPTER \h \r 1</w:instrText>
      </w:r>
      <w:r w:rsidRPr="00AD7BD1">
        <w:rPr>
          <w:b/>
          <w:sz w:val="20"/>
          <w:szCs w:val="20"/>
          <w:lang w:val="fr-CA"/>
        </w:rPr>
        <w:fldChar w:fldCharType="end"/>
      </w:r>
      <w:r w:rsidR="00EF4459" w:rsidRPr="00AD7BD1">
        <w:rPr>
          <w:b/>
          <w:sz w:val="20"/>
          <w:szCs w:val="20"/>
          <w:lang w:val="fr-CA"/>
        </w:rPr>
        <w:t>35613</w:t>
      </w:r>
      <w:r w:rsidR="00EF4459" w:rsidRPr="00AD7BD1">
        <w:rPr>
          <w:sz w:val="20"/>
          <w:szCs w:val="20"/>
          <w:lang w:val="fr-CA"/>
        </w:rPr>
        <w:tab/>
      </w:r>
      <w:r w:rsidR="00EF4459" w:rsidRPr="00AD7BD1">
        <w:rPr>
          <w:b/>
          <w:i/>
          <w:sz w:val="20"/>
          <w:szCs w:val="20"/>
          <w:lang w:val="fr-CA"/>
        </w:rPr>
        <w:t>Réjean Hinse c. Procureur général du Canada</w:t>
      </w:r>
    </w:p>
    <w:p w:rsidR="00EF4459" w:rsidRPr="00AD7BD1" w:rsidRDefault="00EF4459" w:rsidP="00EF4459">
      <w:pPr>
        <w:widowControl w:val="0"/>
        <w:jc w:val="both"/>
        <w:rPr>
          <w:sz w:val="20"/>
          <w:szCs w:val="20"/>
          <w:lang w:val="fr-CA"/>
        </w:rPr>
      </w:pPr>
    </w:p>
    <w:p w:rsidR="00EF4459" w:rsidRPr="00AD7BD1" w:rsidRDefault="00EF4459" w:rsidP="00EF4459">
      <w:pPr>
        <w:jc w:val="both"/>
        <w:rPr>
          <w:sz w:val="20"/>
          <w:szCs w:val="20"/>
          <w:lang w:val="fr-CA"/>
        </w:rPr>
      </w:pPr>
      <w:r w:rsidRPr="00AD7BD1">
        <w:rPr>
          <w:sz w:val="20"/>
          <w:szCs w:val="20"/>
          <w:lang w:val="fr-CA"/>
        </w:rPr>
        <w:t>Droit de la Couronne - Responsabilité de l’État - Faute - Préjudice - Poursuite intentée contre l’État fédéral à la suite d’une erreur judiciaire - Quelle est la norme de responsabilité applicable à la conduite en litige? - La Cour d’appel du Québec a-t-elle erré en infirmant les conclusions de la première juge quant à l’absence d’un examen sérieux des demandes de l’appelant? - Les conclusions de la première juge quant à l’octroi des différents chefs de dommages-intérêts doivent-elles être maintenues?</w:t>
      </w:r>
    </w:p>
    <w:p w:rsidR="00EF4459" w:rsidRPr="00AD7BD1" w:rsidRDefault="00EF4459" w:rsidP="00EF4459">
      <w:pPr>
        <w:widowControl w:val="0"/>
        <w:jc w:val="both"/>
        <w:rPr>
          <w:sz w:val="20"/>
          <w:szCs w:val="20"/>
          <w:lang w:val="fr-CA"/>
        </w:rPr>
      </w:pPr>
    </w:p>
    <w:p w:rsidR="00EF4459" w:rsidRPr="00AD7BD1" w:rsidRDefault="00EF4459" w:rsidP="00EF4459">
      <w:pPr>
        <w:widowControl w:val="0"/>
        <w:jc w:val="both"/>
        <w:rPr>
          <w:sz w:val="20"/>
          <w:szCs w:val="20"/>
          <w:lang w:val="fr-CA"/>
        </w:rPr>
      </w:pPr>
      <w:r w:rsidRPr="00AD7BD1">
        <w:rPr>
          <w:sz w:val="20"/>
          <w:szCs w:val="20"/>
          <w:lang w:val="fr-CA"/>
        </w:rPr>
        <w:t xml:space="preserve">Le 3 novembre 1964, Réjean Hinse est déclaré coupable de vol qualifié et condamné à une peine de 15 ans d’emprisonnement.  À compter de ce moment, M. Hinse tente à plusieurs reprises et de diverses façons de faire reconnaître qu’il est victime d’une erreur judiciaire, notamment en tentant d’obtenir un pardon du gouverneur en conseil et en faisant appel au pouvoir de clémence de la Couronne.  Ce n’est que le 21 janvier 1997, soit 33 ans plus tard, que M. Hinse sera acquitté par la Cour suprême du Canada, après avoir obtenu une prorogation du délai pour porter sa condamnation en appel.  Après l’acquittement, M. Hinse poursuit, solidairement, la Ville de Mont-Laurier, le procureur général du Québec et le procureur général du Canada.  Toutefois, une entente de règlement à l’amiable est conclue avec la Ville (250 000 $) et le procureur général du Québec (5 300 000 $). </w:t>
      </w:r>
    </w:p>
    <w:p w:rsidR="00EF4459" w:rsidRPr="00AD7BD1" w:rsidRDefault="00EF4459" w:rsidP="00EF4459">
      <w:pPr>
        <w:widowControl w:val="0"/>
        <w:jc w:val="both"/>
        <w:rPr>
          <w:sz w:val="20"/>
          <w:szCs w:val="20"/>
          <w:lang w:val="fr-CA"/>
        </w:rPr>
      </w:pPr>
    </w:p>
    <w:p w:rsidR="00EF4459" w:rsidRPr="00AD7BD1" w:rsidRDefault="00EF4459" w:rsidP="00EF4459">
      <w:pPr>
        <w:widowControl w:val="0"/>
        <w:jc w:val="both"/>
        <w:rPr>
          <w:sz w:val="20"/>
          <w:szCs w:val="20"/>
          <w:lang w:val="fr-CA"/>
        </w:rPr>
      </w:pPr>
      <w:r w:rsidRPr="00AD7BD1">
        <w:rPr>
          <w:sz w:val="20"/>
          <w:szCs w:val="20"/>
          <w:lang w:val="fr-CA"/>
        </w:rPr>
        <w:t>À l’encontre du procureur général du Canada, M. Hinse allègue que l’administration fédérale a contribué à perpétuer et a exacerbé les préjudices qu’il a subis en raison de l’erreur judiciaire, et qu’elle a commis des fautes contributoires systémiques en omettant d’agir pour reconnaître et corriger l’erreur.  De plus, il soutient que la conduite des autorités fédérales dans son dossier « atteste d’une incurie, d’une insouciance et d’un déni total répréhensibles qui doivent être dénoncés et condamnés ».  Il réclame une somme de 1 079 871 $ en compensation de dommages pécuniaires, une autre de 1 900 000 $ en compensation de dommages non-pécuniaires et un montant de 10 000 000 $ à titre de dommages-intérêts punitifs.  La Cour supérieure accueille l’action et condamne le procureur général du Canada à payer une somme de près de 5,8 millions de dollars.  Estimant que M. Hinse ne s’était pas déchargé de son fardeau d’établir la faute des autorités fédérales, la Cour d’appel infirme la décision.</w:t>
      </w:r>
    </w:p>
    <w:p w:rsidR="00EF4459" w:rsidRPr="00AD7BD1" w:rsidRDefault="00EF4459" w:rsidP="00EF4459">
      <w:pPr>
        <w:widowControl w:val="0"/>
        <w:jc w:val="both"/>
        <w:rPr>
          <w:sz w:val="20"/>
          <w:szCs w:val="20"/>
          <w:lang w:val="fr-CA"/>
        </w:rPr>
      </w:pPr>
    </w:p>
    <w:p w:rsidR="00EF4459" w:rsidRPr="00AD7BD1" w:rsidRDefault="00EF4459" w:rsidP="00EF4459">
      <w:pPr>
        <w:widowControl w:val="0"/>
        <w:jc w:val="both"/>
        <w:rPr>
          <w:sz w:val="20"/>
          <w:szCs w:val="20"/>
          <w:lang w:val="fr-CA"/>
        </w:rPr>
      </w:pPr>
    </w:p>
    <w:p w:rsidR="00EF4459" w:rsidRPr="00AD7BD1" w:rsidRDefault="00EF4459" w:rsidP="00EF4459">
      <w:pPr>
        <w:widowControl w:val="0"/>
        <w:ind w:left="2880" w:hanging="2880"/>
        <w:jc w:val="both"/>
        <w:rPr>
          <w:sz w:val="20"/>
          <w:szCs w:val="20"/>
          <w:lang w:val="fr-CA"/>
        </w:rPr>
      </w:pPr>
      <w:r w:rsidRPr="00AD7BD1">
        <w:rPr>
          <w:sz w:val="20"/>
          <w:szCs w:val="20"/>
          <w:lang w:val="fr-CA"/>
        </w:rPr>
        <w:t>Origine:</w:t>
      </w:r>
      <w:r w:rsidRPr="00AD7BD1">
        <w:rPr>
          <w:sz w:val="20"/>
          <w:szCs w:val="20"/>
          <w:lang w:val="fr-CA"/>
        </w:rPr>
        <w:tab/>
        <w:t>Québec</w:t>
      </w:r>
    </w:p>
    <w:p w:rsidR="00EF4459" w:rsidRPr="00AD7BD1" w:rsidRDefault="00EF4459" w:rsidP="00EF4459">
      <w:pPr>
        <w:widowControl w:val="0"/>
        <w:ind w:left="2880" w:hanging="2880"/>
        <w:jc w:val="both"/>
        <w:rPr>
          <w:sz w:val="20"/>
          <w:szCs w:val="20"/>
          <w:lang w:val="fr-CA"/>
        </w:rPr>
      </w:pPr>
    </w:p>
    <w:p w:rsidR="00EF4459" w:rsidRPr="00AD7BD1" w:rsidRDefault="00EF4459" w:rsidP="00EF4459">
      <w:pPr>
        <w:widowControl w:val="0"/>
        <w:ind w:left="2880" w:hanging="2880"/>
        <w:jc w:val="both"/>
        <w:rPr>
          <w:sz w:val="20"/>
          <w:szCs w:val="20"/>
          <w:lang w:val="fr-CA"/>
        </w:rPr>
      </w:pPr>
      <w:r w:rsidRPr="00AD7BD1">
        <w:rPr>
          <w:sz w:val="20"/>
          <w:szCs w:val="20"/>
          <w:lang w:val="fr-CA"/>
        </w:rPr>
        <w:t>N</w:t>
      </w:r>
      <w:r w:rsidRPr="00AD7BD1">
        <w:rPr>
          <w:sz w:val="20"/>
          <w:szCs w:val="20"/>
          <w:vertAlign w:val="superscript"/>
          <w:lang w:val="fr-CA"/>
        </w:rPr>
        <w:t>o</w:t>
      </w:r>
      <w:r w:rsidRPr="00AD7BD1">
        <w:rPr>
          <w:sz w:val="20"/>
          <w:szCs w:val="20"/>
          <w:lang w:val="fr-CA"/>
        </w:rPr>
        <w:t xml:space="preserve"> du greffe:</w:t>
      </w:r>
      <w:r w:rsidRPr="00AD7BD1">
        <w:rPr>
          <w:sz w:val="20"/>
          <w:szCs w:val="20"/>
          <w:lang w:val="fr-CA"/>
        </w:rPr>
        <w:tab/>
        <w:t>35613</w:t>
      </w:r>
    </w:p>
    <w:p w:rsidR="00EF4459" w:rsidRPr="00AD7BD1" w:rsidRDefault="00EF4459" w:rsidP="00EF4459">
      <w:pPr>
        <w:widowControl w:val="0"/>
        <w:ind w:left="2880" w:hanging="2880"/>
        <w:jc w:val="both"/>
        <w:rPr>
          <w:sz w:val="20"/>
          <w:szCs w:val="20"/>
          <w:lang w:val="fr-CA"/>
        </w:rPr>
      </w:pPr>
    </w:p>
    <w:p w:rsidR="00EF4459" w:rsidRPr="00AD7BD1" w:rsidRDefault="00EF4459" w:rsidP="00EF4459">
      <w:pPr>
        <w:widowControl w:val="0"/>
        <w:ind w:left="2880" w:hanging="2880"/>
        <w:jc w:val="both"/>
        <w:rPr>
          <w:sz w:val="20"/>
          <w:szCs w:val="20"/>
          <w:lang w:val="fr-CA"/>
        </w:rPr>
      </w:pPr>
      <w:r w:rsidRPr="00AD7BD1">
        <w:rPr>
          <w:sz w:val="20"/>
          <w:szCs w:val="20"/>
          <w:lang w:val="fr-CA"/>
        </w:rPr>
        <w:t>Arrêt de la Cour d’appel:</w:t>
      </w:r>
      <w:r w:rsidRPr="00AD7BD1">
        <w:rPr>
          <w:sz w:val="20"/>
          <w:szCs w:val="20"/>
          <w:lang w:val="fr-CA"/>
        </w:rPr>
        <w:tab/>
        <w:t>le 11 septembre 2013</w:t>
      </w:r>
    </w:p>
    <w:p w:rsidR="00EF4459" w:rsidRPr="00AD7BD1" w:rsidRDefault="00EF4459" w:rsidP="00EF4459">
      <w:pPr>
        <w:widowControl w:val="0"/>
        <w:ind w:left="2880" w:hanging="2880"/>
        <w:jc w:val="both"/>
        <w:rPr>
          <w:sz w:val="20"/>
          <w:szCs w:val="20"/>
          <w:lang w:val="fr-CA"/>
        </w:rPr>
      </w:pPr>
    </w:p>
    <w:p w:rsidR="00EF4459" w:rsidRPr="00AD7BD1" w:rsidRDefault="00EF4459" w:rsidP="00EF4459">
      <w:pPr>
        <w:widowControl w:val="0"/>
        <w:ind w:left="2880" w:hanging="2880"/>
        <w:jc w:val="both"/>
        <w:rPr>
          <w:sz w:val="20"/>
          <w:szCs w:val="20"/>
          <w:lang w:val="fr-CA"/>
        </w:rPr>
      </w:pPr>
      <w:r w:rsidRPr="00AD7BD1">
        <w:rPr>
          <w:sz w:val="20"/>
          <w:szCs w:val="20"/>
          <w:lang w:val="fr-CA"/>
        </w:rPr>
        <w:t>Avocats:</w:t>
      </w:r>
      <w:r w:rsidRPr="00AD7BD1">
        <w:rPr>
          <w:sz w:val="20"/>
          <w:szCs w:val="20"/>
          <w:lang w:val="fr-CA"/>
        </w:rPr>
        <w:tab/>
        <w:t>Guy J. Pratte, Alexander L. De Zordo et Marc-André Grou pour l’appelant</w:t>
      </w:r>
    </w:p>
    <w:p w:rsidR="00EF4459" w:rsidRPr="00AD7BD1" w:rsidRDefault="00EF4459" w:rsidP="00EF4459">
      <w:pPr>
        <w:widowControl w:val="0"/>
        <w:ind w:left="2880" w:hanging="2880"/>
        <w:jc w:val="both"/>
        <w:rPr>
          <w:sz w:val="20"/>
          <w:szCs w:val="20"/>
          <w:lang w:val="fr-CA"/>
        </w:rPr>
      </w:pPr>
      <w:r w:rsidRPr="00AD7BD1">
        <w:rPr>
          <w:sz w:val="20"/>
          <w:szCs w:val="20"/>
          <w:lang w:val="fr-CA"/>
        </w:rPr>
        <w:tab/>
        <w:t>Bernard Letarte pour l’intimé</w:t>
      </w:r>
    </w:p>
    <w:p w:rsidR="00EF4459" w:rsidRPr="00AD7BD1" w:rsidRDefault="00EF4459" w:rsidP="00EF4459">
      <w:pPr>
        <w:widowControl w:val="0"/>
        <w:ind w:left="2880" w:hanging="2880"/>
        <w:jc w:val="both"/>
        <w:rPr>
          <w:sz w:val="20"/>
          <w:szCs w:val="20"/>
          <w:lang w:val="fr-CA"/>
        </w:rPr>
      </w:pPr>
    </w:p>
    <w:p w:rsidR="00DD7981" w:rsidRDefault="00714478">
      <w:pPr>
        <w:rPr>
          <w:sz w:val="20"/>
          <w:szCs w:val="20"/>
          <w:lang w:val="fr-CA"/>
        </w:rPr>
      </w:pPr>
      <w:r>
        <w:rPr>
          <w:sz w:val="20"/>
          <w:szCs w:val="20"/>
          <w:lang w:val="fr-CA"/>
        </w:rPr>
        <w:pict>
          <v:rect id="_x0000_i1102" style="width:2in;height:1pt" o:hrpct="0" o:hralign="center" o:hrstd="t" o:hrnoshade="t" o:hr="t" fillcolor="black [3213]" stroked="f"/>
        </w:pict>
      </w:r>
    </w:p>
    <w:p w:rsidR="00DD7981" w:rsidRDefault="00DD7981">
      <w:pPr>
        <w:rPr>
          <w:sz w:val="20"/>
          <w:szCs w:val="20"/>
          <w:lang w:val="fr-CA"/>
        </w:rPr>
      </w:pPr>
      <w:r>
        <w:rPr>
          <w:sz w:val="20"/>
          <w:szCs w:val="20"/>
          <w:lang w:val="fr-CA"/>
        </w:rPr>
        <w:br w:type="page"/>
      </w:r>
    </w:p>
    <w:p w:rsidR="00CE5BE9" w:rsidRPr="003F0D2B" w:rsidRDefault="00A4467E" w:rsidP="00CE5BE9">
      <w:pPr>
        <w:widowControl w:val="0"/>
        <w:ind w:left="720" w:hanging="720"/>
        <w:jc w:val="both"/>
        <w:rPr>
          <w:sz w:val="20"/>
          <w:szCs w:val="20"/>
        </w:rPr>
      </w:pPr>
      <w:r w:rsidRPr="003F0D2B">
        <w:rPr>
          <w:b/>
          <w:sz w:val="20"/>
          <w:szCs w:val="20"/>
        </w:rPr>
        <w:lastRenderedPageBreak/>
        <w:fldChar w:fldCharType="begin"/>
      </w:r>
      <w:r w:rsidR="00CE5BE9" w:rsidRPr="003F0D2B">
        <w:rPr>
          <w:b/>
          <w:sz w:val="20"/>
          <w:szCs w:val="20"/>
        </w:rPr>
        <w:instrText xml:space="preserve"> SEQ CHAPTER \h \r 1</w:instrText>
      </w:r>
      <w:r w:rsidRPr="003F0D2B">
        <w:rPr>
          <w:b/>
          <w:sz w:val="20"/>
          <w:szCs w:val="20"/>
        </w:rPr>
        <w:fldChar w:fldCharType="end"/>
      </w:r>
      <w:r w:rsidR="00CE5BE9" w:rsidRPr="003F0D2B">
        <w:rPr>
          <w:b/>
          <w:sz w:val="20"/>
          <w:szCs w:val="20"/>
        </w:rPr>
        <w:t>35623</w:t>
      </w:r>
      <w:r w:rsidR="00CE5BE9" w:rsidRPr="003F0D2B">
        <w:rPr>
          <w:sz w:val="20"/>
          <w:szCs w:val="20"/>
        </w:rPr>
        <w:tab/>
      </w:r>
      <w:r w:rsidR="00CE5BE9" w:rsidRPr="003F0D2B">
        <w:rPr>
          <w:b/>
          <w:i/>
          <w:sz w:val="20"/>
          <w:szCs w:val="20"/>
        </w:rPr>
        <w:t>British Columbia Teachers’ Federation, Surrey Teachers’ Association v. British Columbia Public School Employers’ Association, Board of Education of School District No. 36 (Surrey)</w:t>
      </w:r>
    </w:p>
    <w:p w:rsidR="00CE5BE9" w:rsidRPr="003F0D2B" w:rsidRDefault="00CE5BE9" w:rsidP="00CE5BE9">
      <w:pPr>
        <w:widowControl w:val="0"/>
        <w:jc w:val="both"/>
        <w:rPr>
          <w:sz w:val="20"/>
          <w:szCs w:val="20"/>
        </w:rPr>
      </w:pPr>
    </w:p>
    <w:p w:rsidR="00CE5BE9" w:rsidRPr="003F0D2B" w:rsidRDefault="00CE5BE9" w:rsidP="00CE5BE9">
      <w:pPr>
        <w:widowControl w:val="0"/>
        <w:jc w:val="both"/>
        <w:rPr>
          <w:sz w:val="20"/>
          <w:szCs w:val="20"/>
        </w:rPr>
      </w:pPr>
      <w:r w:rsidRPr="003F0D2B">
        <w:rPr>
          <w:sz w:val="20"/>
          <w:szCs w:val="20"/>
        </w:rPr>
        <w:t>Labour relations - Collective agreements - Pregnancy benefits - Parental benefits - Supplemental employment benefits - Whether the arbitrator committed a reviewable error in his interpretation of the collective agreement - Whether the Court of Appeal erred in finding that pregnancy leave and benefits and parental leave and benefits have the same purpose - Whether the Court of Appeal erred in finding that birth mothers are not subject to discrimination because they receive “equal” treatment in the provision of supplementary employment benefits under the collective agreement.</w:t>
      </w:r>
    </w:p>
    <w:p w:rsidR="00CE5BE9" w:rsidRPr="003F0D2B" w:rsidRDefault="00CE5BE9" w:rsidP="00CE5BE9">
      <w:pPr>
        <w:widowControl w:val="0"/>
        <w:jc w:val="both"/>
        <w:rPr>
          <w:sz w:val="20"/>
          <w:szCs w:val="20"/>
        </w:rPr>
      </w:pPr>
    </w:p>
    <w:p w:rsidR="00CE5BE9" w:rsidRPr="003F0D2B" w:rsidRDefault="00CE5BE9" w:rsidP="00CE5BE9">
      <w:pPr>
        <w:jc w:val="both"/>
        <w:rPr>
          <w:sz w:val="20"/>
          <w:szCs w:val="20"/>
        </w:rPr>
      </w:pPr>
      <w:r w:rsidRPr="003F0D2B">
        <w:rPr>
          <w:sz w:val="20"/>
          <w:szCs w:val="20"/>
        </w:rPr>
        <w:t xml:space="preserve">The collective agreement provides birth mothers, birth fathers and adoptive parents with 95 percent of their salary for the two-week unpaid waiting period for EI benefits, and 70 percent of the difference between EI benefits and their salary for an additional 15 weeks.  Birth mothers could elect to take their supplemental employment benefits with their maternity leave or their parental leave.  The British Columbia Teachers’ Federation and the Surrey Teachers’ Association filed a grievance alleging that the British Columbia Public School Employers’ Association and the Board of Education of School District No 36 (Surrey) had failed to provide supplemental employment benefits to birth mothers in relation to both maternity leave and parental leave.  They alleged that this failure was discriminatory conduct contrary to the </w:t>
      </w:r>
      <w:r w:rsidRPr="003F0D2B">
        <w:rPr>
          <w:i/>
          <w:sz w:val="20"/>
          <w:szCs w:val="20"/>
        </w:rPr>
        <w:t>Human Rights Code</w:t>
      </w:r>
      <w:r w:rsidRPr="003F0D2B">
        <w:rPr>
          <w:sz w:val="20"/>
          <w:szCs w:val="20"/>
        </w:rPr>
        <w:t xml:space="preserve">, R.S.B.C. 1996, c. 210, and s. 15 of the </w:t>
      </w:r>
      <w:r w:rsidRPr="003F0D2B">
        <w:rPr>
          <w:i/>
          <w:sz w:val="20"/>
          <w:szCs w:val="20"/>
        </w:rPr>
        <w:t>Canadian Charter of Rights and Freedoms</w:t>
      </w:r>
      <w:r w:rsidRPr="003F0D2B">
        <w:rPr>
          <w:sz w:val="20"/>
          <w:szCs w:val="20"/>
        </w:rPr>
        <w:t>.</w:t>
      </w:r>
    </w:p>
    <w:p w:rsidR="00CE5BE9" w:rsidRPr="003F0D2B" w:rsidRDefault="00CE5BE9" w:rsidP="00CE5BE9">
      <w:pPr>
        <w:widowControl w:val="0"/>
        <w:jc w:val="both"/>
        <w:rPr>
          <w:sz w:val="20"/>
          <w:szCs w:val="20"/>
        </w:rPr>
      </w:pPr>
    </w:p>
    <w:p w:rsidR="00CE5BE9" w:rsidRPr="003F0D2B" w:rsidRDefault="00CE5BE9" w:rsidP="00CE5BE9">
      <w:pPr>
        <w:widowControl w:val="0"/>
        <w:jc w:val="both"/>
        <w:rPr>
          <w:sz w:val="20"/>
          <w:szCs w:val="20"/>
        </w:rPr>
      </w:pPr>
    </w:p>
    <w:p w:rsidR="00CE5BE9" w:rsidRPr="003F0D2B" w:rsidRDefault="00CE5BE9" w:rsidP="00CE5BE9">
      <w:pPr>
        <w:widowControl w:val="0"/>
        <w:ind w:left="2880" w:hanging="2880"/>
        <w:jc w:val="both"/>
        <w:rPr>
          <w:sz w:val="20"/>
          <w:szCs w:val="20"/>
        </w:rPr>
      </w:pPr>
      <w:r w:rsidRPr="003F0D2B">
        <w:rPr>
          <w:sz w:val="20"/>
          <w:szCs w:val="20"/>
        </w:rPr>
        <w:t>Origin of the case:</w:t>
      </w:r>
      <w:r w:rsidRPr="003F0D2B">
        <w:rPr>
          <w:sz w:val="20"/>
          <w:szCs w:val="20"/>
        </w:rPr>
        <w:tab/>
        <w:t>Court of Appeal for British Columbia</w:t>
      </w:r>
    </w:p>
    <w:p w:rsidR="00CE5BE9" w:rsidRPr="003F0D2B" w:rsidRDefault="00CE5BE9" w:rsidP="00CE5BE9">
      <w:pPr>
        <w:widowControl w:val="0"/>
        <w:ind w:left="2880" w:hanging="2880"/>
        <w:jc w:val="both"/>
        <w:rPr>
          <w:sz w:val="20"/>
          <w:szCs w:val="20"/>
        </w:rPr>
      </w:pPr>
    </w:p>
    <w:p w:rsidR="00CE5BE9" w:rsidRPr="003F0D2B" w:rsidRDefault="00CE5BE9" w:rsidP="00CE5BE9">
      <w:pPr>
        <w:widowControl w:val="0"/>
        <w:ind w:left="2880" w:hanging="2880"/>
        <w:jc w:val="both"/>
        <w:rPr>
          <w:sz w:val="20"/>
          <w:szCs w:val="20"/>
        </w:rPr>
      </w:pPr>
      <w:r w:rsidRPr="003F0D2B">
        <w:rPr>
          <w:sz w:val="20"/>
          <w:szCs w:val="20"/>
        </w:rPr>
        <w:t>File No.:</w:t>
      </w:r>
      <w:r w:rsidRPr="003F0D2B">
        <w:rPr>
          <w:sz w:val="20"/>
          <w:szCs w:val="20"/>
        </w:rPr>
        <w:tab/>
        <w:t>35623</w:t>
      </w:r>
    </w:p>
    <w:p w:rsidR="00CE5BE9" w:rsidRPr="003F0D2B" w:rsidRDefault="00CE5BE9" w:rsidP="00CE5BE9">
      <w:pPr>
        <w:widowControl w:val="0"/>
        <w:ind w:left="2880" w:hanging="2880"/>
        <w:jc w:val="both"/>
        <w:rPr>
          <w:sz w:val="20"/>
          <w:szCs w:val="20"/>
        </w:rPr>
      </w:pPr>
    </w:p>
    <w:p w:rsidR="00CE5BE9" w:rsidRPr="003F0D2B" w:rsidRDefault="00CE5BE9" w:rsidP="00CE5BE9">
      <w:pPr>
        <w:widowControl w:val="0"/>
        <w:ind w:left="2880" w:hanging="2880"/>
        <w:jc w:val="both"/>
        <w:rPr>
          <w:sz w:val="20"/>
          <w:szCs w:val="20"/>
        </w:rPr>
      </w:pPr>
      <w:r w:rsidRPr="003F0D2B">
        <w:rPr>
          <w:sz w:val="20"/>
          <w:szCs w:val="20"/>
        </w:rPr>
        <w:t>Judgment of the Court of Appeal:</w:t>
      </w:r>
      <w:r w:rsidRPr="003F0D2B">
        <w:rPr>
          <w:sz w:val="20"/>
          <w:szCs w:val="20"/>
        </w:rPr>
        <w:tab/>
        <w:t>September 20, 2013</w:t>
      </w:r>
    </w:p>
    <w:p w:rsidR="00CE5BE9" w:rsidRPr="003F0D2B" w:rsidRDefault="00CE5BE9" w:rsidP="00CE5BE9">
      <w:pPr>
        <w:widowControl w:val="0"/>
        <w:ind w:left="2880" w:hanging="2880"/>
        <w:jc w:val="both"/>
        <w:rPr>
          <w:sz w:val="20"/>
          <w:szCs w:val="20"/>
        </w:rPr>
      </w:pPr>
    </w:p>
    <w:p w:rsidR="00CE5BE9" w:rsidRPr="003F0D2B" w:rsidRDefault="00CE5BE9" w:rsidP="00CE5BE9">
      <w:pPr>
        <w:widowControl w:val="0"/>
        <w:ind w:left="2880" w:hanging="2880"/>
        <w:jc w:val="both"/>
        <w:rPr>
          <w:sz w:val="20"/>
          <w:szCs w:val="20"/>
        </w:rPr>
      </w:pPr>
      <w:r w:rsidRPr="003F0D2B">
        <w:rPr>
          <w:sz w:val="20"/>
          <w:szCs w:val="20"/>
        </w:rPr>
        <w:t>Counsel:</w:t>
      </w:r>
      <w:r w:rsidRPr="003F0D2B">
        <w:rPr>
          <w:sz w:val="20"/>
          <w:szCs w:val="20"/>
        </w:rPr>
        <w:tab/>
        <w:t>Diane Macdonald and Robyn Trask for the Appellants</w:t>
      </w:r>
    </w:p>
    <w:p w:rsidR="00CE5BE9" w:rsidRPr="003F0D2B" w:rsidRDefault="00CE5BE9" w:rsidP="00CE5BE9">
      <w:pPr>
        <w:widowControl w:val="0"/>
        <w:ind w:left="2880" w:hanging="2880"/>
        <w:jc w:val="both"/>
        <w:rPr>
          <w:sz w:val="20"/>
          <w:szCs w:val="20"/>
        </w:rPr>
      </w:pPr>
      <w:r>
        <w:rPr>
          <w:sz w:val="20"/>
          <w:szCs w:val="20"/>
        </w:rPr>
        <w:tab/>
      </w:r>
      <w:r w:rsidRPr="003F0D2B">
        <w:rPr>
          <w:sz w:val="20"/>
          <w:szCs w:val="20"/>
        </w:rPr>
        <w:t>Delayne M. Sartison, Q.C., and Jennifer R. Devins for the Respondents</w:t>
      </w:r>
    </w:p>
    <w:p w:rsidR="00DD7981" w:rsidRPr="00CE5BE9" w:rsidRDefault="00DD7981">
      <w:pPr>
        <w:rPr>
          <w:sz w:val="20"/>
          <w:szCs w:val="20"/>
        </w:rPr>
      </w:pPr>
    </w:p>
    <w:p w:rsidR="00DD7981" w:rsidRDefault="00714478">
      <w:pPr>
        <w:rPr>
          <w:sz w:val="20"/>
          <w:szCs w:val="20"/>
          <w:lang w:val="fr-CA"/>
        </w:rPr>
      </w:pPr>
      <w:r>
        <w:rPr>
          <w:sz w:val="20"/>
          <w:szCs w:val="20"/>
          <w:lang w:val="fr-CA"/>
        </w:rPr>
        <w:pict>
          <v:rect id="_x0000_i1103" style="width:2in;height:1pt" o:hrpct="0" o:hralign="center" o:hrstd="t" o:hrnoshade="t" o:hr="t" fillcolor="black [3213]" stroked="f"/>
        </w:pict>
      </w:r>
    </w:p>
    <w:p w:rsidR="00DD7981" w:rsidRDefault="00DD7981">
      <w:pPr>
        <w:rPr>
          <w:sz w:val="20"/>
          <w:szCs w:val="20"/>
          <w:lang w:val="fr-CA"/>
        </w:rPr>
      </w:pPr>
      <w:r>
        <w:rPr>
          <w:sz w:val="20"/>
          <w:szCs w:val="20"/>
          <w:lang w:val="fr-CA"/>
        </w:rPr>
        <w:br w:type="page"/>
      </w:r>
    </w:p>
    <w:p w:rsidR="00CE5BE9" w:rsidRPr="00CA4932" w:rsidRDefault="00CE5BE9" w:rsidP="00CE5BE9">
      <w:pPr>
        <w:widowControl w:val="0"/>
        <w:ind w:left="720" w:hanging="720"/>
        <w:jc w:val="both"/>
        <w:rPr>
          <w:sz w:val="20"/>
          <w:szCs w:val="20"/>
        </w:rPr>
      </w:pPr>
      <w:r w:rsidRPr="00CA4932">
        <w:rPr>
          <w:b/>
          <w:sz w:val="20"/>
          <w:szCs w:val="20"/>
        </w:rPr>
        <w:lastRenderedPageBreak/>
        <w:t>35623</w:t>
      </w:r>
      <w:r w:rsidR="00A4467E" w:rsidRPr="00CA4932">
        <w:rPr>
          <w:b/>
          <w:sz w:val="20"/>
          <w:szCs w:val="20"/>
          <w:lang w:val="fr-CA"/>
        </w:rPr>
        <w:fldChar w:fldCharType="begin"/>
      </w:r>
      <w:r w:rsidRPr="00CA4932">
        <w:rPr>
          <w:sz w:val="20"/>
          <w:szCs w:val="20"/>
        </w:rPr>
        <w:instrText xml:space="preserve"> SEQ CHAPTER \h \r 1</w:instrText>
      </w:r>
      <w:r w:rsidR="00A4467E" w:rsidRPr="00CA4932">
        <w:rPr>
          <w:b/>
          <w:sz w:val="20"/>
          <w:szCs w:val="20"/>
          <w:lang w:val="fr-CA"/>
        </w:rPr>
        <w:fldChar w:fldCharType="end"/>
      </w:r>
      <w:r w:rsidRPr="00CA4932">
        <w:rPr>
          <w:sz w:val="20"/>
          <w:szCs w:val="20"/>
        </w:rPr>
        <w:tab/>
      </w:r>
      <w:r w:rsidRPr="00CA4932">
        <w:rPr>
          <w:b/>
          <w:i/>
          <w:sz w:val="20"/>
          <w:szCs w:val="20"/>
        </w:rPr>
        <w:t>British Columbia Teachers’ Federation, Surrey Teachers’ Association c. British Columbia Public School Employers’ Association, Board of Education of School District No 36 (Surrey)</w:t>
      </w:r>
    </w:p>
    <w:p w:rsidR="00CE5BE9" w:rsidRPr="00CA4932" w:rsidRDefault="00CE5BE9" w:rsidP="00CE5BE9">
      <w:pPr>
        <w:widowControl w:val="0"/>
        <w:ind w:left="720" w:hanging="720"/>
        <w:jc w:val="both"/>
        <w:rPr>
          <w:i/>
          <w:sz w:val="20"/>
          <w:szCs w:val="20"/>
        </w:rPr>
      </w:pPr>
    </w:p>
    <w:p w:rsidR="00CE5BE9" w:rsidRPr="00CA4932" w:rsidRDefault="00CE5BE9" w:rsidP="00CE5BE9">
      <w:pPr>
        <w:widowControl w:val="0"/>
        <w:jc w:val="both"/>
        <w:rPr>
          <w:sz w:val="20"/>
          <w:szCs w:val="20"/>
          <w:lang w:val="fr-CA"/>
        </w:rPr>
      </w:pPr>
      <w:r w:rsidRPr="00CA4932">
        <w:rPr>
          <w:sz w:val="20"/>
          <w:szCs w:val="20"/>
          <w:lang w:val="fr-CA"/>
        </w:rPr>
        <w:t>Relations du travail - Conventions collectives - Prestations de grossesse - Prestations parentales - Supplément aux prestations d’assurance-emploi - L’arbitre a-t-il commis une erreur susceptible de révision dans son interprétation de la convention collective? La Cour d’appel a-t-elle conclu à tort que les prestations versées lors du congé pour grossesse et du congé parental ont le même objet? - La Cour d’appel a-t-elle fait erreur en concluant que les mères biologiques ne sont pas victimes de discrimination parce qu’elles reçoivent un traitement « égal » en ce sens qu’elles touchent le supplément aux prestations d’assurance-emploi que prévoit la convention collective?</w:t>
      </w:r>
    </w:p>
    <w:p w:rsidR="00CE5BE9" w:rsidRPr="00CA4932" w:rsidRDefault="00CE5BE9" w:rsidP="00CE5BE9">
      <w:pPr>
        <w:widowControl w:val="0"/>
        <w:jc w:val="both"/>
        <w:rPr>
          <w:sz w:val="20"/>
          <w:szCs w:val="20"/>
          <w:lang w:val="fr-CA"/>
        </w:rPr>
      </w:pPr>
    </w:p>
    <w:p w:rsidR="00CE5BE9" w:rsidRPr="00CA4932" w:rsidRDefault="00CE5BE9" w:rsidP="00CE5BE9">
      <w:pPr>
        <w:jc w:val="both"/>
        <w:rPr>
          <w:sz w:val="20"/>
          <w:szCs w:val="20"/>
          <w:lang w:val="fr-CA"/>
        </w:rPr>
      </w:pPr>
      <w:r w:rsidRPr="00CA4932">
        <w:rPr>
          <w:sz w:val="20"/>
          <w:szCs w:val="20"/>
          <w:lang w:val="fr-CA"/>
        </w:rPr>
        <w:t xml:space="preserve">Selon la convention collective, les mères biologiques, les pères biologiques et les parents adoptifs touchent des prestations équivalant à 95 % de leur rémunération au cours de la période de carence de deux semaines préalable au versement des prestations d’assurance-emploi et, après cette période, des prestations équivalant à 70 % de l’écart entre le montant des prestations d’assurance-emploi et leur rémunération pendant quinze semaines.  Les mères biologiques peuvent toucher le supplément aux prestations d’assurance-emploi soit avant leur congé de maternité, soit avant leur congé parental, à leur choix.  La British Columbia Teachers’ Federation et la Surrey Teachers’ Association ont déposé un grief contre la British Columbia Public School Employers’ Association et le Board of Education of School District No 36 (Surrey) parce qu’ils n’offrent pas aux mères biologiques les suppléments aux prestations d’assurance-emploi associés au congé de maternité et au congé parental.  Selon eux, cette omission constitue une conduite discriminatoire interdite par le </w:t>
      </w:r>
      <w:r w:rsidRPr="00CA4932">
        <w:rPr>
          <w:i/>
          <w:sz w:val="20"/>
          <w:szCs w:val="20"/>
          <w:lang w:val="fr-CA"/>
        </w:rPr>
        <w:t>Human Rights Code</w:t>
      </w:r>
      <w:r w:rsidRPr="00CA4932">
        <w:rPr>
          <w:sz w:val="20"/>
          <w:szCs w:val="20"/>
          <w:lang w:val="fr-CA"/>
        </w:rPr>
        <w:t xml:space="preserve">, R.S.B.C. 1996, ch. 210 et l’art. 15 de la </w:t>
      </w:r>
      <w:r w:rsidRPr="00CA4932">
        <w:rPr>
          <w:i/>
          <w:sz w:val="20"/>
          <w:szCs w:val="20"/>
          <w:lang w:val="fr-CA"/>
        </w:rPr>
        <w:t>Charte canadienne des droits et libertés</w:t>
      </w:r>
      <w:r w:rsidRPr="00CA4932">
        <w:rPr>
          <w:sz w:val="20"/>
          <w:szCs w:val="20"/>
          <w:lang w:val="fr-CA"/>
        </w:rPr>
        <w:t>.</w:t>
      </w:r>
    </w:p>
    <w:p w:rsidR="00CE5BE9" w:rsidRPr="00CA4932" w:rsidRDefault="00CE5BE9" w:rsidP="00CE5BE9">
      <w:pPr>
        <w:widowControl w:val="0"/>
        <w:jc w:val="both"/>
        <w:rPr>
          <w:sz w:val="20"/>
          <w:szCs w:val="20"/>
          <w:lang w:val="fr-CA"/>
        </w:rPr>
      </w:pPr>
    </w:p>
    <w:p w:rsidR="00CE5BE9" w:rsidRPr="00CA4932" w:rsidRDefault="00CE5BE9" w:rsidP="00CE5BE9">
      <w:pPr>
        <w:widowControl w:val="0"/>
        <w:jc w:val="both"/>
        <w:rPr>
          <w:sz w:val="20"/>
          <w:szCs w:val="20"/>
          <w:lang w:val="fr-CA"/>
        </w:rPr>
      </w:pPr>
    </w:p>
    <w:p w:rsidR="00CE5BE9" w:rsidRPr="00CA4932" w:rsidRDefault="00CE5BE9" w:rsidP="00CE5BE9">
      <w:pPr>
        <w:widowControl w:val="0"/>
        <w:ind w:left="2880" w:hanging="2880"/>
        <w:jc w:val="both"/>
        <w:rPr>
          <w:sz w:val="20"/>
          <w:szCs w:val="20"/>
          <w:lang w:val="fr-CA"/>
        </w:rPr>
      </w:pPr>
      <w:r w:rsidRPr="00CA4932">
        <w:rPr>
          <w:sz w:val="20"/>
          <w:szCs w:val="20"/>
          <w:lang w:val="fr-CA"/>
        </w:rPr>
        <w:t>Origine :</w:t>
      </w:r>
      <w:r w:rsidRPr="00CA4932">
        <w:rPr>
          <w:sz w:val="20"/>
          <w:szCs w:val="20"/>
          <w:lang w:val="fr-CA"/>
        </w:rPr>
        <w:tab/>
        <w:t>Cour d’appel de la Colombie-Britannique</w:t>
      </w:r>
    </w:p>
    <w:p w:rsidR="00CE5BE9" w:rsidRPr="00CA4932" w:rsidRDefault="00CE5BE9" w:rsidP="00CE5BE9">
      <w:pPr>
        <w:widowControl w:val="0"/>
        <w:ind w:left="2880" w:hanging="2880"/>
        <w:jc w:val="both"/>
        <w:rPr>
          <w:sz w:val="20"/>
          <w:szCs w:val="20"/>
          <w:lang w:val="fr-CA"/>
        </w:rPr>
      </w:pPr>
    </w:p>
    <w:p w:rsidR="00CE5BE9" w:rsidRPr="00CA4932" w:rsidRDefault="00CE5BE9" w:rsidP="00CE5BE9">
      <w:pPr>
        <w:widowControl w:val="0"/>
        <w:ind w:left="2880" w:hanging="2880"/>
        <w:jc w:val="both"/>
        <w:rPr>
          <w:sz w:val="20"/>
          <w:szCs w:val="20"/>
          <w:lang w:val="fr-CA"/>
        </w:rPr>
      </w:pPr>
      <w:r w:rsidRPr="00CA4932">
        <w:rPr>
          <w:sz w:val="20"/>
          <w:szCs w:val="20"/>
          <w:lang w:val="fr-CA"/>
        </w:rPr>
        <w:t>N</w:t>
      </w:r>
      <w:r w:rsidRPr="00CA4932">
        <w:rPr>
          <w:sz w:val="20"/>
          <w:szCs w:val="20"/>
          <w:vertAlign w:val="superscript"/>
          <w:lang w:val="fr-CA"/>
        </w:rPr>
        <w:t>o</w:t>
      </w:r>
      <w:r w:rsidRPr="00CA4932">
        <w:rPr>
          <w:sz w:val="20"/>
          <w:szCs w:val="20"/>
          <w:lang w:val="fr-CA"/>
        </w:rPr>
        <w:t xml:space="preserve"> du greffe :</w:t>
      </w:r>
      <w:r w:rsidRPr="00CA4932">
        <w:rPr>
          <w:sz w:val="20"/>
          <w:szCs w:val="20"/>
          <w:lang w:val="fr-CA"/>
        </w:rPr>
        <w:tab/>
        <w:t>35623</w:t>
      </w:r>
    </w:p>
    <w:p w:rsidR="00CE5BE9" w:rsidRPr="00CA4932" w:rsidRDefault="00CE5BE9" w:rsidP="00CE5BE9">
      <w:pPr>
        <w:widowControl w:val="0"/>
        <w:ind w:left="2880" w:hanging="2880"/>
        <w:jc w:val="both"/>
        <w:rPr>
          <w:sz w:val="20"/>
          <w:szCs w:val="20"/>
          <w:lang w:val="fr-CA"/>
        </w:rPr>
      </w:pPr>
    </w:p>
    <w:p w:rsidR="00CE5BE9" w:rsidRPr="00CA4932" w:rsidRDefault="00CE5BE9" w:rsidP="00CE5BE9">
      <w:pPr>
        <w:widowControl w:val="0"/>
        <w:ind w:left="2880" w:hanging="2880"/>
        <w:jc w:val="both"/>
        <w:rPr>
          <w:sz w:val="20"/>
          <w:szCs w:val="20"/>
          <w:lang w:val="fr-CA"/>
        </w:rPr>
      </w:pPr>
      <w:r w:rsidRPr="00CA4932">
        <w:rPr>
          <w:sz w:val="20"/>
          <w:szCs w:val="20"/>
          <w:lang w:val="fr-CA"/>
        </w:rPr>
        <w:t>Arrêt de la Cour d’appel :</w:t>
      </w:r>
      <w:r w:rsidRPr="00CA4932">
        <w:rPr>
          <w:sz w:val="20"/>
          <w:szCs w:val="20"/>
          <w:lang w:val="fr-CA"/>
        </w:rPr>
        <w:tab/>
        <w:t>le 20 septembre 2013</w:t>
      </w:r>
    </w:p>
    <w:p w:rsidR="00CE5BE9" w:rsidRPr="00CA4932" w:rsidRDefault="00CE5BE9" w:rsidP="00CE5BE9">
      <w:pPr>
        <w:widowControl w:val="0"/>
        <w:ind w:left="2880" w:hanging="2880"/>
        <w:jc w:val="both"/>
        <w:rPr>
          <w:sz w:val="20"/>
          <w:szCs w:val="20"/>
          <w:lang w:val="fr-CA"/>
        </w:rPr>
      </w:pPr>
    </w:p>
    <w:p w:rsidR="00CE5BE9" w:rsidRPr="00CA4932" w:rsidRDefault="00CE5BE9" w:rsidP="00CE5BE9">
      <w:pPr>
        <w:widowControl w:val="0"/>
        <w:ind w:left="2880" w:hanging="2880"/>
        <w:jc w:val="both"/>
        <w:rPr>
          <w:sz w:val="20"/>
          <w:szCs w:val="20"/>
          <w:lang w:val="fr-CA"/>
        </w:rPr>
      </w:pPr>
      <w:r w:rsidRPr="00CA4932">
        <w:rPr>
          <w:sz w:val="20"/>
          <w:szCs w:val="20"/>
          <w:lang w:val="fr-CA"/>
        </w:rPr>
        <w:t>Avocats :</w:t>
      </w:r>
      <w:r w:rsidRPr="00CA4932">
        <w:rPr>
          <w:sz w:val="20"/>
          <w:szCs w:val="20"/>
          <w:lang w:val="fr-CA"/>
        </w:rPr>
        <w:tab/>
        <w:t>Diane Macdonald et Robyn Trask pour les appelantes</w:t>
      </w:r>
    </w:p>
    <w:p w:rsidR="00CE5BE9" w:rsidRPr="00CA4932" w:rsidRDefault="00CE5BE9" w:rsidP="00CE5BE9">
      <w:pPr>
        <w:widowControl w:val="0"/>
        <w:ind w:left="2880" w:hanging="2880"/>
        <w:jc w:val="both"/>
        <w:rPr>
          <w:sz w:val="20"/>
          <w:szCs w:val="20"/>
          <w:lang w:val="fr-CA"/>
        </w:rPr>
      </w:pPr>
      <w:r>
        <w:rPr>
          <w:sz w:val="20"/>
          <w:szCs w:val="20"/>
          <w:lang w:val="fr-CA"/>
        </w:rPr>
        <w:tab/>
      </w:r>
      <w:r w:rsidRPr="00CA4932">
        <w:rPr>
          <w:sz w:val="20"/>
          <w:szCs w:val="20"/>
          <w:lang w:val="fr-CA"/>
        </w:rPr>
        <w:t>Delayne M. Sartison, c.r., et Jennifer R. Devins pour les intimés</w:t>
      </w:r>
    </w:p>
    <w:p w:rsidR="00DD7981" w:rsidRDefault="00DD7981" w:rsidP="000B3C9A">
      <w:pPr>
        <w:tabs>
          <w:tab w:val="left" w:pos="-1440"/>
          <w:tab w:val="left" w:pos="-720"/>
        </w:tabs>
        <w:jc w:val="both"/>
        <w:rPr>
          <w:sz w:val="20"/>
          <w:szCs w:val="20"/>
          <w:lang w:val="fr-CA"/>
        </w:rPr>
      </w:pPr>
    </w:p>
    <w:p w:rsidR="00DD7981" w:rsidRDefault="00714478" w:rsidP="000B3C9A">
      <w:pPr>
        <w:tabs>
          <w:tab w:val="left" w:pos="-1440"/>
          <w:tab w:val="left" w:pos="-720"/>
        </w:tabs>
        <w:jc w:val="both"/>
        <w:rPr>
          <w:sz w:val="20"/>
          <w:szCs w:val="20"/>
          <w:lang w:val="fr-CA"/>
        </w:rPr>
      </w:pPr>
      <w:r>
        <w:rPr>
          <w:sz w:val="20"/>
          <w:szCs w:val="20"/>
          <w:lang w:val="fr-CA"/>
        </w:rPr>
        <w:pict>
          <v:rect id="_x0000_i1104" style="width:2in;height:1pt" o:hrpct="0" o:hralign="center" o:hrstd="t" o:hrnoshade="t" o:hr="t" fillcolor="black [3213]" stroked="f"/>
        </w:pict>
      </w:r>
    </w:p>
    <w:p w:rsidR="00DD7981" w:rsidRDefault="00DD7981" w:rsidP="000B3C9A">
      <w:pPr>
        <w:tabs>
          <w:tab w:val="left" w:pos="-1440"/>
          <w:tab w:val="left" w:pos="-720"/>
        </w:tabs>
        <w:jc w:val="both"/>
        <w:rPr>
          <w:sz w:val="20"/>
          <w:szCs w:val="20"/>
          <w:lang w:val="fr-CA"/>
        </w:rPr>
      </w:pPr>
    </w:p>
    <w:p w:rsidR="00DD7981" w:rsidRDefault="00DD7981">
      <w:pPr>
        <w:rPr>
          <w:sz w:val="20"/>
          <w:szCs w:val="20"/>
          <w:lang w:val="fr-CA"/>
        </w:rPr>
      </w:pPr>
      <w:r>
        <w:rPr>
          <w:sz w:val="20"/>
          <w:szCs w:val="20"/>
          <w:lang w:val="fr-CA"/>
        </w:rPr>
        <w:br w:type="page"/>
      </w:r>
    </w:p>
    <w:p w:rsidR="003C5FED" w:rsidRPr="00832091" w:rsidRDefault="00A4467E" w:rsidP="003C5FED">
      <w:pPr>
        <w:widowControl w:val="0"/>
        <w:ind w:left="720" w:hanging="720"/>
        <w:jc w:val="both"/>
        <w:rPr>
          <w:sz w:val="20"/>
          <w:szCs w:val="20"/>
        </w:rPr>
      </w:pPr>
      <w:r w:rsidRPr="00832091">
        <w:rPr>
          <w:b/>
          <w:sz w:val="20"/>
          <w:szCs w:val="20"/>
        </w:rPr>
        <w:lastRenderedPageBreak/>
        <w:fldChar w:fldCharType="begin"/>
      </w:r>
      <w:r w:rsidR="003C5FED" w:rsidRPr="00832091">
        <w:rPr>
          <w:b/>
          <w:sz w:val="20"/>
          <w:szCs w:val="20"/>
        </w:rPr>
        <w:instrText xml:space="preserve"> SEQ CHAPTER \h \r 1</w:instrText>
      </w:r>
      <w:r w:rsidRPr="00832091">
        <w:rPr>
          <w:b/>
          <w:sz w:val="20"/>
          <w:szCs w:val="20"/>
        </w:rPr>
        <w:fldChar w:fldCharType="end"/>
      </w:r>
      <w:r w:rsidR="003C5FED" w:rsidRPr="00832091">
        <w:rPr>
          <w:b/>
          <w:sz w:val="20"/>
          <w:szCs w:val="20"/>
        </w:rPr>
        <w:t>35745</w:t>
      </w:r>
      <w:r w:rsidR="003C5FED" w:rsidRPr="00832091">
        <w:rPr>
          <w:sz w:val="20"/>
          <w:szCs w:val="20"/>
        </w:rPr>
        <w:tab/>
      </w:r>
      <w:r w:rsidR="003C5FED" w:rsidRPr="00832091">
        <w:rPr>
          <w:b/>
          <w:i/>
          <w:sz w:val="20"/>
          <w:szCs w:val="20"/>
        </w:rPr>
        <w:t>Ivan William Mervin Henry v. Her Majesty the Queen in Right of the Province of British Columbia as Represented by the Attorney General of British Columbia, et al.</w:t>
      </w:r>
    </w:p>
    <w:p w:rsidR="003C5FED" w:rsidRPr="00832091" w:rsidRDefault="003C5FED" w:rsidP="003C5FED">
      <w:pPr>
        <w:widowControl w:val="0"/>
        <w:jc w:val="both"/>
        <w:rPr>
          <w:sz w:val="20"/>
          <w:szCs w:val="20"/>
        </w:rPr>
      </w:pPr>
    </w:p>
    <w:p w:rsidR="003C5FED" w:rsidRPr="00832091" w:rsidRDefault="003C5FED" w:rsidP="003C5FED">
      <w:pPr>
        <w:widowControl w:val="0"/>
        <w:jc w:val="both"/>
        <w:rPr>
          <w:smallCaps/>
          <w:sz w:val="20"/>
          <w:szCs w:val="20"/>
        </w:rPr>
      </w:pPr>
      <w:r w:rsidRPr="00832091">
        <w:rPr>
          <w:smallCaps/>
          <w:sz w:val="20"/>
          <w:szCs w:val="20"/>
        </w:rPr>
        <w:t xml:space="preserve">(Publication </w:t>
      </w:r>
      <w:r>
        <w:rPr>
          <w:smallCaps/>
          <w:sz w:val="20"/>
          <w:szCs w:val="20"/>
        </w:rPr>
        <w:t>B</w:t>
      </w:r>
      <w:r w:rsidRPr="00832091">
        <w:rPr>
          <w:smallCaps/>
          <w:sz w:val="20"/>
          <w:szCs w:val="20"/>
        </w:rPr>
        <w:t xml:space="preserve">an in </w:t>
      </w:r>
      <w:r>
        <w:rPr>
          <w:smallCaps/>
          <w:sz w:val="20"/>
          <w:szCs w:val="20"/>
        </w:rPr>
        <w:t>C</w:t>
      </w:r>
      <w:r w:rsidRPr="00832091">
        <w:rPr>
          <w:smallCaps/>
          <w:sz w:val="20"/>
          <w:szCs w:val="20"/>
        </w:rPr>
        <w:t>ase)</w:t>
      </w:r>
    </w:p>
    <w:p w:rsidR="003C5FED" w:rsidRPr="00832091" w:rsidRDefault="003C5FED" w:rsidP="003C5FED">
      <w:pPr>
        <w:widowControl w:val="0"/>
        <w:jc w:val="both"/>
        <w:rPr>
          <w:sz w:val="20"/>
          <w:szCs w:val="20"/>
        </w:rPr>
      </w:pPr>
    </w:p>
    <w:p w:rsidR="003C5FED" w:rsidRPr="00832091" w:rsidRDefault="003C5FED" w:rsidP="003C5FED">
      <w:pPr>
        <w:jc w:val="both"/>
        <w:rPr>
          <w:sz w:val="20"/>
          <w:szCs w:val="20"/>
        </w:rPr>
      </w:pPr>
      <w:r w:rsidRPr="00832091">
        <w:rPr>
          <w:sz w:val="20"/>
          <w:szCs w:val="20"/>
        </w:rPr>
        <w:t xml:space="preserve">Charter of rights - Crown law - Crown liability - Appellant wrongfully convicted and incarcerated during almost 27 years - Subsequent civil claim against provincial Crown for, </w:t>
      </w:r>
      <w:r w:rsidRPr="00832091">
        <w:rPr>
          <w:i/>
          <w:sz w:val="20"/>
          <w:szCs w:val="20"/>
        </w:rPr>
        <w:t>inter alia</w:t>
      </w:r>
      <w:r w:rsidRPr="00832091">
        <w:rPr>
          <w:sz w:val="20"/>
          <w:szCs w:val="20"/>
        </w:rPr>
        <w:t xml:space="preserve">, malicious prosecution and seeking </w:t>
      </w:r>
      <w:r w:rsidRPr="00832091">
        <w:rPr>
          <w:i/>
          <w:sz w:val="20"/>
          <w:szCs w:val="20"/>
        </w:rPr>
        <w:t>Charter</w:t>
      </w:r>
      <w:r w:rsidRPr="00832091">
        <w:rPr>
          <w:sz w:val="20"/>
          <w:szCs w:val="20"/>
        </w:rPr>
        <w:t xml:space="preserve"> damages for non-disclosure of evidence at trial - Whether s. 24(1) of the </w:t>
      </w:r>
      <w:r w:rsidRPr="00832091">
        <w:rPr>
          <w:i/>
          <w:sz w:val="20"/>
          <w:szCs w:val="20"/>
        </w:rPr>
        <w:t>Canadian Charter of Rights and Freedoms</w:t>
      </w:r>
      <w:r w:rsidRPr="00832091">
        <w:rPr>
          <w:sz w:val="20"/>
          <w:szCs w:val="20"/>
        </w:rPr>
        <w:t xml:space="preserve"> authorizes a court of competent jurisdiction to award damages against the Crown for prosecutorial misconduct absent proof of malice - </w:t>
      </w:r>
      <w:r w:rsidRPr="00832091">
        <w:rPr>
          <w:i/>
          <w:sz w:val="20"/>
          <w:szCs w:val="20"/>
        </w:rPr>
        <w:t>Canadian Charter of Rights and Freedoms</w:t>
      </w:r>
      <w:r w:rsidRPr="00832091">
        <w:rPr>
          <w:sz w:val="20"/>
          <w:szCs w:val="20"/>
        </w:rPr>
        <w:t>, ss. 7, 11(</w:t>
      </w:r>
      <w:r w:rsidRPr="00832091">
        <w:rPr>
          <w:i/>
          <w:sz w:val="20"/>
          <w:szCs w:val="20"/>
        </w:rPr>
        <w:t>d</w:t>
      </w:r>
      <w:r w:rsidRPr="00832091">
        <w:rPr>
          <w:sz w:val="20"/>
          <w:szCs w:val="20"/>
        </w:rPr>
        <w:t>), 24(1).</w:t>
      </w:r>
    </w:p>
    <w:p w:rsidR="003C5FED" w:rsidRPr="00832091" w:rsidRDefault="003C5FED" w:rsidP="003C5FED">
      <w:pPr>
        <w:widowControl w:val="0"/>
        <w:jc w:val="both"/>
        <w:rPr>
          <w:sz w:val="20"/>
          <w:szCs w:val="20"/>
        </w:rPr>
      </w:pPr>
    </w:p>
    <w:p w:rsidR="003C5FED" w:rsidRPr="00832091" w:rsidRDefault="003C5FED" w:rsidP="003C5FED">
      <w:pPr>
        <w:jc w:val="both"/>
        <w:rPr>
          <w:sz w:val="20"/>
          <w:szCs w:val="20"/>
        </w:rPr>
      </w:pPr>
      <w:r w:rsidRPr="00832091">
        <w:rPr>
          <w:sz w:val="20"/>
          <w:szCs w:val="20"/>
        </w:rPr>
        <w:t xml:space="preserve">Mr. Henry was convicted in 1983 of 10 sexual offence counts, was declared a dangerous offender and sentenced to an indefinite period of incarceration. He remained incarcerated for almost 27 years, until granted bail in 2009, and was acquitted in October 2010. Mr. Henry then sought damages against, </w:t>
      </w:r>
      <w:r w:rsidRPr="00832091">
        <w:rPr>
          <w:i/>
          <w:sz w:val="20"/>
          <w:szCs w:val="20"/>
        </w:rPr>
        <w:t>inter alia</w:t>
      </w:r>
      <w:r w:rsidRPr="00832091">
        <w:rPr>
          <w:sz w:val="20"/>
          <w:szCs w:val="20"/>
        </w:rPr>
        <w:t xml:space="preserve">, the prosecutors for the injuries he alleges he suffered as a consequence of the wrongful conviction and incarceration. The claim relates to the actions of Crown counsel through the course of the trial and subsequent appeal processes. </w:t>
      </w:r>
    </w:p>
    <w:p w:rsidR="003C5FED" w:rsidRPr="00832091" w:rsidRDefault="003C5FED" w:rsidP="003C5FED">
      <w:pPr>
        <w:jc w:val="both"/>
        <w:rPr>
          <w:sz w:val="20"/>
          <w:szCs w:val="20"/>
        </w:rPr>
      </w:pPr>
    </w:p>
    <w:p w:rsidR="003C5FED" w:rsidRPr="00832091" w:rsidRDefault="003C5FED" w:rsidP="003C5FED">
      <w:pPr>
        <w:jc w:val="both"/>
        <w:rPr>
          <w:sz w:val="20"/>
          <w:szCs w:val="20"/>
        </w:rPr>
      </w:pPr>
      <w:r w:rsidRPr="00832091">
        <w:rPr>
          <w:sz w:val="20"/>
          <w:szCs w:val="20"/>
        </w:rPr>
        <w:t xml:space="preserve">Mr. Henry is seeking damages under s. 24(1) of the </w:t>
      </w:r>
      <w:r w:rsidRPr="00832091">
        <w:rPr>
          <w:i/>
          <w:sz w:val="20"/>
          <w:szCs w:val="20"/>
        </w:rPr>
        <w:t>Charter</w:t>
      </w:r>
      <w:r w:rsidRPr="00832091">
        <w:rPr>
          <w:sz w:val="20"/>
          <w:szCs w:val="20"/>
        </w:rPr>
        <w:t xml:space="preserve"> and, to that end, successfully applied for leave to amend his pleadings to include the following: </w:t>
      </w:r>
    </w:p>
    <w:p w:rsidR="003C5FED" w:rsidRPr="00832091" w:rsidRDefault="003C5FED" w:rsidP="003C5FED">
      <w:pPr>
        <w:jc w:val="both"/>
        <w:rPr>
          <w:sz w:val="20"/>
          <w:szCs w:val="20"/>
        </w:rPr>
      </w:pPr>
    </w:p>
    <w:p w:rsidR="003C5FED" w:rsidRPr="00832091" w:rsidRDefault="003C5FED" w:rsidP="003C5FED">
      <w:pPr>
        <w:pStyle w:val="CITATION"/>
        <w:rPr>
          <w:sz w:val="20"/>
        </w:rPr>
      </w:pPr>
      <w:r w:rsidRPr="00832091">
        <w:rPr>
          <w:sz w:val="20"/>
        </w:rPr>
        <w:t>120. The various acts and omissions that violated the Plaintiff’s right to disclosure and/or his right to full answer and defence and/or his right to a fair trial, as described in paragraphs 113-119 above, were a marked and unacceptable departure from the reasonable standards expected of the Crown counsel.</w:t>
      </w:r>
    </w:p>
    <w:p w:rsidR="003C5FED" w:rsidRPr="00832091" w:rsidRDefault="003C5FED" w:rsidP="003C5FED">
      <w:pPr>
        <w:jc w:val="both"/>
        <w:rPr>
          <w:sz w:val="20"/>
          <w:szCs w:val="20"/>
        </w:rPr>
      </w:pPr>
    </w:p>
    <w:p w:rsidR="003C5FED" w:rsidRPr="00832091" w:rsidRDefault="003C5FED" w:rsidP="003C5FED">
      <w:pPr>
        <w:jc w:val="both"/>
        <w:rPr>
          <w:sz w:val="20"/>
          <w:szCs w:val="20"/>
        </w:rPr>
      </w:pPr>
      <w:r w:rsidRPr="00832091">
        <w:rPr>
          <w:sz w:val="20"/>
          <w:szCs w:val="20"/>
        </w:rPr>
        <w:t>The amendment was subsequently refused by the B.C. Court of Appeal, on the basis that Supreme Court authority currently forecloses prosecutorial liability for negligence and requires evidence of malice.</w:t>
      </w:r>
    </w:p>
    <w:p w:rsidR="003C5FED" w:rsidRPr="00832091" w:rsidRDefault="003C5FED" w:rsidP="003C5FED">
      <w:pPr>
        <w:widowControl w:val="0"/>
        <w:jc w:val="both"/>
        <w:rPr>
          <w:sz w:val="20"/>
          <w:szCs w:val="20"/>
        </w:rPr>
      </w:pPr>
    </w:p>
    <w:p w:rsidR="003C5FED" w:rsidRPr="00832091" w:rsidRDefault="003C5FED" w:rsidP="003C5FED">
      <w:pPr>
        <w:widowControl w:val="0"/>
        <w:jc w:val="both"/>
        <w:rPr>
          <w:sz w:val="20"/>
          <w:szCs w:val="20"/>
        </w:rPr>
      </w:pPr>
    </w:p>
    <w:p w:rsidR="003C5FED" w:rsidRPr="00832091" w:rsidRDefault="003C5FED" w:rsidP="003C5FED">
      <w:pPr>
        <w:widowControl w:val="0"/>
        <w:ind w:left="2880" w:hanging="2880"/>
        <w:jc w:val="both"/>
        <w:rPr>
          <w:sz w:val="20"/>
          <w:szCs w:val="20"/>
        </w:rPr>
      </w:pPr>
      <w:r w:rsidRPr="00832091">
        <w:rPr>
          <w:sz w:val="20"/>
          <w:szCs w:val="20"/>
        </w:rPr>
        <w:t>Origin of the case:</w:t>
      </w:r>
      <w:r w:rsidRPr="00832091">
        <w:rPr>
          <w:sz w:val="20"/>
          <w:szCs w:val="20"/>
        </w:rPr>
        <w:tab/>
        <w:t>British Columbia</w:t>
      </w:r>
    </w:p>
    <w:p w:rsidR="003C5FED" w:rsidRPr="00832091" w:rsidRDefault="003C5FED" w:rsidP="003C5FED">
      <w:pPr>
        <w:widowControl w:val="0"/>
        <w:ind w:left="2880" w:hanging="2880"/>
        <w:jc w:val="both"/>
        <w:rPr>
          <w:sz w:val="20"/>
          <w:szCs w:val="20"/>
        </w:rPr>
      </w:pPr>
    </w:p>
    <w:p w:rsidR="003C5FED" w:rsidRPr="00832091" w:rsidRDefault="003C5FED" w:rsidP="003C5FED">
      <w:pPr>
        <w:widowControl w:val="0"/>
        <w:ind w:left="2880" w:hanging="2880"/>
        <w:jc w:val="both"/>
        <w:rPr>
          <w:sz w:val="20"/>
          <w:szCs w:val="20"/>
        </w:rPr>
      </w:pPr>
      <w:r w:rsidRPr="00832091">
        <w:rPr>
          <w:sz w:val="20"/>
          <w:szCs w:val="20"/>
        </w:rPr>
        <w:t>File No.:</w:t>
      </w:r>
      <w:r w:rsidRPr="00832091">
        <w:rPr>
          <w:sz w:val="20"/>
          <w:szCs w:val="20"/>
        </w:rPr>
        <w:tab/>
        <w:t>35745</w:t>
      </w:r>
    </w:p>
    <w:p w:rsidR="003C5FED" w:rsidRPr="00832091" w:rsidRDefault="003C5FED" w:rsidP="003C5FED">
      <w:pPr>
        <w:widowControl w:val="0"/>
        <w:ind w:left="2880" w:hanging="2880"/>
        <w:jc w:val="both"/>
        <w:rPr>
          <w:sz w:val="20"/>
          <w:szCs w:val="20"/>
        </w:rPr>
      </w:pPr>
    </w:p>
    <w:p w:rsidR="003C5FED" w:rsidRPr="00832091" w:rsidRDefault="003C5FED" w:rsidP="003C5FED">
      <w:pPr>
        <w:widowControl w:val="0"/>
        <w:ind w:left="2880" w:hanging="2880"/>
        <w:jc w:val="both"/>
        <w:rPr>
          <w:sz w:val="20"/>
          <w:szCs w:val="20"/>
        </w:rPr>
      </w:pPr>
      <w:r w:rsidRPr="00832091">
        <w:rPr>
          <w:sz w:val="20"/>
          <w:szCs w:val="20"/>
        </w:rPr>
        <w:t>Judgment of the Court of Appeal:</w:t>
      </w:r>
      <w:r w:rsidRPr="00832091">
        <w:rPr>
          <w:sz w:val="20"/>
          <w:szCs w:val="20"/>
        </w:rPr>
        <w:tab/>
        <w:t>January 21, 2014</w:t>
      </w:r>
    </w:p>
    <w:p w:rsidR="003C5FED" w:rsidRPr="00832091" w:rsidRDefault="003C5FED" w:rsidP="003C5FED">
      <w:pPr>
        <w:widowControl w:val="0"/>
        <w:ind w:left="2880" w:hanging="2880"/>
        <w:jc w:val="both"/>
        <w:rPr>
          <w:sz w:val="20"/>
          <w:szCs w:val="20"/>
        </w:rPr>
      </w:pPr>
    </w:p>
    <w:p w:rsidR="003C5FED" w:rsidRPr="00832091" w:rsidRDefault="003C5FED" w:rsidP="003C5FED">
      <w:pPr>
        <w:widowControl w:val="0"/>
        <w:ind w:left="2880" w:hanging="2880"/>
        <w:jc w:val="both"/>
        <w:rPr>
          <w:sz w:val="20"/>
          <w:szCs w:val="20"/>
        </w:rPr>
      </w:pPr>
      <w:r w:rsidRPr="00832091">
        <w:rPr>
          <w:sz w:val="20"/>
          <w:szCs w:val="20"/>
        </w:rPr>
        <w:t>Counsel:</w:t>
      </w:r>
      <w:r w:rsidRPr="00832091">
        <w:rPr>
          <w:sz w:val="20"/>
          <w:szCs w:val="20"/>
        </w:rPr>
        <w:tab/>
        <w:t>Joseph J. Arvay, Q.C., A. Cameron Ward, Marilyn</w:t>
      </w:r>
      <w:r w:rsidRPr="00832091">
        <w:rPr>
          <w:sz w:val="20"/>
          <w:szCs w:val="20"/>
        </w:rPr>
        <w:tab/>
      </w:r>
      <w:r>
        <w:rPr>
          <w:sz w:val="20"/>
          <w:szCs w:val="20"/>
        </w:rPr>
        <w:t xml:space="preserve"> </w:t>
      </w:r>
      <w:r w:rsidRPr="00832091">
        <w:rPr>
          <w:sz w:val="20"/>
          <w:szCs w:val="20"/>
        </w:rPr>
        <w:t>Sandford and Alison M. Latimer, for the Appellant</w:t>
      </w:r>
    </w:p>
    <w:p w:rsidR="003C5FED" w:rsidRPr="00832091" w:rsidRDefault="003C5FED" w:rsidP="003C5FED">
      <w:pPr>
        <w:widowControl w:val="0"/>
        <w:ind w:left="2880" w:hanging="2880"/>
        <w:jc w:val="both"/>
        <w:rPr>
          <w:sz w:val="20"/>
          <w:szCs w:val="20"/>
        </w:rPr>
      </w:pPr>
      <w:r>
        <w:rPr>
          <w:sz w:val="20"/>
          <w:szCs w:val="20"/>
        </w:rPr>
        <w:tab/>
      </w:r>
      <w:r w:rsidRPr="00832091">
        <w:rPr>
          <w:sz w:val="20"/>
          <w:szCs w:val="20"/>
        </w:rPr>
        <w:t>Karen Horsman and Peter Juk, Q.C., for the Respondent Her Majesty the Queen (B.C.)</w:t>
      </w:r>
    </w:p>
    <w:p w:rsidR="003C5FED" w:rsidRPr="00832091" w:rsidRDefault="003C5FED" w:rsidP="003C5FED">
      <w:pPr>
        <w:widowControl w:val="0"/>
        <w:ind w:left="2880" w:hanging="2880"/>
        <w:jc w:val="both"/>
        <w:rPr>
          <w:sz w:val="20"/>
          <w:szCs w:val="20"/>
        </w:rPr>
      </w:pPr>
      <w:r>
        <w:rPr>
          <w:sz w:val="20"/>
          <w:szCs w:val="20"/>
        </w:rPr>
        <w:tab/>
      </w:r>
      <w:r w:rsidRPr="00832091">
        <w:rPr>
          <w:sz w:val="20"/>
          <w:szCs w:val="20"/>
        </w:rPr>
        <w:t>Mitchell R. Taylor, Q.C., and Susanne G. Pereira, for the Respondent Attorney General of Canada</w:t>
      </w:r>
    </w:p>
    <w:p w:rsidR="00DD7981" w:rsidRPr="003C5FED" w:rsidRDefault="00DD7981" w:rsidP="00DD7981">
      <w:pPr>
        <w:tabs>
          <w:tab w:val="left" w:pos="-1440"/>
          <w:tab w:val="left" w:pos="-720"/>
        </w:tabs>
        <w:jc w:val="both"/>
        <w:rPr>
          <w:sz w:val="20"/>
          <w:szCs w:val="20"/>
        </w:rPr>
      </w:pPr>
    </w:p>
    <w:p w:rsidR="00DD7981" w:rsidRDefault="00714478" w:rsidP="00DD7981">
      <w:pPr>
        <w:tabs>
          <w:tab w:val="left" w:pos="-1440"/>
          <w:tab w:val="left" w:pos="-720"/>
        </w:tabs>
        <w:jc w:val="both"/>
        <w:rPr>
          <w:sz w:val="20"/>
          <w:szCs w:val="20"/>
          <w:lang w:val="fr-CA"/>
        </w:rPr>
      </w:pPr>
      <w:r>
        <w:rPr>
          <w:sz w:val="20"/>
          <w:szCs w:val="20"/>
          <w:lang w:val="fr-CA"/>
        </w:rPr>
        <w:pict>
          <v:rect id="_x0000_i1105" style="width:2in;height:1pt" o:hrpct="0" o:hralign="center" o:hrstd="t" o:hrnoshade="t" o:hr="t" fillcolor="black [3213]" stroked="f"/>
        </w:pict>
      </w:r>
    </w:p>
    <w:p w:rsidR="00DD7981" w:rsidRPr="00DD0B49" w:rsidRDefault="00DD7981" w:rsidP="00DD7981">
      <w:pPr>
        <w:tabs>
          <w:tab w:val="left" w:pos="-1440"/>
          <w:tab w:val="left" w:pos="-720"/>
        </w:tabs>
        <w:jc w:val="both"/>
        <w:rPr>
          <w:sz w:val="20"/>
          <w:szCs w:val="20"/>
          <w:lang w:val="fr-CA"/>
        </w:rPr>
      </w:pPr>
    </w:p>
    <w:p w:rsidR="00DD7981" w:rsidRDefault="00DD7981">
      <w:pPr>
        <w:rPr>
          <w:sz w:val="20"/>
          <w:szCs w:val="20"/>
          <w:lang w:val="fr-CA"/>
        </w:rPr>
      </w:pPr>
    </w:p>
    <w:p w:rsidR="00DD7981" w:rsidRDefault="00DD7981">
      <w:pPr>
        <w:rPr>
          <w:sz w:val="20"/>
          <w:szCs w:val="20"/>
          <w:lang w:val="fr-CA"/>
        </w:rPr>
      </w:pPr>
      <w:r>
        <w:rPr>
          <w:sz w:val="20"/>
          <w:szCs w:val="20"/>
          <w:lang w:val="fr-CA"/>
        </w:rPr>
        <w:br w:type="page"/>
      </w:r>
    </w:p>
    <w:p w:rsidR="003C5FED" w:rsidRPr="00DB6642" w:rsidRDefault="00A4467E" w:rsidP="003C5FED">
      <w:pPr>
        <w:widowControl w:val="0"/>
        <w:ind w:left="720" w:hanging="720"/>
        <w:jc w:val="both"/>
        <w:rPr>
          <w:b/>
          <w:i/>
          <w:sz w:val="20"/>
          <w:szCs w:val="20"/>
          <w:lang w:val="fr-CA"/>
        </w:rPr>
      </w:pPr>
      <w:r w:rsidRPr="00DB6642">
        <w:rPr>
          <w:b/>
          <w:sz w:val="20"/>
          <w:szCs w:val="20"/>
          <w:lang w:val="fr-CA"/>
        </w:rPr>
        <w:lastRenderedPageBreak/>
        <w:fldChar w:fldCharType="begin"/>
      </w:r>
      <w:r w:rsidR="003C5FED" w:rsidRPr="00DB6642">
        <w:rPr>
          <w:b/>
          <w:sz w:val="20"/>
          <w:szCs w:val="20"/>
          <w:lang w:val="fr-CA"/>
        </w:rPr>
        <w:instrText xml:space="preserve"> SEQ CHAPTER \h \r 1</w:instrText>
      </w:r>
      <w:r w:rsidRPr="00DB6642">
        <w:rPr>
          <w:b/>
          <w:sz w:val="20"/>
          <w:szCs w:val="20"/>
          <w:lang w:val="fr-CA"/>
        </w:rPr>
        <w:fldChar w:fldCharType="end"/>
      </w:r>
      <w:r w:rsidR="003C5FED" w:rsidRPr="00DB6642">
        <w:rPr>
          <w:b/>
          <w:sz w:val="20"/>
          <w:szCs w:val="20"/>
          <w:lang w:val="fr-CA"/>
        </w:rPr>
        <w:t>35745</w:t>
      </w:r>
      <w:r w:rsidR="003C5FED" w:rsidRPr="00DB6642">
        <w:rPr>
          <w:sz w:val="20"/>
          <w:szCs w:val="20"/>
          <w:lang w:val="fr-CA"/>
        </w:rPr>
        <w:tab/>
      </w:r>
      <w:r w:rsidR="003C5FED" w:rsidRPr="00DB6642">
        <w:rPr>
          <w:b/>
          <w:i/>
          <w:sz w:val="20"/>
          <w:szCs w:val="20"/>
          <w:lang w:val="fr-CA"/>
        </w:rPr>
        <w:t>Ivan William Mervin Henry c. Sa Majesté la Reine du chef de la Colombie-Britannique représentée par le procureur général de la Colombie-Britannique, et al</w:t>
      </w:r>
    </w:p>
    <w:p w:rsidR="003C5FED" w:rsidRPr="00DB6642" w:rsidRDefault="003C5FED" w:rsidP="003C5FED">
      <w:pPr>
        <w:widowControl w:val="0"/>
        <w:ind w:left="720" w:hanging="720"/>
        <w:jc w:val="both"/>
        <w:rPr>
          <w:sz w:val="20"/>
          <w:szCs w:val="20"/>
          <w:lang w:val="fr-CA"/>
        </w:rPr>
      </w:pPr>
    </w:p>
    <w:p w:rsidR="003C5FED" w:rsidRPr="00DB6642" w:rsidRDefault="003C5FED" w:rsidP="003C5FED">
      <w:pPr>
        <w:widowControl w:val="0"/>
        <w:jc w:val="both"/>
        <w:rPr>
          <w:sz w:val="20"/>
          <w:szCs w:val="20"/>
          <w:lang w:val="fr-CA"/>
        </w:rPr>
      </w:pPr>
      <w:r w:rsidRPr="00DB6642">
        <w:rPr>
          <w:smallCaps/>
          <w:sz w:val="20"/>
          <w:szCs w:val="20"/>
          <w:lang w:val="fr-CA"/>
        </w:rPr>
        <w:t>(Ordonnance de non-publication dans le dossier)</w:t>
      </w:r>
    </w:p>
    <w:p w:rsidR="003C5FED" w:rsidRPr="00DB6642" w:rsidRDefault="003C5FED" w:rsidP="003C5FED">
      <w:pPr>
        <w:widowControl w:val="0"/>
        <w:jc w:val="both"/>
        <w:rPr>
          <w:sz w:val="20"/>
          <w:szCs w:val="20"/>
          <w:lang w:val="fr-CA"/>
        </w:rPr>
      </w:pPr>
    </w:p>
    <w:p w:rsidR="003C5FED" w:rsidRPr="00DB6642" w:rsidRDefault="003C5FED" w:rsidP="003C5FED">
      <w:pPr>
        <w:jc w:val="both"/>
        <w:rPr>
          <w:sz w:val="20"/>
          <w:szCs w:val="20"/>
          <w:lang w:val="fr-CA"/>
        </w:rPr>
      </w:pPr>
      <w:r w:rsidRPr="00DB6642">
        <w:rPr>
          <w:sz w:val="20"/>
          <w:szCs w:val="20"/>
          <w:lang w:val="fr-CA"/>
        </w:rPr>
        <w:t xml:space="preserve">Charte des droits - Droit de la Couronne - Responsabilité de l’État - Le demandeur a été injustement déclaré coupable et incarcéré pendant près de 27 ans - Action civile subséquente contre l’État provincial, notamment pour poursuite malveillante et en dommages-intérêts en vertu de la </w:t>
      </w:r>
      <w:r w:rsidRPr="00DB6642">
        <w:rPr>
          <w:i/>
          <w:sz w:val="20"/>
          <w:szCs w:val="20"/>
          <w:lang w:val="fr-CA"/>
        </w:rPr>
        <w:t>Charte</w:t>
      </w:r>
      <w:r w:rsidRPr="00DB6642">
        <w:rPr>
          <w:sz w:val="20"/>
          <w:szCs w:val="20"/>
          <w:lang w:val="fr-CA"/>
        </w:rPr>
        <w:t xml:space="preserve"> pour non-communication de la preuve au procès - Le par. 24(1) de la </w:t>
      </w:r>
      <w:r w:rsidRPr="00DB6642">
        <w:rPr>
          <w:i/>
          <w:sz w:val="20"/>
          <w:szCs w:val="20"/>
          <w:lang w:val="fr-CA"/>
        </w:rPr>
        <w:t>Charte canadienne des droits et libertés</w:t>
      </w:r>
      <w:r w:rsidRPr="00DB6642">
        <w:rPr>
          <w:sz w:val="20"/>
          <w:szCs w:val="20"/>
          <w:lang w:val="fr-CA"/>
        </w:rPr>
        <w:t xml:space="preserve"> autorise-t-il le tribunal compétent à condamner l’État à des dommages-intérêts pour inconduite en matière de poursuite sans qu’il y ait preuve de malveillance? - </w:t>
      </w:r>
      <w:r w:rsidRPr="00DB6642">
        <w:rPr>
          <w:i/>
          <w:sz w:val="20"/>
          <w:szCs w:val="20"/>
          <w:lang w:val="fr-CA"/>
        </w:rPr>
        <w:t>Charte canadienne des droits et libertés</w:t>
      </w:r>
      <w:r w:rsidRPr="00DB6642">
        <w:rPr>
          <w:sz w:val="20"/>
          <w:szCs w:val="20"/>
          <w:lang w:val="fr-CA"/>
        </w:rPr>
        <w:t>, art. 7, 11</w:t>
      </w:r>
      <w:r w:rsidRPr="00DB6642">
        <w:rPr>
          <w:i/>
          <w:sz w:val="20"/>
          <w:szCs w:val="20"/>
          <w:lang w:val="fr-CA"/>
        </w:rPr>
        <w:t>d</w:t>
      </w:r>
      <w:r w:rsidRPr="00DB6642">
        <w:rPr>
          <w:sz w:val="20"/>
          <w:szCs w:val="20"/>
          <w:lang w:val="fr-CA"/>
        </w:rPr>
        <w:t>), 24(1).</w:t>
      </w:r>
    </w:p>
    <w:p w:rsidR="003C5FED" w:rsidRPr="00DB6642" w:rsidRDefault="003C5FED" w:rsidP="003C5FED">
      <w:pPr>
        <w:widowControl w:val="0"/>
        <w:jc w:val="both"/>
        <w:rPr>
          <w:sz w:val="20"/>
          <w:szCs w:val="20"/>
          <w:lang w:val="fr-CA"/>
        </w:rPr>
      </w:pPr>
    </w:p>
    <w:p w:rsidR="003C5FED" w:rsidRPr="00DB6642" w:rsidRDefault="003C5FED" w:rsidP="003C5FED">
      <w:pPr>
        <w:jc w:val="both"/>
        <w:rPr>
          <w:sz w:val="20"/>
          <w:szCs w:val="20"/>
          <w:lang w:val="fr-CA"/>
        </w:rPr>
      </w:pPr>
      <w:r w:rsidRPr="00DB6642">
        <w:rPr>
          <w:sz w:val="20"/>
          <w:szCs w:val="20"/>
          <w:lang w:val="fr-CA"/>
        </w:rPr>
        <w:t xml:space="preserve">En 1983, M. Henry a été déclaré coupable sous dix chefs d’accusation d’infractions sexuelles, il a été déclaré délinquant dangereux et il a été condamnée à une peine de détention d’une durée indéterminée.  Il est demeuré incarcéré pendant presque 27 ans, jusqu’à ce qu’il soit libéré sous caution en 2009, et il a été acquitté en octobre 2010.  M. Henry a alors intenté une poursuite en dommages-intérêts, notamment contre les avocats du ministère public pour les préjudices qu’il allègue avoir subis en raison de la déclaration de culpabilité et de l’incarcération injustifiées.  La poursuite a trait aux actes de l’avocat du ministère public au cours du procès et des procédures d’appel subséquentes. </w:t>
      </w:r>
    </w:p>
    <w:p w:rsidR="003C5FED" w:rsidRPr="00DB6642" w:rsidRDefault="003C5FED" w:rsidP="003C5FED">
      <w:pPr>
        <w:widowControl w:val="0"/>
        <w:jc w:val="both"/>
        <w:rPr>
          <w:sz w:val="20"/>
          <w:szCs w:val="20"/>
          <w:lang w:val="fr-CA"/>
        </w:rPr>
      </w:pPr>
    </w:p>
    <w:p w:rsidR="003C5FED" w:rsidRPr="00DB6642" w:rsidRDefault="003C5FED" w:rsidP="003C5FED">
      <w:pPr>
        <w:spacing w:after="240"/>
        <w:jc w:val="both"/>
        <w:rPr>
          <w:sz w:val="20"/>
          <w:szCs w:val="20"/>
          <w:lang w:val="fr-CA"/>
        </w:rPr>
      </w:pPr>
      <w:r w:rsidRPr="00DB6642">
        <w:rPr>
          <w:sz w:val="20"/>
          <w:szCs w:val="20"/>
          <w:lang w:val="fr-CA"/>
        </w:rPr>
        <w:t xml:space="preserve">Monsieur Henry demande des dommages-intérêts en vertu du par. 24(1) de la </w:t>
      </w:r>
      <w:r w:rsidRPr="00DB6642">
        <w:rPr>
          <w:i/>
          <w:sz w:val="20"/>
          <w:szCs w:val="20"/>
          <w:lang w:val="fr-CA"/>
        </w:rPr>
        <w:t>Charte</w:t>
      </w:r>
      <w:r w:rsidRPr="00DB6642">
        <w:rPr>
          <w:sz w:val="20"/>
          <w:szCs w:val="20"/>
          <w:lang w:val="fr-CA"/>
        </w:rPr>
        <w:t xml:space="preserve"> et, à cette fin, il a obtenu l’autorisation de modifier ses actes de procédure par l’ajout du paragraphe suivant : </w:t>
      </w:r>
    </w:p>
    <w:p w:rsidR="003C5FED" w:rsidRPr="00DB6642" w:rsidRDefault="003C5FED" w:rsidP="003C5FED">
      <w:pPr>
        <w:pStyle w:val="CITATION"/>
        <w:rPr>
          <w:sz w:val="20"/>
          <w:lang w:val="fr-CA"/>
        </w:rPr>
      </w:pPr>
      <w:r w:rsidRPr="00DB6642">
        <w:rPr>
          <w:sz w:val="20"/>
          <w:lang w:val="fr-CA"/>
        </w:rPr>
        <w:t>[</w:t>
      </w:r>
      <w:r w:rsidRPr="00DB6642">
        <w:rPr>
          <w:smallCaps/>
          <w:sz w:val="20"/>
          <w:lang w:val="fr-CA"/>
        </w:rPr>
        <w:t>traduction</w:t>
      </w:r>
      <w:r w:rsidRPr="00DB6642">
        <w:rPr>
          <w:sz w:val="20"/>
          <w:lang w:val="fr-CA"/>
        </w:rPr>
        <w:t>] 120. Les divers actes et omissions qui ont violé le droit du demandeur à la communication, son droit à une défense pleine et entière ou son droit à un procès équitable, comme il est décrit aux paragraphes 113 à 119 qui précèdent, constituaient une dérogation marquée et inacceptable par l’avocat du ministère public aux normes raisonnables qu’on s’attend qu’il respecte.</w:t>
      </w:r>
    </w:p>
    <w:p w:rsidR="003C5FED" w:rsidRPr="00DB6642" w:rsidRDefault="003C5FED" w:rsidP="003C5FED">
      <w:pPr>
        <w:rPr>
          <w:sz w:val="20"/>
          <w:szCs w:val="20"/>
          <w:lang w:val="fr-CA"/>
        </w:rPr>
      </w:pPr>
    </w:p>
    <w:p w:rsidR="003C5FED" w:rsidRPr="00DB6642" w:rsidRDefault="003C5FED" w:rsidP="003C5FED">
      <w:pPr>
        <w:jc w:val="both"/>
        <w:rPr>
          <w:sz w:val="20"/>
          <w:szCs w:val="20"/>
          <w:lang w:val="fr-CA"/>
        </w:rPr>
      </w:pPr>
      <w:r w:rsidRPr="00DB6642">
        <w:rPr>
          <w:sz w:val="20"/>
          <w:szCs w:val="20"/>
          <w:lang w:val="fr-CA"/>
        </w:rPr>
        <w:t>La Cour d’appel de la Colombie-Britannique a refusé d’autoriser la modification, invoquant la jurisprudence de la Cour suprême qui exclut actuellement la responsabilité du ministère public pour négligence et qui exige une preuve de malveillance.</w:t>
      </w:r>
    </w:p>
    <w:p w:rsidR="003C5FED" w:rsidRPr="00DB6642" w:rsidRDefault="003C5FED" w:rsidP="003C5FED">
      <w:pPr>
        <w:widowControl w:val="0"/>
        <w:jc w:val="both"/>
        <w:rPr>
          <w:sz w:val="20"/>
          <w:szCs w:val="20"/>
          <w:lang w:val="fr-CA"/>
        </w:rPr>
      </w:pPr>
    </w:p>
    <w:p w:rsidR="003C5FED" w:rsidRPr="00DB6642" w:rsidRDefault="003C5FED" w:rsidP="003C5FED">
      <w:pPr>
        <w:widowControl w:val="0"/>
        <w:jc w:val="both"/>
        <w:rPr>
          <w:sz w:val="20"/>
          <w:szCs w:val="20"/>
          <w:lang w:val="fr-CA"/>
        </w:rPr>
      </w:pPr>
    </w:p>
    <w:p w:rsidR="003C5FED" w:rsidRPr="00DB6642" w:rsidRDefault="003C5FED" w:rsidP="003C5FED">
      <w:pPr>
        <w:widowControl w:val="0"/>
        <w:ind w:left="2880" w:hanging="2880"/>
        <w:jc w:val="both"/>
        <w:rPr>
          <w:sz w:val="20"/>
          <w:szCs w:val="20"/>
          <w:lang w:val="fr-CA"/>
        </w:rPr>
      </w:pPr>
      <w:r w:rsidRPr="00DB6642">
        <w:rPr>
          <w:sz w:val="20"/>
          <w:szCs w:val="20"/>
          <w:lang w:val="fr-CA"/>
        </w:rPr>
        <w:t>Origine :</w:t>
      </w:r>
      <w:r w:rsidRPr="00DB6642">
        <w:rPr>
          <w:sz w:val="20"/>
          <w:szCs w:val="20"/>
          <w:lang w:val="fr-CA"/>
        </w:rPr>
        <w:tab/>
        <w:t>Colombie-Britannique</w:t>
      </w:r>
    </w:p>
    <w:p w:rsidR="003C5FED" w:rsidRPr="00DB6642" w:rsidRDefault="003C5FED" w:rsidP="003C5FED">
      <w:pPr>
        <w:widowControl w:val="0"/>
        <w:ind w:left="2880" w:hanging="2880"/>
        <w:jc w:val="both"/>
        <w:rPr>
          <w:sz w:val="20"/>
          <w:szCs w:val="20"/>
          <w:lang w:val="fr-CA"/>
        </w:rPr>
      </w:pPr>
    </w:p>
    <w:p w:rsidR="003C5FED" w:rsidRPr="00DB6642" w:rsidRDefault="003C5FED" w:rsidP="003C5FED">
      <w:pPr>
        <w:widowControl w:val="0"/>
        <w:ind w:left="2880" w:hanging="2880"/>
        <w:jc w:val="both"/>
        <w:rPr>
          <w:sz w:val="20"/>
          <w:szCs w:val="20"/>
          <w:lang w:val="fr-CA"/>
        </w:rPr>
      </w:pPr>
      <w:r w:rsidRPr="00DB6642">
        <w:rPr>
          <w:sz w:val="20"/>
          <w:szCs w:val="20"/>
          <w:lang w:val="fr-CA"/>
        </w:rPr>
        <w:t>N</w:t>
      </w:r>
      <w:r w:rsidRPr="00DB6642">
        <w:rPr>
          <w:sz w:val="20"/>
          <w:szCs w:val="20"/>
          <w:vertAlign w:val="superscript"/>
          <w:lang w:val="fr-CA"/>
        </w:rPr>
        <w:t>o</w:t>
      </w:r>
      <w:r w:rsidRPr="00DB6642">
        <w:rPr>
          <w:sz w:val="20"/>
          <w:szCs w:val="20"/>
          <w:lang w:val="fr-CA"/>
        </w:rPr>
        <w:t xml:space="preserve"> du greffe :</w:t>
      </w:r>
      <w:r w:rsidRPr="00DB6642">
        <w:rPr>
          <w:sz w:val="20"/>
          <w:szCs w:val="20"/>
          <w:lang w:val="fr-CA"/>
        </w:rPr>
        <w:tab/>
        <w:t>35745</w:t>
      </w:r>
    </w:p>
    <w:p w:rsidR="003C5FED" w:rsidRPr="00DB6642" w:rsidRDefault="003C5FED" w:rsidP="003C5FED">
      <w:pPr>
        <w:widowControl w:val="0"/>
        <w:ind w:left="2880" w:hanging="2880"/>
        <w:jc w:val="both"/>
        <w:rPr>
          <w:sz w:val="20"/>
          <w:szCs w:val="20"/>
          <w:lang w:val="fr-CA"/>
        </w:rPr>
      </w:pPr>
    </w:p>
    <w:p w:rsidR="003C5FED" w:rsidRPr="00DB6642" w:rsidRDefault="003C5FED" w:rsidP="003C5FED">
      <w:pPr>
        <w:widowControl w:val="0"/>
        <w:ind w:left="2880" w:hanging="2880"/>
        <w:jc w:val="both"/>
        <w:rPr>
          <w:sz w:val="20"/>
          <w:szCs w:val="20"/>
          <w:lang w:val="fr-CA"/>
        </w:rPr>
      </w:pPr>
      <w:r w:rsidRPr="00DB6642">
        <w:rPr>
          <w:sz w:val="20"/>
          <w:szCs w:val="20"/>
          <w:lang w:val="fr-CA"/>
        </w:rPr>
        <w:t>Arrêt de la Cour d’appel :</w:t>
      </w:r>
      <w:r w:rsidRPr="00DB6642">
        <w:rPr>
          <w:sz w:val="20"/>
          <w:szCs w:val="20"/>
          <w:lang w:val="fr-CA"/>
        </w:rPr>
        <w:tab/>
        <w:t>le 21 janvier 2014</w:t>
      </w:r>
    </w:p>
    <w:p w:rsidR="003C5FED" w:rsidRPr="00DB6642" w:rsidRDefault="003C5FED" w:rsidP="003C5FED">
      <w:pPr>
        <w:widowControl w:val="0"/>
        <w:ind w:left="2880" w:hanging="2880"/>
        <w:jc w:val="both"/>
        <w:rPr>
          <w:sz w:val="20"/>
          <w:szCs w:val="20"/>
          <w:lang w:val="fr-CA"/>
        </w:rPr>
      </w:pPr>
    </w:p>
    <w:p w:rsidR="003C5FED" w:rsidRPr="00DB6642" w:rsidRDefault="003C5FED" w:rsidP="003C5FED">
      <w:pPr>
        <w:widowControl w:val="0"/>
        <w:ind w:left="2880" w:hanging="2880"/>
        <w:jc w:val="both"/>
        <w:rPr>
          <w:sz w:val="20"/>
          <w:szCs w:val="20"/>
          <w:lang w:val="fr-CA"/>
        </w:rPr>
      </w:pPr>
      <w:r w:rsidRPr="00DB6642">
        <w:rPr>
          <w:sz w:val="20"/>
          <w:szCs w:val="20"/>
          <w:lang w:val="fr-CA"/>
        </w:rPr>
        <w:t>Avocats :</w:t>
      </w:r>
      <w:r w:rsidRPr="00DB6642">
        <w:rPr>
          <w:sz w:val="20"/>
          <w:szCs w:val="20"/>
          <w:lang w:val="fr-CA"/>
        </w:rPr>
        <w:tab/>
        <w:t>Joseph J. Arvay, c.r., A. Cameron Ward, Marilyn Sandford et Alison M. Latimer, pour l’appelant</w:t>
      </w:r>
    </w:p>
    <w:p w:rsidR="003C5FED" w:rsidRPr="00DB6642" w:rsidRDefault="003C5FED" w:rsidP="003C5FED">
      <w:pPr>
        <w:widowControl w:val="0"/>
        <w:ind w:left="2880" w:hanging="2880"/>
        <w:jc w:val="both"/>
        <w:rPr>
          <w:sz w:val="20"/>
          <w:szCs w:val="20"/>
          <w:lang w:val="fr-CA"/>
        </w:rPr>
      </w:pPr>
      <w:r>
        <w:rPr>
          <w:sz w:val="20"/>
          <w:szCs w:val="20"/>
          <w:lang w:val="fr-CA"/>
        </w:rPr>
        <w:tab/>
      </w:r>
      <w:r w:rsidRPr="00DB6642">
        <w:rPr>
          <w:sz w:val="20"/>
          <w:szCs w:val="20"/>
          <w:lang w:val="fr-CA"/>
        </w:rPr>
        <w:t>Karen Horsman et Peter Juk, c.r., pour l’intimée Sa Majesté la Reine (C.-B.)</w:t>
      </w:r>
    </w:p>
    <w:p w:rsidR="003C5FED" w:rsidRPr="00DB6642" w:rsidRDefault="003C5FED" w:rsidP="003C5FED">
      <w:pPr>
        <w:widowControl w:val="0"/>
        <w:ind w:left="2880" w:hanging="2880"/>
        <w:jc w:val="both"/>
        <w:rPr>
          <w:sz w:val="20"/>
          <w:szCs w:val="20"/>
          <w:lang w:val="fr-CA"/>
        </w:rPr>
      </w:pPr>
      <w:r>
        <w:rPr>
          <w:sz w:val="20"/>
          <w:szCs w:val="20"/>
          <w:lang w:val="fr-CA"/>
        </w:rPr>
        <w:tab/>
      </w:r>
      <w:r w:rsidRPr="00DB6642">
        <w:rPr>
          <w:sz w:val="20"/>
          <w:szCs w:val="20"/>
          <w:lang w:val="fr-CA"/>
        </w:rPr>
        <w:t>Mitchell R. Taylor, c.r., et Susanne G. Pereira, pour l’intimé le procureur général du Canada</w:t>
      </w:r>
    </w:p>
    <w:p w:rsidR="00DD7981" w:rsidRDefault="00DD7981" w:rsidP="00DD7981">
      <w:pPr>
        <w:tabs>
          <w:tab w:val="left" w:pos="-1440"/>
          <w:tab w:val="left" w:pos="-720"/>
        </w:tabs>
        <w:jc w:val="both"/>
        <w:rPr>
          <w:sz w:val="20"/>
          <w:szCs w:val="20"/>
          <w:lang w:val="fr-CA"/>
        </w:rPr>
      </w:pPr>
    </w:p>
    <w:p w:rsidR="00DD7981" w:rsidRDefault="00714478" w:rsidP="00DD7981">
      <w:pPr>
        <w:tabs>
          <w:tab w:val="left" w:pos="-1440"/>
          <w:tab w:val="left" w:pos="-720"/>
        </w:tabs>
        <w:jc w:val="both"/>
        <w:rPr>
          <w:sz w:val="20"/>
          <w:szCs w:val="20"/>
          <w:lang w:val="fr-CA"/>
        </w:rPr>
      </w:pPr>
      <w:r>
        <w:rPr>
          <w:sz w:val="20"/>
          <w:szCs w:val="20"/>
          <w:lang w:val="fr-CA"/>
        </w:rPr>
        <w:pict>
          <v:rect id="_x0000_i1106" style="width:2in;height:1pt" o:hrpct="0" o:hralign="center" o:hrstd="t" o:hrnoshade="t" o:hr="t" fillcolor="black [3213]" stroked="f"/>
        </w:pict>
      </w:r>
    </w:p>
    <w:p w:rsidR="00DD7981" w:rsidRPr="00DD0B49" w:rsidRDefault="00DD7981" w:rsidP="00DD7981">
      <w:pPr>
        <w:tabs>
          <w:tab w:val="left" w:pos="-1440"/>
          <w:tab w:val="left" w:pos="-720"/>
        </w:tabs>
        <w:jc w:val="both"/>
        <w:rPr>
          <w:sz w:val="20"/>
          <w:szCs w:val="20"/>
          <w:lang w:val="fr-CA"/>
        </w:rPr>
      </w:pPr>
    </w:p>
    <w:p w:rsidR="00DD7981" w:rsidRDefault="00DD7981">
      <w:pPr>
        <w:rPr>
          <w:sz w:val="20"/>
          <w:szCs w:val="20"/>
          <w:lang w:val="fr-CA"/>
        </w:rPr>
      </w:pPr>
    </w:p>
    <w:p w:rsidR="00DD7981" w:rsidRDefault="00DD7981">
      <w:pPr>
        <w:rPr>
          <w:sz w:val="20"/>
          <w:szCs w:val="20"/>
          <w:lang w:val="fr-CA"/>
        </w:rPr>
      </w:pPr>
      <w:r>
        <w:rPr>
          <w:sz w:val="20"/>
          <w:szCs w:val="20"/>
          <w:lang w:val="fr-CA"/>
        </w:rPr>
        <w:br w:type="page"/>
      </w:r>
    </w:p>
    <w:p w:rsidR="00D41067" w:rsidRPr="00837847" w:rsidRDefault="00A4467E" w:rsidP="00D41067">
      <w:pPr>
        <w:widowControl w:val="0"/>
        <w:ind w:left="720" w:hanging="720"/>
        <w:jc w:val="both"/>
        <w:rPr>
          <w:sz w:val="20"/>
          <w:szCs w:val="20"/>
        </w:rPr>
      </w:pPr>
      <w:r w:rsidRPr="00837847">
        <w:rPr>
          <w:b/>
          <w:sz w:val="20"/>
          <w:szCs w:val="20"/>
        </w:rPr>
        <w:lastRenderedPageBreak/>
        <w:fldChar w:fldCharType="begin"/>
      </w:r>
      <w:r w:rsidR="00D41067" w:rsidRPr="00837847">
        <w:rPr>
          <w:b/>
          <w:sz w:val="20"/>
          <w:szCs w:val="20"/>
        </w:rPr>
        <w:instrText xml:space="preserve"> SEQ CHAPTER \h \r 1</w:instrText>
      </w:r>
      <w:r w:rsidRPr="00837847">
        <w:rPr>
          <w:b/>
          <w:sz w:val="20"/>
          <w:szCs w:val="20"/>
        </w:rPr>
        <w:fldChar w:fldCharType="end"/>
      </w:r>
      <w:r w:rsidR="00D41067" w:rsidRPr="00837847">
        <w:rPr>
          <w:b/>
          <w:sz w:val="20"/>
          <w:szCs w:val="20"/>
        </w:rPr>
        <w:t>35664</w:t>
      </w:r>
      <w:r w:rsidR="00D41067" w:rsidRPr="00837847">
        <w:rPr>
          <w:sz w:val="20"/>
          <w:szCs w:val="20"/>
        </w:rPr>
        <w:tab/>
      </w:r>
      <w:r w:rsidR="00D41067" w:rsidRPr="00837847">
        <w:rPr>
          <w:b/>
          <w:i/>
          <w:sz w:val="20"/>
          <w:szCs w:val="20"/>
        </w:rPr>
        <w:t>Her Majesty the Queen v. Mark Edward Grant</w:t>
      </w:r>
    </w:p>
    <w:p w:rsidR="00D41067" w:rsidRPr="00837847" w:rsidRDefault="00D41067" w:rsidP="00D41067">
      <w:pPr>
        <w:widowControl w:val="0"/>
        <w:jc w:val="both"/>
        <w:rPr>
          <w:sz w:val="20"/>
          <w:szCs w:val="20"/>
        </w:rPr>
      </w:pPr>
    </w:p>
    <w:p w:rsidR="00D41067" w:rsidRPr="00837847" w:rsidRDefault="00D41067" w:rsidP="00D41067">
      <w:pPr>
        <w:widowControl w:val="0"/>
        <w:jc w:val="both"/>
        <w:rPr>
          <w:sz w:val="20"/>
          <w:szCs w:val="20"/>
        </w:rPr>
      </w:pPr>
      <w:r w:rsidRPr="00837847">
        <w:rPr>
          <w:sz w:val="20"/>
          <w:szCs w:val="20"/>
        </w:rPr>
        <w:t>Criminal law - Evidence - Unknown third party suspect - Similar fact evidence - Whether the Manitoba Court of Appeal erred in overturning the trial judge’s decision not to admit the evidence of an alleged, unknown third party suspect?</w:t>
      </w:r>
    </w:p>
    <w:p w:rsidR="00D41067" w:rsidRPr="00837847" w:rsidRDefault="00D41067" w:rsidP="00D41067">
      <w:pPr>
        <w:widowControl w:val="0"/>
        <w:jc w:val="both"/>
        <w:rPr>
          <w:sz w:val="20"/>
          <w:szCs w:val="20"/>
        </w:rPr>
      </w:pPr>
    </w:p>
    <w:p w:rsidR="00D41067" w:rsidRPr="00837847" w:rsidRDefault="00D41067" w:rsidP="00D41067">
      <w:pPr>
        <w:jc w:val="both"/>
        <w:rPr>
          <w:sz w:val="20"/>
          <w:szCs w:val="20"/>
        </w:rPr>
      </w:pPr>
      <w:r w:rsidRPr="00837847">
        <w:rPr>
          <w:sz w:val="20"/>
          <w:szCs w:val="20"/>
        </w:rPr>
        <w:t xml:space="preserve">Mr. Grant was convicted by judge and jury of second degree murder. On November 30, 1984, Candace Derksen, 13 years old, went missing after school and was never again seen alive. Her body was discovered on January 17, 1985, hogtied and frozen, in a shed in an industrial yard. She had died of hypothermia as a result of exposure. No one was arrested in connection with her death until May 16, 2007, when Mr. Grant was arrested and charged with first degree murder on the basis of newly obtained DNA testing. During the trial, a </w:t>
      </w:r>
      <w:r w:rsidRPr="00837847">
        <w:rPr>
          <w:i/>
          <w:sz w:val="20"/>
          <w:szCs w:val="20"/>
        </w:rPr>
        <w:t>voir dire</w:t>
      </w:r>
      <w:r w:rsidRPr="00837847">
        <w:rPr>
          <w:sz w:val="20"/>
          <w:szCs w:val="20"/>
        </w:rPr>
        <w:t xml:space="preserve"> was held with respect to whether Mr. Grant could adduce evidence of an alleged, unknown third party suspect. That evidence related to an alleged abduction of P.W. on September 6, 1985, some nine months after Ms. Derksen’s body was found and while Mr. Grant was in custody. It was argued that the </w:t>
      </w:r>
      <w:r w:rsidRPr="00837847">
        <w:rPr>
          <w:i/>
          <w:sz w:val="20"/>
          <w:szCs w:val="20"/>
        </w:rPr>
        <w:t>modus operandi</w:t>
      </w:r>
      <w:r w:rsidRPr="00837847">
        <w:rPr>
          <w:sz w:val="20"/>
          <w:szCs w:val="20"/>
        </w:rPr>
        <w:t xml:space="preserve"> and other physical evidence suggested that the same person had abducted both P.W. and Ms. Derksen.</w:t>
      </w:r>
    </w:p>
    <w:p w:rsidR="00D41067" w:rsidRPr="00837847" w:rsidRDefault="00D41067" w:rsidP="00D41067">
      <w:pPr>
        <w:widowControl w:val="0"/>
        <w:jc w:val="both"/>
        <w:rPr>
          <w:sz w:val="20"/>
          <w:szCs w:val="20"/>
        </w:rPr>
      </w:pPr>
    </w:p>
    <w:p w:rsidR="00D41067" w:rsidRPr="00837847" w:rsidRDefault="00D41067" w:rsidP="00D41067">
      <w:pPr>
        <w:widowControl w:val="0"/>
        <w:jc w:val="both"/>
        <w:rPr>
          <w:sz w:val="20"/>
          <w:szCs w:val="20"/>
        </w:rPr>
      </w:pPr>
    </w:p>
    <w:p w:rsidR="00D41067" w:rsidRPr="00837847" w:rsidRDefault="00D41067" w:rsidP="00D41067">
      <w:pPr>
        <w:widowControl w:val="0"/>
        <w:ind w:left="2880" w:hanging="2880"/>
        <w:jc w:val="both"/>
        <w:rPr>
          <w:sz w:val="20"/>
          <w:szCs w:val="20"/>
        </w:rPr>
      </w:pPr>
      <w:r w:rsidRPr="00837847">
        <w:rPr>
          <w:sz w:val="20"/>
          <w:szCs w:val="20"/>
        </w:rPr>
        <w:t>Origin of the case:</w:t>
      </w:r>
      <w:r w:rsidRPr="00837847">
        <w:rPr>
          <w:sz w:val="20"/>
          <w:szCs w:val="20"/>
        </w:rPr>
        <w:tab/>
        <w:t>Manitoba Court of Appeal</w:t>
      </w:r>
    </w:p>
    <w:p w:rsidR="00D41067" w:rsidRPr="00837847" w:rsidRDefault="00D41067" w:rsidP="00D41067">
      <w:pPr>
        <w:widowControl w:val="0"/>
        <w:ind w:left="2880" w:hanging="2880"/>
        <w:jc w:val="both"/>
        <w:rPr>
          <w:sz w:val="20"/>
          <w:szCs w:val="20"/>
        </w:rPr>
      </w:pPr>
    </w:p>
    <w:p w:rsidR="00D41067" w:rsidRPr="00837847" w:rsidRDefault="00D41067" w:rsidP="00D41067">
      <w:pPr>
        <w:widowControl w:val="0"/>
        <w:ind w:left="2880" w:hanging="2880"/>
        <w:jc w:val="both"/>
        <w:rPr>
          <w:sz w:val="20"/>
          <w:szCs w:val="20"/>
        </w:rPr>
      </w:pPr>
      <w:r w:rsidRPr="00837847">
        <w:rPr>
          <w:sz w:val="20"/>
          <w:szCs w:val="20"/>
        </w:rPr>
        <w:t>File No.:</w:t>
      </w:r>
      <w:r w:rsidRPr="00837847">
        <w:rPr>
          <w:sz w:val="20"/>
          <w:szCs w:val="20"/>
        </w:rPr>
        <w:tab/>
        <w:t>35664</w:t>
      </w:r>
    </w:p>
    <w:p w:rsidR="00D41067" w:rsidRPr="00837847" w:rsidRDefault="00D41067" w:rsidP="00D41067">
      <w:pPr>
        <w:widowControl w:val="0"/>
        <w:ind w:left="2880" w:hanging="2880"/>
        <w:jc w:val="both"/>
        <w:rPr>
          <w:sz w:val="20"/>
          <w:szCs w:val="20"/>
        </w:rPr>
      </w:pPr>
    </w:p>
    <w:p w:rsidR="00D41067" w:rsidRPr="00837847" w:rsidRDefault="00D41067" w:rsidP="00D41067">
      <w:pPr>
        <w:widowControl w:val="0"/>
        <w:ind w:left="2880" w:hanging="2880"/>
        <w:jc w:val="both"/>
        <w:rPr>
          <w:sz w:val="20"/>
          <w:szCs w:val="20"/>
        </w:rPr>
      </w:pPr>
      <w:r w:rsidRPr="00837847">
        <w:rPr>
          <w:sz w:val="20"/>
          <w:szCs w:val="20"/>
        </w:rPr>
        <w:t>Judgment of the Court of Appeal:</w:t>
      </w:r>
      <w:r w:rsidRPr="00837847">
        <w:rPr>
          <w:sz w:val="20"/>
          <w:szCs w:val="20"/>
        </w:rPr>
        <w:tab/>
        <w:t>October 30, 2013</w:t>
      </w:r>
    </w:p>
    <w:p w:rsidR="00D41067" w:rsidRPr="00837847" w:rsidRDefault="00D41067" w:rsidP="00D41067">
      <w:pPr>
        <w:widowControl w:val="0"/>
        <w:ind w:left="2880" w:hanging="2880"/>
        <w:jc w:val="both"/>
        <w:rPr>
          <w:sz w:val="20"/>
          <w:szCs w:val="20"/>
        </w:rPr>
      </w:pPr>
    </w:p>
    <w:p w:rsidR="00D41067" w:rsidRPr="00837847" w:rsidRDefault="00D41067" w:rsidP="00D41067">
      <w:pPr>
        <w:shd w:val="clear" w:color="auto" w:fill="FFFFFF"/>
        <w:ind w:left="2880" w:hanging="2880"/>
        <w:rPr>
          <w:sz w:val="20"/>
          <w:szCs w:val="20"/>
        </w:rPr>
      </w:pPr>
      <w:r w:rsidRPr="00837847">
        <w:rPr>
          <w:sz w:val="20"/>
          <w:szCs w:val="20"/>
        </w:rPr>
        <w:t>Counsel:</w:t>
      </w:r>
      <w:r w:rsidRPr="00837847">
        <w:rPr>
          <w:sz w:val="20"/>
          <w:szCs w:val="20"/>
        </w:rPr>
        <w:tab/>
        <w:t>Amiram Kotler and Rekha Malaviya for the Appellant</w:t>
      </w:r>
    </w:p>
    <w:p w:rsidR="00D41067" w:rsidRPr="00837847" w:rsidRDefault="00D41067" w:rsidP="00D41067">
      <w:pPr>
        <w:widowControl w:val="0"/>
        <w:ind w:left="2880" w:hanging="2880"/>
        <w:jc w:val="both"/>
        <w:rPr>
          <w:sz w:val="20"/>
          <w:szCs w:val="20"/>
        </w:rPr>
      </w:pPr>
      <w:r w:rsidRPr="00837847">
        <w:rPr>
          <w:sz w:val="20"/>
          <w:szCs w:val="20"/>
        </w:rPr>
        <w:tab/>
        <w:t>Saul B. Simmonds for the Respondent</w:t>
      </w:r>
    </w:p>
    <w:p w:rsidR="00DD7981" w:rsidRPr="00D41067" w:rsidRDefault="00DD7981" w:rsidP="00DD7981">
      <w:pPr>
        <w:tabs>
          <w:tab w:val="left" w:pos="-1440"/>
          <w:tab w:val="left" w:pos="-720"/>
        </w:tabs>
        <w:jc w:val="both"/>
        <w:rPr>
          <w:sz w:val="20"/>
          <w:szCs w:val="20"/>
        </w:rPr>
      </w:pPr>
    </w:p>
    <w:p w:rsidR="00DD7981" w:rsidRDefault="00714478" w:rsidP="00DD7981">
      <w:pPr>
        <w:tabs>
          <w:tab w:val="left" w:pos="-1440"/>
          <w:tab w:val="left" w:pos="-720"/>
        </w:tabs>
        <w:jc w:val="both"/>
        <w:rPr>
          <w:sz w:val="20"/>
          <w:szCs w:val="20"/>
          <w:lang w:val="fr-CA"/>
        </w:rPr>
      </w:pPr>
      <w:r>
        <w:rPr>
          <w:sz w:val="20"/>
          <w:szCs w:val="20"/>
          <w:lang w:val="fr-CA"/>
        </w:rPr>
        <w:pict>
          <v:rect id="_x0000_i1107" style="width:2in;height:1pt" o:hrpct="0" o:hralign="center" o:hrstd="t" o:hrnoshade="t" o:hr="t" fillcolor="black [3213]" stroked="f"/>
        </w:pict>
      </w:r>
    </w:p>
    <w:p w:rsidR="00DD7981" w:rsidRPr="00DD0B49" w:rsidRDefault="00DD7981" w:rsidP="00DD7981">
      <w:pPr>
        <w:tabs>
          <w:tab w:val="left" w:pos="-1440"/>
          <w:tab w:val="left" w:pos="-720"/>
        </w:tabs>
        <w:jc w:val="both"/>
        <w:rPr>
          <w:sz w:val="20"/>
          <w:szCs w:val="20"/>
          <w:lang w:val="fr-CA"/>
        </w:rPr>
      </w:pPr>
    </w:p>
    <w:p w:rsidR="00DD7981" w:rsidRDefault="00DD7981">
      <w:pPr>
        <w:rPr>
          <w:sz w:val="20"/>
          <w:szCs w:val="20"/>
          <w:lang w:val="fr-CA"/>
        </w:rPr>
      </w:pPr>
      <w:r>
        <w:rPr>
          <w:sz w:val="20"/>
          <w:szCs w:val="20"/>
          <w:lang w:val="fr-CA"/>
        </w:rPr>
        <w:br w:type="page"/>
      </w:r>
    </w:p>
    <w:p w:rsidR="00720754" w:rsidRPr="00ED363D" w:rsidRDefault="00A4467E" w:rsidP="00720754">
      <w:pPr>
        <w:widowControl w:val="0"/>
        <w:ind w:left="720" w:hanging="720"/>
        <w:jc w:val="both"/>
        <w:rPr>
          <w:sz w:val="20"/>
          <w:szCs w:val="20"/>
          <w:lang w:val="fr-CA"/>
        </w:rPr>
      </w:pPr>
      <w:r w:rsidRPr="00ED363D">
        <w:rPr>
          <w:b/>
          <w:sz w:val="20"/>
          <w:szCs w:val="20"/>
          <w:lang w:val="fr-CA"/>
        </w:rPr>
        <w:lastRenderedPageBreak/>
        <w:fldChar w:fldCharType="begin"/>
      </w:r>
      <w:r w:rsidR="00720754" w:rsidRPr="00ED363D">
        <w:rPr>
          <w:b/>
          <w:sz w:val="20"/>
          <w:szCs w:val="20"/>
          <w:lang w:val="fr-CA"/>
        </w:rPr>
        <w:instrText xml:space="preserve"> SEQ CHAPTER \h \r 1</w:instrText>
      </w:r>
      <w:r w:rsidRPr="00ED363D">
        <w:rPr>
          <w:b/>
          <w:sz w:val="20"/>
          <w:szCs w:val="20"/>
          <w:lang w:val="fr-CA"/>
        </w:rPr>
        <w:fldChar w:fldCharType="end"/>
      </w:r>
      <w:r w:rsidR="00720754" w:rsidRPr="00ED363D">
        <w:rPr>
          <w:b/>
          <w:sz w:val="20"/>
          <w:szCs w:val="20"/>
          <w:lang w:val="fr-CA"/>
        </w:rPr>
        <w:t>35664</w:t>
      </w:r>
      <w:r w:rsidR="00720754" w:rsidRPr="00ED363D">
        <w:rPr>
          <w:sz w:val="20"/>
          <w:szCs w:val="20"/>
          <w:lang w:val="fr-CA"/>
        </w:rPr>
        <w:tab/>
      </w:r>
      <w:r w:rsidR="00720754" w:rsidRPr="00ED363D">
        <w:rPr>
          <w:b/>
          <w:i/>
          <w:sz w:val="20"/>
          <w:szCs w:val="20"/>
          <w:lang w:val="fr-CA"/>
        </w:rPr>
        <w:t>Sa Majesté la Reine c. Mark Edward Grant</w:t>
      </w:r>
    </w:p>
    <w:p w:rsidR="00720754" w:rsidRPr="00ED363D" w:rsidRDefault="00720754" w:rsidP="00720754">
      <w:pPr>
        <w:widowControl w:val="0"/>
        <w:jc w:val="both"/>
        <w:rPr>
          <w:sz w:val="20"/>
          <w:szCs w:val="20"/>
          <w:lang w:val="fr-CA"/>
        </w:rPr>
      </w:pPr>
    </w:p>
    <w:p w:rsidR="00720754" w:rsidRPr="00ED363D" w:rsidRDefault="00720754" w:rsidP="00720754">
      <w:pPr>
        <w:widowControl w:val="0"/>
        <w:jc w:val="both"/>
        <w:rPr>
          <w:sz w:val="20"/>
          <w:szCs w:val="20"/>
          <w:lang w:val="fr-CA"/>
        </w:rPr>
      </w:pPr>
      <w:r w:rsidRPr="00ED363D">
        <w:rPr>
          <w:sz w:val="20"/>
          <w:szCs w:val="20"/>
          <w:lang w:val="fr-CA"/>
        </w:rPr>
        <w:t>Droit criminel - Preuve - Tiers suspect inconnu - Preuve de faits similaires - La Cour d’appel du Manitoba a-t-elle eu tort d’infirmer la décision du juge du procès de ne pas admettre la preuve d’un présumé tiers suspect inconnu?</w:t>
      </w:r>
    </w:p>
    <w:p w:rsidR="00720754" w:rsidRPr="00ED363D" w:rsidRDefault="00720754" w:rsidP="00720754">
      <w:pPr>
        <w:widowControl w:val="0"/>
        <w:jc w:val="both"/>
        <w:rPr>
          <w:sz w:val="20"/>
          <w:szCs w:val="20"/>
          <w:lang w:val="fr-CA"/>
        </w:rPr>
      </w:pPr>
    </w:p>
    <w:p w:rsidR="00720754" w:rsidRPr="00ED363D" w:rsidRDefault="00720754" w:rsidP="00720754">
      <w:pPr>
        <w:jc w:val="both"/>
        <w:rPr>
          <w:sz w:val="20"/>
          <w:szCs w:val="20"/>
          <w:lang w:val="fr-CA"/>
        </w:rPr>
      </w:pPr>
      <w:r w:rsidRPr="00ED363D">
        <w:rPr>
          <w:sz w:val="20"/>
          <w:szCs w:val="20"/>
          <w:lang w:val="fr-CA"/>
        </w:rPr>
        <w:t xml:space="preserve">Monsieur Grant a été déclaré coupable par un juge et un jury de meurtre au deuxième degré.  Le 30 novembre 1984, Candace Derksen, âgée de 13 ans, fut portée disparue après l’école et n’a jamais été revue vivante.  Son corps a été retrouvé le 17 janvier 1985, ligoté et congelé, à l’intérieur d’une remise dans une cour d’usine.  Elle est morte de froid.  Personne n’a été arrêté en lien avec son décès jusqu’au 16 mai 2007, lorsque Monsieur Grant a été arrêté et accusé de meurtre au premier degré sur la foi de tests ADN nouvellement obtenus.  Au procès, un voir-dire a été tenu sur la question de savoir si M. Grant pouvait produire la preuve d’un présumé tiers suspect inconnu.  Cette preuve avait trait à un enlèvement présumé de P.W. le 6 septembre 1987, quelques neuf mois après que le corps de Mlle Derksen fut trouvé et pendant que M. Grant était sous garde.  On a plaidé que le </w:t>
      </w:r>
      <w:r w:rsidRPr="00ED363D">
        <w:rPr>
          <w:i/>
          <w:sz w:val="20"/>
          <w:szCs w:val="20"/>
          <w:lang w:val="fr-CA"/>
        </w:rPr>
        <w:t>modus operandi</w:t>
      </w:r>
      <w:r w:rsidRPr="00ED363D">
        <w:rPr>
          <w:sz w:val="20"/>
          <w:szCs w:val="20"/>
          <w:lang w:val="fr-CA"/>
        </w:rPr>
        <w:t xml:space="preserve"> et d’autres éléments de preuve matérielle laissaient entendre que la même personne avait enlevé P.W. et Mlle Derksen.</w:t>
      </w:r>
    </w:p>
    <w:p w:rsidR="00720754" w:rsidRPr="00ED363D" w:rsidRDefault="00720754" w:rsidP="00720754">
      <w:pPr>
        <w:widowControl w:val="0"/>
        <w:jc w:val="both"/>
        <w:rPr>
          <w:sz w:val="20"/>
          <w:szCs w:val="20"/>
          <w:lang w:val="fr-CA"/>
        </w:rPr>
      </w:pPr>
    </w:p>
    <w:p w:rsidR="00720754" w:rsidRPr="00ED363D" w:rsidRDefault="00720754" w:rsidP="00720754">
      <w:pPr>
        <w:widowControl w:val="0"/>
        <w:jc w:val="both"/>
        <w:rPr>
          <w:sz w:val="20"/>
          <w:szCs w:val="20"/>
          <w:lang w:val="fr-CA"/>
        </w:rPr>
      </w:pPr>
    </w:p>
    <w:p w:rsidR="00720754" w:rsidRPr="00ED363D" w:rsidRDefault="00720754" w:rsidP="00720754">
      <w:pPr>
        <w:widowControl w:val="0"/>
        <w:ind w:left="2880" w:hanging="2880"/>
        <w:jc w:val="both"/>
        <w:rPr>
          <w:sz w:val="20"/>
          <w:szCs w:val="20"/>
          <w:lang w:val="fr-CA"/>
        </w:rPr>
      </w:pPr>
      <w:r w:rsidRPr="00ED363D">
        <w:rPr>
          <w:sz w:val="20"/>
          <w:szCs w:val="20"/>
          <w:lang w:val="fr-CA"/>
        </w:rPr>
        <w:t>Origine :</w:t>
      </w:r>
      <w:r w:rsidRPr="00ED363D">
        <w:rPr>
          <w:sz w:val="20"/>
          <w:szCs w:val="20"/>
          <w:lang w:val="fr-CA"/>
        </w:rPr>
        <w:tab/>
        <w:t>Cour d’appel du Manitoba</w:t>
      </w:r>
    </w:p>
    <w:p w:rsidR="00720754" w:rsidRPr="00ED363D" w:rsidRDefault="00720754" w:rsidP="00720754">
      <w:pPr>
        <w:widowControl w:val="0"/>
        <w:ind w:left="2880" w:hanging="2880"/>
        <w:jc w:val="both"/>
        <w:rPr>
          <w:sz w:val="20"/>
          <w:szCs w:val="20"/>
          <w:lang w:val="fr-CA"/>
        </w:rPr>
      </w:pPr>
    </w:p>
    <w:p w:rsidR="00720754" w:rsidRPr="00ED363D" w:rsidRDefault="00720754" w:rsidP="00720754">
      <w:pPr>
        <w:widowControl w:val="0"/>
        <w:ind w:left="2880" w:hanging="2880"/>
        <w:jc w:val="both"/>
        <w:rPr>
          <w:sz w:val="20"/>
          <w:szCs w:val="20"/>
          <w:lang w:val="fr-CA"/>
        </w:rPr>
      </w:pPr>
      <w:r w:rsidRPr="00ED363D">
        <w:rPr>
          <w:sz w:val="20"/>
          <w:szCs w:val="20"/>
          <w:lang w:val="fr-CA"/>
        </w:rPr>
        <w:t>N</w:t>
      </w:r>
      <w:r w:rsidRPr="00ED363D">
        <w:rPr>
          <w:sz w:val="20"/>
          <w:szCs w:val="20"/>
          <w:vertAlign w:val="superscript"/>
          <w:lang w:val="fr-CA"/>
        </w:rPr>
        <w:t>o</w:t>
      </w:r>
      <w:r w:rsidRPr="00ED363D">
        <w:rPr>
          <w:sz w:val="20"/>
          <w:szCs w:val="20"/>
          <w:lang w:val="fr-CA"/>
        </w:rPr>
        <w:t xml:space="preserve"> du greffe :</w:t>
      </w:r>
      <w:r w:rsidRPr="00ED363D">
        <w:rPr>
          <w:sz w:val="20"/>
          <w:szCs w:val="20"/>
          <w:lang w:val="fr-CA"/>
        </w:rPr>
        <w:tab/>
        <w:t>35664</w:t>
      </w:r>
    </w:p>
    <w:p w:rsidR="00720754" w:rsidRPr="00ED363D" w:rsidRDefault="00720754" w:rsidP="00720754">
      <w:pPr>
        <w:widowControl w:val="0"/>
        <w:ind w:left="2880" w:hanging="2880"/>
        <w:jc w:val="both"/>
        <w:rPr>
          <w:sz w:val="20"/>
          <w:szCs w:val="20"/>
          <w:lang w:val="fr-CA"/>
        </w:rPr>
      </w:pPr>
    </w:p>
    <w:p w:rsidR="00720754" w:rsidRPr="00ED363D" w:rsidRDefault="00720754" w:rsidP="00720754">
      <w:pPr>
        <w:widowControl w:val="0"/>
        <w:ind w:left="2880" w:hanging="2880"/>
        <w:jc w:val="both"/>
        <w:rPr>
          <w:sz w:val="20"/>
          <w:szCs w:val="20"/>
          <w:lang w:val="fr-CA"/>
        </w:rPr>
      </w:pPr>
      <w:r w:rsidRPr="00ED363D">
        <w:rPr>
          <w:sz w:val="20"/>
          <w:szCs w:val="20"/>
          <w:lang w:val="fr-CA"/>
        </w:rPr>
        <w:t>Arrêt de la Cour d’appel :</w:t>
      </w:r>
      <w:r w:rsidRPr="00ED363D">
        <w:rPr>
          <w:sz w:val="20"/>
          <w:szCs w:val="20"/>
          <w:lang w:val="fr-CA"/>
        </w:rPr>
        <w:tab/>
        <w:t>le 30 octobre 2013</w:t>
      </w:r>
    </w:p>
    <w:p w:rsidR="00720754" w:rsidRPr="00ED363D" w:rsidRDefault="00720754" w:rsidP="00720754">
      <w:pPr>
        <w:widowControl w:val="0"/>
        <w:ind w:left="2880" w:hanging="2880"/>
        <w:jc w:val="both"/>
        <w:rPr>
          <w:sz w:val="20"/>
          <w:szCs w:val="20"/>
          <w:lang w:val="fr-CA"/>
        </w:rPr>
      </w:pPr>
    </w:p>
    <w:p w:rsidR="00720754" w:rsidRPr="00ED363D" w:rsidRDefault="00720754" w:rsidP="00720754">
      <w:pPr>
        <w:shd w:val="clear" w:color="auto" w:fill="FFFFFF"/>
        <w:ind w:left="2880" w:hanging="2880"/>
        <w:rPr>
          <w:sz w:val="20"/>
          <w:szCs w:val="20"/>
          <w:lang w:val="fr-CA"/>
        </w:rPr>
      </w:pPr>
      <w:r w:rsidRPr="00ED363D">
        <w:rPr>
          <w:sz w:val="20"/>
          <w:szCs w:val="20"/>
          <w:lang w:val="fr-CA"/>
        </w:rPr>
        <w:t>Avocats :</w:t>
      </w:r>
      <w:r w:rsidRPr="00ED363D">
        <w:rPr>
          <w:sz w:val="20"/>
          <w:szCs w:val="20"/>
          <w:lang w:val="fr-CA"/>
        </w:rPr>
        <w:tab/>
        <w:t>Amiram Kotler et Rekha Malaviya pour l’appelante</w:t>
      </w:r>
    </w:p>
    <w:p w:rsidR="00720754" w:rsidRPr="00ED363D" w:rsidRDefault="00720754" w:rsidP="00720754">
      <w:pPr>
        <w:widowControl w:val="0"/>
        <w:ind w:left="2880" w:hanging="2880"/>
        <w:jc w:val="both"/>
        <w:rPr>
          <w:sz w:val="20"/>
          <w:szCs w:val="20"/>
          <w:lang w:val="fr-CA"/>
        </w:rPr>
      </w:pPr>
      <w:r w:rsidRPr="00ED363D">
        <w:rPr>
          <w:sz w:val="20"/>
          <w:szCs w:val="20"/>
          <w:lang w:val="fr-CA"/>
        </w:rPr>
        <w:tab/>
        <w:t>Saul B. Simmonds pour l’intimé</w:t>
      </w:r>
    </w:p>
    <w:p w:rsidR="00DD7981" w:rsidRDefault="00DD7981" w:rsidP="00DD7981">
      <w:pPr>
        <w:tabs>
          <w:tab w:val="left" w:pos="-1440"/>
          <w:tab w:val="left" w:pos="-720"/>
        </w:tabs>
        <w:jc w:val="both"/>
        <w:rPr>
          <w:sz w:val="20"/>
          <w:szCs w:val="20"/>
          <w:lang w:val="fr-CA"/>
        </w:rPr>
      </w:pPr>
    </w:p>
    <w:p w:rsidR="00DD7981" w:rsidRDefault="00714478" w:rsidP="00DD7981">
      <w:pPr>
        <w:tabs>
          <w:tab w:val="left" w:pos="-1440"/>
          <w:tab w:val="left" w:pos="-720"/>
        </w:tabs>
        <w:jc w:val="both"/>
        <w:rPr>
          <w:sz w:val="20"/>
          <w:szCs w:val="20"/>
          <w:lang w:val="fr-CA"/>
        </w:rPr>
      </w:pPr>
      <w:r>
        <w:rPr>
          <w:sz w:val="20"/>
          <w:szCs w:val="20"/>
          <w:lang w:val="fr-CA"/>
        </w:rPr>
        <w:pict>
          <v:rect id="_x0000_i1108" style="width:2in;height:1pt" o:hrpct="0" o:hralign="center" o:hrstd="t" o:hrnoshade="t" o:hr="t" fillcolor="black [3213]" stroked="f"/>
        </w:pict>
      </w:r>
    </w:p>
    <w:p w:rsidR="00DD7981" w:rsidRPr="00DD0B49" w:rsidRDefault="00DD7981" w:rsidP="00DD7981">
      <w:pPr>
        <w:tabs>
          <w:tab w:val="left" w:pos="-1440"/>
          <w:tab w:val="left" w:pos="-720"/>
        </w:tabs>
        <w:jc w:val="both"/>
        <w:rPr>
          <w:sz w:val="20"/>
          <w:szCs w:val="20"/>
          <w:lang w:val="fr-CA"/>
        </w:rPr>
      </w:pPr>
    </w:p>
    <w:p w:rsidR="00DD7981" w:rsidRDefault="00DD7981">
      <w:pPr>
        <w:rPr>
          <w:sz w:val="20"/>
          <w:szCs w:val="20"/>
          <w:lang w:val="fr-CA"/>
        </w:rPr>
      </w:pPr>
      <w:r>
        <w:rPr>
          <w:sz w:val="20"/>
          <w:szCs w:val="20"/>
          <w:lang w:val="fr-CA"/>
        </w:rPr>
        <w:br w:type="page"/>
      </w:r>
    </w:p>
    <w:p w:rsidR="00810D62" w:rsidRPr="007100B6" w:rsidRDefault="00A4467E" w:rsidP="00FC7ECC">
      <w:pPr>
        <w:widowControl w:val="0"/>
        <w:ind w:left="720" w:hanging="720"/>
        <w:jc w:val="both"/>
        <w:rPr>
          <w:sz w:val="20"/>
          <w:szCs w:val="20"/>
        </w:rPr>
      </w:pPr>
      <w:r w:rsidRPr="007100B6">
        <w:rPr>
          <w:b/>
          <w:sz w:val="20"/>
          <w:szCs w:val="20"/>
        </w:rPr>
        <w:lastRenderedPageBreak/>
        <w:fldChar w:fldCharType="begin"/>
      </w:r>
      <w:r w:rsidR="00810D62" w:rsidRPr="007100B6">
        <w:rPr>
          <w:b/>
          <w:sz w:val="20"/>
          <w:szCs w:val="20"/>
        </w:rPr>
        <w:instrText xml:space="preserve"> SEQ CHAPTER \h \r 1</w:instrText>
      </w:r>
      <w:r w:rsidRPr="007100B6">
        <w:rPr>
          <w:b/>
          <w:sz w:val="20"/>
          <w:szCs w:val="20"/>
        </w:rPr>
        <w:fldChar w:fldCharType="end"/>
      </w:r>
      <w:r w:rsidR="00810D62" w:rsidRPr="007100B6">
        <w:rPr>
          <w:b/>
          <w:sz w:val="20"/>
          <w:szCs w:val="20"/>
        </w:rPr>
        <w:t>35804</w:t>
      </w:r>
      <w:r w:rsidR="00810D62" w:rsidRPr="007100B6">
        <w:rPr>
          <w:sz w:val="20"/>
          <w:szCs w:val="20"/>
        </w:rPr>
        <w:tab/>
      </w:r>
      <w:r w:rsidR="00810D62" w:rsidRPr="007100B6">
        <w:rPr>
          <w:b/>
          <w:i/>
          <w:sz w:val="20"/>
          <w:szCs w:val="20"/>
        </w:rPr>
        <w:t>Brandon Wills v. Her Majesty the Queen</w:t>
      </w:r>
    </w:p>
    <w:p w:rsidR="00810D62" w:rsidRPr="007100B6" w:rsidRDefault="00810D62" w:rsidP="00810D62">
      <w:pPr>
        <w:widowControl w:val="0"/>
        <w:jc w:val="both"/>
        <w:rPr>
          <w:sz w:val="20"/>
          <w:szCs w:val="20"/>
        </w:rPr>
      </w:pPr>
    </w:p>
    <w:p w:rsidR="00810D62" w:rsidRPr="007100B6" w:rsidRDefault="00810D62" w:rsidP="00810D62">
      <w:pPr>
        <w:widowControl w:val="0"/>
        <w:jc w:val="both"/>
        <w:rPr>
          <w:sz w:val="20"/>
          <w:szCs w:val="20"/>
        </w:rPr>
      </w:pPr>
      <w:r w:rsidRPr="007100B6">
        <w:rPr>
          <w:sz w:val="20"/>
          <w:szCs w:val="20"/>
        </w:rPr>
        <w:t>Criminal law - Reasonable verdict - Whether, given the frailties of the circumstantial evidence, the guilty verdict was one that a properly instructed jury, acting judicially, could properly have rendered.</w:t>
      </w:r>
    </w:p>
    <w:p w:rsidR="00810D62" w:rsidRPr="007100B6" w:rsidRDefault="00810D62" w:rsidP="00810D62">
      <w:pPr>
        <w:widowControl w:val="0"/>
        <w:jc w:val="both"/>
        <w:rPr>
          <w:sz w:val="20"/>
          <w:szCs w:val="20"/>
        </w:rPr>
      </w:pPr>
    </w:p>
    <w:p w:rsidR="00810D62" w:rsidRPr="007100B6" w:rsidRDefault="00810D62" w:rsidP="00810D62">
      <w:pPr>
        <w:widowControl w:val="0"/>
        <w:jc w:val="both"/>
        <w:rPr>
          <w:sz w:val="20"/>
          <w:szCs w:val="20"/>
        </w:rPr>
      </w:pPr>
      <w:r w:rsidRPr="007100B6">
        <w:rPr>
          <w:sz w:val="20"/>
          <w:szCs w:val="20"/>
        </w:rPr>
        <w:t>The appellant was convicted of robbery with a firearm, unlawful confinement, disguise with intent to commit an indictable offence, and possession of a weapon for the purpose of committing an indictable offence.  At trial, identity was the central issue.  Neither victim of the home invasion could identify the appellant.  The Crown’s case rested on circumstantial evidence.  The appellant appealed his conviction, arguing, among other things, that the verdict was unreasonable.  A majority of the Court of Appeal dismissed the appeal.  Pepall, J.A., dissenting, would have allowed the appeal, set aside the conviction and entered acquittals on all charges.  In her view, the Crown’s evidence, which amounted to inconclusive DNA evidence coupled with a baton found in the appellant’s residence which could not be connected to the crime scene, could not support a conclusion that the appellant was the perpetrator of the crimes.</w:t>
      </w:r>
    </w:p>
    <w:p w:rsidR="00810D62" w:rsidRPr="007100B6" w:rsidRDefault="00810D62" w:rsidP="00810D62">
      <w:pPr>
        <w:widowControl w:val="0"/>
        <w:jc w:val="both"/>
        <w:rPr>
          <w:sz w:val="20"/>
          <w:szCs w:val="20"/>
        </w:rPr>
      </w:pPr>
    </w:p>
    <w:p w:rsidR="00810D62" w:rsidRPr="007100B6" w:rsidRDefault="00810D62" w:rsidP="00810D62">
      <w:pPr>
        <w:widowControl w:val="0"/>
        <w:jc w:val="both"/>
        <w:rPr>
          <w:sz w:val="20"/>
          <w:szCs w:val="20"/>
        </w:rPr>
      </w:pPr>
    </w:p>
    <w:p w:rsidR="00810D62" w:rsidRPr="007100B6" w:rsidRDefault="00810D62" w:rsidP="00810D62">
      <w:pPr>
        <w:widowControl w:val="0"/>
        <w:ind w:left="2880" w:hanging="2880"/>
        <w:jc w:val="both"/>
        <w:rPr>
          <w:sz w:val="20"/>
          <w:szCs w:val="20"/>
        </w:rPr>
      </w:pPr>
      <w:r w:rsidRPr="007100B6">
        <w:rPr>
          <w:sz w:val="20"/>
          <w:szCs w:val="20"/>
        </w:rPr>
        <w:t>Origin of the case:</w:t>
      </w:r>
      <w:r w:rsidRPr="007100B6">
        <w:rPr>
          <w:sz w:val="20"/>
          <w:szCs w:val="20"/>
        </w:rPr>
        <w:tab/>
        <w:t>Ontario</w:t>
      </w:r>
    </w:p>
    <w:p w:rsidR="00810D62" w:rsidRPr="007100B6" w:rsidRDefault="00810D62" w:rsidP="00810D62">
      <w:pPr>
        <w:widowControl w:val="0"/>
        <w:ind w:left="2880" w:hanging="2880"/>
        <w:jc w:val="both"/>
        <w:rPr>
          <w:sz w:val="20"/>
          <w:szCs w:val="20"/>
        </w:rPr>
      </w:pPr>
    </w:p>
    <w:p w:rsidR="00810D62" w:rsidRPr="007100B6" w:rsidRDefault="00810D62" w:rsidP="00810D62">
      <w:pPr>
        <w:widowControl w:val="0"/>
        <w:ind w:left="2880" w:hanging="2880"/>
        <w:jc w:val="both"/>
        <w:rPr>
          <w:sz w:val="20"/>
          <w:szCs w:val="20"/>
        </w:rPr>
      </w:pPr>
      <w:r w:rsidRPr="007100B6">
        <w:rPr>
          <w:sz w:val="20"/>
          <w:szCs w:val="20"/>
        </w:rPr>
        <w:t>File No.:</w:t>
      </w:r>
      <w:r w:rsidRPr="007100B6">
        <w:rPr>
          <w:sz w:val="20"/>
          <w:szCs w:val="20"/>
        </w:rPr>
        <w:tab/>
        <w:t>35804</w:t>
      </w:r>
    </w:p>
    <w:p w:rsidR="00810D62" w:rsidRPr="007100B6" w:rsidRDefault="00810D62" w:rsidP="00810D62">
      <w:pPr>
        <w:widowControl w:val="0"/>
        <w:ind w:left="2880" w:hanging="2880"/>
        <w:jc w:val="both"/>
        <w:rPr>
          <w:sz w:val="20"/>
          <w:szCs w:val="20"/>
        </w:rPr>
      </w:pPr>
    </w:p>
    <w:p w:rsidR="00810D62" w:rsidRPr="007100B6" w:rsidRDefault="00810D62" w:rsidP="00810D62">
      <w:pPr>
        <w:widowControl w:val="0"/>
        <w:ind w:left="2880" w:hanging="2880"/>
        <w:jc w:val="both"/>
        <w:rPr>
          <w:sz w:val="20"/>
          <w:szCs w:val="20"/>
        </w:rPr>
      </w:pPr>
      <w:r w:rsidRPr="007100B6">
        <w:rPr>
          <w:sz w:val="20"/>
          <w:szCs w:val="20"/>
        </w:rPr>
        <w:t>Judgment of the Court of Appeal:</w:t>
      </w:r>
      <w:r w:rsidRPr="007100B6">
        <w:rPr>
          <w:sz w:val="20"/>
          <w:szCs w:val="20"/>
        </w:rPr>
        <w:tab/>
        <w:t>March 7, 2014</w:t>
      </w:r>
    </w:p>
    <w:p w:rsidR="00810D62" w:rsidRPr="007100B6" w:rsidRDefault="00810D62" w:rsidP="00810D62">
      <w:pPr>
        <w:widowControl w:val="0"/>
        <w:ind w:left="2880" w:hanging="2880"/>
        <w:jc w:val="both"/>
        <w:rPr>
          <w:sz w:val="20"/>
          <w:szCs w:val="20"/>
        </w:rPr>
      </w:pPr>
    </w:p>
    <w:p w:rsidR="00810D62" w:rsidRPr="007100B6" w:rsidRDefault="00810D62" w:rsidP="00810D62">
      <w:pPr>
        <w:widowControl w:val="0"/>
        <w:ind w:left="2880" w:hanging="2880"/>
        <w:jc w:val="both"/>
        <w:rPr>
          <w:sz w:val="20"/>
          <w:szCs w:val="20"/>
        </w:rPr>
      </w:pPr>
      <w:r w:rsidRPr="007100B6">
        <w:rPr>
          <w:sz w:val="20"/>
          <w:szCs w:val="20"/>
        </w:rPr>
        <w:t>Counsel:</w:t>
      </w:r>
      <w:r w:rsidRPr="007100B6">
        <w:rPr>
          <w:sz w:val="20"/>
          <w:szCs w:val="20"/>
        </w:rPr>
        <w:tab/>
        <w:t>Edward H. Royle for the appellant</w:t>
      </w:r>
    </w:p>
    <w:p w:rsidR="00810D62" w:rsidRPr="007100B6" w:rsidRDefault="00810D62" w:rsidP="00810D62">
      <w:pPr>
        <w:widowControl w:val="0"/>
        <w:ind w:left="2880" w:hanging="2880"/>
        <w:jc w:val="both"/>
        <w:rPr>
          <w:sz w:val="20"/>
          <w:szCs w:val="20"/>
        </w:rPr>
      </w:pPr>
      <w:r w:rsidRPr="007100B6">
        <w:rPr>
          <w:sz w:val="20"/>
          <w:szCs w:val="20"/>
        </w:rPr>
        <w:tab/>
        <w:t>David Lepofsky for the respondent</w:t>
      </w:r>
    </w:p>
    <w:p w:rsidR="00DD7981" w:rsidRPr="00FC7ECC" w:rsidRDefault="00DD7981" w:rsidP="00DD7981">
      <w:pPr>
        <w:tabs>
          <w:tab w:val="left" w:pos="-1440"/>
          <w:tab w:val="left" w:pos="-720"/>
        </w:tabs>
        <w:jc w:val="both"/>
        <w:rPr>
          <w:sz w:val="20"/>
          <w:szCs w:val="20"/>
        </w:rPr>
      </w:pPr>
    </w:p>
    <w:p w:rsidR="00DD7981" w:rsidRDefault="00714478" w:rsidP="00DD7981">
      <w:pPr>
        <w:tabs>
          <w:tab w:val="left" w:pos="-1440"/>
          <w:tab w:val="left" w:pos="-720"/>
        </w:tabs>
        <w:jc w:val="both"/>
        <w:rPr>
          <w:sz w:val="20"/>
          <w:szCs w:val="20"/>
          <w:lang w:val="fr-CA"/>
        </w:rPr>
      </w:pPr>
      <w:r>
        <w:rPr>
          <w:sz w:val="20"/>
          <w:szCs w:val="20"/>
          <w:lang w:val="fr-CA"/>
        </w:rPr>
        <w:pict>
          <v:rect id="_x0000_i1109" style="width:2in;height:1pt" o:hrpct="0" o:hralign="center" o:hrstd="t" o:hrnoshade="t" o:hr="t" fillcolor="black [3213]" stroked="f"/>
        </w:pict>
      </w:r>
    </w:p>
    <w:p w:rsidR="00DD7981" w:rsidRPr="00DD0B49" w:rsidRDefault="00DD7981" w:rsidP="00DD7981">
      <w:pPr>
        <w:tabs>
          <w:tab w:val="left" w:pos="-1440"/>
          <w:tab w:val="left" w:pos="-720"/>
        </w:tabs>
        <w:jc w:val="both"/>
        <w:rPr>
          <w:sz w:val="20"/>
          <w:szCs w:val="20"/>
          <w:lang w:val="fr-CA"/>
        </w:rPr>
      </w:pPr>
    </w:p>
    <w:p w:rsidR="00DD7981" w:rsidRDefault="00DD7981">
      <w:pPr>
        <w:rPr>
          <w:sz w:val="20"/>
          <w:szCs w:val="20"/>
          <w:lang w:val="fr-CA"/>
        </w:rPr>
      </w:pPr>
      <w:r>
        <w:rPr>
          <w:sz w:val="20"/>
          <w:szCs w:val="20"/>
          <w:lang w:val="fr-CA"/>
        </w:rPr>
        <w:br w:type="page"/>
      </w:r>
    </w:p>
    <w:p w:rsidR="00FC7ECC" w:rsidRPr="00661D4D" w:rsidRDefault="00A4467E" w:rsidP="00FC7ECC">
      <w:pPr>
        <w:widowControl w:val="0"/>
        <w:ind w:left="720" w:hanging="720"/>
        <w:jc w:val="both"/>
        <w:rPr>
          <w:sz w:val="20"/>
          <w:szCs w:val="20"/>
          <w:lang w:val="fr-CA"/>
        </w:rPr>
      </w:pPr>
      <w:r w:rsidRPr="00661D4D">
        <w:rPr>
          <w:b/>
          <w:sz w:val="20"/>
          <w:szCs w:val="20"/>
          <w:lang w:val="fr-CA"/>
        </w:rPr>
        <w:lastRenderedPageBreak/>
        <w:fldChar w:fldCharType="begin"/>
      </w:r>
      <w:r w:rsidR="00FC7ECC" w:rsidRPr="00661D4D">
        <w:rPr>
          <w:b/>
          <w:sz w:val="20"/>
          <w:szCs w:val="20"/>
          <w:lang w:val="fr-CA"/>
        </w:rPr>
        <w:instrText xml:space="preserve"> SEQ CHAPTER \h \r 1</w:instrText>
      </w:r>
      <w:r w:rsidRPr="00661D4D">
        <w:rPr>
          <w:b/>
          <w:sz w:val="20"/>
          <w:szCs w:val="20"/>
          <w:lang w:val="fr-CA"/>
        </w:rPr>
        <w:fldChar w:fldCharType="end"/>
      </w:r>
      <w:r w:rsidR="00FC7ECC" w:rsidRPr="00661D4D">
        <w:rPr>
          <w:b/>
          <w:sz w:val="20"/>
          <w:szCs w:val="20"/>
          <w:lang w:val="fr-CA"/>
        </w:rPr>
        <w:t>35804</w:t>
      </w:r>
      <w:r w:rsidR="00FC7ECC" w:rsidRPr="00661D4D">
        <w:rPr>
          <w:sz w:val="20"/>
          <w:szCs w:val="20"/>
          <w:lang w:val="fr-CA"/>
        </w:rPr>
        <w:tab/>
      </w:r>
      <w:r w:rsidR="00FC7ECC" w:rsidRPr="00661D4D">
        <w:rPr>
          <w:b/>
          <w:i/>
          <w:sz w:val="20"/>
          <w:szCs w:val="20"/>
          <w:lang w:val="fr-CA"/>
        </w:rPr>
        <w:t>Brandon Wills c. Sa Majesté la Reine</w:t>
      </w:r>
    </w:p>
    <w:p w:rsidR="00FC7ECC" w:rsidRPr="00661D4D" w:rsidRDefault="00FC7ECC" w:rsidP="00FC7ECC">
      <w:pPr>
        <w:widowControl w:val="0"/>
        <w:jc w:val="both"/>
        <w:rPr>
          <w:sz w:val="20"/>
          <w:szCs w:val="20"/>
          <w:lang w:val="fr-CA"/>
        </w:rPr>
      </w:pPr>
    </w:p>
    <w:p w:rsidR="00FC7ECC" w:rsidRPr="00661D4D" w:rsidRDefault="00FC7ECC" w:rsidP="00FC7ECC">
      <w:pPr>
        <w:widowControl w:val="0"/>
        <w:jc w:val="both"/>
        <w:rPr>
          <w:sz w:val="20"/>
          <w:szCs w:val="20"/>
          <w:lang w:val="fr-CA"/>
        </w:rPr>
      </w:pPr>
      <w:r w:rsidRPr="00661D4D">
        <w:rPr>
          <w:sz w:val="20"/>
          <w:szCs w:val="20"/>
          <w:lang w:val="fr-CA"/>
        </w:rPr>
        <w:t>Droit criminel - Verdict raisonnable - Compte tenu des faiblesses de la preuve circonstancielle, le verdict de culpabilité était-il un de ceux qu’un jury qui a reçu des directives appropriées et qui agit d’une manière judiciaire aurait pu raisonnablement rendre?</w:t>
      </w:r>
    </w:p>
    <w:p w:rsidR="00FC7ECC" w:rsidRPr="00661D4D" w:rsidRDefault="00FC7ECC" w:rsidP="00FC7ECC">
      <w:pPr>
        <w:widowControl w:val="0"/>
        <w:jc w:val="both"/>
        <w:rPr>
          <w:sz w:val="20"/>
          <w:szCs w:val="20"/>
          <w:lang w:val="fr-CA"/>
        </w:rPr>
      </w:pPr>
    </w:p>
    <w:p w:rsidR="00FC7ECC" w:rsidRPr="00661D4D" w:rsidRDefault="00FC7ECC" w:rsidP="00FC7ECC">
      <w:pPr>
        <w:widowControl w:val="0"/>
        <w:jc w:val="both"/>
        <w:rPr>
          <w:sz w:val="20"/>
          <w:szCs w:val="20"/>
          <w:lang w:val="fr-CA"/>
        </w:rPr>
      </w:pPr>
      <w:r w:rsidRPr="00661D4D">
        <w:rPr>
          <w:sz w:val="20"/>
          <w:szCs w:val="20"/>
          <w:lang w:val="fr-CA"/>
        </w:rPr>
        <w:t>L’appelant a été déclaré coupable de vol qualifié avec usage d’une arme à feu, de séquestration, de déguisement dans un dessein criminel et de possession d’une arme dans le but de commettre un acte criminel.  Au procès, la question cruciale était celle de l’identité de l’agresseur.  Ni l’une ni l’autre des victimes de la violation de domicile ne pouvait identifier l’appelant.  Le ministère public ne disposait que d’une preuve circonstancielle.  L’appelant a interjeté appel de sa condamnation, plaidant notamment que le verdict était déraisonnable.  Les juges majoritaires de la Cour d’appel ont rejeté l’appel.  La juge Pepall, dissidente, aurait accueilli l’appel, annulé la déclaration de culpabilité et prononcé des acquittements relativement à toutes les accusations.  À son avis, la preuve du ministère public, à savoir une preuve génétique non concluante et une matraque trouvée dans la résidence de l’appelant, mais qui ne pouvait pas être liée à l’auteur des crimes, ne permettait pas de conclure que l’appelant était l’auteur des crimes.</w:t>
      </w:r>
    </w:p>
    <w:p w:rsidR="00FC7ECC" w:rsidRPr="00661D4D" w:rsidRDefault="00FC7ECC" w:rsidP="00FC7ECC">
      <w:pPr>
        <w:widowControl w:val="0"/>
        <w:jc w:val="both"/>
        <w:rPr>
          <w:sz w:val="20"/>
          <w:szCs w:val="20"/>
          <w:lang w:val="fr-CA"/>
        </w:rPr>
      </w:pPr>
    </w:p>
    <w:p w:rsidR="00FC7ECC" w:rsidRPr="00661D4D" w:rsidRDefault="00FC7ECC" w:rsidP="00FC7ECC">
      <w:pPr>
        <w:widowControl w:val="0"/>
        <w:ind w:left="2880" w:hanging="2880"/>
        <w:jc w:val="both"/>
        <w:rPr>
          <w:sz w:val="20"/>
          <w:szCs w:val="20"/>
          <w:lang w:val="fr-CA"/>
        </w:rPr>
      </w:pPr>
    </w:p>
    <w:p w:rsidR="00FC7ECC" w:rsidRPr="00661D4D" w:rsidRDefault="00FC7ECC" w:rsidP="00FC7ECC">
      <w:pPr>
        <w:widowControl w:val="0"/>
        <w:ind w:left="2880" w:hanging="2880"/>
        <w:jc w:val="both"/>
        <w:rPr>
          <w:sz w:val="20"/>
          <w:szCs w:val="20"/>
          <w:lang w:val="fr-CA"/>
        </w:rPr>
      </w:pPr>
      <w:r w:rsidRPr="00661D4D">
        <w:rPr>
          <w:sz w:val="20"/>
          <w:szCs w:val="20"/>
          <w:lang w:val="fr-CA"/>
        </w:rPr>
        <w:t>Origine :</w:t>
      </w:r>
      <w:r w:rsidRPr="00661D4D">
        <w:rPr>
          <w:sz w:val="20"/>
          <w:szCs w:val="20"/>
          <w:lang w:val="fr-CA"/>
        </w:rPr>
        <w:tab/>
        <w:t>Ontario</w:t>
      </w:r>
    </w:p>
    <w:p w:rsidR="00FC7ECC" w:rsidRPr="00661D4D" w:rsidRDefault="00FC7ECC" w:rsidP="00FC7ECC">
      <w:pPr>
        <w:widowControl w:val="0"/>
        <w:ind w:left="2880" w:hanging="2880"/>
        <w:jc w:val="both"/>
        <w:rPr>
          <w:sz w:val="20"/>
          <w:szCs w:val="20"/>
          <w:lang w:val="fr-CA"/>
        </w:rPr>
      </w:pPr>
    </w:p>
    <w:p w:rsidR="00FC7ECC" w:rsidRPr="00661D4D" w:rsidRDefault="00FC7ECC" w:rsidP="00FC7ECC">
      <w:pPr>
        <w:widowControl w:val="0"/>
        <w:ind w:left="2880" w:hanging="2880"/>
        <w:jc w:val="both"/>
        <w:rPr>
          <w:sz w:val="20"/>
          <w:szCs w:val="20"/>
          <w:lang w:val="fr-CA"/>
        </w:rPr>
      </w:pPr>
      <w:r w:rsidRPr="00661D4D">
        <w:rPr>
          <w:sz w:val="20"/>
          <w:szCs w:val="20"/>
          <w:lang w:val="fr-CA"/>
        </w:rPr>
        <w:t>N</w:t>
      </w:r>
      <w:r w:rsidRPr="00661D4D">
        <w:rPr>
          <w:sz w:val="20"/>
          <w:szCs w:val="20"/>
          <w:vertAlign w:val="superscript"/>
          <w:lang w:val="fr-CA"/>
        </w:rPr>
        <w:t>o</w:t>
      </w:r>
      <w:r w:rsidRPr="00661D4D">
        <w:rPr>
          <w:sz w:val="20"/>
          <w:szCs w:val="20"/>
          <w:lang w:val="fr-CA"/>
        </w:rPr>
        <w:t xml:space="preserve"> du greffe :</w:t>
      </w:r>
      <w:r w:rsidRPr="00661D4D">
        <w:rPr>
          <w:sz w:val="20"/>
          <w:szCs w:val="20"/>
          <w:lang w:val="fr-CA"/>
        </w:rPr>
        <w:tab/>
        <w:t>35804</w:t>
      </w:r>
    </w:p>
    <w:p w:rsidR="00FC7ECC" w:rsidRPr="00661D4D" w:rsidRDefault="00FC7ECC" w:rsidP="00FC7ECC">
      <w:pPr>
        <w:widowControl w:val="0"/>
        <w:ind w:left="2880" w:hanging="2880"/>
        <w:jc w:val="both"/>
        <w:rPr>
          <w:sz w:val="20"/>
          <w:szCs w:val="20"/>
          <w:lang w:val="fr-CA"/>
        </w:rPr>
      </w:pPr>
    </w:p>
    <w:p w:rsidR="00FC7ECC" w:rsidRPr="00661D4D" w:rsidRDefault="00FC7ECC" w:rsidP="00FC7ECC">
      <w:pPr>
        <w:widowControl w:val="0"/>
        <w:ind w:left="2880" w:hanging="2880"/>
        <w:jc w:val="both"/>
        <w:rPr>
          <w:sz w:val="20"/>
          <w:szCs w:val="20"/>
          <w:lang w:val="fr-CA"/>
        </w:rPr>
      </w:pPr>
      <w:r w:rsidRPr="00661D4D">
        <w:rPr>
          <w:sz w:val="20"/>
          <w:szCs w:val="20"/>
          <w:lang w:val="fr-CA"/>
        </w:rPr>
        <w:t>Arrêt de la Cour d’appel :</w:t>
      </w:r>
      <w:r w:rsidRPr="00661D4D">
        <w:rPr>
          <w:sz w:val="20"/>
          <w:szCs w:val="20"/>
          <w:lang w:val="fr-CA"/>
        </w:rPr>
        <w:tab/>
        <w:t>le 7 mars 2014</w:t>
      </w:r>
    </w:p>
    <w:p w:rsidR="00FC7ECC" w:rsidRPr="00661D4D" w:rsidRDefault="00FC7ECC" w:rsidP="00FC7ECC">
      <w:pPr>
        <w:widowControl w:val="0"/>
        <w:ind w:left="2880" w:hanging="2880"/>
        <w:jc w:val="both"/>
        <w:rPr>
          <w:sz w:val="20"/>
          <w:szCs w:val="20"/>
          <w:lang w:val="fr-CA"/>
        </w:rPr>
      </w:pPr>
    </w:p>
    <w:p w:rsidR="00FC7ECC" w:rsidRPr="00661D4D" w:rsidRDefault="00FC7ECC" w:rsidP="00FC7ECC">
      <w:pPr>
        <w:widowControl w:val="0"/>
        <w:ind w:left="2880" w:hanging="2880"/>
        <w:jc w:val="both"/>
        <w:rPr>
          <w:sz w:val="20"/>
          <w:szCs w:val="20"/>
          <w:lang w:val="fr-CA"/>
        </w:rPr>
      </w:pPr>
      <w:r w:rsidRPr="00661D4D">
        <w:rPr>
          <w:sz w:val="20"/>
          <w:szCs w:val="20"/>
          <w:lang w:val="fr-CA"/>
        </w:rPr>
        <w:t>Avocats :</w:t>
      </w:r>
      <w:r w:rsidRPr="00661D4D">
        <w:rPr>
          <w:sz w:val="20"/>
          <w:szCs w:val="20"/>
          <w:lang w:val="fr-CA"/>
        </w:rPr>
        <w:tab/>
        <w:t>Edward H. Royle pour l’appelant</w:t>
      </w:r>
    </w:p>
    <w:p w:rsidR="00FC7ECC" w:rsidRPr="00661D4D" w:rsidRDefault="00FC7ECC" w:rsidP="00FC7ECC">
      <w:pPr>
        <w:widowControl w:val="0"/>
        <w:ind w:left="2880" w:hanging="2880"/>
        <w:jc w:val="both"/>
        <w:rPr>
          <w:sz w:val="20"/>
          <w:szCs w:val="20"/>
          <w:lang w:val="fr-CA"/>
        </w:rPr>
      </w:pPr>
      <w:r w:rsidRPr="00661D4D">
        <w:rPr>
          <w:sz w:val="20"/>
          <w:szCs w:val="20"/>
          <w:lang w:val="fr-CA"/>
        </w:rPr>
        <w:tab/>
        <w:t>David Lepofsky pour l’intimée</w:t>
      </w:r>
    </w:p>
    <w:p w:rsidR="00DD7981" w:rsidRDefault="00DD7981" w:rsidP="00DD7981">
      <w:pPr>
        <w:tabs>
          <w:tab w:val="left" w:pos="-1440"/>
          <w:tab w:val="left" w:pos="-720"/>
        </w:tabs>
        <w:jc w:val="both"/>
        <w:rPr>
          <w:sz w:val="20"/>
          <w:szCs w:val="20"/>
          <w:lang w:val="fr-CA"/>
        </w:rPr>
      </w:pPr>
    </w:p>
    <w:p w:rsidR="00DD7981" w:rsidRDefault="00714478" w:rsidP="00DD7981">
      <w:pPr>
        <w:tabs>
          <w:tab w:val="left" w:pos="-1440"/>
          <w:tab w:val="left" w:pos="-720"/>
        </w:tabs>
        <w:jc w:val="both"/>
        <w:rPr>
          <w:sz w:val="20"/>
          <w:szCs w:val="20"/>
          <w:lang w:val="fr-CA"/>
        </w:rPr>
      </w:pPr>
      <w:r>
        <w:rPr>
          <w:sz w:val="20"/>
          <w:szCs w:val="20"/>
          <w:lang w:val="fr-CA"/>
        </w:rPr>
        <w:pict>
          <v:rect id="_x0000_i1110" style="width:2in;height:1pt" o:hrpct="0" o:hralign="center" o:hrstd="t" o:hrnoshade="t" o:hr="t" fillcolor="black [3213]" stroked="f"/>
        </w:pict>
      </w:r>
    </w:p>
    <w:p w:rsidR="00DD7981" w:rsidRPr="00DD0B49" w:rsidRDefault="00DD7981" w:rsidP="00DD7981">
      <w:pPr>
        <w:tabs>
          <w:tab w:val="left" w:pos="-1440"/>
          <w:tab w:val="left" w:pos="-720"/>
        </w:tabs>
        <w:jc w:val="both"/>
        <w:rPr>
          <w:sz w:val="20"/>
          <w:szCs w:val="20"/>
          <w:lang w:val="fr-CA"/>
        </w:rPr>
      </w:pPr>
    </w:p>
    <w:p w:rsidR="00DD7981" w:rsidRPr="00DD0B49" w:rsidRDefault="00DD7981"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101"/>
          <w:footerReference w:type="default" r:id="rId102"/>
          <w:headerReference w:type="first" r:id="rId103"/>
          <w:footerReference w:type="first" r:id="rId104"/>
          <w:pgSz w:w="12240" w:h="15840"/>
          <w:pgMar w:top="720" w:right="965" w:bottom="1080" w:left="1656" w:header="720" w:footer="965" w:gutter="0"/>
          <w:cols w:space="720"/>
          <w:titlePg/>
          <w:docGrid w:linePitch="326"/>
        </w:sectPr>
      </w:pPr>
    </w:p>
    <w:p w:rsidR="008112A9" w:rsidRPr="002E0C7E" w:rsidRDefault="00A4467E"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E33C9D">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33C9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33C9D">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33C9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33C9D">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33C9D">
            <w:pPr>
              <w:widowControl w:val="0"/>
              <w:jc w:val="center"/>
              <w:rPr>
                <w:rFonts w:ascii="Arial" w:hAnsi="Arial"/>
                <w:sz w:val="14"/>
              </w:rPr>
            </w:pPr>
            <w:r w:rsidRPr="002E0C7E">
              <w:rPr>
                <w:rFonts w:ascii="Arial" w:hAnsi="Arial"/>
                <w:b/>
                <w:sz w:val="14"/>
              </w:rPr>
              <w:t>DECEMBER - DÉCEMBRE</w:t>
            </w:r>
          </w:p>
        </w:tc>
      </w:tr>
      <w:tr w:rsidR="008112A9" w:rsidRPr="002E0C7E" w:rsidTr="00E33C9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M</w:t>
            </w:r>
          </w:p>
          <w:p w:rsidR="008112A9" w:rsidRPr="002E0C7E" w:rsidRDefault="008112A9" w:rsidP="00E33C9D">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W</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F</w:t>
            </w:r>
          </w:p>
          <w:p w:rsidR="008112A9" w:rsidRPr="002E0C7E" w:rsidRDefault="008112A9" w:rsidP="00E33C9D">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M</w:t>
            </w:r>
          </w:p>
          <w:p w:rsidR="008112A9" w:rsidRPr="002E0C7E" w:rsidRDefault="008112A9" w:rsidP="00E33C9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W</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F</w:t>
            </w:r>
          </w:p>
          <w:p w:rsidR="008112A9" w:rsidRPr="002E0C7E" w:rsidRDefault="008112A9" w:rsidP="00E33C9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M</w:t>
            </w:r>
          </w:p>
          <w:p w:rsidR="008112A9" w:rsidRPr="002E0C7E" w:rsidRDefault="008112A9" w:rsidP="00E33C9D">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W</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F</w:t>
            </w:r>
          </w:p>
          <w:p w:rsidR="008112A9" w:rsidRPr="002E0C7E" w:rsidRDefault="008112A9" w:rsidP="00E33C9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S</w:t>
            </w:r>
          </w:p>
        </w:tc>
      </w:tr>
      <w:tr w:rsidR="008112A9" w:rsidRPr="002E0C7E" w:rsidTr="00E33C9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E33C9D">
            <w:pPr>
              <w:widowControl w:val="0"/>
              <w:jc w:val="center"/>
              <w:rPr>
                <w:rFonts w:ascii="Arial" w:hAnsi="Arial"/>
                <w:b/>
                <w:sz w:val="14"/>
              </w:rPr>
            </w:pPr>
            <w:r>
              <w:rPr>
                <w:rFonts w:ascii="Arial" w:hAnsi="Arial"/>
                <w:b/>
                <w:sz w:val="14"/>
              </w:rPr>
              <w:t>M</w:t>
            </w:r>
          </w:p>
          <w:p w:rsidR="008112A9" w:rsidRPr="002E0C7E" w:rsidRDefault="008112A9" w:rsidP="00E33C9D">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6</w:t>
            </w:r>
          </w:p>
        </w:tc>
      </w:tr>
      <w:tr w:rsidR="008112A9" w:rsidRPr="002E0C7E" w:rsidTr="00E33C9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E33C9D">
            <w:pPr>
              <w:widowControl w:val="0"/>
              <w:jc w:val="center"/>
              <w:rPr>
                <w:rFonts w:ascii="Arial" w:hAnsi="Arial"/>
                <w:b/>
                <w:sz w:val="14"/>
              </w:rPr>
            </w:pPr>
            <w:r>
              <w:rPr>
                <w:rFonts w:ascii="Arial" w:hAnsi="Arial"/>
                <w:b/>
                <w:sz w:val="14"/>
              </w:rPr>
              <w:t>M</w:t>
            </w:r>
          </w:p>
          <w:p w:rsidR="008112A9" w:rsidRPr="002E0C7E" w:rsidRDefault="008112A9" w:rsidP="00E33C9D">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E33C9D">
            <w:pPr>
              <w:widowControl w:val="0"/>
              <w:jc w:val="center"/>
              <w:rPr>
                <w:rFonts w:ascii="Arial" w:hAnsi="Arial"/>
                <w:b/>
                <w:sz w:val="14"/>
              </w:rPr>
            </w:pPr>
          </w:p>
          <w:p w:rsidR="008112A9" w:rsidRPr="002E0C7E" w:rsidRDefault="008112A9" w:rsidP="00E33C9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b/>
                <w:sz w:val="14"/>
              </w:rPr>
              <w:t>M</w:t>
            </w:r>
          </w:p>
          <w:p w:rsidR="008112A9" w:rsidRPr="002E0C7E" w:rsidRDefault="008112A9" w:rsidP="00E33C9D">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13</w:t>
            </w:r>
          </w:p>
        </w:tc>
      </w:tr>
      <w:tr w:rsidR="008112A9" w:rsidRPr="002E0C7E" w:rsidTr="00E33C9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E33C9D">
            <w:pPr>
              <w:widowControl w:val="0"/>
              <w:jc w:val="center"/>
              <w:rPr>
                <w:rFonts w:ascii="Arial" w:hAnsi="Arial"/>
                <w:b/>
                <w:sz w:val="14"/>
              </w:rPr>
            </w:pPr>
            <w:r>
              <w:rPr>
                <w:rFonts w:ascii="Arial" w:hAnsi="Arial"/>
                <w:b/>
                <w:sz w:val="14"/>
              </w:rPr>
              <w:t>H</w:t>
            </w: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E33C9D">
            <w:pPr>
              <w:widowControl w:val="0"/>
              <w:jc w:val="center"/>
              <w:rPr>
                <w:rFonts w:ascii="Arial" w:hAnsi="Arial"/>
                <w:b/>
                <w:sz w:val="14"/>
              </w:rPr>
            </w:pPr>
            <w:r w:rsidRPr="004F066E">
              <w:rPr>
                <w:rFonts w:ascii="Arial" w:hAnsi="Arial"/>
                <w:b/>
                <w:sz w:val="14"/>
              </w:rPr>
              <w:t>H</w:t>
            </w:r>
          </w:p>
          <w:p w:rsidR="008112A9" w:rsidRPr="002E0C7E" w:rsidRDefault="008112A9" w:rsidP="00E33C9D">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20</w:t>
            </w:r>
          </w:p>
        </w:tc>
      </w:tr>
      <w:tr w:rsidR="008112A9" w:rsidRPr="002E0C7E" w:rsidTr="00E33C9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E33C9D">
            <w:pPr>
              <w:widowControl w:val="0"/>
              <w:jc w:val="center"/>
              <w:rPr>
                <w:rFonts w:ascii="Arial" w:hAnsi="Arial"/>
                <w:b/>
                <w:sz w:val="14"/>
              </w:rPr>
            </w:pPr>
          </w:p>
          <w:p w:rsidR="008112A9" w:rsidRPr="002E0C7E" w:rsidRDefault="008112A9" w:rsidP="00E33C9D">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E33C9D">
            <w:pPr>
              <w:widowControl w:val="0"/>
              <w:jc w:val="center"/>
              <w:rPr>
                <w:rFonts w:ascii="Arial" w:hAnsi="Arial"/>
                <w:b/>
                <w:sz w:val="14"/>
              </w:rPr>
            </w:pPr>
            <w:r>
              <w:rPr>
                <w:rFonts w:ascii="Arial" w:hAnsi="Arial"/>
                <w:b/>
                <w:sz w:val="14"/>
              </w:rPr>
              <w:t>H</w:t>
            </w:r>
          </w:p>
          <w:p w:rsidR="008112A9" w:rsidRPr="002E0C7E" w:rsidRDefault="008112A9" w:rsidP="00E33C9D">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E33C9D">
            <w:pPr>
              <w:widowControl w:val="0"/>
              <w:jc w:val="center"/>
              <w:rPr>
                <w:rFonts w:ascii="Arial" w:hAnsi="Arial"/>
                <w:b/>
                <w:sz w:val="14"/>
              </w:rPr>
            </w:pPr>
            <w:r>
              <w:rPr>
                <w:rFonts w:ascii="Arial" w:hAnsi="Arial"/>
                <w:b/>
                <w:sz w:val="14"/>
              </w:rPr>
              <w:t>H</w:t>
            </w:r>
          </w:p>
          <w:p w:rsidR="008112A9" w:rsidRPr="002E0C7E" w:rsidRDefault="008112A9" w:rsidP="00E33C9D">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E33C9D">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E33C9D">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E33C9D">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33C9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33C9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33C9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33C9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33C9D">
            <w:pPr>
              <w:widowControl w:val="0"/>
              <w:jc w:val="center"/>
              <w:rPr>
                <w:rFonts w:ascii="Arial" w:hAnsi="Arial"/>
                <w:sz w:val="14"/>
              </w:rPr>
            </w:pPr>
            <w:r w:rsidRPr="002E0C7E">
              <w:rPr>
                <w:rFonts w:ascii="Arial" w:hAnsi="Arial"/>
                <w:b/>
                <w:sz w:val="14"/>
              </w:rPr>
              <w:t>MARCH - MARS</w:t>
            </w:r>
          </w:p>
        </w:tc>
      </w:tr>
      <w:tr w:rsidR="008112A9" w:rsidRPr="002E0C7E" w:rsidTr="00E33C9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M</w:t>
            </w:r>
          </w:p>
          <w:p w:rsidR="008112A9" w:rsidRPr="002E0C7E" w:rsidRDefault="008112A9" w:rsidP="00E33C9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W</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F</w:t>
            </w:r>
          </w:p>
          <w:p w:rsidR="008112A9" w:rsidRPr="002E0C7E" w:rsidRDefault="008112A9" w:rsidP="00E33C9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M</w:t>
            </w:r>
          </w:p>
          <w:p w:rsidR="008112A9" w:rsidRPr="002E0C7E" w:rsidRDefault="008112A9" w:rsidP="00E33C9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W</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F</w:t>
            </w:r>
          </w:p>
          <w:p w:rsidR="008112A9" w:rsidRPr="002E0C7E" w:rsidRDefault="008112A9" w:rsidP="00E33C9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M</w:t>
            </w:r>
          </w:p>
          <w:p w:rsidR="008112A9" w:rsidRPr="002E0C7E" w:rsidRDefault="008112A9" w:rsidP="00E33C9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W</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F</w:t>
            </w:r>
          </w:p>
          <w:p w:rsidR="008112A9" w:rsidRPr="002E0C7E" w:rsidRDefault="008112A9" w:rsidP="00E33C9D">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S</w:t>
            </w:r>
          </w:p>
        </w:tc>
      </w:tr>
      <w:tr w:rsidR="008112A9" w:rsidRPr="002E0C7E" w:rsidTr="00E33C9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E33C9D">
            <w:pPr>
              <w:widowControl w:val="0"/>
              <w:jc w:val="center"/>
              <w:rPr>
                <w:rFonts w:ascii="Arial" w:hAnsi="Arial"/>
                <w:b/>
                <w:sz w:val="14"/>
              </w:rPr>
            </w:pPr>
          </w:p>
          <w:p w:rsidR="008112A9" w:rsidRPr="002E0C7E" w:rsidRDefault="008112A9" w:rsidP="00E33C9D">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E33C9D">
            <w:pPr>
              <w:widowControl w:val="0"/>
              <w:jc w:val="center"/>
              <w:rPr>
                <w:rFonts w:ascii="Arial" w:hAnsi="Arial"/>
                <w:b/>
                <w:sz w:val="14"/>
              </w:rPr>
            </w:pPr>
          </w:p>
          <w:p w:rsidR="008112A9" w:rsidRPr="002E0C7E" w:rsidRDefault="008112A9" w:rsidP="00E33C9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E33C9D">
            <w:pPr>
              <w:widowControl w:val="0"/>
              <w:jc w:val="center"/>
              <w:rPr>
                <w:rFonts w:ascii="Arial" w:hAnsi="Arial"/>
                <w:b/>
                <w:sz w:val="14"/>
              </w:rPr>
            </w:pPr>
            <w:r w:rsidRPr="004F066E">
              <w:rPr>
                <w:rFonts w:ascii="Arial" w:hAnsi="Arial"/>
                <w:b/>
                <w:sz w:val="14"/>
              </w:rPr>
              <w:t>H</w:t>
            </w:r>
          </w:p>
          <w:p w:rsidR="008112A9" w:rsidRPr="002E0C7E" w:rsidRDefault="008112A9" w:rsidP="00E33C9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7</w:t>
            </w:r>
          </w:p>
        </w:tc>
      </w:tr>
      <w:tr w:rsidR="008112A9" w:rsidRPr="002E0C7E" w:rsidTr="00E33C9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E33C9D">
            <w:pPr>
              <w:widowControl w:val="0"/>
              <w:jc w:val="center"/>
              <w:rPr>
                <w:rFonts w:ascii="Arial" w:hAnsi="Arial"/>
                <w:b/>
                <w:sz w:val="14"/>
              </w:rPr>
            </w:pPr>
            <w:r>
              <w:rPr>
                <w:rFonts w:ascii="Arial" w:hAnsi="Arial"/>
                <w:b/>
                <w:sz w:val="14"/>
              </w:rPr>
              <w:t>M</w:t>
            </w:r>
          </w:p>
          <w:p w:rsidR="008112A9" w:rsidRPr="002E0C7E" w:rsidRDefault="008112A9" w:rsidP="00E33C9D">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14</w:t>
            </w:r>
          </w:p>
        </w:tc>
      </w:tr>
      <w:tr w:rsidR="008112A9" w:rsidRPr="002E0C7E" w:rsidTr="00E33C9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E33C9D">
            <w:pPr>
              <w:widowControl w:val="0"/>
              <w:jc w:val="center"/>
              <w:rPr>
                <w:rFonts w:ascii="Arial" w:hAnsi="Arial"/>
                <w:b/>
                <w:sz w:val="14"/>
              </w:rPr>
            </w:pPr>
            <w:r>
              <w:rPr>
                <w:rFonts w:ascii="Arial" w:hAnsi="Arial"/>
                <w:b/>
                <w:sz w:val="14"/>
              </w:rPr>
              <w:t>M</w:t>
            </w: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E33C9D">
            <w:pPr>
              <w:widowControl w:val="0"/>
              <w:jc w:val="center"/>
              <w:rPr>
                <w:rFonts w:ascii="Arial" w:hAnsi="Arial"/>
                <w:b/>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E33C9D">
            <w:pPr>
              <w:widowControl w:val="0"/>
              <w:jc w:val="center"/>
              <w:rPr>
                <w:rFonts w:ascii="Arial" w:hAnsi="Arial"/>
                <w:b/>
                <w:sz w:val="14"/>
              </w:rPr>
            </w:pPr>
            <w:r w:rsidRPr="009900C5">
              <w:rPr>
                <w:rFonts w:ascii="Arial" w:hAnsi="Arial"/>
                <w:b/>
                <w:sz w:val="14"/>
              </w:rPr>
              <w:t>M</w:t>
            </w: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E33C9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E33C9D">
            <w:pPr>
              <w:widowControl w:val="0"/>
              <w:jc w:val="center"/>
              <w:rPr>
                <w:rFonts w:ascii="Arial" w:hAnsi="Arial"/>
                <w:b/>
                <w:sz w:val="14"/>
              </w:rPr>
            </w:pPr>
          </w:p>
          <w:p w:rsidR="008112A9" w:rsidRPr="002E0C7E" w:rsidRDefault="008112A9" w:rsidP="00E33C9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E33C9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E33C9D">
            <w:pPr>
              <w:widowControl w:val="0"/>
              <w:jc w:val="center"/>
              <w:rPr>
                <w:rFonts w:ascii="Arial" w:hAnsi="Arial"/>
                <w:b/>
                <w:sz w:val="14"/>
              </w:rPr>
            </w:pPr>
          </w:p>
          <w:p w:rsidR="008112A9" w:rsidRPr="002E0C7E" w:rsidRDefault="008112A9" w:rsidP="00E33C9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E33C9D">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33C9D">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33C9D">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33C9D">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E33C9D">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E33C9D">
            <w:pPr>
              <w:widowControl w:val="0"/>
              <w:jc w:val="center"/>
              <w:rPr>
                <w:rFonts w:ascii="Arial" w:hAnsi="Arial"/>
                <w:sz w:val="14"/>
              </w:rPr>
            </w:pPr>
            <w:r w:rsidRPr="002E0C7E">
              <w:rPr>
                <w:rFonts w:ascii="Arial" w:hAnsi="Arial"/>
                <w:b/>
                <w:sz w:val="14"/>
              </w:rPr>
              <w:t>JUNE - JUIN</w:t>
            </w:r>
          </w:p>
        </w:tc>
      </w:tr>
      <w:tr w:rsidR="008112A9" w:rsidRPr="002E0C7E" w:rsidTr="00E33C9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M</w:t>
            </w:r>
          </w:p>
          <w:p w:rsidR="008112A9" w:rsidRPr="002E0C7E" w:rsidRDefault="008112A9" w:rsidP="00E33C9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W</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F</w:t>
            </w:r>
          </w:p>
          <w:p w:rsidR="008112A9" w:rsidRPr="002E0C7E" w:rsidRDefault="008112A9" w:rsidP="00E33C9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M</w:t>
            </w:r>
          </w:p>
          <w:p w:rsidR="008112A9" w:rsidRPr="002E0C7E" w:rsidRDefault="008112A9" w:rsidP="00E33C9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W</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F</w:t>
            </w:r>
          </w:p>
          <w:p w:rsidR="008112A9" w:rsidRPr="002E0C7E" w:rsidRDefault="008112A9" w:rsidP="00E33C9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S</w:t>
            </w:r>
          </w:p>
          <w:p w:rsidR="008112A9" w:rsidRPr="002E0C7E" w:rsidRDefault="008112A9" w:rsidP="00E33C9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M</w:t>
            </w:r>
          </w:p>
          <w:p w:rsidR="008112A9" w:rsidRPr="002E0C7E" w:rsidRDefault="008112A9" w:rsidP="00E33C9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W</w:t>
            </w:r>
          </w:p>
          <w:p w:rsidR="008112A9" w:rsidRPr="002E0C7E" w:rsidRDefault="008112A9" w:rsidP="00E33C9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T</w:t>
            </w:r>
          </w:p>
          <w:p w:rsidR="008112A9" w:rsidRPr="002E0C7E" w:rsidRDefault="008112A9" w:rsidP="00E33C9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sidRPr="002E0C7E">
              <w:rPr>
                <w:rFonts w:ascii="Arial" w:hAnsi="Arial"/>
                <w:sz w:val="14"/>
              </w:rPr>
              <w:t>F</w:t>
            </w:r>
          </w:p>
          <w:p w:rsidR="008112A9" w:rsidRPr="002E0C7E" w:rsidRDefault="008112A9" w:rsidP="00E33C9D">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r>
              <w:rPr>
                <w:rFonts w:ascii="Arial" w:hAnsi="Arial"/>
                <w:sz w:val="14"/>
              </w:rPr>
              <w:t>S</w:t>
            </w:r>
          </w:p>
          <w:p w:rsidR="008112A9" w:rsidRPr="002E0C7E" w:rsidRDefault="008112A9" w:rsidP="00E33C9D">
            <w:pPr>
              <w:widowControl w:val="0"/>
              <w:jc w:val="center"/>
              <w:rPr>
                <w:rFonts w:ascii="Arial" w:hAnsi="Arial"/>
                <w:sz w:val="14"/>
              </w:rPr>
            </w:pPr>
            <w:r>
              <w:rPr>
                <w:rFonts w:ascii="Arial" w:hAnsi="Arial"/>
                <w:sz w:val="14"/>
              </w:rPr>
              <w:t>S</w:t>
            </w:r>
          </w:p>
        </w:tc>
      </w:tr>
      <w:tr w:rsidR="008112A9" w:rsidRPr="002E0C7E" w:rsidTr="00E33C9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E33C9D">
            <w:pPr>
              <w:widowControl w:val="0"/>
              <w:jc w:val="center"/>
              <w:rPr>
                <w:rFonts w:ascii="Arial" w:hAnsi="Arial"/>
                <w:b/>
                <w:sz w:val="14"/>
              </w:rPr>
            </w:pPr>
            <w:r>
              <w:rPr>
                <w:rFonts w:ascii="Arial" w:hAnsi="Arial"/>
                <w:b/>
                <w:sz w:val="14"/>
              </w:rPr>
              <w:t>H</w:t>
            </w:r>
          </w:p>
          <w:p w:rsidR="008112A9" w:rsidRPr="002E0C7E" w:rsidRDefault="008112A9" w:rsidP="00E33C9D">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b/>
                <w:sz w:val="14"/>
              </w:rPr>
            </w:pPr>
          </w:p>
          <w:p w:rsidR="008112A9" w:rsidRPr="002E0C7E" w:rsidRDefault="008112A9" w:rsidP="00E33C9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6</w:t>
            </w:r>
          </w:p>
        </w:tc>
      </w:tr>
      <w:tr w:rsidR="008112A9" w:rsidRPr="002E0C7E" w:rsidTr="00E33C9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E33C9D">
            <w:pPr>
              <w:widowControl w:val="0"/>
              <w:jc w:val="center"/>
              <w:rPr>
                <w:rFonts w:ascii="Arial" w:hAnsi="Arial"/>
                <w:b/>
                <w:sz w:val="14"/>
              </w:rPr>
            </w:pPr>
            <w:r>
              <w:rPr>
                <w:rFonts w:ascii="Arial" w:hAnsi="Arial"/>
                <w:b/>
                <w:sz w:val="14"/>
              </w:rPr>
              <w:t>H</w:t>
            </w:r>
          </w:p>
          <w:p w:rsidR="008112A9" w:rsidRPr="002E0C7E" w:rsidRDefault="008112A9" w:rsidP="00E33C9D">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E33C9D">
            <w:pPr>
              <w:widowControl w:val="0"/>
              <w:jc w:val="center"/>
              <w:rPr>
                <w:rFonts w:ascii="Arial" w:hAnsi="Arial"/>
                <w:b/>
                <w:sz w:val="14"/>
              </w:rPr>
            </w:pPr>
            <w:r>
              <w:rPr>
                <w:rFonts w:ascii="Arial" w:hAnsi="Arial"/>
                <w:b/>
                <w:sz w:val="14"/>
              </w:rPr>
              <w:t>M</w:t>
            </w:r>
          </w:p>
          <w:p w:rsidR="008112A9" w:rsidRPr="002E0C7E" w:rsidRDefault="008112A9" w:rsidP="00E33C9D">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13</w:t>
            </w:r>
          </w:p>
        </w:tc>
      </w:tr>
      <w:tr w:rsidR="008112A9" w:rsidRPr="002E0C7E" w:rsidTr="00E33C9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E33C9D">
            <w:pPr>
              <w:widowControl w:val="0"/>
              <w:jc w:val="center"/>
              <w:rPr>
                <w:rFonts w:ascii="Arial" w:hAnsi="Arial"/>
                <w:b/>
                <w:sz w:val="14"/>
              </w:rPr>
            </w:pPr>
            <w:r>
              <w:rPr>
                <w:rFonts w:ascii="Arial" w:hAnsi="Arial"/>
                <w:b/>
                <w:sz w:val="14"/>
              </w:rPr>
              <w:t>M</w:t>
            </w: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E33C9D">
            <w:pPr>
              <w:widowControl w:val="0"/>
              <w:jc w:val="center"/>
              <w:rPr>
                <w:rFonts w:ascii="Arial" w:hAnsi="Arial"/>
                <w:b/>
                <w:sz w:val="14"/>
              </w:rPr>
            </w:pPr>
          </w:p>
          <w:p w:rsidR="008112A9" w:rsidRPr="002E0C7E" w:rsidRDefault="008112A9" w:rsidP="00E33C9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E33C9D">
            <w:pPr>
              <w:widowControl w:val="0"/>
              <w:jc w:val="center"/>
              <w:rPr>
                <w:rFonts w:ascii="Arial" w:hAnsi="Arial"/>
                <w:b/>
                <w:sz w:val="14"/>
              </w:rPr>
            </w:pPr>
            <w:r w:rsidRPr="002453E3">
              <w:rPr>
                <w:rFonts w:ascii="Arial" w:hAnsi="Arial"/>
                <w:b/>
                <w:sz w:val="14"/>
              </w:rPr>
              <w:t>M</w:t>
            </w: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20</w:t>
            </w:r>
          </w:p>
        </w:tc>
      </w:tr>
      <w:tr w:rsidR="008112A9" w:rsidRPr="002E0C7E" w:rsidTr="00E33C9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E33C9D">
            <w:pPr>
              <w:widowControl w:val="0"/>
              <w:jc w:val="center"/>
              <w:rPr>
                <w:rFonts w:ascii="Arial" w:hAnsi="Arial"/>
                <w:b/>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E33C9D">
            <w:pPr>
              <w:widowControl w:val="0"/>
              <w:jc w:val="center"/>
              <w:rPr>
                <w:rFonts w:ascii="Arial" w:hAnsi="Arial"/>
                <w:b/>
                <w:sz w:val="14"/>
              </w:rPr>
            </w:pPr>
            <w:r>
              <w:rPr>
                <w:rFonts w:ascii="Arial" w:hAnsi="Arial"/>
                <w:b/>
                <w:sz w:val="14"/>
              </w:rPr>
              <w:t>H</w:t>
            </w:r>
          </w:p>
          <w:p w:rsidR="008112A9" w:rsidRPr="002E0C7E" w:rsidRDefault="008112A9" w:rsidP="00E33C9D">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E33C9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E33C9D">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E33C9D">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E33C9D">
            <w:pPr>
              <w:widowControl w:val="0"/>
              <w:jc w:val="center"/>
              <w:rPr>
                <w:rFonts w:ascii="Arial" w:hAnsi="Arial"/>
                <w:sz w:val="14"/>
              </w:rPr>
            </w:pPr>
          </w:p>
          <w:p w:rsidR="008112A9" w:rsidRPr="002E0C7E" w:rsidRDefault="008112A9" w:rsidP="00E33C9D">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E33C9D">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E33C9D">
            <w:pPr>
              <w:widowControl w:val="0"/>
              <w:rPr>
                <w:rFonts w:ascii="Arial" w:hAnsi="Arial"/>
                <w:sz w:val="16"/>
              </w:rPr>
            </w:pPr>
            <w:r w:rsidRPr="002E0C7E">
              <w:rPr>
                <w:rFonts w:ascii="Arial" w:hAnsi="Arial"/>
                <w:sz w:val="16"/>
              </w:rPr>
              <w:t>Sittings of the court:</w:t>
            </w:r>
          </w:p>
          <w:p w:rsidR="008112A9" w:rsidRPr="002E0C7E" w:rsidRDefault="008112A9" w:rsidP="00E33C9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E33C9D">
            <w:pPr>
              <w:widowControl w:val="0"/>
              <w:rPr>
                <w:rFonts w:ascii="Arial" w:hAnsi="Arial"/>
                <w:sz w:val="16"/>
              </w:rPr>
            </w:pPr>
          </w:p>
          <w:p w:rsidR="008112A9" w:rsidRPr="002E0C7E" w:rsidRDefault="008112A9" w:rsidP="00E33C9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E33C9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E33C9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E33C9D">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E33C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05"/>
      <w:footerReference w:type="default" r:id="rId10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31" w:rsidRDefault="005D6C31" w:rsidP="00A87207">
      <w:r>
        <w:separator/>
      </w:r>
    </w:p>
  </w:endnote>
  <w:endnote w:type="continuationSeparator" w:id="0">
    <w:p w:rsidR="005D6C31" w:rsidRDefault="005D6C3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pPr>
      <w:pStyle w:val="Footer"/>
    </w:pPr>
    <w:r>
      <w:pict>
        <v:rect id="_x0000_i1045" style="width:480.95pt;height:1pt" o:hralign="center" o:hrstd="t" o:hrnoshade="t" o:hr="t" fillcolor="black [3213]" stroked="f"/>
      </w:pict>
    </w:r>
  </w:p>
  <w:p w:rsidR="005D6C31" w:rsidRPr="00D7601D" w:rsidRDefault="005D6C31" w:rsidP="00432989">
    <w:pPr>
      <w:tabs>
        <w:tab w:val="center" w:pos="4680"/>
      </w:tabs>
    </w:pPr>
    <w:r>
      <w:tab/>
      <w:t xml:space="preserve">- </w:t>
    </w:r>
    <w:r w:rsidR="00714478">
      <w:fldChar w:fldCharType="begin"/>
    </w:r>
    <w:r w:rsidR="00714478">
      <w:instrText xml:space="preserve"> PAGE   \* MERGEFORMAT </w:instrText>
    </w:r>
    <w:r w:rsidR="00714478">
      <w:fldChar w:fldCharType="separate"/>
    </w:r>
    <w:r w:rsidR="00714478">
      <w:rPr>
        <w:noProof/>
      </w:rPr>
      <w:t>1632</w:t>
    </w:r>
    <w:r w:rsidR="00714478">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D6C31"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6C31" w:rsidRDefault="005D6C3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5D6C31" w:rsidRPr="0009648D" w:rsidRDefault="005D6C31" w:rsidP="00ED7E83">
    <w:pPr>
      <w:tabs>
        <w:tab w:val="center" w:pos="4680"/>
      </w:tabs>
    </w:pPr>
    <w:r>
      <w:tab/>
    </w:r>
    <w:r w:rsidRPr="0009648D">
      <w:t xml:space="preserve">- </w:t>
    </w:r>
    <w:r w:rsidR="00714478">
      <w:fldChar w:fldCharType="begin"/>
    </w:r>
    <w:r w:rsidR="00714478">
      <w:instrText xml:space="preserve"> PAGE   \* MERGEFORMAT </w:instrText>
    </w:r>
    <w:r w:rsidR="00714478">
      <w:fldChar w:fldCharType="separate"/>
    </w:r>
    <w:r w:rsidR="00714478">
      <w:rPr>
        <w:noProof/>
      </w:rPr>
      <w:t>1660</w:t>
    </w:r>
    <w:r w:rsidR="00714478">
      <w:rPr>
        <w:noProof/>
      </w:rPr>
      <w:fldChar w:fldCharType="end"/>
    </w:r>
    <w:r w:rsidRPr="0009648D">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pPr>
      <w:pStyle w:val="Footer"/>
      <w:rPr>
        <w:lang w:val="fr-CA"/>
      </w:rPr>
    </w:pPr>
    <w:r>
      <w:rPr>
        <w:lang w:val="fr-CA"/>
      </w:rPr>
      <w:pict>
        <v:rect id="_x0000_i1071" style="width:480.95pt;height:1pt" o:hralign="center" o:hrstd="t" o:hrnoshade="t" o:hr="t" fillcolor="black [3213]" stroked="f"/>
      </w:pict>
    </w:r>
  </w:p>
  <w:p w:rsidR="005D6C31" w:rsidRDefault="005D6C31" w:rsidP="00245129">
    <w:pPr>
      <w:tabs>
        <w:tab w:val="center" w:pos="4680"/>
      </w:tabs>
    </w:pPr>
    <w:r>
      <w:tab/>
    </w:r>
    <w:r w:rsidRPr="0009648D">
      <w:t xml:space="preserve">- </w:t>
    </w:r>
    <w:r w:rsidR="00714478">
      <w:fldChar w:fldCharType="begin"/>
    </w:r>
    <w:r w:rsidR="00714478">
      <w:instrText xml:space="preserve"> PAGE   \* MERGEFORMAT </w:instrText>
    </w:r>
    <w:r w:rsidR="00714478">
      <w:fldChar w:fldCharType="separate"/>
    </w:r>
    <w:r w:rsidR="00714478">
      <w:rPr>
        <w:noProof/>
      </w:rPr>
      <w:t>1634</w:t>
    </w:r>
    <w:r w:rsidR="00714478">
      <w:rPr>
        <w:noProof/>
      </w:rPr>
      <w:fldChar w:fldCharType="end"/>
    </w:r>
    <w:r w:rsidRPr="0009648D">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6C31"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6C31" w:rsidRDefault="005D6C31">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rsidP="00755F22">
    <w:pPr>
      <w:tabs>
        <w:tab w:val="left" w:pos="-1440"/>
        <w:tab w:val="left" w:pos="-720"/>
      </w:tabs>
    </w:pPr>
    <w:r>
      <w:pict>
        <v:rect id="_x0000_i1077" style="width:480.95pt;height:1pt" o:hralign="center" o:hrstd="t" o:hrnoshade="t" o:hr="t" fillcolor="black [3213]" stroked="f"/>
      </w:pict>
    </w:r>
  </w:p>
  <w:p w:rsidR="005D6C31" w:rsidRDefault="005D6C31" w:rsidP="00EB2B90">
    <w:pPr>
      <w:tabs>
        <w:tab w:val="center" w:pos="4680"/>
      </w:tabs>
    </w:pPr>
    <w:r>
      <w:tab/>
      <w:t xml:space="preserve">- </w:t>
    </w:r>
    <w:r w:rsidR="00714478">
      <w:fldChar w:fldCharType="begin"/>
    </w:r>
    <w:r w:rsidR="00714478">
      <w:instrText xml:space="preserve"> PAGE   \* MERGEFORMAT </w:instrText>
    </w:r>
    <w:r w:rsidR="00714478">
      <w:fldChar w:fldCharType="separate"/>
    </w:r>
    <w:r w:rsidR="00714478">
      <w:rPr>
        <w:noProof/>
      </w:rPr>
      <w:t>1666</w:t>
    </w:r>
    <w:r w:rsidR="00714478">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rsidP="00EB2B90">
    <w:pPr>
      <w:tabs>
        <w:tab w:val="center" w:pos="4680"/>
      </w:tabs>
    </w:pPr>
    <w:r>
      <w:pict>
        <v:rect id="_x0000_i1078" style="width:480.95pt;height:1pt" o:hralign="center" o:hrstd="t" o:hrnoshade="t" o:hr="t" fillcolor="black [3213]" stroked="f"/>
      </w:pict>
    </w:r>
  </w:p>
  <w:p w:rsidR="005D6C31" w:rsidRPr="0031432F" w:rsidRDefault="005D6C31" w:rsidP="00EB2B90">
    <w:pPr>
      <w:tabs>
        <w:tab w:val="center" w:pos="4680"/>
      </w:tabs>
    </w:pPr>
    <w:r>
      <w:tab/>
      <w:t xml:space="preserve">- </w:t>
    </w:r>
    <w:r w:rsidR="00714478">
      <w:fldChar w:fldCharType="begin"/>
    </w:r>
    <w:r w:rsidR="00714478">
      <w:instrText xml:space="preserve"> PAGE   \* MERGEFORMAT </w:instrText>
    </w:r>
    <w:r w:rsidR="00714478">
      <w:fldChar w:fldCharType="separate"/>
    </w:r>
    <w:r w:rsidR="00714478">
      <w:rPr>
        <w:noProof/>
      </w:rPr>
      <w:t>1661</w:t>
    </w:r>
    <w:r w:rsidR="00714478">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6C31"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6C31" w:rsidRDefault="005D6C31">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5D6C31" w:rsidRDefault="005D6C31" w:rsidP="00EB2B90">
    <w:pPr>
      <w:tabs>
        <w:tab w:val="center" w:pos="4680"/>
      </w:tabs>
    </w:pPr>
    <w:r>
      <w:tab/>
      <w:t xml:space="preserve">- </w:t>
    </w:r>
    <w:r w:rsidR="00714478">
      <w:fldChar w:fldCharType="begin"/>
    </w:r>
    <w:r w:rsidR="00714478">
      <w:instrText xml:space="preserve"> PAGE   \* MERGEFORMAT </w:instrText>
    </w:r>
    <w:r w:rsidR="00714478">
      <w:fldChar w:fldCharType="separate"/>
    </w:r>
    <w:r>
      <w:rPr>
        <w:noProof/>
      </w:rPr>
      <w:t>524</w:t>
    </w:r>
    <w:r w:rsidR="00714478">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pPr>
      <w:pStyle w:val="Footer"/>
      <w:rPr>
        <w:lang w:val="fr-CA"/>
      </w:rPr>
    </w:pPr>
    <w:r>
      <w:rPr>
        <w:lang w:val="fr-CA"/>
      </w:rPr>
      <w:pict>
        <v:rect id="_x0000_i1081" style="width:480.95pt;height:1pt" o:hralign="center" o:hrstd="t" o:hrnoshade="t" o:hr="t" fillcolor="black [3213]" stroked="f"/>
      </w:pict>
    </w:r>
  </w:p>
  <w:p w:rsidR="005D6C31" w:rsidRDefault="005D6C31" w:rsidP="00EB2B90">
    <w:pPr>
      <w:tabs>
        <w:tab w:val="center" w:pos="4680"/>
      </w:tabs>
    </w:pPr>
    <w:r>
      <w:tab/>
      <w:t xml:space="preserve">- </w:t>
    </w:r>
    <w:r w:rsidR="00714478">
      <w:fldChar w:fldCharType="begin"/>
    </w:r>
    <w:r w:rsidR="00714478">
      <w:instrText xml:space="preserve"> PAGE   \* MERGEFORMAT </w:instrText>
    </w:r>
    <w:r w:rsidR="00714478">
      <w:fldChar w:fldCharType="separate"/>
    </w:r>
    <w:r w:rsidR="00714478">
      <w:rPr>
        <w:noProof/>
      </w:rPr>
      <w:t>1667</w:t>
    </w:r>
    <w:r w:rsidR="00714478">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6C31"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6C31" w:rsidRDefault="005D6C31">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rsidP="00732DB7">
    <w:r>
      <w:pict>
        <v:rect id="_x0000_i1085" style="width:480.95pt;height:1pt" o:hralign="center" o:hrstd="t" o:hrnoshade="t" o:hr="t" fillcolor="black" stroked="f"/>
      </w:pict>
    </w:r>
  </w:p>
  <w:p w:rsidR="005D6C31" w:rsidRDefault="005D6C31">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pPr>
      <w:pStyle w:val="Footer"/>
    </w:pPr>
    <w:r>
      <w:pict>
        <v:rect id="_x0000_i1086" style="width:480.95pt;height:1pt" o:hralign="center" o:hrstd="t" o:hrnoshade="t" o:hr="t" fillcolor="black" stroked="f"/>
      </w:pict>
    </w:r>
  </w:p>
  <w:p w:rsidR="005D6C31" w:rsidRPr="00283C52" w:rsidRDefault="005D6C31">
    <w:pPr>
      <w:pStyle w:val="Footer"/>
    </w:pPr>
    <w:r>
      <w:tab/>
    </w:r>
    <w:r w:rsidRPr="00283C52">
      <w:t xml:space="preserve">- </w:t>
    </w:r>
    <w:r w:rsidRPr="00283C52">
      <w:pgNum/>
    </w:r>
    <w:r w:rsidRPr="00283C52">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D6C31" w:rsidRDefault="005D6C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5D6C31" w:rsidRDefault="005D6C31">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rsidP="0022323B">
    <w:r>
      <w:pict>
        <v:rect id="_x0000_i1089" style="width:480.95pt;height:1pt" o:hralign="center" o:hrstd="t" o:hrnoshade="t" o:hr="t" fillcolor="black [3213]" stroked="f"/>
      </w:pict>
    </w:r>
  </w:p>
  <w:p w:rsidR="005D6C31" w:rsidRDefault="005D6C31">
    <w:pPr>
      <w:tabs>
        <w:tab w:val="center" w:pos="4740"/>
      </w:tabs>
      <w:spacing w:line="0" w:lineRule="atLeast"/>
    </w:pPr>
    <w:r>
      <w:tab/>
      <w:t xml:space="preserve">- </w:t>
    </w:r>
    <w:r w:rsidR="00714478">
      <w:fldChar w:fldCharType="begin"/>
    </w:r>
    <w:r w:rsidR="00714478">
      <w:instrText xml:space="preserve"> PAGE   \* MERGEFORMAT </w:instrText>
    </w:r>
    <w:r w:rsidR="00714478">
      <w:fldChar w:fldCharType="separate"/>
    </w:r>
    <w:r>
      <w:rPr>
        <w:noProof/>
      </w:rPr>
      <w:t>542</w:t>
    </w:r>
    <w:r w:rsidR="00714478">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rsidP="0022323B">
    <w:r>
      <w:pict>
        <v:rect id="_x0000_i1090" style="width:480.95pt;height:1pt" o:hralign="center" o:hrstd="t" o:hrnoshade="t" o:hr="t" fillcolor="black [3213]" stroked="f"/>
      </w:pict>
    </w:r>
  </w:p>
  <w:p w:rsidR="005D6C31" w:rsidRDefault="005D6C31" w:rsidP="0022323B">
    <w:pPr>
      <w:tabs>
        <w:tab w:val="center" w:pos="4740"/>
      </w:tabs>
      <w:spacing w:line="0" w:lineRule="atLeast"/>
    </w:pPr>
    <w:r>
      <w:tab/>
      <w:t xml:space="preserve">- </w:t>
    </w:r>
    <w:r w:rsidR="00714478">
      <w:fldChar w:fldCharType="begin"/>
    </w:r>
    <w:r w:rsidR="00714478">
      <w:instrText xml:space="preserve"> PAGE   \* MERGEFORMAT </w:instrText>
    </w:r>
    <w:r w:rsidR="00714478">
      <w:fldChar w:fldCharType="separate"/>
    </w:r>
    <w:r w:rsidR="00714478">
      <w:rPr>
        <w:noProof/>
      </w:rPr>
      <w:t>1671</w:t>
    </w:r>
    <w:r w:rsidR="00714478">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rsidP="0022323B">
    <w:r>
      <w:pict>
        <v:rect id="_x0000_i1111" style="width:480.95pt;height:1pt" o:hralign="center" o:hrstd="t" o:hrnoshade="t" o:hr="t" fillcolor="black [3213]" stroked="f"/>
      </w:pict>
    </w:r>
  </w:p>
  <w:p w:rsidR="005D6C31" w:rsidRDefault="005D6C31">
    <w:pPr>
      <w:tabs>
        <w:tab w:val="center" w:pos="4740"/>
      </w:tabs>
      <w:spacing w:line="0" w:lineRule="atLeast"/>
    </w:pPr>
    <w:r>
      <w:tab/>
      <w:t xml:space="preserve">- </w:t>
    </w:r>
    <w:r w:rsidR="00714478">
      <w:fldChar w:fldCharType="begin"/>
    </w:r>
    <w:r w:rsidR="00714478">
      <w:instrText xml:space="preserve"> PAGE   \* MERGEFORMAT </w:instrText>
    </w:r>
    <w:r w:rsidR="00714478">
      <w:fldChar w:fldCharType="separate"/>
    </w:r>
    <w:r w:rsidR="00714478">
      <w:rPr>
        <w:noProof/>
      </w:rPr>
      <w:t>1691</w:t>
    </w:r>
    <w:r w:rsidR="00714478">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rsidP="0022323B">
    <w:r>
      <w:pict>
        <v:rect id="_x0000_i1112" style="width:480.95pt;height:1pt" o:hralign="center" o:hrstd="t" o:hrnoshade="t" o:hr="t" fillcolor="black [3213]" stroked="f"/>
      </w:pict>
    </w:r>
  </w:p>
  <w:p w:rsidR="005D6C31" w:rsidRDefault="005D6C31" w:rsidP="0022323B">
    <w:pPr>
      <w:tabs>
        <w:tab w:val="center" w:pos="4740"/>
      </w:tabs>
      <w:spacing w:line="0" w:lineRule="atLeast"/>
    </w:pPr>
    <w:r>
      <w:tab/>
      <w:t xml:space="preserve">- </w:t>
    </w:r>
    <w:r w:rsidR="00714478">
      <w:fldChar w:fldCharType="begin"/>
    </w:r>
    <w:r w:rsidR="00714478">
      <w:instrText xml:space="preserve"> PAGE   \* MERGEFORMAT </w:instrText>
    </w:r>
    <w:r w:rsidR="00714478">
      <w:fldChar w:fldCharType="separate"/>
    </w:r>
    <w:r w:rsidR="00714478">
      <w:rPr>
        <w:noProof/>
      </w:rPr>
      <w:t>1672</w:t>
    </w:r>
    <w:r w:rsidR="00714478">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Pr="00924065" w:rsidRDefault="005D6C31"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rsidP="00A87207">
    <w:pPr>
      <w:pStyle w:val="Footer"/>
    </w:pPr>
    <w:r>
      <w:pict>
        <v:rect id="_x0000_i1037" style="width:480.95pt;height:1pt" o:hralign="center" o:hrstd="t" o:hrnoshade="t" o:hr="t" fillcolor="black [3213]" stroked="f"/>
      </w:pict>
    </w:r>
  </w:p>
  <w:p w:rsidR="005D6C31" w:rsidRPr="00B7374B" w:rsidRDefault="005D6C3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14478">
      <w:rPr>
        <w:noProof/>
        <w:szCs w:val="24"/>
      </w:rPr>
      <w:t>1630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rsidP="00755F22">
    <w:pPr>
      <w:tabs>
        <w:tab w:val="left" w:pos="-1440"/>
        <w:tab w:val="left" w:pos="-720"/>
      </w:tabs>
    </w:pPr>
    <w:r>
      <w:pict>
        <v:rect id="_x0000_i1038" style="width:480.95pt;height:1pt" o:hralign="center" o:hrstd="t" o:hrnoshade="t" o:hr="t" fillcolor="black [3213]" stroked="f"/>
      </w:pict>
    </w:r>
  </w:p>
  <w:p w:rsidR="005D6C31" w:rsidRPr="00954D22" w:rsidRDefault="005D6C3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14478">
      <w:rPr>
        <w:noProof/>
        <w:szCs w:val="24"/>
      </w:rPr>
      <w:t>1629</w:t>
    </w:r>
    <w:r>
      <w:rPr>
        <w:szCs w:val="24"/>
      </w:rPr>
      <w:fldChar w:fldCharType="end"/>
    </w:r>
    <w:r w:rsidRPr="00954D22">
      <w:rPr>
        <w:szCs w:val="24"/>
      </w:rPr>
      <w:t xml:space="preserve"> -</w:t>
    </w:r>
  </w:p>
  <w:p w:rsidR="005D6C31" w:rsidRDefault="005D6C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rsidP="00A87207">
    <w:pPr>
      <w:pStyle w:val="Footer"/>
    </w:pPr>
    <w:r>
      <w:pict>
        <v:rect id="_x0000_i1040" style="width:480.95pt;height:1pt" o:hralign="center" o:hrstd="t" o:hrnoshade="t" o:hr="t" fillcolor="black [3213]" stroked="f"/>
      </w:pict>
    </w:r>
  </w:p>
  <w:p w:rsidR="005D6C31" w:rsidRPr="00B7374B" w:rsidRDefault="005D6C3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71447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5D6C31" w:rsidRPr="00954D22" w:rsidRDefault="005D6C3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14478">
      <w:rPr>
        <w:noProof/>
        <w:szCs w:val="24"/>
      </w:rPr>
      <w:t>1631</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5D6C31" w:rsidRDefault="005D6C31">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5D6C31" w:rsidRDefault="005D6C3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5D6C31" w:rsidRDefault="00714478">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44" style="width:480.95pt;height:1pt" o:hralign="center" o:hrstd="t" o:hrnoshade="t" o:hr="t" fillcolor="black [3213]" stroked="f"/>
      </w:pict>
    </w:r>
  </w:p>
  <w:p w:rsidR="005D6C31" w:rsidRDefault="005D6C31" w:rsidP="00432989">
    <w:pPr>
      <w:tabs>
        <w:tab w:val="center" w:pos="4680"/>
      </w:tabs>
    </w:pPr>
    <w:r>
      <w:tab/>
      <w:t xml:space="preserve">- </w:t>
    </w:r>
    <w:r w:rsidR="00714478">
      <w:fldChar w:fldCharType="begin"/>
    </w:r>
    <w:r w:rsidR="00714478">
      <w:instrText xml:space="preserve"> PAGE   \* MERGEFORMAT </w:instrText>
    </w:r>
    <w:r w:rsidR="00714478">
      <w:fldChar w:fldCharType="separate"/>
    </w:r>
    <w:r w:rsidR="00714478">
      <w:rPr>
        <w:noProof/>
      </w:rPr>
      <w:t>1633</w:t>
    </w:r>
    <w:r w:rsidR="00714478">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31" w:rsidRDefault="005D6C31" w:rsidP="00A87207">
      <w:r>
        <w:separator/>
      </w:r>
    </w:p>
  </w:footnote>
  <w:footnote w:type="continuationSeparator" w:id="0">
    <w:p w:rsidR="005D6C31" w:rsidRDefault="005D6C3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6C31" w:rsidRPr="008C097E">
      <w:tc>
        <w:tcPr>
          <w:tcW w:w="4200" w:type="dxa"/>
          <w:tcMar>
            <w:left w:w="0" w:type="dxa"/>
            <w:right w:w="0" w:type="dxa"/>
          </w:tcMar>
        </w:tcPr>
        <w:p w:rsidR="005D6C31" w:rsidRDefault="005D6C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D6C31" w:rsidRDefault="005D6C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D6C31" w:rsidRDefault="005D6C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6C31" w:rsidRPr="00FF6BA5" w:rsidRDefault="005D6C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D6C31" w:rsidRPr="00FF6BA5"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D6C31" w:rsidRPr="00FF6BA5"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D6C31" w:rsidRPr="00FF6BA5"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6C31" w:rsidRPr="008C097E" w:rsidTr="00245129">
      <w:tc>
        <w:tcPr>
          <w:tcW w:w="4200" w:type="dxa"/>
          <w:tcMar>
            <w:left w:w="0" w:type="dxa"/>
            <w:right w:w="0" w:type="dxa"/>
          </w:tcMar>
        </w:tcPr>
        <w:p w:rsidR="005D6C31" w:rsidRPr="00755F22" w:rsidRDefault="005D6C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D6C31" w:rsidRPr="00755F22" w:rsidRDefault="005D6C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D6C31" w:rsidRPr="00755F22" w:rsidRDefault="005D6C3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6C31" w:rsidRPr="00755F22" w:rsidRDefault="005D6C3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6C31" w:rsidRPr="00755F22" w:rsidRDefault="005D6C3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D6C31" w:rsidRPr="00755F22" w:rsidRDefault="005D6C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D6C31" w:rsidRPr="00FF6BA5" w:rsidRDefault="005D6C31" w:rsidP="00755F22">
    <w:pPr>
      <w:tabs>
        <w:tab w:val="left" w:pos="-1440"/>
        <w:tab w:val="left" w:pos="-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D6C31">
      <w:tc>
        <w:tcPr>
          <w:tcW w:w="4230" w:type="dxa"/>
          <w:tcMar>
            <w:left w:w="0" w:type="dxa"/>
            <w:right w:w="0" w:type="dxa"/>
          </w:tcMar>
        </w:tcPr>
        <w:p w:rsidR="005D6C31" w:rsidRDefault="005D6C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D6C31" w:rsidRDefault="005D6C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6C31" w:rsidRDefault="005D6C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D6C31">
      <w:trPr>
        <w:gridAfter w:val="2"/>
        <w:wAfter w:w="5250" w:type="dxa"/>
      </w:trPr>
      <w:tc>
        <w:tcPr>
          <w:tcW w:w="4230" w:type="dxa"/>
          <w:tcMar>
            <w:left w:w="0" w:type="dxa"/>
            <w:right w:w="0" w:type="dxa"/>
          </w:tcMar>
        </w:tcPr>
        <w:p w:rsidR="005D6C31"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D6C31"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D6C31" w:rsidRPr="00755F22" w:rsidTr="00245129">
      <w:tc>
        <w:tcPr>
          <w:tcW w:w="4230" w:type="dxa"/>
          <w:tcMar>
            <w:left w:w="0" w:type="dxa"/>
            <w:right w:w="0" w:type="dxa"/>
          </w:tcMar>
        </w:tcPr>
        <w:p w:rsidR="005D6C31" w:rsidRPr="00755F22" w:rsidRDefault="005D6C31" w:rsidP="00831CA9">
          <w:pPr>
            <w:keepNext/>
            <w:keepLines/>
            <w:rPr>
              <w:sz w:val="20"/>
              <w:szCs w:val="20"/>
            </w:rPr>
          </w:pPr>
          <w:r w:rsidRPr="00755F22">
            <w:rPr>
              <w:sz w:val="20"/>
              <w:szCs w:val="20"/>
            </w:rPr>
            <w:t>MOTIONS</w:t>
          </w:r>
        </w:p>
      </w:tc>
      <w:tc>
        <w:tcPr>
          <w:tcW w:w="1170" w:type="dxa"/>
          <w:tcMar>
            <w:left w:w="0" w:type="dxa"/>
            <w:right w:w="0" w:type="dxa"/>
          </w:tcMar>
        </w:tcPr>
        <w:p w:rsidR="005D6C31" w:rsidRPr="00755F22" w:rsidRDefault="005D6C31" w:rsidP="00831CA9">
          <w:pPr>
            <w:keepLines/>
            <w:jc w:val="center"/>
            <w:rPr>
              <w:sz w:val="20"/>
              <w:szCs w:val="20"/>
            </w:rPr>
          </w:pPr>
        </w:p>
        <w:p w:rsidR="005D6C31" w:rsidRPr="00755F22" w:rsidRDefault="005D6C31" w:rsidP="00831CA9">
          <w:pPr>
            <w:keepLines/>
            <w:tabs>
              <w:tab w:val="left" w:pos="-1440"/>
              <w:tab w:val="left" w:pos="-720"/>
            </w:tabs>
            <w:jc w:val="center"/>
            <w:rPr>
              <w:sz w:val="20"/>
              <w:szCs w:val="20"/>
            </w:rPr>
          </w:pPr>
        </w:p>
      </w:tc>
      <w:tc>
        <w:tcPr>
          <w:tcW w:w="4080" w:type="dxa"/>
          <w:tcMar>
            <w:left w:w="0" w:type="dxa"/>
            <w:right w:w="0" w:type="dxa"/>
          </w:tcMar>
        </w:tcPr>
        <w:p w:rsidR="005D6C31" w:rsidRPr="00BA6468" w:rsidRDefault="005D6C31" w:rsidP="00BA6468">
          <w:pPr>
            <w:keepLines/>
            <w:rPr>
              <w:sz w:val="20"/>
              <w:szCs w:val="20"/>
              <w:lang w:val="fr-CA"/>
            </w:rPr>
          </w:pPr>
          <w:r w:rsidRPr="00BA6468">
            <w:rPr>
              <w:sz w:val="20"/>
              <w:szCs w:val="20"/>
              <w:lang w:val="fr-CA"/>
            </w:rPr>
            <w:t>REQUÊTES</w:t>
          </w:r>
        </w:p>
      </w:tc>
    </w:tr>
  </w:tbl>
  <w:p w:rsidR="005D6C31" w:rsidRDefault="005D6C31" w:rsidP="00831CA9">
    <w:pP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6C31" w:rsidRPr="008C097E">
      <w:tc>
        <w:tcPr>
          <w:tcW w:w="4200" w:type="dxa"/>
          <w:tcMar>
            <w:left w:w="0" w:type="dxa"/>
            <w:right w:w="0" w:type="dxa"/>
          </w:tcMar>
        </w:tcPr>
        <w:p w:rsidR="005D6C31" w:rsidRDefault="005D6C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D6C31" w:rsidRDefault="005D6C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6C31" w:rsidRPr="00B01A03" w:rsidRDefault="005D6C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D6C31" w:rsidRPr="00B01A03"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D6C31" w:rsidRPr="00B01A03"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D6C31" w:rsidRPr="008C097E" w:rsidTr="00245129">
      <w:tc>
        <w:tcPr>
          <w:tcW w:w="4200" w:type="dxa"/>
          <w:tcMar>
            <w:left w:w="0" w:type="dxa"/>
            <w:right w:w="0" w:type="dxa"/>
          </w:tcMar>
        </w:tcPr>
        <w:p w:rsidR="005D6C31" w:rsidRPr="00F40249" w:rsidRDefault="005D6C3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D6C31" w:rsidRDefault="005D6C31" w:rsidP="00102926">
          <w:pPr>
            <w:keepNext/>
            <w:keepLines/>
            <w:tabs>
              <w:tab w:val="left" w:pos="-1440"/>
              <w:tab w:val="left" w:pos="-720"/>
            </w:tabs>
            <w:jc w:val="center"/>
            <w:rPr>
              <w:sz w:val="20"/>
              <w:szCs w:val="20"/>
            </w:rPr>
          </w:pPr>
        </w:p>
        <w:p w:rsidR="005D6C31" w:rsidRDefault="005D6C31" w:rsidP="00102926">
          <w:pPr>
            <w:keepNext/>
            <w:keepLines/>
            <w:tabs>
              <w:tab w:val="left" w:pos="-1440"/>
              <w:tab w:val="left" w:pos="-720"/>
            </w:tabs>
            <w:jc w:val="center"/>
            <w:rPr>
              <w:sz w:val="20"/>
              <w:szCs w:val="20"/>
            </w:rPr>
          </w:pPr>
        </w:p>
        <w:p w:rsidR="005D6C31" w:rsidRPr="00F40249" w:rsidRDefault="005D6C31" w:rsidP="00102926">
          <w:pPr>
            <w:keepNext/>
            <w:keepLines/>
            <w:tabs>
              <w:tab w:val="left" w:pos="-1440"/>
              <w:tab w:val="left" w:pos="-720"/>
            </w:tabs>
            <w:jc w:val="center"/>
            <w:rPr>
              <w:sz w:val="20"/>
              <w:szCs w:val="20"/>
            </w:rPr>
          </w:pPr>
        </w:p>
      </w:tc>
      <w:tc>
        <w:tcPr>
          <w:tcW w:w="4230" w:type="dxa"/>
          <w:tcMar>
            <w:left w:w="0" w:type="dxa"/>
            <w:right w:w="0" w:type="dxa"/>
          </w:tcMar>
        </w:tcPr>
        <w:p w:rsidR="005D6C31" w:rsidRPr="00F40249" w:rsidRDefault="005D6C3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D6C31" w:rsidRPr="00B01A03" w:rsidRDefault="005D6C3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6C31" w:rsidRPr="008C097E">
      <w:tc>
        <w:tcPr>
          <w:tcW w:w="4200" w:type="dxa"/>
          <w:tcMar>
            <w:left w:w="0" w:type="dxa"/>
            <w:right w:w="0" w:type="dxa"/>
          </w:tcMar>
        </w:tcPr>
        <w:p w:rsidR="005D6C31" w:rsidRDefault="005D6C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D6C31" w:rsidRDefault="005D6C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6C31" w:rsidRPr="00283C52" w:rsidRDefault="005D6C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D6C31" w:rsidRPr="00283C52"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D6C31" w:rsidRPr="00283C52" w:rsidRDefault="005D6C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6C31" w:rsidRPr="008C097E" w:rsidTr="00245129">
      <w:tc>
        <w:tcPr>
          <w:tcW w:w="4200" w:type="dxa"/>
          <w:tcMar>
            <w:left w:w="0" w:type="dxa"/>
            <w:right w:w="0" w:type="dxa"/>
          </w:tcMar>
        </w:tcPr>
        <w:p w:rsidR="005D6C31" w:rsidRPr="00732DB7" w:rsidRDefault="005D6C3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5D6C31" w:rsidRPr="00732DB7" w:rsidRDefault="005D6C31" w:rsidP="00732DB7">
          <w:pPr>
            <w:keepNext/>
            <w:keepLines/>
            <w:tabs>
              <w:tab w:val="left" w:pos="-1440"/>
              <w:tab w:val="left" w:pos="-720"/>
            </w:tabs>
            <w:jc w:val="center"/>
            <w:rPr>
              <w:sz w:val="20"/>
              <w:szCs w:val="20"/>
            </w:rPr>
          </w:pPr>
        </w:p>
        <w:p w:rsidR="005D6C31" w:rsidRPr="00732DB7" w:rsidRDefault="005D6C31" w:rsidP="00732DB7">
          <w:pPr>
            <w:keepNext/>
            <w:keepLines/>
            <w:tabs>
              <w:tab w:val="left" w:pos="-1440"/>
              <w:tab w:val="left" w:pos="-720"/>
            </w:tabs>
            <w:jc w:val="center"/>
            <w:rPr>
              <w:sz w:val="20"/>
              <w:szCs w:val="20"/>
            </w:rPr>
          </w:pPr>
        </w:p>
        <w:p w:rsidR="005D6C31" w:rsidRPr="00732DB7" w:rsidRDefault="005D6C31" w:rsidP="00732DB7">
          <w:pPr>
            <w:keepNext/>
            <w:keepLines/>
            <w:tabs>
              <w:tab w:val="left" w:pos="-1440"/>
              <w:tab w:val="left" w:pos="-720"/>
            </w:tabs>
            <w:jc w:val="center"/>
            <w:rPr>
              <w:sz w:val="20"/>
              <w:szCs w:val="20"/>
            </w:rPr>
          </w:pPr>
        </w:p>
      </w:tc>
      <w:tc>
        <w:tcPr>
          <w:tcW w:w="4080" w:type="dxa"/>
          <w:tcMar>
            <w:left w:w="0" w:type="dxa"/>
            <w:right w:w="0" w:type="dxa"/>
          </w:tcMar>
        </w:tcPr>
        <w:p w:rsidR="005D6C31" w:rsidRPr="00732DB7" w:rsidRDefault="005D6C3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D6C31" w:rsidRPr="00283C52" w:rsidRDefault="005D6C3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6C31">
      <w:tc>
        <w:tcPr>
          <w:tcW w:w="4200" w:type="dxa"/>
          <w:tcMar>
            <w:left w:w="0" w:type="dxa"/>
            <w:right w:w="0" w:type="dxa"/>
          </w:tcMar>
        </w:tcPr>
        <w:p w:rsidR="005D6C31" w:rsidRDefault="005D6C3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5D6C31" w:rsidRDefault="005D6C3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D6C31" w:rsidRDefault="005D6C3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D6C31" w:rsidRDefault="005D6C3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5D6C31" w:rsidRDefault="005D6C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D6C31" w:rsidRDefault="005D6C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6C31" w:rsidRPr="00C50A5C" w:rsidTr="00245129">
      <w:tc>
        <w:tcPr>
          <w:tcW w:w="4200" w:type="dxa"/>
          <w:tcMar>
            <w:left w:w="0" w:type="dxa"/>
            <w:right w:w="0" w:type="dxa"/>
          </w:tcMar>
        </w:tcPr>
        <w:p w:rsidR="005D6C31" w:rsidRPr="00C50A5C" w:rsidRDefault="005D6C3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5D6C31" w:rsidRPr="00C50A5C" w:rsidRDefault="005D6C3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5D6C31" w:rsidRPr="00C50A5C" w:rsidRDefault="005D6C3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5D6C31" w:rsidRPr="00C50A5C" w:rsidRDefault="005D6C31"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5D6C31" w:rsidRDefault="005D6C3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6C31" w:rsidRPr="005F263E" w:rsidTr="00245129">
      <w:tc>
        <w:tcPr>
          <w:tcW w:w="4200" w:type="dxa"/>
          <w:tcMar>
            <w:left w:w="0" w:type="dxa"/>
            <w:right w:w="0" w:type="dxa"/>
          </w:tcMar>
        </w:tcPr>
        <w:p w:rsidR="005D6C31" w:rsidRPr="005F263E" w:rsidRDefault="005D6C31"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5D6C31" w:rsidRPr="005F263E" w:rsidRDefault="005D6C31" w:rsidP="00245129">
          <w:pPr>
            <w:keepNext/>
            <w:keepLines/>
            <w:tabs>
              <w:tab w:val="left" w:pos="-1440"/>
              <w:tab w:val="left" w:pos="-720"/>
            </w:tabs>
            <w:jc w:val="center"/>
            <w:rPr>
              <w:sz w:val="20"/>
              <w:szCs w:val="20"/>
            </w:rPr>
          </w:pPr>
        </w:p>
        <w:p w:rsidR="005D6C31" w:rsidRPr="005F263E" w:rsidRDefault="005D6C31" w:rsidP="00245129">
          <w:pPr>
            <w:keepNext/>
            <w:keepLines/>
            <w:tabs>
              <w:tab w:val="left" w:pos="-1440"/>
              <w:tab w:val="left" w:pos="-720"/>
            </w:tabs>
            <w:jc w:val="center"/>
            <w:rPr>
              <w:sz w:val="20"/>
              <w:szCs w:val="20"/>
            </w:rPr>
          </w:pPr>
        </w:p>
      </w:tc>
      <w:tc>
        <w:tcPr>
          <w:tcW w:w="4080" w:type="dxa"/>
          <w:tcMar>
            <w:left w:w="0" w:type="dxa"/>
            <w:right w:w="0" w:type="dxa"/>
          </w:tcMar>
        </w:tcPr>
        <w:p w:rsidR="005D6C31" w:rsidRPr="005F263E" w:rsidRDefault="005D6C31" w:rsidP="00245129">
          <w:pPr>
            <w:keepLines/>
            <w:tabs>
              <w:tab w:val="left" w:pos="-1440"/>
              <w:tab w:val="left" w:pos="-720"/>
            </w:tabs>
            <w:rPr>
              <w:sz w:val="20"/>
              <w:szCs w:val="20"/>
            </w:rPr>
          </w:pPr>
          <w:r w:rsidRPr="005F263E">
            <w:rPr>
              <w:sz w:val="20"/>
              <w:szCs w:val="20"/>
            </w:rPr>
            <w:t>RÉSUMÉS DES AFFAIRES</w:t>
          </w:r>
        </w:p>
      </w:tc>
    </w:tr>
  </w:tbl>
  <w:p w:rsidR="005D6C31" w:rsidRDefault="005D6C31" w:rsidP="005F263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D6C31" w:rsidRPr="0044776A" w:rsidTr="00245129">
      <w:tc>
        <w:tcPr>
          <w:tcW w:w="4290" w:type="dxa"/>
          <w:tcMar>
            <w:left w:w="0" w:type="dxa"/>
            <w:right w:w="0" w:type="dxa"/>
          </w:tcMar>
        </w:tcPr>
        <w:p w:rsidR="005D6C31" w:rsidRPr="0044776A" w:rsidRDefault="005D6C3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D6C31" w:rsidRPr="0044776A" w:rsidRDefault="005D6C31" w:rsidP="002E2327">
          <w:pPr>
            <w:keepNext/>
            <w:keepLines/>
            <w:tabs>
              <w:tab w:val="left" w:pos="-1440"/>
              <w:tab w:val="left" w:pos="-720"/>
            </w:tabs>
            <w:jc w:val="center"/>
            <w:rPr>
              <w:sz w:val="20"/>
              <w:szCs w:val="20"/>
            </w:rPr>
          </w:pPr>
        </w:p>
        <w:p w:rsidR="005D6C31" w:rsidRPr="0044776A" w:rsidRDefault="005D6C31" w:rsidP="002E2327">
          <w:pPr>
            <w:keepNext/>
            <w:keepLines/>
            <w:tabs>
              <w:tab w:val="left" w:pos="-1440"/>
              <w:tab w:val="left" w:pos="-720"/>
            </w:tabs>
            <w:jc w:val="center"/>
            <w:rPr>
              <w:sz w:val="20"/>
              <w:szCs w:val="20"/>
            </w:rPr>
          </w:pPr>
        </w:p>
        <w:p w:rsidR="005D6C31" w:rsidRPr="0044776A" w:rsidRDefault="005D6C31" w:rsidP="002E2327">
          <w:pPr>
            <w:keepNext/>
            <w:keepLines/>
            <w:tabs>
              <w:tab w:val="left" w:pos="-1440"/>
              <w:tab w:val="left" w:pos="-720"/>
            </w:tabs>
            <w:jc w:val="center"/>
            <w:rPr>
              <w:sz w:val="20"/>
              <w:szCs w:val="20"/>
            </w:rPr>
          </w:pPr>
        </w:p>
      </w:tc>
      <w:tc>
        <w:tcPr>
          <w:tcW w:w="4320" w:type="dxa"/>
          <w:tcMar>
            <w:left w:w="0" w:type="dxa"/>
            <w:right w:w="0" w:type="dxa"/>
          </w:tcMar>
        </w:tcPr>
        <w:p w:rsidR="005D6C31" w:rsidRPr="0044776A" w:rsidRDefault="005D6C31" w:rsidP="002E2327">
          <w:pPr>
            <w:keepLines/>
            <w:rPr>
              <w:sz w:val="20"/>
              <w:szCs w:val="20"/>
              <w:lang w:val="fr-CA"/>
            </w:rPr>
          </w:pPr>
          <w:r w:rsidRPr="0044776A">
            <w:rPr>
              <w:sz w:val="20"/>
              <w:szCs w:val="20"/>
              <w:lang w:val="fr-CA"/>
            </w:rPr>
            <w:t>DEMANDES D'AUTORISATION D'APPEL DÉPOSÉES</w:t>
          </w:r>
        </w:p>
      </w:tc>
    </w:tr>
  </w:tbl>
  <w:p w:rsidR="005D6C31" w:rsidRDefault="005D6C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6C31" w:rsidRPr="008C097E" w:rsidTr="00245129">
      <w:tc>
        <w:tcPr>
          <w:tcW w:w="4200" w:type="dxa"/>
          <w:tcMar>
            <w:left w:w="0" w:type="dxa"/>
            <w:right w:w="0" w:type="dxa"/>
          </w:tcMar>
        </w:tcPr>
        <w:p w:rsidR="005D6C31" w:rsidRPr="0044776A" w:rsidRDefault="005D6C31" w:rsidP="0044776A">
          <w:pPr>
            <w:keepNext/>
            <w:keepLines/>
            <w:widowControl w:val="0"/>
            <w:rPr>
              <w:sz w:val="20"/>
              <w:szCs w:val="20"/>
            </w:rPr>
          </w:pPr>
          <w:r>
            <w:rPr>
              <w:sz w:val="20"/>
              <w:szCs w:val="20"/>
            </w:rPr>
            <w:t>APPLICATIONS FOR LEAVE</w:t>
          </w:r>
        </w:p>
        <w:p w:rsidR="005D6C31" w:rsidRPr="0044776A" w:rsidRDefault="005D6C3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D6C31" w:rsidRPr="0044776A" w:rsidRDefault="005D6C31" w:rsidP="0044776A">
          <w:pPr>
            <w:keepNext/>
            <w:keepLines/>
            <w:widowControl w:val="0"/>
            <w:jc w:val="center"/>
            <w:rPr>
              <w:sz w:val="20"/>
              <w:szCs w:val="20"/>
            </w:rPr>
          </w:pPr>
        </w:p>
        <w:p w:rsidR="005D6C31" w:rsidRPr="0044776A" w:rsidRDefault="005D6C31" w:rsidP="0044776A">
          <w:pPr>
            <w:keepNext/>
            <w:keepLines/>
            <w:widowControl w:val="0"/>
            <w:jc w:val="center"/>
            <w:rPr>
              <w:sz w:val="20"/>
              <w:szCs w:val="20"/>
            </w:rPr>
          </w:pPr>
        </w:p>
        <w:p w:rsidR="005D6C31" w:rsidRPr="0044776A" w:rsidRDefault="005D6C31" w:rsidP="0044776A">
          <w:pPr>
            <w:keepNext/>
            <w:keepLines/>
            <w:widowControl w:val="0"/>
            <w:jc w:val="center"/>
            <w:rPr>
              <w:sz w:val="20"/>
              <w:szCs w:val="20"/>
            </w:rPr>
          </w:pPr>
        </w:p>
      </w:tc>
      <w:tc>
        <w:tcPr>
          <w:tcW w:w="4080" w:type="dxa"/>
          <w:tcMar>
            <w:left w:w="0" w:type="dxa"/>
            <w:right w:w="0" w:type="dxa"/>
          </w:tcMar>
        </w:tcPr>
        <w:p w:rsidR="005D6C31" w:rsidRPr="0044776A" w:rsidRDefault="005D6C31" w:rsidP="0044776A">
          <w:pPr>
            <w:keepLines/>
            <w:widowControl w:val="0"/>
            <w:rPr>
              <w:sz w:val="20"/>
              <w:szCs w:val="20"/>
              <w:lang w:val="fr-CA"/>
            </w:rPr>
          </w:pPr>
          <w:r w:rsidRPr="0044776A">
            <w:rPr>
              <w:sz w:val="20"/>
              <w:szCs w:val="20"/>
              <w:lang w:val="fr-CA"/>
            </w:rPr>
            <w:t>DEMANDES SOUMISES À LA COUR DEPUIS LA DERNIÈRE PARUTION</w:t>
          </w:r>
        </w:p>
        <w:p w:rsidR="005D6C31" w:rsidRPr="0044776A" w:rsidRDefault="005D6C31" w:rsidP="0044776A">
          <w:pPr>
            <w:widowControl w:val="0"/>
            <w:rPr>
              <w:sz w:val="20"/>
              <w:szCs w:val="20"/>
              <w:lang w:val="fr-CA"/>
            </w:rPr>
          </w:pPr>
        </w:p>
      </w:tc>
    </w:tr>
  </w:tbl>
  <w:p w:rsidR="005D6C31" w:rsidRPr="002E2327" w:rsidRDefault="005D6C31">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31" w:rsidRDefault="005D6C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6C31" w:rsidRPr="008C097E">
      <w:tc>
        <w:tcPr>
          <w:tcW w:w="4200" w:type="dxa"/>
          <w:tcMar>
            <w:left w:w="0" w:type="dxa"/>
            <w:right w:w="0" w:type="dxa"/>
          </w:tcMar>
        </w:tcPr>
        <w:p w:rsidR="005D6C31" w:rsidRDefault="005D6C31">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5D6C31" w:rsidRDefault="005D6C31">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5D6C31" w:rsidRPr="008D6812" w:rsidRDefault="005D6C31">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5D6C31" w:rsidRPr="008D6812" w:rsidRDefault="005D6C31">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5D6C31" w:rsidRPr="008D6812" w:rsidRDefault="005D6C31">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6C31" w:rsidRPr="008C097E" w:rsidTr="00245129">
      <w:tc>
        <w:tcPr>
          <w:tcW w:w="4200" w:type="dxa"/>
          <w:tcMar>
            <w:left w:w="0" w:type="dxa"/>
            <w:right w:w="0" w:type="dxa"/>
          </w:tcMar>
        </w:tcPr>
        <w:p w:rsidR="005D6C31" w:rsidRPr="00755F22" w:rsidRDefault="005D6C31" w:rsidP="00432989">
          <w:pPr>
            <w:rPr>
              <w:sz w:val="20"/>
              <w:szCs w:val="20"/>
            </w:rPr>
          </w:pPr>
          <w:r w:rsidRPr="00755F22">
            <w:rPr>
              <w:sz w:val="20"/>
              <w:szCs w:val="20"/>
            </w:rPr>
            <w:t>ORAL HEARING ON APPLICATIONS FOR LEAVE</w:t>
          </w:r>
        </w:p>
      </w:tc>
      <w:tc>
        <w:tcPr>
          <w:tcW w:w="1200" w:type="dxa"/>
          <w:tcMar>
            <w:left w:w="0" w:type="dxa"/>
            <w:right w:w="0" w:type="dxa"/>
          </w:tcMar>
        </w:tcPr>
        <w:p w:rsidR="005D6C31" w:rsidRDefault="005D6C31" w:rsidP="008D292F">
          <w:pPr>
            <w:jc w:val="center"/>
            <w:rPr>
              <w:sz w:val="20"/>
              <w:szCs w:val="20"/>
            </w:rPr>
          </w:pPr>
        </w:p>
        <w:p w:rsidR="005D6C31" w:rsidRDefault="005D6C31" w:rsidP="008D292F">
          <w:pPr>
            <w:jc w:val="center"/>
            <w:rPr>
              <w:sz w:val="20"/>
              <w:szCs w:val="20"/>
            </w:rPr>
          </w:pPr>
        </w:p>
        <w:p w:rsidR="005D6C31" w:rsidRPr="00755F22" w:rsidRDefault="005D6C31" w:rsidP="008D292F">
          <w:pPr>
            <w:jc w:val="center"/>
            <w:rPr>
              <w:sz w:val="20"/>
              <w:szCs w:val="20"/>
            </w:rPr>
          </w:pPr>
        </w:p>
      </w:tc>
      <w:tc>
        <w:tcPr>
          <w:tcW w:w="4080" w:type="dxa"/>
          <w:tcMar>
            <w:left w:w="0" w:type="dxa"/>
            <w:right w:w="0" w:type="dxa"/>
          </w:tcMar>
        </w:tcPr>
        <w:p w:rsidR="005D6C31" w:rsidRPr="00755F22" w:rsidRDefault="005D6C31" w:rsidP="00432989">
          <w:pPr>
            <w:rPr>
              <w:sz w:val="20"/>
              <w:szCs w:val="20"/>
              <w:lang w:val="fr-CA"/>
            </w:rPr>
          </w:pPr>
          <w:r w:rsidRPr="00755F22">
            <w:rPr>
              <w:sz w:val="20"/>
              <w:szCs w:val="20"/>
              <w:lang w:val="fr-CA"/>
            </w:rPr>
            <w:t xml:space="preserve">AUDIENCE SUR LES DEMANDES D’AUTORISATION </w:t>
          </w:r>
        </w:p>
      </w:tc>
    </w:tr>
  </w:tbl>
  <w:p w:rsidR="005D6C31" w:rsidRPr="008D6812" w:rsidRDefault="005D6C31">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5D6C31" w:rsidRPr="008D6812" w:rsidRDefault="005D6C31">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032F"/>
    <w:multiLevelType w:val="hybridMultilevel"/>
    <w:tmpl w:val="9B523C14"/>
    <w:lvl w:ilvl="0" w:tplc="12324C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9C5CAD"/>
    <w:multiLevelType w:val="hybridMultilevel"/>
    <w:tmpl w:val="52B0C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004C45"/>
    <w:multiLevelType w:val="hybridMultilevel"/>
    <w:tmpl w:val="8F2AB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6E1723"/>
    <w:multiLevelType w:val="hybridMultilevel"/>
    <w:tmpl w:val="8F2AB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FF400EC"/>
    <w:multiLevelType w:val="hybridMultilevel"/>
    <w:tmpl w:val="1E9CAEBE"/>
    <w:lvl w:ilvl="0" w:tplc="EC4A70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63507"/>
  </w:hdrShapeDefaults>
  <w:footnotePr>
    <w:footnote w:id="-1"/>
    <w:footnote w:id="0"/>
  </w:footnotePr>
  <w:endnotePr>
    <w:endnote w:id="-1"/>
    <w:endnote w:id="0"/>
  </w:endnotePr>
  <w:compat>
    <w:compatSetting w:name="compatibilityMode" w:uri="http://schemas.microsoft.com/office/word" w:val="12"/>
  </w:compat>
  <w:rsids>
    <w:rsidRoot w:val="00913FF3"/>
    <w:rsid w:val="00025921"/>
    <w:rsid w:val="0003223B"/>
    <w:rsid w:val="000327B2"/>
    <w:rsid w:val="0004528B"/>
    <w:rsid w:val="0008012F"/>
    <w:rsid w:val="00091FA6"/>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41DB7"/>
    <w:rsid w:val="00164E6D"/>
    <w:rsid w:val="00183454"/>
    <w:rsid w:val="001B157C"/>
    <w:rsid w:val="001B4006"/>
    <w:rsid w:val="001B5C23"/>
    <w:rsid w:val="001D0D5F"/>
    <w:rsid w:val="001D6B8C"/>
    <w:rsid w:val="001F1F83"/>
    <w:rsid w:val="001F40DF"/>
    <w:rsid w:val="002021A9"/>
    <w:rsid w:val="002139A7"/>
    <w:rsid w:val="00215F7C"/>
    <w:rsid w:val="0022323B"/>
    <w:rsid w:val="002410B8"/>
    <w:rsid w:val="00242AEE"/>
    <w:rsid w:val="00245129"/>
    <w:rsid w:val="00245879"/>
    <w:rsid w:val="0025040C"/>
    <w:rsid w:val="00255204"/>
    <w:rsid w:val="00267FD5"/>
    <w:rsid w:val="00274D34"/>
    <w:rsid w:val="00283ED8"/>
    <w:rsid w:val="002868D0"/>
    <w:rsid w:val="002A008C"/>
    <w:rsid w:val="002A27D1"/>
    <w:rsid w:val="002A4AFA"/>
    <w:rsid w:val="002B516C"/>
    <w:rsid w:val="002D72EB"/>
    <w:rsid w:val="002E2327"/>
    <w:rsid w:val="002E3583"/>
    <w:rsid w:val="002E5576"/>
    <w:rsid w:val="002F4FD4"/>
    <w:rsid w:val="00331B52"/>
    <w:rsid w:val="003359D3"/>
    <w:rsid w:val="00352CF6"/>
    <w:rsid w:val="00355967"/>
    <w:rsid w:val="00382C47"/>
    <w:rsid w:val="00384384"/>
    <w:rsid w:val="003866AE"/>
    <w:rsid w:val="003B3977"/>
    <w:rsid w:val="003C5FED"/>
    <w:rsid w:val="003E1D4C"/>
    <w:rsid w:val="004137A0"/>
    <w:rsid w:val="00422D9A"/>
    <w:rsid w:val="00432989"/>
    <w:rsid w:val="00440E24"/>
    <w:rsid w:val="0044776A"/>
    <w:rsid w:val="00460AFC"/>
    <w:rsid w:val="0047471F"/>
    <w:rsid w:val="004B195E"/>
    <w:rsid w:val="004B66B4"/>
    <w:rsid w:val="004B7F60"/>
    <w:rsid w:val="004C1AAC"/>
    <w:rsid w:val="004E1E0A"/>
    <w:rsid w:val="004F090E"/>
    <w:rsid w:val="00501F3C"/>
    <w:rsid w:val="0052229C"/>
    <w:rsid w:val="00527CC7"/>
    <w:rsid w:val="00546A32"/>
    <w:rsid w:val="00571CA4"/>
    <w:rsid w:val="00582136"/>
    <w:rsid w:val="005C6840"/>
    <w:rsid w:val="005D6C31"/>
    <w:rsid w:val="005F1ED8"/>
    <w:rsid w:val="005F263E"/>
    <w:rsid w:val="005F5C0B"/>
    <w:rsid w:val="00600252"/>
    <w:rsid w:val="00612A40"/>
    <w:rsid w:val="00623025"/>
    <w:rsid w:val="0062714A"/>
    <w:rsid w:val="00672DC5"/>
    <w:rsid w:val="00675479"/>
    <w:rsid w:val="00680709"/>
    <w:rsid w:val="00684868"/>
    <w:rsid w:val="00696BF9"/>
    <w:rsid w:val="00697C62"/>
    <w:rsid w:val="006A329B"/>
    <w:rsid w:val="006A7EB8"/>
    <w:rsid w:val="006B6926"/>
    <w:rsid w:val="006C3F47"/>
    <w:rsid w:val="006C5F7A"/>
    <w:rsid w:val="006E06AF"/>
    <w:rsid w:val="006F350F"/>
    <w:rsid w:val="00714478"/>
    <w:rsid w:val="00720754"/>
    <w:rsid w:val="00732DB7"/>
    <w:rsid w:val="0074238B"/>
    <w:rsid w:val="00745EF7"/>
    <w:rsid w:val="007514E1"/>
    <w:rsid w:val="00755F22"/>
    <w:rsid w:val="00766E4A"/>
    <w:rsid w:val="007820CE"/>
    <w:rsid w:val="00782AE4"/>
    <w:rsid w:val="0079724F"/>
    <w:rsid w:val="007A3EAE"/>
    <w:rsid w:val="007C04FC"/>
    <w:rsid w:val="007C47C2"/>
    <w:rsid w:val="007D3E0F"/>
    <w:rsid w:val="007E4282"/>
    <w:rsid w:val="007E45CC"/>
    <w:rsid w:val="007F387B"/>
    <w:rsid w:val="00802863"/>
    <w:rsid w:val="00810D62"/>
    <w:rsid w:val="008112A9"/>
    <w:rsid w:val="00815B3C"/>
    <w:rsid w:val="0081610A"/>
    <w:rsid w:val="00824771"/>
    <w:rsid w:val="0082783A"/>
    <w:rsid w:val="00831CA9"/>
    <w:rsid w:val="00850E1F"/>
    <w:rsid w:val="0085476B"/>
    <w:rsid w:val="0086340B"/>
    <w:rsid w:val="00890FEB"/>
    <w:rsid w:val="00895E7E"/>
    <w:rsid w:val="008A5C1A"/>
    <w:rsid w:val="008C097E"/>
    <w:rsid w:val="008D292F"/>
    <w:rsid w:val="008E03DC"/>
    <w:rsid w:val="00902E51"/>
    <w:rsid w:val="00913FF3"/>
    <w:rsid w:val="00924065"/>
    <w:rsid w:val="00930D68"/>
    <w:rsid w:val="00932DB4"/>
    <w:rsid w:val="00941A4B"/>
    <w:rsid w:val="00946242"/>
    <w:rsid w:val="0095096B"/>
    <w:rsid w:val="00970CD3"/>
    <w:rsid w:val="009723FA"/>
    <w:rsid w:val="00984546"/>
    <w:rsid w:val="00996510"/>
    <w:rsid w:val="009D0E64"/>
    <w:rsid w:val="009D1F15"/>
    <w:rsid w:val="009D555E"/>
    <w:rsid w:val="009F3024"/>
    <w:rsid w:val="00A0355E"/>
    <w:rsid w:val="00A375D1"/>
    <w:rsid w:val="00A4467E"/>
    <w:rsid w:val="00A45414"/>
    <w:rsid w:val="00A51D10"/>
    <w:rsid w:val="00A52A83"/>
    <w:rsid w:val="00A6552C"/>
    <w:rsid w:val="00A87207"/>
    <w:rsid w:val="00A935AA"/>
    <w:rsid w:val="00A956D3"/>
    <w:rsid w:val="00AA7486"/>
    <w:rsid w:val="00AB2201"/>
    <w:rsid w:val="00AD1D34"/>
    <w:rsid w:val="00AD3259"/>
    <w:rsid w:val="00AF1715"/>
    <w:rsid w:val="00AF3904"/>
    <w:rsid w:val="00B010C0"/>
    <w:rsid w:val="00B4740D"/>
    <w:rsid w:val="00B61629"/>
    <w:rsid w:val="00B7374B"/>
    <w:rsid w:val="00B77CC5"/>
    <w:rsid w:val="00B90DC0"/>
    <w:rsid w:val="00BA116A"/>
    <w:rsid w:val="00BA5582"/>
    <w:rsid w:val="00BA6468"/>
    <w:rsid w:val="00BB1D44"/>
    <w:rsid w:val="00BB3370"/>
    <w:rsid w:val="00BD06DA"/>
    <w:rsid w:val="00BD4217"/>
    <w:rsid w:val="00BF25F3"/>
    <w:rsid w:val="00BF5D43"/>
    <w:rsid w:val="00C1697B"/>
    <w:rsid w:val="00C21644"/>
    <w:rsid w:val="00C21CB5"/>
    <w:rsid w:val="00C30EE2"/>
    <w:rsid w:val="00C46376"/>
    <w:rsid w:val="00C50A5C"/>
    <w:rsid w:val="00C50FDF"/>
    <w:rsid w:val="00C63381"/>
    <w:rsid w:val="00C71A5A"/>
    <w:rsid w:val="00C73D06"/>
    <w:rsid w:val="00C73E1B"/>
    <w:rsid w:val="00C759B4"/>
    <w:rsid w:val="00C77713"/>
    <w:rsid w:val="00C85BB7"/>
    <w:rsid w:val="00CA2DEA"/>
    <w:rsid w:val="00CB3520"/>
    <w:rsid w:val="00CB43D5"/>
    <w:rsid w:val="00CB5104"/>
    <w:rsid w:val="00CC4D84"/>
    <w:rsid w:val="00CE198A"/>
    <w:rsid w:val="00CE5BE9"/>
    <w:rsid w:val="00CF08C8"/>
    <w:rsid w:val="00CF6EE7"/>
    <w:rsid w:val="00D004FC"/>
    <w:rsid w:val="00D02681"/>
    <w:rsid w:val="00D41067"/>
    <w:rsid w:val="00D64901"/>
    <w:rsid w:val="00D76BDF"/>
    <w:rsid w:val="00D862C1"/>
    <w:rsid w:val="00D93B50"/>
    <w:rsid w:val="00D94028"/>
    <w:rsid w:val="00D94670"/>
    <w:rsid w:val="00DA46F6"/>
    <w:rsid w:val="00DD0B49"/>
    <w:rsid w:val="00DD7981"/>
    <w:rsid w:val="00DE0502"/>
    <w:rsid w:val="00DE349D"/>
    <w:rsid w:val="00E06DFA"/>
    <w:rsid w:val="00E20A0A"/>
    <w:rsid w:val="00E22A44"/>
    <w:rsid w:val="00E240C2"/>
    <w:rsid w:val="00E33C9D"/>
    <w:rsid w:val="00E3500D"/>
    <w:rsid w:val="00E356C7"/>
    <w:rsid w:val="00E41A5A"/>
    <w:rsid w:val="00E45FE4"/>
    <w:rsid w:val="00E64FA7"/>
    <w:rsid w:val="00E770CB"/>
    <w:rsid w:val="00E851FB"/>
    <w:rsid w:val="00E903A1"/>
    <w:rsid w:val="00E92036"/>
    <w:rsid w:val="00E940EB"/>
    <w:rsid w:val="00E9703F"/>
    <w:rsid w:val="00EA0A92"/>
    <w:rsid w:val="00EB2B90"/>
    <w:rsid w:val="00ED7E83"/>
    <w:rsid w:val="00EE091F"/>
    <w:rsid w:val="00EE66D6"/>
    <w:rsid w:val="00EF4459"/>
    <w:rsid w:val="00EF4B63"/>
    <w:rsid w:val="00F0068D"/>
    <w:rsid w:val="00F0576D"/>
    <w:rsid w:val="00F14E6D"/>
    <w:rsid w:val="00F15EA8"/>
    <w:rsid w:val="00F16C8D"/>
    <w:rsid w:val="00F26C61"/>
    <w:rsid w:val="00F33CCE"/>
    <w:rsid w:val="00F40249"/>
    <w:rsid w:val="00F45982"/>
    <w:rsid w:val="00F526C8"/>
    <w:rsid w:val="00F761A3"/>
    <w:rsid w:val="00F9272D"/>
    <w:rsid w:val="00F9518C"/>
    <w:rsid w:val="00FA316E"/>
    <w:rsid w:val="00FA59EF"/>
    <w:rsid w:val="00FB19A2"/>
    <w:rsid w:val="00FC7EC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5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2F4FD4"/>
    <w:pPr>
      <w:jc w:val="center"/>
    </w:pPr>
    <w:rPr>
      <w:lang w:val="fr-CA"/>
    </w:rPr>
  </w:style>
  <w:style w:type="character" w:customStyle="1" w:styleId="SCCLsocPartyChar">
    <w:name w:val="SCC.Lsoc.Party Char"/>
    <w:basedOn w:val="DefaultParagraphFont"/>
    <w:link w:val="SCCLsocParty"/>
    <w:rsid w:val="002F4FD4"/>
    <w:rPr>
      <w:lang w:val="fr-CA"/>
    </w:rPr>
  </w:style>
  <w:style w:type="paragraph" w:customStyle="1" w:styleId="SCCLsocVersus">
    <w:name w:val="SCC.Lsoc.Versus"/>
    <w:basedOn w:val="Normal"/>
    <w:next w:val="Normal"/>
    <w:link w:val="SCCLsocVersusChar"/>
    <w:rsid w:val="002F4FD4"/>
    <w:pPr>
      <w:jc w:val="center"/>
    </w:pPr>
    <w:rPr>
      <w:lang w:val="fr-CA"/>
    </w:rPr>
  </w:style>
  <w:style w:type="character" w:customStyle="1" w:styleId="SCCLsocVersusChar">
    <w:name w:val="SCC.Lsoc.Versus Char"/>
    <w:basedOn w:val="DefaultParagraphFont"/>
    <w:link w:val="SCCLsocVersus"/>
    <w:rsid w:val="002F4FD4"/>
    <w:rPr>
      <w:lang w:val="fr-CA"/>
    </w:rPr>
  </w:style>
  <w:style w:type="table" w:customStyle="1" w:styleId="TableGrid2">
    <w:name w:val="Table Grid2"/>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2F4FD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ose">
    <w:name w:val="loose"/>
    <w:basedOn w:val="Normal"/>
    <w:rsid w:val="00CB5104"/>
    <w:pPr>
      <w:spacing w:before="190"/>
    </w:pPr>
    <w:rPr>
      <w:rFonts w:eastAsia="Times New Roman" w:cs="Times New Roman"/>
      <w:szCs w:val="24"/>
      <w:lang w:val="en-US"/>
    </w:rPr>
  </w:style>
  <w:style w:type="paragraph" w:customStyle="1" w:styleId="CITATION">
    <w:name w:val="CITATION"/>
    <w:basedOn w:val="Normal"/>
    <w:next w:val="Normal"/>
    <w:qFormat/>
    <w:rsid w:val="003C5FED"/>
    <w:pPr>
      <w:ind w:left="720" w:right="720"/>
      <w:jc w:val="both"/>
    </w:pPr>
    <w:rPr>
      <w:rFonts w:eastAsia="Times New Roman" w:cs="Times New Roman"/>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5907" TargetMode="External"/><Relationship Id="rId21" Type="http://schemas.openxmlformats.org/officeDocument/2006/relationships/header" Target="header6.xml"/><Relationship Id="rId42" Type="http://schemas.openxmlformats.org/officeDocument/2006/relationships/hyperlink" Target="http://www.canlii.org/en/on/onca/doc/2013/2013onca760/2013onca760.html" TargetMode="External"/><Relationship Id="rId47" Type="http://schemas.openxmlformats.org/officeDocument/2006/relationships/hyperlink" Target="http://www.canlii.org/en/qc/qccs/doc/2011/2011qccs4800/2011qccs4800.html" TargetMode="External"/><Relationship Id="rId63" Type="http://schemas.openxmlformats.org/officeDocument/2006/relationships/hyperlink" Target="http://www.canlii.org/en/ab/abqb/doc/2010/2010abqb439/2010abqb439.html" TargetMode="External"/><Relationship Id="rId68" Type="http://schemas.openxmlformats.org/officeDocument/2006/relationships/header" Target="header11.xml"/><Relationship Id="rId84" Type="http://schemas.openxmlformats.org/officeDocument/2006/relationships/header" Target="header19.xml"/><Relationship Id="rId89" Type="http://schemas.openxmlformats.org/officeDocument/2006/relationships/header" Target="header20.xml"/><Relationship Id="rId7" Type="http://schemas.openxmlformats.org/officeDocument/2006/relationships/endnotes" Target="endnotes.xml"/><Relationship Id="rId71" Type="http://schemas.openxmlformats.org/officeDocument/2006/relationships/footer" Target="footer12.xml"/><Relationship Id="rId92"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07" Type="http://schemas.openxmlformats.org/officeDocument/2006/relationships/fontTable" Target="fontTable.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yperlink" Target="http://www.canlii.org/en/bc/bcsc/doc/2012/2012bcsc543/2012bcsc543.html" TargetMode="External"/><Relationship Id="rId40" Type="http://schemas.openxmlformats.org/officeDocument/2006/relationships/hyperlink" Target="http://www.canlii.org/en/bc/bcca/doc/2013/2013bcca326/2013bcca326.html" TargetMode="External"/><Relationship Id="rId45" Type="http://schemas.openxmlformats.org/officeDocument/2006/relationships/hyperlink" Target="http://www.canlii.org/en/qc/qccs/doc/2011/2011qccs4800/2011qccs4800.html" TargetMode="External"/><Relationship Id="rId53" Type="http://schemas.openxmlformats.org/officeDocument/2006/relationships/hyperlink" Target="http://www.canlii.org/en/on/onca/doc/2014/2014onca272/2014onca272.html" TargetMode="External"/><Relationship Id="rId58" Type="http://schemas.openxmlformats.org/officeDocument/2006/relationships/hyperlink" Target="http://canlii.ca/t/fzfrm" TargetMode="External"/><Relationship Id="rId66" Type="http://schemas.openxmlformats.org/officeDocument/2006/relationships/hyperlink" Target="http://www.canlii.org/en/ab/abqb/doc/2010/2010abqb439/2010abqb439.html" TargetMode="External"/><Relationship Id="rId74" Type="http://schemas.openxmlformats.org/officeDocument/2006/relationships/header" Target="header14.xml"/><Relationship Id="rId79" Type="http://schemas.openxmlformats.org/officeDocument/2006/relationships/footer" Target="footer16.xml"/><Relationship Id="rId87" Type="http://schemas.openxmlformats.org/officeDocument/2006/relationships/hyperlink" Target="http://www.scc-csc.ca/case-dossier/info/sum-som-eng.aspx?cas=35665" TargetMode="External"/><Relationship Id="rId102" Type="http://schemas.openxmlformats.org/officeDocument/2006/relationships/footer" Target="footer26.xml"/><Relationship Id="rId5" Type="http://schemas.openxmlformats.org/officeDocument/2006/relationships/webSettings" Target="webSettings.xml"/><Relationship Id="rId61" Type="http://schemas.openxmlformats.org/officeDocument/2006/relationships/hyperlink" Target="http://canlii.ca/t/g6jbc" TargetMode="External"/><Relationship Id="rId82" Type="http://schemas.openxmlformats.org/officeDocument/2006/relationships/footer" Target="footer17.xml"/><Relationship Id="rId90" Type="http://schemas.openxmlformats.org/officeDocument/2006/relationships/header" Target="header21.xml"/><Relationship Id="rId95" Type="http://schemas.openxmlformats.org/officeDocument/2006/relationships/header" Target="header2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yperlink" Target="http://www.canlii.org/en/bc/bcca/doc/2013/2013bcca262/2013bcca262.html" TargetMode="External"/><Relationship Id="rId43" Type="http://schemas.openxmlformats.org/officeDocument/2006/relationships/hyperlink" Target="http://www.canlii.org/fr/ca/caf/doc/2014/2014caf35/2014caf35.html" TargetMode="External"/><Relationship Id="rId48" Type="http://schemas.openxmlformats.org/officeDocument/2006/relationships/hyperlink" Target="http://www.canlii.org/en/qc/qcca/doc/2012/2012qcca1142/2012qcca1142.html" TargetMode="External"/><Relationship Id="rId56" Type="http://schemas.openxmlformats.org/officeDocument/2006/relationships/hyperlink" Target="http://canlii.ca/t/g6ll7" TargetMode="External"/><Relationship Id="rId64" Type="http://schemas.openxmlformats.org/officeDocument/2006/relationships/hyperlink" Target="http://www.canlii.org/en/ab/abca/doc/2013/2013abca130/2013abca130.html" TargetMode="External"/><Relationship Id="rId69" Type="http://schemas.openxmlformats.org/officeDocument/2006/relationships/header" Target="header12.xml"/><Relationship Id="rId77" Type="http://schemas.openxmlformats.org/officeDocument/2006/relationships/footer" Target="footer15.xml"/><Relationship Id="rId100" Type="http://schemas.openxmlformats.org/officeDocument/2006/relationships/footer" Target="footer25.xml"/><Relationship Id="rId105" Type="http://schemas.openxmlformats.org/officeDocument/2006/relationships/header" Target="header28.xml"/><Relationship Id="rId8" Type="http://schemas.openxmlformats.org/officeDocument/2006/relationships/image" Target="media/image1.wmf"/><Relationship Id="rId51" Type="http://schemas.openxmlformats.org/officeDocument/2006/relationships/hyperlink" Target="http://www.canlii.org/en/ab/abca/doc/2014/2014abca35/2014abca35.html" TargetMode="External"/><Relationship Id="rId72" Type="http://schemas.openxmlformats.org/officeDocument/2006/relationships/header" Target="header13.xml"/><Relationship Id="rId80" Type="http://schemas.openxmlformats.org/officeDocument/2006/relationships/header" Target="header17.xml"/><Relationship Id="rId85" Type="http://schemas.openxmlformats.org/officeDocument/2006/relationships/footer" Target="footer19.xml"/><Relationship Id="rId93" Type="http://schemas.openxmlformats.org/officeDocument/2006/relationships/header" Target="header22.xml"/><Relationship Id="rId98" Type="http://schemas.openxmlformats.org/officeDocument/2006/relationships/footer" Target="footer2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scc-csc.ca/case-dossier/info/sum-som-eng.aspx?cas=35795" TargetMode="External"/><Relationship Id="rId33" Type="http://schemas.openxmlformats.org/officeDocument/2006/relationships/hyperlink" Target="http://www.canlii.org/fr/qc/qcca/doc/2013/2013qcca834/2013qcca834.html" TargetMode="External"/><Relationship Id="rId38" Type="http://schemas.openxmlformats.org/officeDocument/2006/relationships/hyperlink" Target="http://www.canlii.org/en/bc/bcca/doc/2013/2013bcca326/2013bcca326.html" TargetMode="External"/><Relationship Id="rId46" Type="http://schemas.openxmlformats.org/officeDocument/2006/relationships/hyperlink" Target="http://www.canlii.org/en/qc/qcca/doc/2014/2014qcca681/2014qcca681.html" TargetMode="External"/><Relationship Id="rId59" Type="http://schemas.openxmlformats.org/officeDocument/2006/relationships/hyperlink" Target="http://canlii.ca/t/g6jbc" TargetMode="External"/><Relationship Id="rId67" Type="http://schemas.openxmlformats.org/officeDocument/2006/relationships/hyperlink" Target="http://www.canlii.org/en/ab/abca/doc/2013/2013abca130/2013abca130.html" TargetMode="External"/><Relationship Id="rId103" Type="http://schemas.openxmlformats.org/officeDocument/2006/relationships/header" Target="header27.xml"/><Relationship Id="rId108"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yperlink" Target="http://www.canlii.org/en/on/onca/doc/2013/2013onca760/2013onca760.html" TargetMode="External"/><Relationship Id="rId54" Type="http://schemas.openxmlformats.org/officeDocument/2006/relationships/hyperlink" Target="http://www.canlii.org/en/on/onsc/doc/2012/2012onsc4829/2012onsc4829.html" TargetMode="External"/><Relationship Id="rId62" Type="http://schemas.openxmlformats.org/officeDocument/2006/relationships/hyperlink" Target="http://www.canlii.org/en/ab/abqb/doc/2010/2010abqb437/2010abqb437.html" TargetMode="External"/><Relationship Id="rId70" Type="http://schemas.openxmlformats.org/officeDocument/2006/relationships/footer" Target="footer11.xml"/><Relationship Id="rId75" Type="http://schemas.openxmlformats.org/officeDocument/2006/relationships/header" Target="header15.xml"/><Relationship Id="rId83" Type="http://schemas.openxmlformats.org/officeDocument/2006/relationships/footer" Target="footer18.xml"/><Relationship Id="rId88" Type="http://schemas.openxmlformats.org/officeDocument/2006/relationships/hyperlink" Target="http://www.scc-csc.ca/case-dossier/info/sum-som-eng.aspx?cas=35669" TargetMode="External"/><Relationship Id="rId91" Type="http://schemas.openxmlformats.org/officeDocument/2006/relationships/footer" Target="footer20.xml"/><Relationship Id="rId96"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yperlink" Target="http://www.canlii.org/en/bc/bcca/doc/2013/2013bcca262/2013bcca262.html" TargetMode="External"/><Relationship Id="rId49" Type="http://schemas.openxmlformats.org/officeDocument/2006/relationships/hyperlink" Target="http://www.canlii.org/en/qc/qcca/doc/2014/2014qcca681/2014qcca681.html" TargetMode="External"/><Relationship Id="rId57" Type="http://schemas.openxmlformats.org/officeDocument/2006/relationships/hyperlink" Target="http://canlii.ca/t/g6ll7" TargetMode="External"/><Relationship Id="rId106" Type="http://schemas.openxmlformats.org/officeDocument/2006/relationships/footer" Target="footer28.xml"/><Relationship Id="rId10" Type="http://schemas.openxmlformats.org/officeDocument/2006/relationships/hyperlink" Target="http://www.scc-csc.ca" TargetMode="External"/><Relationship Id="rId31" Type="http://schemas.openxmlformats.org/officeDocument/2006/relationships/header" Target="header10.xml"/><Relationship Id="rId44" Type="http://schemas.openxmlformats.org/officeDocument/2006/relationships/hyperlink" Target="http://www.canlii.org/fr/ca/caf/doc/2014/2014caf35/2014caf35.html" TargetMode="External"/><Relationship Id="rId52" Type="http://schemas.openxmlformats.org/officeDocument/2006/relationships/hyperlink" Target="http://www.canlii.org/en/on/onsc/doc/2012/2012onsc4829/2012onsc4829.html" TargetMode="External"/><Relationship Id="rId60" Type="http://schemas.openxmlformats.org/officeDocument/2006/relationships/hyperlink" Target="http://canlii.ca/t/fzfrm" TargetMode="External"/><Relationship Id="rId65" Type="http://schemas.openxmlformats.org/officeDocument/2006/relationships/hyperlink" Target="http://www.canlii.org/en/ab/abqb/doc/2010/2010abqb437/2010abqb437.html" TargetMode="External"/><Relationship Id="rId73" Type="http://schemas.openxmlformats.org/officeDocument/2006/relationships/footer" Target="footer13.xml"/><Relationship Id="rId78" Type="http://schemas.openxmlformats.org/officeDocument/2006/relationships/header" Target="header16.xml"/><Relationship Id="rId81" Type="http://schemas.openxmlformats.org/officeDocument/2006/relationships/header" Target="header18.xml"/><Relationship Id="rId86" Type="http://schemas.openxmlformats.org/officeDocument/2006/relationships/hyperlink" Target="http://www.scc-csc.ca/case-dossier/info/sum-som-eng.aspx?cas=35690" TargetMode="External"/><Relationship Id="rId94" Type="http://schemas.openxmlformats.org/officeDocument/2006/relationships/footer" Target="footer22.xml"/><Relationship Id="rId99" Type="http://schemas.openxmlformats.org/officeDocument/2006/relationships/header" Target="header25.xml"/><Relationship Id="rId101"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bc/bcsc/doc/2012/2012bcsc543/2012bcsc543.html" TargetMode="External"/><Relationship Id="rId34" Type="http://schemas.openxmlformats.org/officeDocument/2006/relationships/hyperlink" Target="http://c-doc/L25/01/05/2013%20QCCA%20834" TargetMode="External"/><Relationship Id="rId50" Type="http://schemas.openxmlformats.org/officeDocument/2006/relationships/hyperlink" Target="http://www.canlii.org/en/ab/abca/doc/2014/2014abca35/2014abca35.html" TargetMode="External"/><Relationship Id="rId55" Type="http://schemas.openxmlformats.org/officeDocument/2006/relationships/hyperlink" Target="http://www.canlii.org/en/on/onca/doc/2014/2014onca272/2014onca272.html" TargetMode="External"/><Relationship Id="rId76" Type="http://schemas.openxmlformats.org/officeDocument/2006/relationships/footer" Target="footer14.xml"/><Relationship Id="rId97" Type="http://schemas.openxmlformats.org/officeDocument/2006/relationships/footer" Target="footer23.xml"/><Relationship Id="rId104"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89195-F440-41F0-9B34-68B1B17C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22215</Words>
  <Characters>126632</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2014-10-24T14:08:00Z</dcterms:created>
  <dcterms:modified xsi:type="dcterms:W3CDTF">2015-11-30T15:10:00Z</dcterms:modified>
</cp:coreProperties>
</file>