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A5B2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A5B2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A5B26"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8A5B2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A5B26" w:rsidTr="002E5576">
        <w:tc>
          <w:tcPr>
            <w:tcW w:w="4518" w:type="dxa"/>
          </w:tcPr>
          <w:p w:rsidR="00BF25F3" w:rsidRPr="002E2327" w:rsidRDefault="00D5130B"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5130B"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A5B26"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8A5B26"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8A5B26">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8A5B26">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January</w:t>
      </w:r>
      <w:r w:rsidR="00440E24" w:rsidRPr="00675479">
        <w:rPr>
          <w:lang w:val="fr-CA"/>
        </w:rPr>
        <w:t xml:space="preserve"> </w:t>
      </w:r>
      <w:r w:rsidR="00787937">
        <w:rPr>
          <w:lang w:val="fr-CA"/>
        </w:rPr>
        <w:t>23</w:t>
      </w:r>
      <w:r w:rsidR="00440E24" w:rsidRPr="00675479">
        <w:rPr>
          <w:lang w:val="fr-CA"/>
        </w:rPr>
        <w:t>, 201</w:t>
      </w:r>
      <w:r w:rsidR="00020DC3">
        <w:rPr>
          <w:lang w:val="fr-CA"/>
        </w:rPr>
        <w:t>5</w:t>
      </w:r>
      <w:r w:rsidR="00F0068D" w:rsidRPr="00675479">
        <w:rPr>
          <w:lang w:val="fr-CA"/>
        </w:rPr>
        <w:tab/>
        <w:t>1</w:t>
      </w:r>
      <w:r w:rsidR="00787937">
        <w:rPr>
          <w:lang w:val="fr-CA"/>
        </w:rPr>
        <w:t>03</w:t>
      </w:r>
      <w:r w:rsidR="00F0068D" w:rsidRPr="00675479">
        <w:rPr>
          <w:lang w:val="fr-CA"/>
        </w:rPr>
        <w:t xml:space="preserve"> - </w:t>
      </w:r>
      <w:r w:rsidR="00F36F76">
        <w:rPr>
          <w:lang w:val="fr-CA"/>
        </w:rPr>
        <w:t>149</w:t>
      </w:r>
      <w:r w:rsidR="00440E24" w:rsidRPr="00675479">
        <w:rPr>
          <w:lang w:val="fr-CA"/>
        </w:rPr>
        <w:tab/>
      </w:r>
      <w:r w:rsidR="00440E24" w:rsidRPr="002E2327">
        <w:rPr>
          <w:lang w:val="fr-CA"/>
        </w:rPr>
        <w:t>Le</w:t>
      </w:r>
      <w:r>
        <w:rPr>
          <w:lang w:val="fr-CA"/>
        </w:rPr>
        <w:t xml:space="preserve"> </w:t>
      </w:r>
      <w:r w:rsidR="00787937">
        <w:rPr>
          <w:lang w:val="fr-CA"/>
        </w:rPr>
        <w:t>23</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(201</w:t>
      </w:r>
      <w:r w:rsidR="00020DC3">
        <w:rPr>
          <w:sz w:val="18"/>
          <w:szCs w:val="18"/>
        </w:rPr>
        <w:t>5</w:t>
      </w:r>
      <w:r w:rsidRPr="00020DC3">
        <w:rPr>
          <w:sz w:val="18"/>
          <w:szCs w:val="18"/>
        </w:rPr>
        <w:t>)</w:t>
      </w:r>
      <w:r w:rsidRPr="00020DC3">
        <w:rPr>
          <w:sz w:val="18"/>
          <w:szCs w:val="18"/>
        </w:rPr>
        <w:tab/>
        <w:t>© Cour suprême du Canada (201</w:t>
      </w:r>
      <w:r w:rsidR="00020DC3">
        <w:rPr>
          <w:sz w:val="18"/>
          <w:szCs w:val="18"/>
        </w:rPr>
        <w:t>5</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A752AD">
            <w:pPr>
              <w:tabs>
                <w:tab w:val="right" w:pos="9360"/>
              </w:tabs>
              <w:rPr>
                <w:rFonts w:cs="Times New Roman"/>
                <w:sz w:val="20"/>
                <w:szCs w:val="20"/>
              </w:rPr>
            </w:pPr>
          </w:p>
        </w:tc>
        <w:tc>
          <w:tcPr>
            <w:tcW w:w="1980" w:type="dxa"/>
          </w:tcPr>
          <w:p w:rsidR="0095096B" w:rsidRPr="002E2327" w:rsidRDefault="00787937" w:rsidP="0095096B">
            <w:pPr>
              <w:jc w:val="center"/>
              <w:rPr>
                <w:rFonts w:cs="Times New Roman"/>
                <w:sz w:val="20"/>
                <w:szCs w:val="20"/>
              </w:rPr>
            </w:pPr>
            <w:r>
              <w:rPr>
                <w:rFonts w:cs="Times New Roman"/>
                <w:sz w:val="20"/>
                <w:szCs w:val="20"/>
              </w:rPr>
              <w:t xml:space="preserve">103 </w:t>
            </w:r>
            <w:r w:rsidR="00D5130B" w:rsidRPr="002E2327">
              <w:rPr>
                <w:rFonts w:cs="Times New Roman"/>
                <w:sz w:val="20"/>
                <w:szCs w:val="20"/>
              </w:rPr>
              <w:fldChar w:fldCharType="begin"/>
            </w:r>
            <w:r w:rsidR="0095096B" w:rsidRPr="002E2327">
              <w:rPr>
                <w:rFonts w:cs="Times New Roman"/>
                <w:sz w:val="20"/>
                <w:szCs w:val="20"/>
              </w:rPr>
              <w:instrText xml:space="preserve"> SEQ CHAPTER \h \r 1</w:instrText>
            </w:r>
            <w:r w:rsidR="00D5130B" w:rsidRPr="002E2327">
              <w:rPr>
                <w:rFonts w:cs="Times New Roman"/>
                <w:sz w:val="20"/>
                <w:szCs w:val="20"/>
              </w:rPr>
              <w:fldChar w:fldCharType="end"/>
            </w:r>
            <w:r w:rsidR="0095096B" w:rsidRPr="002E2327">
              <w:rPr>
                <w:rFonts w:cs="Times New Roman"/>
                <w:sz w:val="20"/>
                <w:szCs w:val="20"/>
              </w:rPr>
              <w:t>-</w:t>
            </w:r>
            <w:r w:rsidR="00D363E5">
              <w:rPr>
                <w:rFonts w:cs="Times New Roman"/>
                <w:sz w:val="20"/>
                <w:szCs w:val="20"/>
              </w:rPr>
              <w:t xml:space="preserve"> 104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363E5" w:rsidP="0095096B">
            <w:pPr>
              <w:jc w:val="center"/>
              <w:rPr>
                <w:rFonts w:cs="Times New Roman"/>
                <w:sz w:val="20"/>
                <w:szCs w:val="20"/>
              </w:rPr>
            </w:pPr>
            <w:r>
              <w:rPr>
                <w:rFonts w:cs="Times New Roman"/>
                <w:sz w:val="20"/>
                <w:szCs w:val="20"/>
              </w:rPr>
              <w:t>105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752AD" w:rsidP="0095096B">
            <w:pPr>
              <w:jc w:val="center"/>
              <w:rPr>
                <w:rFonts w:cs="Times New Roman"/>
                <w:sz w:val="20"/>
                <w:szCs w:val="20"/>
              </w:rPr>
            </w:pPr>
            <w:r>
              <w:rPr>
                <w:rFonts w:cs="Times New Roman"/>
                <w:sz w:val="20"/>
                <w:szCs w:val="20"/>
              </w:rPr>
              <w:t xml:space="preserve">106 </w:t>
            </w:r>
            <w:r w:rsidR="0095096B" w:rsidRPr="002E2327">
              <w:rPr>
                <w:rFonts w:cs="Times New Roman"/>
                <w:sz w:val="20"/>
                <w:szCs w:val="20"/>
              </w:rPr>
              <w:t>-</w:t>
            </w:r>
            <w:r w:rsidR="00994BCA">
              <w:rPr>
                <w:rFonts w:cs="Times New Roman"/>
                <w:sz w:val="20"/>
                <w:szCs w:val="20"/>
              </w:rPr>
              <w:t xml:space="preserve"> 116</w:t>
            </w:r>
          </w:p>
          <w:p w:rsidR="0095096B" w:rsidRDefault="0095096B" w:rsidP="0095096B">
            <w:pPr>
              <w:jc w:val="center"/>
              <w:rPr>
                <w:rFonts w:cs="Times New Roman"/>
                <w:sz w:val="20"/>
                <w:szCs w:val="20"/>
              </w:rPr>
            </w:pPr>
          </w:p>
          <w:p w:rsidR="00EE6F1A" w:rsidRPr="002E2327" w:rsidRDefault="00EE6F1A" w:rsidP="0095096B">
            <w:pPr>
              <w:jc w:val="center"/>
              <w:rPr>
                <w:rFonts w:cs="Times New Roman"/>
                <w:sz w:val="20"/>
                <w:szCs w:val="20"/>
              </w:rPr>
            </w:pPr>
          </w:p>
          <w:p w:rsidR="0095096B" w:rsidRPr="002E2327" w:rsidRDefault="00EE6F1A" w:rsidP="0095096B">
            <w:pPr>
              <w:jc w:val="center"/>
              <w:rPr>
                <w:rFonts w:cs="Times New Roman"/>
                <w:sz w:val="20"/>
                <w:szCs w:val="20"/>
              </w:rPr>
            </w:pPr>
            <w:r>
              <w:rPr>
                <w:rFonts w:cs="Times New Roman"/>
                <w:sz w:val="20"/>
                <w:szCs w:val="20"/>
              </w:rPr>
              <w:t xml:space="preserve">117 </w:t>
            </w:r>
            <w:r w:rsidR="0095096B" w:rsidRPr="002E2327">
              <w:rPr>
                <w:rFonts w:cs="Times New Roman"/>
                <w:sz w:val="20"/>
                <w:szCs w:val="20"/>
              </w:rPr>
              <w:t>-</w:t>
            </w:r>
            <w:r w:rsidR="00F36F76">
              <w:rPr>
                <w:rFonts w:cs="Times New Roman"/>
                <w:sz w:val="20"/>
                <w:szCs w:val="20"/>
              </w:rPr>
              <w:t xml:space="preserve"> 134</w:t>
            </w:r>
          </w:p>
          <w:p w:rsidR="0095096B" w:rsidRPr="002E2327" w:rsidRDefault="0095096B" w:rsidP="0095096B">
            <w:pPr>
              <w:jc w:val="center"/>
              <w:rPr>
                <w:rFonts w:cs="Times New Roman"/>
                <w:sz w:val="20"/>
                <w:szCs w:val="20"/>
              </w:rPr>
            </w:pPr>
          </w:p>
          <w:p w:rsidR="0095096B" w:rsidRPr="002E2327" w:rsidRDefault="00F36F76" w:rsidP="0095096B">
            <w:pPr>
              <w:jc w:val="center"/>
              <w:rPr>
                <w:rFonts w:cs="Times New Roman"/>
                <w:sz w:val="20"/>
                <w:szCs w:val="20"/>
              </w:rPr>
            </w:pPr>
            <w:r>
              <w:rPr>
                <w:rFonts w:cs="Times New Roman"/>
                <w:sz w:val="20"/>
                <w:szCs w:val="20"/>
              </w:rPr>
              <w:t>135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36F76" w:rsidP="0095096B">
            <w:pPr>
              <w:jc w:val="center"/>
              <w:rPr>
                <w:rFonts w:cs="Times New Roman"/>
                <w:sz w:val="20"/>
                <w:szCs w:val="20"/>
              </w:rPr>
            </w:pPr>
            <w:r>
              <w:rPr>
                <w:rFonts w:cs="Times New Roman"/>
                <w:sz w:val="20"/>
                <w:szCs w:val="20"/>
              </w:rPr>
              <w:t xml:space="preserve">136 </w:t>
            </w:r>
            <w:r w:rsidR="0095096B" w:rsidRPr="002E2327">
              <w:rPr>
                <w:rFonts w:cs="Times New Roman"/>
                <w:sz w:val="20"/>
                <w:szCs w:val="20"/>
              </w:rPr>
              <w:t>-</w:t>
            </w:r>
            <w:r>
              <w:rPr>
                <w:rFonts w:cs="Times New Roman"/>
                <w:sz w:val="20"/>
                <w:szCs w:val="20"/>
              </w:rPr>
              <w:t xml:space="preserve"> 139</w:t>
            </w:r>
          </w:p>
          <w:p w:rsidR="0095096B" w:rsidRDefault="0095096B" w:rsidP="0095096B">
            <w:pPr>
              <w:jc w:val="center"/>
              <w:rPr>
                <w:rFonts w:cs="Times New Roman"/>
                <w:sz w:val="20"/>
                <w:szCs w:val="20"/>
              </w:rPr>
            </w:pPr>
          </w:p>
          <w:p w:rsidR="00263E08" w:rsidRPr="002E2327" w:rsidRDefault="00263E08" w:rsidP="0095096B">
            <w:pPr>
              <w:jc w:val="center"/>
              <w:rPr>
                <w:rFonts w:cs="Times New Roman"/>
                <w:sz w:val="20"/>
                <w:szCs w:val="20"/>
              </w:rPr>
            </w:pPr>
          </w:p>
          <w:p w:rsidR="0095096B" w:rsidRPr="002E2327" w:rsidRDefault="00F36F76" w:rsidP="0095096B">
            <w:pPr>
              <w:jc w:val="center"/>
              <w:rPr>
                <w:rFonts w:cs="Times New Roman"/>
                <w:sz w:val="20"/>
                <w:szCs w:val="20"/>
              </w:rPr>
            </w:pPr>
            <w:r>
              <w:rPr>
                <w:rFonts w:cs="Times New Roman"/>
                <w:sz w:val="20"/>
                <w:szCs w:val="20"/>
              </w:rPr>
              <w:t>140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36F76" w:rsidP="0095096B">
            <w:pPr>
              <w:jc w:val="center"/>
              <w:rPr>
                <w:rFonts w:cs="Times New Roman"/>
                <w:sz w:val="20"/>
                <w:szCs w:val="20"/>
              </w:rPr>
            </w:pPr>
            <w:r>
              <w:rPr>
                <w:rFonts w:cs="Times New Roman"/>
                <w:sz w:val="20"/>
                <w:szCs w:val="20"/>
              </w:rPr>
              <w:t xml:space="preserve">141 </w:t>
            </w:r>
            <w:r w:rsidR="0095096B" w:rsidRPr="002E2327">
              <w:rPr>
                <w:rFonts w:cs="Times New Roman"/>
                <w:sz w:val="20"/>
                <w:szCs w:val="20"/>
              </w:rPr>
              <w:t>-</w:t>
            </w:r>
            <w:r>
              <w:rPr>
                <w:rFonts w:cs="Times New Roman"/>
                <w:sz w:val="20"/>
                <w:szCs w:val="20"/>
              </w:rPr>
              <w:t xml:space="preserve"> 149</w:t>
            </w:r>
          </w:p>
          <w:p w:rsidR="00A87207" w:rsidRPr="002E2327" w:rsidRDefault="00A87207" w:rsidP="00A752AD">
            <w:pPr>
              <w:jc w:val="center"/>
              <w:rPr>
                <w:rFonts w:cs="Times New Roman"/>
                <w:sz w:val="20"/>
                <w:szCs w:val="20"/>
              </w:rPr>
            </w:pPr>
          </w:p>
        </w:tc>
        <w:tc>
          <w:tcPr>
            <w:tcW w:w="3888" w:type="dxa"/>
          </w:tcPr>
          <w:p w:rsidR="0095096B" w:rsidRPr="002E2327" w:rsidRDefault="00D5130B"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A752AD">
            <w:pPr>
              <w:tabs>
                <w:tab w:val="right" w:pos="9360"/>
              </w:tabs>
              <w:rPr>
                <w:rFonts w:cs="Times New Roman"/>
                <w:sz w:val="20"/>
                <w:szCs w:val="20"/>
                <w:lang w:val="fr-CA"/>
              </w:rPr>
            </w:pPr>
          </w:p>
        </w:tc>
      </w:tr>
    </w:tbl>
    <w:p w:rsidR="0095096B" w:rsidRDefault="0095096B" w:rsidP="0095096B">
      <w:pPr>
        <w:tabs>
          <w:tab w:val="right" w:pos="9360"/>
        </w:tabs>
      </w:pPr>
    </w:p>
    <w:p w:rsidR="00A752AD" w:rsidRDefault="00A752AD" w:rsidP="0095096B">
      <w:pPr>
        <w:tabs>
          <w:tab w:val="right" w:pos="9360"/>
        </w:tabs>
      </w:pPr>
    </w:p>
    <w:p w:rsidR="00A752AD" w:rsidRDefault="00A752AD" w:rsidP="0095096B">
      <w:pPr>
        <w:tabs>
          <w:tab w:val="right" w:pos="9360"/>
        </w:tabs>
      </w:pPr>
    </w:p>
    <w:p w:rsidR="00A752AD" w:rsidRDefault="00A752AD" w:rsidP="0095096B">
      <w:pPr>
        <w:tabs>
          <w:tab w:val="right" w:pos="9360"/>
        </w:tabs>
      </w:pPr>
    </w:p>
    <w:p w:rsidR="00A752AD" w:rsidRPr="002E2327" w:rsidRDefault="00A752AD" w:rsidP="0095096B">
      <w:pPr>
        <w:tabs>
          <w:tab w:val="right" w:pos="9360"/>
        </w:tabs>
      </w:pPr>
    </w:p>
    <w:tbl>
      <w:tblPr>
        <w:tblStyle w:val="TableGrid"/>
        <w:tblW w:w="0" w:type="auto"/>
        <w:tblLook w:val="04A0" w:firstRow="1" w:lastRow="0" w:firstColumn="1" w:lastColumn="0" w:noHBand="0" w:noVBand="1"/>
      </w:tblPr>
      <w:tblGrid>
        <w:gridCol w:w="9576"/>
      </w:tblGrid>
      <w:tr w:rsidR="0079724F" w:rsidRPr="008A5B2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4011A7" w:rsidRPr="00C21644" w:rsidTr="003B3977">
        <w:tc>
          <w:tcPr>
            <w:tcW w:w="4320" w:type="dxa"/>
            <w:shd w:val="clear" w:color="auto" w:fill="auto"/>
          </w:tcPr>
          <w:p w:rsidR="004011A7" w:rsidRPr="004011A7" w:rsidRDefault="004011A7" w:rsidP="005F1ED8">
            <w:pPr>
              <w:rPr>
                <w:b/>
                <w:sz w:val="20"/>
                <w:szCs w:val="20"/>
              </w:rPr>
            </w:pPr>
            <w:r w:rsidRPr="004011A7">
              <w:rPr>
                <w:b/>
                <w:sz w:val="20"/>
                <w:szCs w:val="20"/>
              </w:rPr>
              <w:t>Jacob Worm et al.</w:t>
            </w:r>
          </w:p>
          <w:p w:rsidR="004011A7" w:rsidRPr="00A935AA" w:rsidRDefault="004011A7" w:rsidP="005F1ED8">
            <w:pPr>
              <w:tabs>
                <w:tab w:val="left" w:pos="-1440"/>
                <w:tab w:val="left" w:pos="-720"/>
              </w:tabs>
              <w:rPr>
                <w:sz w:val="20"/>
                <w:szCs w:val="20"/>
              </w:rPr>
            </w:pPr>
            <w:r w:rsidRPr="004011A7">
              <w:rPr>
                <w:sz w:val="20"/>
                <w:szCs w:val="20"/>
              </w:rPr>
              <w:tab/>
              <w:t>Morr</w:t>
            </w:r>
            <w:r>
              <w:rPr>
                <w:sz w:val="20"/>
                <w:szCs w:val="20"/>
              </w:rPr>
              <w:t xml:space="preserve">is P. Bodnar </w:t>
            </w:r>
          </w:p>
          <w:p w:rsidR="004011A7" w:rsidRPr="004011A7" w:rsidRDefault="004011A7" w:rsidP="005F1ED8">
            <w:pPr>
              <w:tabs>
                <w:tab w:val="left" w:pos="-1440"/>
                <w:tab w:val="left" w:pos="-720"/>
              </w:tabs>
              <w:rPr>
                <w:sz w:val="20"/>
                <w:szCs w:val="20"/>
              </w:rPr>
            </w:pPr>
            <w:r w:rsidRPr="00A935AA">
              <w:rPr>
                <w:sz w:val="20"/>
                <w:szCs w:val="20"/>
              </w:rPr>
              <w:tab/>
            </w:r>
            <w:r>
              <w:rPr>
                <w:sz w:val="20"/>
                <w:szCs w:val="20"/>
              </w:rPr>
              <w:t>Bodnar Law</w:t>
            </w:r>
          </w:p>
          <w:p w:rsidR="004011A7" w:rsidRPr="004011A7" w:rsidRDefault="004011A7" w:rsidP="005F1ED8">
            <w:pPr>
              <w:tabs>
                <w:tab w:val="left" w:pos="-1440"/>
                <w:tab w:val="left" w:pos="-720"/>
              </w:tabs>
              <w:rPr>
                <w:sz w:val="20"/>
                <w:szCs w:val="20"/>
              </w:rPr>
            </w:pPr>
          </w:p>
          <w:p w:rsidR="004011A7" w:rsidRPr="004011A7" w:rsidRDefault="004011A7" w:rsidP="005F1ED8">
            <w:pPr>
              <w:tabs>
                <w:tab w:val="left" w:pos="-1440"/>
                <w:tab w:val="left" w:pos="-720"/>
              </w:tabs>
              <w:rPr>
                <w:sz w:val="20"/>
                <w:szCs w:val="20"/>
              </w:rPr>
            </w:pPr>
            <w:r w:rsidRPr="004011A7">
              <w:rPr>
                <w:sz w:val="20"/>
                <w:szCs w:val="20"/>
              </w:rPr>
              <w:tab/>
              <w:t>v. (36171)</w:t>
            </w:r>
          </w:p>
          <w:p w:rsidR="004011A7" w:rsidRPr="004011A7" w:rsidRDefault="004011A7" w:rsidP="005F1ED8">
            <w:pPr>
              <w:tabs>
                <w:tab w:val="left" w:pos="-1440"/>
                <w:tab w:val="left" w:pos="-720"/>
              </w:tabs>
              <w:rPr>
                <w:sz w:val="20"/>
                <w:szCs w:val="20"/>
              </w:rPr>
            </w:pPr>
          </w:p>
          <w:p w:rsidR="004011A7" w:rsidRPr="00A935AA" w:rsidRDefault="004011A7" w:rsidP="005F1ED8">
            <w:pPr>
              <w:tabs>
                <w:tab w:val="left" w:pos="-1440"/>
                <w:tab w:val="left" w:pos="-720"/>
              </w:tabs>
              <w:rPr>
                <w:b/>
                <w:sz w:val="20"/>
                <w:szCs w:val="20"/>
              </w:rPr>
            </w:pPr>
            <w:r w:rsidRPr="004011A7">
              <w:rPr>
                <w:b/>
                <w:sz w:val="20"/>
                <w:szCs w:val="20"/>
              </w:rPr>
              <w:t>Her Majesty the Queen</w:t>
            </w:r>
            <w:r w:rsidRPr="004011A7">
              <w:rPr>
                <w:sz w:val="20"/>
                <w:szCs w:val="20"/>
              </w:rPr>
              <w:t xml:space="preserve"> </w:t>
            </w:r>
            <w:r w:rsidRPr="00A935AA">
              <w:rPr>
                <w:b/>
                <w:sz w:val="20"/>
                <w:szCs w:val="20"/>
              </w:rPr>
              <w:t>(</w:t>
            </w:r>
            <w:r>
              <w:rPr>
                <w:b/>
                <w:sz w:val="20"/>
                <w:szCs w:val="20"/>
              </w:rPr>
              <w:t>Sask</w:t>
            </w:r>
            <w:r w:rsidRPr="00A935AA">
              <w:rPr>
                <w:b/>
                <w:sz w:val="20"/>
                <w:szCs w:val="20"/>
              </w:rPr>
              <w:t>.)</w:t>
            </w:r>
          </w:p>
          <w:p w:rsidR="004011A7" w:rsidRPr="00A935AA" w:rsidRDefault="004011A7" w:rsidP="005F1ED8">
            <w:pPr>
              <w:tabs>
                <w:tab w:val="left" w:pos="-1440"/>
                <w:tab w:val="left" w:pos="-720"/>
              </w:tabs>
              <w:rPr>
                <w:sz w:val="20"/>
                <w:szCs w:val="20"/>
              </w:rPr>
            </w:pPr>
            <w:r w:rsidRPr="00A935AA">
              <w:rPr>
                <w:sz w:val="20"/>
                <w:szCs w:val="20"/>
              </w:rPr>
              <w:tab/>
            </w:r>
            <w:r>
              <w:rPr>
                <w:sz w:val="20"/>
                <w:szCs w:val="20"/>
              </w:rPr>
              <w:t>Anthony B. Gerein</w:t>
            </w:r>
          </w:p>
          <w:p w:rsidR="004011A7" w:rsidRPr="00A935AA" w:rsidRDefault="004011A7" w:rsidP="005F1ED8">
            <w:pPr>
              <w:tabs>
                <w:tab w:val="left" w:pos="-1440"/>
                <w:tab w:val="left" w:pos="-720"/>
              </w:tabs>
              <w:rPr>
                <w:sz w:val="20"/>
                <w:szCs w:val="20"/>
              </w:rPr>
            </w:pPr>
            <w:r w:rsidRPr="00A935AA">
              <w:rPr>
                <w:sz w:val="20"/>
                <w:szCs w:val="20"/>
              </w:rPr>
              <w:tab/>
            </w:r>
            <w:r>
              <w:rPr>
                <w:sz w:val="20"/>
                <w:szCs w:val="20"/>
              </w:rPr>
              <w:t>A.G. of Saskatchewan</w:t>
            </w:r>
          </w:p>
          <w:p w:rsidR="004011A7" w:rsidRPr="00A935AA" w:rsidRDefault="004011A7" w:rsidP="005F1ED8">
            <w:pPr>
              <w:tabs>
                <w:tab w:val="left" w:pos="-1440"/>
                <w:tab w:val="left" w:pos="-720"/>
              </w:tabs>
              <w:rPr>
                <w:sz w:val="20"/>
                <w:szCs w:val="20"/>
              </w:rPr>
            </w:pPr>
          </w:p>
          <w:p w:rsidR="004011A7" w:rsidRPr="00A935AA" w:rsidRDefault="004011A7" w:rsidP="004011A7">
            <w:pPr>
              <w:rPr>
                <w:sz w:val="20"/>
                <w:szCs w:val="20"/>
              </w:rPr>
            </w:pPr>
            <w:r w:rsidRPr="00A935AA">
              <w:rPr>
                <w:sz w:val="20"/>
                <w:szCs w:val="20"/>
              </w:rPr>
              <w:t xml:space="preserve">FILING DATE: </w:t>
            </w:r>
            <w:r>
              <w:rPr>
                <w:sz w:val="20"/>
                <w:szCs w:val="20"/>
              </w:rPr>
              <w:t>14</w:t>
            </w:r>
            <w:r w:rsidRPr="00A935AA">
              <w:rPr>
                <w:sz w:val="20"/>
                <w:szCs w:val="20"/>
              </w:rPr>
              <w:t>.</w:t>
            </w:r>
            <w:r>
              <w:rPr>
                <w:sz w:val="20"/>
                <w:szCs w:val="20"/>
              </w:rPr>
              <w:t>11</w:t>
            </w:r>
            <w:r w:rsidRPr="00A935AA">
              <w:rPr>
                <w:sz w:val="20"/>
                <w:szCs w:val="20"/>
              </w:rPr>
              <w:t>.201</w:t>
            </w:r>
            <w:r>
              <w:rPr>
                <w:sz w:val="20"/>
                <w:szCs w:val="20"/>
              </w:rPr>
              <w:t>4</w:t>
            </w:r>
            <w:r w:rsidR="008A5B26">
              <w:rPr>
                <w:sz w:val="20"/>
                <w:szCs w:val="20"/>
                <w:lang w:val="fr-CA"/>
              </w:rPr>
              <w:pict>
                <v:rect id="_x0000_i1025" style="width:108pt;height:1pt" o:hrpct="0" o:hralign="center" o:hrstd="t" o:hrnoshade="t" o:hr="t" fillcolor="black [3213]" stroked="f"/>
              </w:pict>
            </w:r>
          </w:p>
        </w:tc>
        <w:tc>
          <w:tcPr>
            <w:tcW w:w="1181" w:type="dxa"/>
            <w:shd w:val="clear" w:color="auto" w:fill="auto"/>
          </w:tcPr>
          <w:p w:rsidR="004011A7" w:rsidRPr="00A935AA" w:rsidRDefault="004011A7" w:rsidP="00242AEE">
            <w:pPr>
              <w:jc w:val="center"/>
              <w:rPr>
                <w:sz w:val="20"/>
                <w:szCs w:val="20"/>
              </w:rPr>
            </w:pPr>
          </w:p>
          <w:p w:rsidR="004011A7" w:rsidRPr="00A935AA" w:rsidRDefault="004011A7" w:rsidP="00242AEE">
            <w:pPr>
              <w:jc w:val="center"/>
              <w:rPr>
                <w:sz w:val="20"/>
                <w:szCs w:val="20"/>
              </w:rPr>
            </w:pPr>
          </w:p>
          <w:p w:rsidR="004011A7" w:rsidRPr="00A935AA" w:rsidRDefault="004011A7" w:rsidP="00242AEE">
            <w:pPr>
              <w:jc w:val="center"/>
              <w:rPr>
                <w:sz w:val="20"/>
                <w:szCs w:val="20"/>
              </w:rPr>
            </w:pPr>
          </w:p>
          <w:p w:rsidR="004011A7" w:rsidRPr="00A935AA" w:rsidRDefault="004011A7" w:rsidP="00242AEE">
            <w:pPr>
              <w:jc w:val="center"/>
              <w:rPr>
                <w:sz w:val="20"/>
                <w:szCs w:val="20"/>
              </w:rPr>
            </w:pPr>
          </w:p>
          <w:p w:rsidR="004011A7" w:rsidRPr="00A935AA" w:rsidRDefault="004011A7" w:rsidP="00242AEE">
            <w:pPr>
              <w:jc w:val="center"/>
              <w:rPr>
                <w:sz w:val="20"/>
                <w:szCs w:val="20"/>
              </w:rPr>
            </w:pPr>
          </w:p>
          <w:p w:rsidR="004011A7" w:rsidRPr="00A935AA" w:rsidRDefault="004011A7" w:rsidP="00242AEE">
            <w:pPr>
              <w:jc w:val="center"/>
              <w:rPr>
                <w:sz w:val="20"/>
                <w:szCs w:val="20"/>
              </w:rPr>
            </w:pPr>
          </w:p>
          <w:p w:rsidR="004011A7" w:rsidRPr="00A935AA" w:rsidRDefault="004011A7" w:rsidP="00242AEE">
            <w:pPr>
              <w:jc w:val="center"/>
              <w:rPr>
                <w:sz w:val="20"/>
                <w:szCs w:val="20"/>
              </w:rPr>
            </w:pPr>
          </w:p>
          <w:p w:rsidR="004011A7" w:rsidRPr="00A935AA" w:rsidRDefault="004011A7" w:rsidP="00242AEE">
            <w:pPr>
              <w:jc w:val="center"/>
              <w:rPr>
                <w:sz w:val="20"/>
                <w:szCs w:val="20"/>
              </w:rPr>
            </w:pPr>
          </w:p>
          <w:p w:rsidR="004011A7" w:rsidRPr="00A935AA" w:rsidRDefault="004011A7" w:rsidP="00242AEE">
            <w:pPr>
              <w:jc w:val="center"/>
              <w:rPr>
                <w:sz w:val="20"/>
                <w:szCs w:val="20"/>
              </w:rPr>
            </w:pPr>
          </w:p>
          <w:p w:rsidR="004011A7" w:rsidRPr="00A935AA" w:rsidRDefault="004011A7" w:rsidP="00242AEE">
            <w:pPr>
              <w:jc w:val="center"/>
              <w:rPr>
                <w:sz w:val="20"/>
                <w:szCs w:val="20"/>
              </w:rPr>
            </w:pPr>
          </w:p>
          <w:p w:rsidR="004011A7" w:rsidRPr="00A935AA" w:rsidRDefault="004011A7" w:rsidP="00242AEE">
            <w:pPr>
              <w:jc w:val="center"/>
              <w:rPr>
                <w:sz w:val="20"/>
                <w:szCs w:val="20"/>
              </w:rPr>
            </w:pPr>
          </w:p>
          <w:p w:rsidR="004011A7" w:rsidRPr="00A935AA" w:rsidRDefault="004011A7" w:rsidP="00242AEE">
            <w:pPr>
              <w:jc w:val="center"/>
              <w:rPr>
                <w:sz w:val="20"/>
                <w:szCs w:val="20"/>
              </w:rPr>
            </w:pPr>
          </w:p>
        </w:tc>
        <w:tc>
          <w:tcPr>
            <w:tcW w:w="4320" w:type="dxa"/>
            <w:shd w:val="clear" w:color="auto" w:fill="auto"/>
          </w:tcPr>
          <w:p w:rsidR="004011A7" w:rsidRPr="00806A5B" w:rsidRDefault="004011A7" w:rsidP="004011A7">
            <w:pPr>
              <w:keepNext/>
              <w:keepLines/>
              <w:tabs>
                <w:tab w:val="left" w:pos="-1440"/>
                <w:tab w:val="left" w:pos="-720"/>
              </w:tabs>
              <w:rPr>
                <w:b/>
                <w:sz w:val="20"/>
                <w:szCs w:val="20"/>
                <w:lang w:val="fr-CA"/>
              </w:rPr>
            </w:pPr>
            <w:r>
              <w:rPr>
                <w:b/>
                <w:sz w:val="20"/>
                <w:szCs w:val="20"/>
                <w:lang w:val="fr-CA"/>
              </w:rPr>
              <w:t>Denis Vachon</w:t>
            </w:r>
          </w:p>
          <w:p w:rsidR="004011A7" w:rsidRPr="00806A5B" w:rsidRDefault="004011A7" w:rsidP="004011A7">
            <w:pPr>
              <w:keepNext/>
              <w:keepLines/>
              <w:tabs>
                <w:tab w:val="left" w:pos="-1440"/>
                <w:tab w:val="left" w:pos="-720"/>
              </w:tabs>
              <w:rPr>
                <w:sz w:val="20"/>
                <w:szCs w:val="20"/>
                <w:lang w:val="fr-CA"/>
              </w:rPr>
            </w:pPr>
            <w:r w:rsidRPr="00806A5B">
              <w:rPr>
                <w:sz w:val="20"/>
                <w:szCs w:val="20"/>
                <w:lang w:val="fr-CA"/>
              </w:rPr>
              <w:tab/>
            </w:r>
            <w:r>
              <w:rPr>
                <w:sz w:val="20"/>
                <w:szCs w:val="20"/>
                <w:lang w:val="fr-CA"/>
              </w:rPr>
              <w:t>Ann</w:t>
            </w:r>
            <w:r w:rsidRPr="00806A5B">
              <w:rPr>
                <w:sz w:val="20"/>
                <w:szCs w:val="20"/>
                <w:lang w:val="fr-CA"/>
              </w:rPr>
              <w:t>ie</w:t>
            </w:r>
            <w:r>
              <w:rPr>
                <w:sz w:val="20"/>
                <w:szCs w:val="20"/>
                <w:lang w:val="fr-CA"/>
              </w:rPr>
              <w:t>-Sophi</w:t>
            </w:r>
            <w:r w:rsidRPr="00806A5B">
              <w:rPr>
                <w:sz w:val="20"/>
                <w:szCs w:val="20"/>
                <w:lang w:val="fr-CA"/>
              </w:rPr>
              <w:t xml:space="preserve">e </w:t>
            </w:r>
            <w:r>
              <w:rPr>
                <w:sz w:val="20"/>
                <w:szCs w:val="20"/>
                <w:lang w:val="fr-CA"/>
              </w:rPr>
              <w:t>Béd</w:t>
            </w:r>
            <w:r w:rsidRPr="00806A5B">
              <w:rPr>
                <w:sz w:val="20"/>
                <w:szCs w:val="20"/>
                <w:lang w:val="fr-CA"/>
              </w:rPr>
              <w:t>ar</w:t>
            </w:r>
            <w:r>
              <w:rPr>
                <w:sz w:val="20"/>
                <w:szCs w:val="20"/>
                <w:lang w:val="fr-CA"/>
              </w:rPr>
              <w:t>d</w:t>
            </w:r>
          </w:p>
          <w:p w:rsidR="004011A7" w:rsidRPr="00806A5B" w:rsidRDefault="004011A7" w:rsidP="004011A7">
            <w:pPr>
              <w:keepNext/>
              <w:keepLines/>
              <w:tabs>
                <w:tab w:val="left" w:pos="-1440"/>
                <w:tab w:val="left" w:pos="-720"/>
              </w:tabs>
              <w:rPr>
                <w:sz w:val="20"/>
                <w:szCs w:val="20"/>
                <w:lang w:val="fr-CA"/>
              </w:rPr>
            </w:pPr>
          </w:p>
          <w:p w:rsidR="004011A7" w:rsidRPr="00806A5B" w:rsidRDefault="004011A7" w:rsidP="004011A7">
            <w:pPr>
              <w:keepNext/>
              <w:keepLines/>
              <w:tabs>
                <w:tab w:val="left" w:pos="-1440"/>
                <w:tab w:val="left" w:pos="-720"/>
              </w:tabs>
              <w:rPr>
                <w:sz w:val="20"/>
                <w:szCs w:val="20"/>
                <w:lang w:val="fr-CA"/>
              </w:rPr>
            </w:pPr>
            <w:r w:rsidRPr="00806A5B">
              <w:rPr>
                <w:sz w:val="20"/>
                <w:szCs w:val="20"/>
                <w:lang w:val="fr-CA"/>
              </w:rPr>
              <w:tab/>
              <w:t>c. (36</w:t>
            </w:r>
            <w:r>
              <w:rPr>
                <w:sz w:val="20"/>
                <w:szCs w:val="20"/>
                <w:lang w:val="fr-CA"/>
              </w:rPr>
              <w:t>214</w:t>
            </w:r>
            <w:r w:rsidRPr="00806A5B">
              <w:rPr>
                <w:sz w:val="20"/>
                <w:szCs w:val="20"/>
                <w:lang w:val="fr-CA"/>
              </w:rPr>
              <w:t>)</w:t>
            </w:r>
          </w:p>
          <w:p w:rsidR="004011A7" w:rsidRPr="00806A5B" w:rsidRDefault="004011A7" w:rsidP="004011A7">
            <w:pPr>
              <w:keepNext/>
              <w:keepLines/>
              <w:tabs>
                <w:tab w:val="left" w:pos="-1440"/>
                <w:tab w:val="left" w:pos="-720"/>
              </w:tabs>
              <w:rPr>
                <w:sz w:val="20"/>
                <w:szCs w:val="20"/>
                <w:lang w:val="fr-CA"/>
              </w:rPr>
            </w:pPr>
          </w:p>
          <w:p w:rsidR="004011A7" w:rsidRPr="00806A5B" w:rsidRDefault="004011A7" w:rsidP="004011A7">
            <w:pPr>
              <w:keepNext/>
              <w:keepLines/>
              <w:tabs>
                <w:tab w:val="left" w:pos="-1440"/>
                <w:tab w:val="left" w:pos="-720"/>
              </w:tabs>
              <w:rPr>
                <w:b/>
                <w:sz w:val="20"/>
                <w:szCs w:val="20"/>
                <w:lang w:val="fr-CA"/>
              </w:rPr>
            </w:pPr>
            <w:r>
              <w:rPr>
                <w:b/>
                <w:sz w:val="20"/>
                <w:szCs w:val="20"/>
                <w:lang w:val="fr-CA"/>
              </w:rPr>
              <w:t>Procureur général du C</w:t>
            </w:r>
            <w:r w:rsidRPr="00806A5B">
              <w:rPr>
                <w:b/>
                <w:sz w:val="20"/>
                <w:szCs w:val="20"/>
                <w:lang w:val="fr-CA"/>
              </w:rPr>
              <w:t>an</w:t>
            </w:r>
            <w:r>
              <w:rPr>
                <w:b/>
                <w:sz w:val="20"/>
                <w:szCs w:val="20"/>
                <w:lang w:val="fr-CA"/>
              </w:rPr>
              <w:t>ada</w:t>
            </w:r>
            <w:r w:rsidRPr="00806A5B">
              <w:rPr>
                <w:b/>
                <w:sz w:val="20"/>
                <w:szCs w:val="20"/>
                <w:lang w:val="fr-CA"/>
              </w:rPr>
              <w:t xml:space="preserve"> (Qc)</w:t>
            </w:r>
          </w:p>
          <w:p w:rsidR="004011A7" w:rsidRPr="00806A5B" w:rsidRDefault="004011A7" w:rsidP="004011A7">
            <w:pPr>
              <w:keepNext/>
              <w:keepLines/>
              <w:tabs>
                <w:tab w:val="left" w:pos="-1440"/>
                <w:tab w:val="left" w:pos="-720"/>
              </w:tabs>
              <w:rPr>
                <w:sz w:val="20"/>
                <w:szCs w:val="20"/>
                <w:lang w:val="fr-CA"/>
              </w:rPr>
            </w:pPr>
            <w:r w:rsidRPr="00806A5B">
              <w:rPr>
                <w:sz w:val="20"/>
                <w:szCs w:val="20"/>
                <w:lang w:val="fr-CA"/>
              </w:rPr>
              <w:tab/>
            </w:r>
            <w:r>
              <w:rPr>
                <w:sz w:val="20"/>
                <w:szCs w:val="20"/>
                <w:lang w:val="fr-CA"/>
              </w:rPr>
              <w:t>Constantina Antonopoulos</w:t>
            </w:r>
          </w:p>
          <w:p w:rsidR="004011A7" w:rsidRPr="00806A5B" w:rsidRDefault="004011A7" w:rsidP="004011A7">
            <w:pPr>
              <w:keepNext/>
              <w:keepLines/>
              <w:tabs>
                <w:tab w:val="left" w:pos="-1440"/>
                <w:tab w:val="left" w:pos="-720"/>
              </w:tabs>
              <w:rPr>
                <w:sz w:val="20"/>
                <w:szCs w:val="20"/>
                <w:lang w:val="fr-CA"/>
              </w:rPr>
            </w:pPr>
            <w:r w:rsidRPr="00806A5B">
              <w:rPr>
                <w:sz w:val="20"/>
                <w:szCs w:val="20"/>
                <w:lang w:val="fr-CA"/>
              </w:rPr>
              <w:tab/>
            </w:r>
            <w:r>
              <w:rPr>
                <w:sz w:val="20"/>
                <w:szCs w:val="20"/>
                <w:lang w:val="fr-CA"/>
              </w:rPr>
              <w:t>Ministère de la Justice du Canada</w:t>
            </w:r>
          </w:p>
          <w:p w:rsidR="004011A7" w:rsidRPr="00806A5B" w:rsidRDefault="004011A7" w:rsidP="004011A7">
            <w:pPr>
              <w:keepNext/>
              <w:keepLines/>
              <w:tabs>
                <w:tab w:val="left" w:pos="-1440"/>
                <w:tab w:val="left" w:pos="-720"/>
              </w:tabs>
              <w:rPr>
                <w:sz w:val="20"/>
                <w:szCs w:val="20"/>
                <w:lang w:val="fr-CA"/>
              </w:rPr>
            </w:pPr>
          </w:p>
          <w:p w:rsidR="004011A7" w:rsidRPr="00806A5B" w:rsidRDefault="004011A7" w:rsidP="004011A7">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1</w:t>
            </w:r>
            <w:r>
              <w:rPr>
                <w:sz w:val="20"/>
                <w:szCs w:val="20"/>
                <w:lang w:val="fr-CA"/>
              </w:rPr>
              <w:t>7</w:t>
            </w:r>
            <w:r w:rsidRPr="00806A5B">
              <w:rPr>
                <w:sz w:val="20"/>
                <w:szCs w:val="20"/>
                <w:lang w:val="fr-CA"/>
              </w:rPr>
              <w:t>.1</w:t>
            </w:r>
            <w:r>
              <w:rPr>
                <w:sz w:val="20"/>
                <w:szCs w:val="20"/>
                <w:lang w:val="fr-CA"/>
              </w:rPr>
              <w:t>2</w:t>
            </w:r>
            <w:r w:rsidRPr="00806A5B">
              <w:rPr>
                <w:sz w:val="20"/>
                <w:szCs w:val="20"/>
                <w:lang w:val="fr-CA"/>
              </w:rPr>
              <w:t>.2014</w:t>
            </w:r>
            <w:r w:rsidR="008A5B26">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Default="00C21644" w:rsidP="003B3977">
            <w:pPr>
              <w:rPr>
                <w:b/>
                <w:sz w:val="20"/>
                <w:szCs w:val="20"/>
              </w:rPr>
            </w:pPr>
          </w:p>
          <w:p w:rsidR="004011A7" w:rsidRPr="004011A7" w:rsidRDefault="004011A7" w:rsidP="003B3977">
            <w:pPr>
              <w:rPr>
                <w:b/>
                <w:sz w:val="20"/>
                <w:szCs w:val="20"/>
              </w:rPr>
            </w:pPr>
            <w:r>
              <w:rPr>
                <w:b/>
                <w:sz w:val="20"/>
                <w:szCs w:val="20"/>
              </w:rPr>
              <w:t>Neila Catherine MacQueen et al.</w:t>
            </w:r>
          </w:p>
          <w:p w:rsidR="00C21644" w:rsidRPr="004011A7" w:rsidRDefault="00C21644" w:rsidP="003B3977">
            <w:pPr>
              <w:tabs>
                <w:tab w:val="left" w:pos="-1440"/>
                <w:tab w:val="left" w:pos="-720"/>
              </w:tabs>
              <w:rPr>
                <w:sz w:val="20"/>
                <w:szCs w:val="20"/>
              </w:rPr>
            </w:pPr>
            <w:r w:rsidRPr="004011A7">
              <w:rPr>
                <w:sz w:val="20"/>
                <w:szCs w:val="20"/>
              </w:rPr>
              <w:tab/>
            </w:r>
            <w:r w:rsidR="004011A7">
              <w:rPr>
                <w:sz w:val="20"/>
                <w:szCs w:val="20"/>
              </w:rPr>
              <w:t>Raymond F. Wagner, Q.C.</w:t>
            </w:r>
          </w:p>
          <w:p w:rsidR="00C21644" w:rsidRPr="004011A7" w:rsidRDefault="00C21644" w:rsidP="003B3977">
            <w:pPr>
              <w:tabs>
                <w:tab w:val="left" w:pos="-1440"/>
                <w:tab w:val="left" w:pos="-720"/>
              </w:tabs>
              <w:rPr>
                <w:sz w:val="20"/>
                <w:szCs w:val="20"/>
              </w:rPr>
            </w:pPr>
            <w:r w:rsidRPr="004011A7">
              <w:rPr>
                <w:sz w:val="20"/>
                <w:szCs w:val="20"/>
              </w:rPr>
              <w:tab/>
            </w:r>
            <w:r w:rsidR="004011A7">
              <w:rPr>
                <w:sz w:val="20"/>
                <w:szCs w:val="20"/>
              </w:rPr>
              <w:t>Wagner &amp; Associates</w:t>
            </w:r>
          </w:p>
          <w:p w:rsidR="00C21644" w:rsidRPr="004011A7"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4011A7">
              <w:rPr>
                <w:sz w:val="20"/>
                <w:szCs w:val="20"/>
              </w:rPr>
              <w:tab/>
            </w:r>
            <w:r w:rsidRPr="00A935AA">
              <w:rPr>
                <w:sz w:val="20"/>
                <w:szCs w:val="20"/>
              </w:rPr>
              <w:t>v. (3</w:t>
            </w:r>
            <w:r w:rsidR="004011A7">
              <w:rPr>
                <w:sz w:val="20"/>
                <w:szCs w:val="20"/>
              </w:rPr>
              <w:t>6217</w:t>
            </w:r>
            <w:r w:rsidRPr="00A935AA">
              <w:rPr>
                <w:sz w:val="20"/>
                <w:szCs w:val="20"/>
              </w:rPr>
              <w:t>)</w:t>
            </w:r>
          </w:p>
          <w:p w:rsidR="00C21644" w:rsidRPr="00A935AA" w:rsidRDefault="00C21644" w:rsidP="003B3977">
            <w:pPr>
              <w:tabs>
                <w:tab w:val="left" w:pos="-1440"/>
                <w:tab w:val="left" w:pos="-720"/>
              </w:tabs>
              <w:rPr>
                <w:sz w:val="20"/>
                <w:szCs w:val="20"/>
              </w:rPr>
            </w:pPr>
          </w:p>
          <w:p w:rsidR="00C21644" w:rsidRPr="00021805" w:rsidRDefault="004011A7" w:rsidP="003B3977">
            <w:pPr>
              <w:tabs>
                <w:tab w:val="left" w:pos="-1440"/>
                <w:tab w:val="left" w:pos="-720"/>
              </w:tabs>
              <w:rPr>
                <w:b/>
                <w:sz w:val="20"/>
                <w:szCs w:val="20"/>
                <w:lang w:val="fr-CA"/>
              </w:rPr>
            </w:pPr>
            <w:r>
              <w:rPr>
                <w:b/>
                <w:sz w:val="20"/>
                <w:szCs w:val="20"/>
              </w:rPr>
              <w:t xml:space="preserve">Attorney General of Canada et al. </w:t>
            </w:r>
            <w:r w:rsidR="00C21644" w:rsidRPr="00021805">
              <w:rPr>
                <w:b/>
                <w:sz w:val="20"/>
                <w:szCs w:val="20"/>
                <w:lang w:val="fr-CA"/>
              </w:rPr>
              <w:t>(</w:t>
            </w:r>
            <w:r w:rsidRPr="00021805">
              <w:rPr>
                <w:b/>
                <w:sz w:val="20"/>
                <w:szCs w:val="20"/>
                <w:lang w:val="fr-CA"/>
              </w:rPr>
              <w:t>N.S</w:t>
            </w:r>
            <w:r w:rsidR="00C21644" w:rsidRPr="00021805">
              <w:rPr>
                <w:b/>
                <w:sz w:val="20"/>
                <w:szCs w:val="20"/>
                <w:lang w:val="fr-CA"/>
              </w:rPr>
              <w:t>.)</w:t>
            </w:r>
          </w:p>
          <w:p w:rsidR="00C21644" w:rsidRPr="004011A7" w:rsidRDefault="00C21644" w:rsidP="003B3977">
            <w:pPr>
              <w:tabs>
                <w:tab w:val="left" w:pos="-1440"/>
                <w:tab w:val="left" w:pos="-720"/>
              </w:tabs>
              <w:rPr>
                <w:sz w:val="20"/>
                <w:szCs w:val="20"/>
                <w:lang w:val="fr-CA"/>
              </w:rPr>
            </w:pPr>
            <w:r w:rsidRPr="00021805">
              <w:rPr>
                <w:sz w:val="20"/>
                <w:szCs w:val="20"/>
                <w:lang w:val="fr-CA"/>
              </w:rPr>
              <w:tab/>
            </w:r>
            <w:r w:rsidR="004011A7" w:rsidRPr="004011A7">
              <w:rPr>
                <w:sz w:val="20"/>
                <w:szCs w:val="20"/>
                <w:lang w:val="fr-CA"/>
              </w:rPr>
              <w:t>Paul J. Evraire, Q.C.</w:t>
            </w:r>
          </w:p>
          <w:p w:rsidR="00C21644" w:rsidRPr="004011A7" w:rsidRDefault="00C21644" w:rsidP="003B3977">
            <w:pPr>
              <w:tabs>
                <w:tab w:val="left" w:pos="-1440"/>
                <w:tab w:val="left" w:pos="-720"/>
              </w:tabs>
              <w:rPr>
                <w:sz w:val="20"/>
                <w:szCs w:val="20"/>
              </w:rPr>
            </w:pPr>
            <w:r w:rsidRPr="004011A7">
              <w:rPr>
                <w:sz w:val="20"/>
                <w:szCs w:val="20"/>
                <w:lang w:val="fr-CA"/>
              </w:rPr>
              <w:tab/>
            </w:r>
            <w:r w:rsidR="004011A7" w:rsidRPr="004011A7">
              <w:rPr>
                <w:sz w:val="20"/>
                <w:szCs w:val="20"/>
              </w:rPr>
              <w:t>A.G. of Canada</w:t>
            </w:r>
          </w:p>
          <w:p w:rsidR="00C21644" w:rsidRPr="004011A7" w:rsidRDefault="00C21644" w:rsidP="003B3977">
            <w:pPr>
              <w:tabs>
                <w:tab w:val="left" w:pos="-1440"/>
                <w:tab w:val="left" w:pos="-720"/>
              </w:tabs>
              <w:rPr>
                <w:sz w:val="20"/>
                <w:szCs w:val="20"/>
              </w:rPr>
            </w:pPr>
          </w:p>
          <w:p w:rsidR="00C21644" w:rsidRPr="00A935AA" w:rsidRDefault="00C21644" w:rsidP="004011A7">
            <w:pPr>
              <w:rPr>
                <w:sz w:val="20"/>
                <w:szCs w:val="20"/>
              </w:rPr>
            </w:pPr>
            <w:r w:rsidRPr="00A935AA">
              <w:rPr>
                <w:sz w:val="20"/>
                <w:szCs w:val="20"/>
              </w:rPr>
              <w:t xml:space="preserve">FILING DATE: </w:t>
            </w:r>
            <w:r w:rsidR="004011A7">
              <w:rPr>
                <w:sz w:val="20"/>
                <w:szCs w:val="20"/>
              </w:rPr>
              <w:t>19</w:t>
            </w:r>
            <w:r w:rsidRPr="00A935AA">
              <w:rPr>
                <w:sz w:val="20"/>
                <w:szCs w:val="20"/>
              </w:rPr>
              <w:t>.</w:t>
            </w:r>
            <w:r w:rsidR="004011A7">
              <w:rPr>
                <w:sz w:val="20"/>
                <w:szCs w:val="20"/>
              </w:rPr>
              <w:t>1</w:t>
            </w:r>
            <w:r>
              <w:rPr>
                <w:sz w:val="20"/>
                <w:szCs w:val="20"/>
              </w:rPr>
              <w:t>2</w:t>
            </w:r>
            <w:r w:rsidRPr="00A935AA">
              <w:rPr>
                <w:sz w:val="20"/>
                <w:szCs w:val="20"/>
              </w:rPr>
              <w:t>.201</w:t>
            </w:r>
            <w:r>
              <w:rPr>
                <w:sz w:val="20"/>
                <w:szCs w:val="20"/>
              </w:rPr>
              <w:t>4</w:t>
            </w:r>
            <w:r w:rsidR="008A5B26">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4011A7" w:rsidRDefault="00452B89" w:rsidP="003B3977">
            <w:pPr>
              <w:keepNext/>
              <w:keepLines/>
              <w:tabs>
                <w:tab w:val="left" w:pos="-1440"/>
                <w:tab w:val="left" w:pos="-720"/>
              </w:tabs>
              <w:rPr>
                <w:b/>
                <w:sz w:val="20"/>
                <w:szCs w:val="20"/>
              </w:rPr>
            </w:pPr>
            <w:r>
              <w:rPr>
                <w:b/>
                <w:sz w:val="20"/>
                <w:szCs w:val="20"/>
              </w:rPr>
              <w:t>Mokua Gichuru</w:t>
            </w:r>
          </w:p>
          <w:p w:rsidR="00C21644" w:rsidRPr="004011A7" w:rsidRDefault="00C21644" w:rsidP="003B3977">
            <w:pPr>
              <w:keepNext/>
              <w:keepLines/>
              <w:tabs>
                <w:tab w:val="left" w:pos="-1440"/>
                <w:tab w:val="left" w:pos="-720"/>
              </w:tabs>
              <w:rPr>
                <w:sz w:val="20"/>
                <w:szCs w:val="20"/>
              </w:rPr>
            </w:pPr>
            <w:r w:rsidRPr="004011A7">
              <w:rPr>
                <w:sz w:val="20"/>
                <w:szCs w:val="20"/>
              </w:rPr>
              <w:tab/>
            </w:r>
            <w:r w:rsidR="00452B89">
              <w:rPr>
                <w:sz w:val="20"/>
                <w:szCs w:val="20"/>
              </w:rPr>
              <w:t>Clarence L. Bennett</w:t>
            </w:r>
          </w:p>
          <w:p w:rsidR="00C21644" w:rsidRPr="00A935AA" w:rsidRDefault="00C21644" w:rsidP="003B3977">
            <w:pPr>
              <w:keepNext/>
              <w:keepLines/>
              <w:tabs>
                <w:tab w:val="left" w:pos="-1440"/>
                <w:tab w:val="left" w:pos="-720"/>
              </w:tabs>
              <w:rPr>
                <w:sz w:val="20"/>
                <w:szCs w:val="20"/>
              </w:rPr>
            </w:pPr>
            <w:r w:rsidRPr="004011A7">
              <w:rPr>
                <w:sz w:val="20"/>
                <w:szCs w:val="20"/>
              </w:rPr>
              <w:tab/>
            </w:r>
            <w:r w:rsidR="00452B89">
              <w:rPr>
                <w:sz w:val="20"/>
                <w:szCs w:val="20"/>
              </w:rPr>
              <w:t>Stewart McKelvey</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452B89">
              <w:rPr>
                <w:sz w:val="20"/>
                <w:szCs w:val="20"/>
              </w:rPr>
              <w:t>6221</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452B89" w:rsidP="003B3977">
            <w:pPr>
              <w:keepNext/>
              <w:keepLines/>
              <w:tabs>
                <w:tab w:val="left" w:pos="-1440"/>
                <w:tab w:val="left" w:pos="-720"/>
              </w:tabs>
              <w:rPr>
                <w:b/>
                <w:sz w:val="20"/>
                <w:szCs w:val="20"/>
              </w:rPr>
            </w:pPr>
            <w:r>
              <w:rPr>
                <w:b/>
                <w:sz w:val="20"/>
                <w:szCs w:val="20"/>
              </w:rPr>
              <w:t xml:space="preserve">Howard Smith et al. </w:t>
            </w:r>
            <w:r w:rsidR="00C21644" w:rsidRPr="00A935AA">
              <w:rPr>
                <w:b/>
                <w:sz w:val="20"/>
                <w:szCs w:val="20"/>
              </w:rPr>
              <w:t>(</w:t>
            </w:r>
            <w:r w:rsidR="00C21644">
              <w:rPr>
                <w:b/>
                <w:sz w:val="20"/>
                <w:szCs w:val="20"/>
              </w:rPr>
              <w:t>B.C</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452B89">
              <w:rPr>
                <w:sz w:val="20"/>
                <w:szCs w:val="20"/>
              </w:rPr>
              <w:t>Robert S. Anderson, Q.C.</w:t>
            </w:r>
          </w:p>
          <w:p w:rsidR="00C21644" w:rsidRPr="00A935AA" w:rsidRDefault="00C21644" w:rsidP="003B3977">
            <w:pPr>
              <w:keepNext/>
              <w:keepLines/>
              <w:tabs>
                <w:tab w:val="left" w:pos="-1440"/>
                <w:tab w:val="left" w:pos="-720"/>
              </w:tabs>
              <w:rPr>
                <w:sz w:val="20"/>
                <w:szCs w:val="20"/>
              </w:rPr>
            </w:pPr>
            <w:r w:rsidRPr="00A935AA">
              <w:rPr>
                <w:sz w:val="20"/>
                <w:szCs w:val="20"/>
              </w:rPr>
              <w:tab/>
            </w:r>
            <w:r w:rsidR="00452B89">
              <w:rPr>
                <w:sz w:val="20"/>
                <w:szCs w:val="20"/>
              </w:rPr>
              <w:t>Farris, Vaughan, Wills &amp; Murphy LLP</w:t>
            </w:r>
          </w:p>
          <w:p w:rsidR="00C21644" w:rsidRPr="00A935AA" w:rsidRDefault="00C21644" w:rsidP="003B3977">
            <w:pPr>
              <w:keepNext/>
              <w:keepLines/>
              <w:tabs>
                <w:tab w:val="left" w:pos="-1440"/>
                <w:tab w:val="left" w:pos="-720"/>
              </w:tabs>
              <w:rPr>
                <w:sz w:val="20"/>
                <w:szCs w:val="20"/>
              </w:rPr>
            </w:pPr>
          </w:p>
          <w:p w:rsidR="00C21644" w:rsidRPr="00A935AA" w:rsidRDefault="00C21644" w:rsidP="00452B89">
            <w:pPr>
              <w:rPr>
                <w:sz w:val="20"/>
                <w:szCs w:val="20"/>
              </w:rPr>
            </w:pPr>
            <w:r w:rsidRPr="00A935AA">
              <w:rPr>
                <w:sz w:val="20"/>
                <w:szCs w:val="20"/>
              </w:rPr>
              <w:t>FILING DATE: 2</w:t>
            </w:r>
            <w:r w:rsidR="00452B89">
              <w:rPr>
                <w:sz w:val="20"/>
                <w:szCs w:val="20"/>
              </w:rPr>
              <w:t>3</w:t>
            </w:r>
            <w:r w:rsidRPr="00A935AA">
              <w:rPr>
                <w:sz w:val="20"/>
                <w:szCs w:val="20"/>
              </w:rPr>
              <w:t>.</w:t>
            </w:r>
            <w:r w:rsidR="00452B89">
              <w:rPr>
                <w:sz w:val="20"/>
                <w:szCs w:val="20"/>
              </w:rPr>
              <w:t>1</w:t>
            </w:r>
            <w:r>
              <w:rPr>
                <w:sz w:val="20"/>
                <w:szCs w:val="20"/>
              </w:rPr>
              <w:t>2</w:t>
            </w:r>
            <w:r w:rsidRPr="00A935AA">
              <w:rPr>
                <w:sz w:val="20"/>
                <w:szCs w:val="20"/>
              </w:rPr>
              <w:t>.201</w:t>
            </w:r>
            <w:r>
              <w:rPr>
                <w:sz w:val="20"/>
                <w:szCs w:val="20"/>
              </w:rPr>
              <w:t>4</w:t>
            </w:r>
            <w:r w:rsidR="008A5B26">
              <w:rPr>
                <w:sz w:val="20"/>
                <w:szCs w:val="20"/>
                <w:lang w:val="fr-CA"/>
              </w:rPr>
              <w:pict>
                <v:rect id="_x0000_i1028" style="width:108pt;height:1pt" o:hrpct="0" o:hralign="center" o:hrstd="t" o:hrnoshade="t" o:hr="t" fillcolor="black [3213]" stroked="f"/>
              </w:pict>
            </w:r>
          </w:p>
        </w:tc>
      </w:tr>
      <w:tr w:rsidR="00452B89" w:rsidRPr="008A5B26" w:rsidTr="003B3977">
        <w:tc>
          <w:tcPr>
            <w:tcW w:w="4320" w:type="dxa"/>
            <w:shd w:val="clear" w:color="auto" w:fill="auto"/>
          </w:tcPr>
          <w:p w:rsidR="00452B89" w:rsidRDefault="00452B89" w:rsidP="005F1ED8">
            <w:pPr>
              <w:rPr>
                <w:b/>
                <w:sz w:val="20"/>
                <w:szCs w:val="20"/>
              </w:rPr>
            </w:pPr>
          </w:p>
          <w:p w:rsidR="00452B89" w:rsidRPr="00A935AA" w:rsidRDefault="00452B89" w:rsidP="005F1ED8">
            <w:pPr>
              <w:rPr>
                <w:b/>
                <w:sz w:val="20"/>
                <w:szCs w:val="20"/>
              </w:rPr>
            </w:pPr>
            <w:r>
              <w:rPr>
                <w:b/>
                <w:sz w:val="20"/>
                <w:szCs w:val="20"/>
              </w:rPr>
              <w:t>Canadian Pacific Railway Company</w:t>
            </w:r>
          </w:p>
          <w:p w:rsidR="00452B89" w:rsidRPr="00A935AA" w:rsidRDefault="00452B89" w:rsidP="005F1ED8">
            <w:pPr>
              <w:tabs>
                <w:tab w:val="left" w:pos="-1440"/>
                <w:tab w:val="left" w:pos="-720"/>
              </w:tabs>
              <w:rPr>
                <w:sz w:val="20"/>
                <w:szCs w:val="20"/>
              </w:rPr>
            </w:pPr>
            <w:r w:rsidRPr="00A935AA">
              <w:rPr>
                <w:sz w:val="20"/>
                <w:szCs w:val="20"/>
              </w:rPr>
              <w:tab/>
            </w:r>
            <w:r>
              <w:rPr>
                <w:sz w:val="20"/>
                <w:szCs w:val="20"/>
              </w:rPr>
              <w:t>Douglas C. Hodson, Q.C.</w:t>
            </w:r>
          </w:p>
          <w:p w:rsidR="00452B89" w:rsidRPr="00021805" w:rsidRDefault="00452B89" w:rsidP="005F1ED8">
            <w:pPr>
              <w:tabs>
                <w:tab w:val="left" w:pos="-1440"/>
                <w:tab w:val="left" w:pos="-720"/>
              </w:tabs>
              <w:rPr>
                <w:sz w:val="20"/>
                <w:szCs w:val="20"/>
                <w:lang w:val="fr-CA"/>
              </w:rPr>
            </w:pPr>
            <w:r w:rsidRPr="00A935AA">
              <w:rPr>
                <w:sz w:val="20"/>
                <w:szCs w:val="20"/>
              </w:rPr>
              <w:tab/>
            </w:r>
            <w:r w:rsidRPr="00021805">
              <w:rPr>
                <w:sz w:val="20"/>
                <w:szCs w:val="20"/>
                <w:lang w:val="fr-CA"/>
              </w:rPr>
              <w:t>MacPherson Leslie &amp; Tyerman LLP</w:t>
            </w:r>
          </w:p>
          <w:p w:rsidR="00452B89" w:rsidRPr="00021805" w:rsidRDefault="00452B89" w:rsidP="005F1ED8">
            <w:pPr>
              <w:tabs>
                <w:tab w:val="left" w:pos="-1440"/>
                <w:tab w:val="left" w:pos="-720"/>
              </w:tabs>
              <w:rPr>
                <w:sz w:val="20"/>
                <w:szCs w:val="20"/>
                <w:lang w:val="fr-CA"/>
              </w:rPr>
            </w:pPr>
          </w:p>
          <w:p w:rsidR="00452B89" w:rsidRPr="00021805" w:rsidRDefault="00452B89" w:rsidP="005F1ED8">
            <w:pPr>
              <w:tabs>
                <w:tab w:val="left" w:pos="-1440"/>
                <w:tab w:val="left" w:pos="-720"/>
              </w:tabs>
              <w:rPr>
                <w:sz w:val="20"/>
                <w:szCs w:val="20"/>
                <w:lang w:val="fr-CA"/>
              </w:rPr>
            </w:pPr>
            <w:r w:rsidRPr="00021805">
              <w:rPr>
                <w:sz w:val="20"/>
                <w:szCs w:val="20"/>
                <w:lang w:val="fr-CA"/>
              </w:rPr>
              <w:tab/>
              <w:t>v. (36223)</w:t>
            </w:r>
          </w:p>
          <w:p w:rsidR="00452B89" w:rsidRPr="00021805" w:rsidRDefault="00452B89" w:rsidP="005F1ED8">
            <w:pPr>
              <w:tabs>
                <w:tab w:val="left" w:pos="-1440"/>
                <w:tab w:val="left" w:pos="-720"/>
              </w:tabs>
              <w:rPr>
                <w:sz w:val="20"/>
                <w:szCs w:val="20"/>
                <w:lang w:val="fr-CA"/>
              </w:rPr>
            </w:pPr>
          </w:p>
          <w:p w:rsidR="00452B89" w:rsidRPr="00A935AA" w:rsidRDefault="00452B89" w:rsidP="005F1ED8">
            <w:pPr>
              <w:tabs>
                <w:tab w:val="left" w:pos="-1440"/>
                <w:tab w:val="left" w:pos="-720"/>
              </w:tabs>
              <w:rPr>
                <w:b/>
                <w:sz w:val="20"/>
                <w:szCs w:val="20"/>
              </w:rPr>
            </w:pPr>
            <w:r>
              <w:rPr>
                <w:b/>
                <w:sz w:val="20"/>
                <w:szCs w:val="20"/>
              </w:rPr>
              <w:t xml:space="preserve">Attorney General of Canada et al. </w:t>
            </w:r>
            <w:r w:rsidRPr="00A935AA">
              <w:rPr>
                <w:b/>
                <w:sz w:val="20"/>
                <w:szCs w:val="20"/>
              </w:rPr>
              <w:t>(</w:t>
            </w:r>
            <w:r>
              <w:rPr>
                <w:b/>
                <w:sz w:val="20"/>
                <w:szCs w:val="20"/>
              </w:rPr>
              <w:t>F.C</w:t>
            </w:r>
            <w:r w:rsidRPr="00A935AA">
              <w:rPr>
                <w:b/>
                <w:sz w:val="20"/>
                <w:szCs w:val="20"/>
              </w:rPr>
              <w:t>.)</w:t>
            </w:r>
          </w:p>
          <w:p w:rsidR="00452B89" w:rsidRPr="00A935AA" w:rsidRDefault="00452B89" w:rsidP="005F1ED8">
            <w:pPr>
              <w:tabs>
                <w:tab w:val="left" w:pos="-1440"/>
                <w:tab w:val="left" w:pos="-720"/>
              </w:tabs>
              <w:rPr>
                <w:sz w:val="20"/>
                <w:szCs w:val="20"/>
              </w:rPr>
            </w:pPr>
            <w:r w:rsidRPr="00A935AA">
              <w:rPr>
                <w:sz w:val="20"/>
                <w:szCs w:val="20"/>
              </w:rPr>
              <w:tab/>
            </w:r>
            <w:r>
              <w:rPr>
                <w:sz w:val="20"/>
                <w:szCs w:val="20"/>
              </w:rPr>
              <w:t>Daryl J. Schatz</w:t>
            </w:r>
          </w:p>
          <w:p w:rsidR="00452B89" w:rsidRPr="00A935AA" w:rsidRDefault="00452B89" w:rsidP="005F1ED8">
            <w:pPr>
              <w:tabs>
                <w:tab w:val="left" w:pos="-1440"/>
                <w:tab w:val="left" w:pos="-720"/>
              </w:tabs>
              <w:rPr>
                <w:sz w:val="20"/>
                <w:szCs w:val="20"/>
              </w:rPr>
            </w:pPr>
            <w:r w:rsidRPr="00A935AA">
              <w:rPr>
                <w:sz w:val="20"/>
                <w:szCs w:val="20"/>
              </w:rPr>
              <w:tab/>
            </w:r>
            <w:r>
              <w:rPr>
                <w:sz w:val="20"/>
                <w:szCs w:val="20"/>
              </w:rPr>
              <w:t>A.G. of Canada</w:t>
            </w:r>
          </w:p>
          <w:p w:rsidR="00452B89" w:rsidRPr="00A935AA" w:rsidRDefault="00452B89" w:rsidP="005F1ED8">
            <w:pPr>
              <w:tabs>
                <w:tab w:val="left" w:pos="-1440"/>
                <w:tab w:val="left" w:pos="-720"/>
              </w:tabs>
              <w:rPr>
                <w:sz w:val="20"/>
                <w:szCs w:val="20"/>
              </w:rPr>
            </w:pPr>
          </w:p>
          <w:p w:rsidR="00452B89" w:rsidRPr="00A935AA" w:rsidRDefault="00452B89" w:rsidP="00452B89">
            <w:pPr>
              <w:rPr>
                <w:sz w:val="20"/>
                <w:szCs w:val="20"/>
              </w:rPr>
            </w:pPr>
            <w:r w:rsidRPr="00A935AA">
              <w:rPr>
                <w:sz w:val="20"/>
                <w:szCs w:val="20"/>
              </w:rPr>
              <w:t>FILING DATE: 2</w:t>
            </w:r>
            <w:r>
              <w:rPr>
                <w:sz w:val="20"/>
                <w:szCs w:val="20"/>
              </w:rPr>
              <w:t>3</w:t>
            </w:r>
            <w:r w:rsidRPr="00A935AA">
              <w:rPr>
                <w:sz w:val="20"/>
                <w:szCs w:val="20"/>
              </w:rPr>
              <w:t>.</w:t>
            </w:r>
            <w:r>
              <w:rPr>
                <w:sz w:val="20"/>
                <w:szCs w:val="20"/>
              </w:rPr>
              <w:t>12</w:t>
            </w:r>
            <w:r w:rsidRPr="00A935AA">
              <w:rPr>
                <w:sz w:val="20"/>
                <w:szCs w:val="20"/>
              </w:rPr>
              <w:t>.201</w:t>
            </w:r>
            <w:r>
              <w:rPr>
                <w:sz w:val="20"/>
                <w:szCs w:val="20"/>
              </w:rPr>
              <w:t>4</w:t>
            </w:r>
            <w:r w:rsidR="008A5B26">
              <w:rPr>
                <w:sz w:val="20"/>
                <w:szCs w:val="20"/>
                <w:lang w:val="fr-CA"/>
              </w:rPr>
              <w:pict>
                <v:rect id="_x0000_i1029" style="width:108pt;height:1pt" o:hrpct="0" o:hralign="center" o:hrstd="t" o:hrnoshade="t" o:hr="t" fillcolor="black [3213]" stroked="f"/>
              </w:pict>
            </w:r>
          </w:p>
        </w:tc>
        <w:tc>
          <w:tcPr>
            <w:tcW w:w="1181" w:type="dxa"/>
            <w:shd w:val="clear" w:color="auto" w:fill="auto"/>
          </w:tcPr>
          <w:p w:rsidR="00452B89" w:rsidRPr="00A935AA" w:rsidRDefault="00452B89" w:rsidP="00242AEE">
            <w:pPr>
              <w:jc w:val="center"/>
              <w:rPr>
                <w:sz w:val="20"/>
                <w:szCs w:val="20"/>
              </w:rPr>
            </w:pPr>
          </w:p>
          <w:p w:rsidR="00452B89" w:rsidRPr="00A935AA" w:rsidRDefault="00452B89" w:rsidP="00242AEE">
            <w:pPr>
              <w:jc w:val="center"/>
              <w:rPr>
                <w:sz w:val="20"/>
                <w:szCs w:val="20"/>
              </w:rPr>
            </w:pPr>
          </w:p>
          <w:p w:rsidR="00452B89" w:rsidRPr="00A935AA" w:rsidRDefault="00452B89" w:rsidP="00242AEE">
            <w:pPr>
              <w:jc w:val="center"/>
              <w:rPr>
                <w:sz w:val="20"/>
                <w:szCs w:val="20"/>
              </w:rPr>
            </w:pPr>
          </w:p>
          <w:p w:rsidR="00452B89" w:rsidRPr="00A935AA" w:rsidRDefault="00452B89" w:rsidP="00242AEE">
            <w:pPr>
              <w:jc w:val="center"/>
              <w:rPr>
                <w:sz w:val="20"/>
                <w:szCs w:val="20"/>
              </w:rPr>
            </w:pPr>
          </w:p>
          <w:p w:rsidR="00452B89" w:rsidRPr="00A935AA" w:rsidRDefault="00452B89" w:rsidP="00242AEE">
            <w:pPr>
              <w:jc w:val="center"/>
              <w:rPr>
                <w:sz w:val="20"/>
                <w:szCs w:val="20"/>
              </w:rPr>
            </w:pPr>
          </w:p>
          <w:p w:rsidR="00452B89" w:rsidRPr="00A935AA" w:rsidRDefault="00452B89" w:rsidP="00242AEE">
            <w:pPr>
              <w:jc w:val="center"/>
              <w:rPr>
                <w:sz w:val="20"/>
                <w:szCs w:val="20"/>
              </w:rPr>
            </w:pPr>
          </w:p>
          <w:p w:rsidR="00452B89" w:rsidRPr="00A935AA" w:rsidRDefault="00452B89" w:rsidP="00242AEE">
            <w:pPr>
              <w:jc w:val="center"/>
              <w:rPr>
                <w:sz w:val="20"/>
                <w:szCs w:val="20"/>
              </w:rPr>
            </w:pPr>
          </w:p>
          <w:p w:rsidR="00452B89" w:rsidRPr="00A935AA" w:rsidRDefault="00452B89" w:rsidP="00242AEE">
            <w:pPr>
              <w:jc w:val="center"/>
              <w:rPr>
                <w:sz w:val="20"/>
                <w:szCs w:val="20"/>
              </w:rPr>
            </w:pPr>
          </w:p>
          <w:p w:rsidR="00452B89" w:rsidRPr="00A935AA" w:rsidRDefault="00452B89" w:rsidP="00242AEE">
            <w:pPr>
              <w:jc w:val="center"/>
              <w:rPr>
                <w:sz w:val="20"/>
                <w:szCs w:val="20"/>
              </w:rPr>
            </w:pPr>
          </w:p>
          <w:p w:rsidR="00452B89" w:rsidRPr="00A935AA" w:rsidRDefault="00452B89" w:rsidP="00242AEE">
            <w:pPr>
              <w:jc w:val="center"/>
              <w:rPr>
                <w:sz w:val="20"/>
                <w:szCs w:val="20"/>
              </w:rPr>
            </w:pPr>
          </w:p>
          <w:p w:rsidR="00452B89" w:rsidRDefault="00452B89" w:rsidP="00242AEE">
            <w:pPr>
              <w:jc w:val="center"/>
              <w:rPr>
                <w:sz w:val="20"/>
                <w:szCs w:val="20"/>
              </w:rPr>
            </w:pPr>
          </w:p>
          <w:p w:rsidR="00452B89" w:rsidRDefault="00452B89" w:rsidP="00242AEE">
            <w:pPr>
              <w:jc w:val="center"/>
              <w:rPr>
                <w:sz w:val="20"/>
                <w:szCs w:val="20"/>
              </w:rPr>
            </w:pPr>
          </w:p>
          <w:p w:rsidR="00452B89" w:rsidRDefault="00452B89" w:rsidP="00242AEE">
            <w:pPr>
              <w:jc w:val="center"/>
              <w:rPr>
                <w:sz w:val="20"/>
                <w:szCs w:val="20"/>
              </w:rPr>
            </w:pPr>
          </w:p>
          <w:p w:rsidR="00452B89" w:rsidRPr="00A935AA" w:rsidRDefault="00452B89" w:rsidP="00242AEE">
            <w:pPr>
              <w:jc w:val="center"/>
              <w:rPr>
                <w:sz w:val="20"/>
                <w:szCs w:val="20"/>
              </w:rPr>
            </w:pPr>
          </w:p>
        </w:tc>
        <w:tc>
          <w:tcPr>
            <w:tcW w:w="4320" w:type="dxa"/>
            <w:shd w:val="clear" w:color="auto" w:fill="auto"/>
          </w:tcPr>
          <w:p w:rsidR="00452B89" w:rsidRPr="00806A5B" w:rsidRDefault="00452B89" w:rsidP="00452B89">
            <w:pPr>
              <w:keepNext/>
              <w:keepLines/>
              <w:tabs>
                <w:tab w:val="left" w:pos="-1440"/>
                <w:tab w:val="left" w:pos="-720"/>
              </w:tabs>
              <w:rPr>
                <w:b/>
                <w:sz w:val="20"/>
                <w:szCs w:val="20"/>
                <w:lang w:val="fr-CA"/>
              </w:rPr>
            </w:pPr>
            <w:r>
              <w:rPr>
                <w:b/>
                <w:sz w:val="20"/>
                <w:szCs w:val="20"/>
                <w:lang w:val="fr-CA"/>
              </w:rPr>
              <w:t>Robert Simoneau</w:t>
            </w:r>
          </w:p>
          <w:p w:rsidR="00452B89" w:rsidRPr="00806A5B" w:rsidRDefault="00452B89" w:rsidP="00452B89">
            <w:pPr>
              <w:keepNext/>
              <w:keepLines/>
              <w:tabs>
                <w:tab w:val="left" w:pos="-1440"/>
                <w:tab w:val="left" w:pos="-720"/>
              </w:tabs>
              <w:rPr>
                <w:sz w:val="20"/>
                <w:szCs w:val="20"/>
                <w:lang w:val="fr-CA"/>
              </w:rPr>
            </w:pPr>
            <w:r w:rsidRPr="00806A5B">
              <w:rPr>
                <w:sz w:val="20"/>
                <w:szCs w:val="20"/>
                <w:lang w:val="fr-CA"/>
              </w:rPr>
              <w:tab/>
              <w:t>P</w:t>
            </w:r>
            <w:r>
              <w:rPr>
                <w:sz w:val="20"/>
                <w:szCs w:val="20"/>
                <w:lang w:val="fr-CA"/>
              </w:rPr>
              <w:t>ascal A. P</w:t>
            </w:r>
            <w:r w:rsidRPr="00806A5B">
              <w:rPr>
                <w:sz w:val="20"/>
                <w:szCs w:val="20"/>
                <w:lang w:val="fr-CA"/>
              </w:rPr>
              <w:t>e</w:t>
            </w:r>
            <w:r>
              <w:rPr>
                <w:sz w:val="20"/>
                <w:szCs w:val="20"/>
                <w:lang w:val="fr-CA"/>
              </w:rPr>
              <w:t>lleti</w:t>
            </w:r>
            <w:r w:rsidRPr="00806A5B">
              <w:rPr>
                <w:sz w:val="20"/>
                <w:szCs w:val="20"/>
                <w:lang w:val="fr-CA"/>
              </w:rPr>
              <w:t>er</w:t>
            </w:r>
          </w:p>
          <w:p w:rsidR="00452B89" w:rsidRPr="00806A5B" w:rsidRDefault="00452B89" w:rsidP="00452B89">
            <w:pPr>
              <w:keepNext/>
              <w:keepLines/>
              <w:tabs>
                <w:tab w:val="left" w:pos="-1440"/>
                <w:tab w:val="left" w:pos="-720"/>
              </w:tabs>
              <w:rPr>
                <w:sz w:val="20"/>
                <w:szCs w:val="20"/>
                <w:lang w:val="fr-CA"/>
              </w:rPr>
            </w:pPr>
            <w:r w:rsidRPr="00806A5B">
              <w:rPr>
                <w:sz w:val="20"/>
                <w:szCs w:val="20"/>
                <w:lang w:val="fr-CA"/>
              </w:rPr>
              <w:tab/>
              <w:t>P</w:t>
            </w:r>
            <w:r>
              <w:rPr>
                <w:sz w:val="20"/>
                <w:szCs w:val="20"/>
                <w:lang w:val="fr-CA"/>
              </w:rPr>
              <w:t>elle</w:t>
            </w:r>
            <w:r w:rsidRPr="00806A5B">
              <w:rPr>
                <w:sz w:val="20"/>
                <w:szCs w:val="20"/>
                <w:lang w:val="fr-CA"/>
              </w:rPr>
              <w:t>t</w:t>
            </w:r>
            <w:r>
              <w:rPr>
                <w:sz w:val="20"/>
                <w:szCs w:val="20"/>
                <w:lang w:val="fr-CA"/>
              </w:rPr>
              <w:t>ier &amp; Cie Av</w:t>
            </w:r>
            <w:r w:rsidRPr="00806A5B">
              <w:rPr>
                <w:sz w:val="20"/>
                <w:szCs w:val="20"/>
                <w:lang w:val="fr-CA"/>
              </w:rPr>
              <w:t>o</w:t>
            </w:r>
            <w:r>
              <w:rPr>
                <w:sz w:val="20"/>
                <w:szCs w:val="20"/>
                <w:lang w:val="fr-CA"/>
              </w:rPr>
              <w:t>ca</w:t>
            </w:r>
            <w:r w:rsidRPr="00806A5B">
              <w:rPr>
                <w:sz w:val="20"/>
                <w:szCs w:val="20"/>
                <w:lang w:val="fr-CA"/>
              </w:rPr>
              <w:t>ts</w:t>
            </w:r>
            <w:r>
              <w:rPr>
                <w:sz w:val="20"/>
                <w:szCs w:val="20"/>
                <w:lang w:val="fr-CA"/>
              </w:rPr>
              <w:t xml:space="preserve"> inc.</w:t>
            </w:r>
          </w:p>
          <w:p w:rsidR="00452B89" w:rsidRPr="00806A5B" w:rsidRDefault="00452B89" w:rsidP="00452B89">
            <w:pPr>
              <w:keepNext/>
              <w:keepLines/>
              <w:tabs>
                <w:tab w:val="left" w:pos="-1440"/>
                <w:tab w:val="left" w:pos="-720"/>
              </w:tabs>
              <w:rPr>
                <w:sz w:val="20"/>
                <w:szCs w:val="20"/>
                <w:lang w:val="fr-CA"/>
              </w:rPr>
            </w:pPr>
          </w:p>
          <w:p w:rsidR="00452B89" w:rsidRPr="00806A5B" w:rsidRDefault="00452B89" w:rsidP="00452B89">
            <w:pPr>
              <w:keepNext/>
              <w:keepLines/>
              <w:tabs>
                <w:tab w:val="left" w:pos="-1440"/>
                <w:tab w:val="left" w:pos="-720"/>
              </w:tabs>
              <w:rPr>
                <w:sz w:val="20"/>
                <w:szCs w:val="20"/>
                <w:lang w:val="fr-CA"/>
              </w:rPr>
            </w:pPr>
            <w:r w:rsidRPr="00806A5B">
              <w:rPr>
                <w:sz w:val="20"/>
                <w:szCs w:val="20"/>
                <w:lang w:val="fr-CA"/>
              </w:rPr>
              <w:tab/>
              <w:t>c. (36</w:t>
            </w:r>
            <w:r>
              <w:rPr>
                <w:sz w:val="20"/>
                <w:szCs w:val="20"/>
                <w:lang w:val="fr-CA"/>
              </w:rPr>
              <w:t>225</w:t>
            </w:r>
            <w:r w:rsidRPr="00806A5B">
              <w:rPr>
                <w:sz w:val="20"/>
                <w:szCs w:val="20"/>
                <w:lang w:val="fr-CA"/>
              </w:rPr>
              <w:t>)</w:t>
            </w:r>
          </w:p>
          <w:p w:rsidR="00452B89" w:rsidRPr="00806A5B" w:rsidRDefault="00452B89" w:rsidP="00452B89">
            <w:pPr>
              <w:keepNext/>
              <w:keepLines/>
              <w:tabs>
                <w:tab w:val="left" w:pos="-1440"/>
                <w:tab w:val="left" w:pos="-720"/>
              </w:tabs>
              <w:rPr>
                <w:sz w:val="20"/>
                <w:szCs w:val="20"/>
                <w:lang w:val="fr-CA"/>
              </w:rPr>
            </w:pPr>
          </w:p>
          <w:p w:rsidR="00452B89" w:rsidRPr="00806A5B" w:rsidRDefault="00452B89" w:rsidP="00452B89">
            <w:pPr>
              <w:keepNext/>
              <w:keepLines/>
              <w:tabs>
                <w:tab w:val="left" w:pos="-1440"/>
                <w:tab w:val="left" w:pos="-720"/>
              </w:tabs>
              <w:rPr>
                <w:b/>
                <w:sz w:val="20"/>
                <w:szCs w:val="20"/>
                <w:lang w:val="fr-CA"/>
              </w:rPr>
            </w:pPr>
            <w:r>
              <w:rPr>
                <w:b/>
                <w:sz w:val="20"/>
                <w:szCs w:val="20"/>
                <w:lang w:val="fr-CA"/>
              </w:rPr>
              <w:t xml:space="preserve">ERNST &amp; YOUNG INC., </w:t>
            </w:r>
            <w:r w:rsidR="00BD61A2">
              <w:rPr>
                <w:b/>
                <w:sz w:val="20"/>
                <w:szCs w:val="20"/>
                <w:lang w:val="fr-CA"/>
              </w:rPr>
              <w:t>s</w:t>
            </w:r>
            <w:r>
              <w:rPr>
                <w:b/>
                <w:sz w:val="20"/>
                <w:szCs w:val="20"/>
                <w:lang w:val="fr-CA"/>
              </w:rPr>
              <w:t xml:space="preserve">yndic à </w:t>
            </w:r>
            <w:r w:rsidRPr="00806A5B">
              <w:rPr>
                <w:b/>
                <w:sz w:val="20"/>
                <w:szCs w:val="20"/>
                <w:lang w:val="fr-CA"/>
              </w:rPr>
              <w:t>l</w:t>
            </w:r>
            <w:r>
              <w:rPr>
                <w:b/>
                <w:sz w:val="20"/>
                <w:szCs w:val="20"/>
                <w:lang w:val="fr-CA"/>
              </w:rPr>
              <w:t>’</w:t>
            </w:r>
            <w:r w:rsidRPr="00806A5B">
              <w:rPr>
                <w:b/>
                <w:sz w:val="20"/>
                <w:szCs w:val="20"/>
                <w:lang w:val="fr-CA"/>
              </w:rPr>
              <w:t>a</w:t>
            </w:r>
            <w:r>
              <w:rPr>
                <w:b/>
                <w:sz w:val="20"/>
                <w:szCs w:val="20"/>
                <w:lang w:val="fr-CA"/>
              </w:rPr>
              <w:t>ct</w:t>
            </w:r>
            <w:r w:rsidRPr="00806A5B">
              <w:rPr>
                <w:b/>
                <w:sz w:val="20"/>
                <w:szCs w:val="20"/>
                <w:lang w:val="fr-CA"/>
              </w:rPr>
              <w:t>i</w:t>
            </w:r>
            <w:r>
              <w:rPr>
                <w:b/>
                <w:sz w:val="20"/>
                <w:szCs w:val="20"/>
                <w:lang w:val="fr-CA"/>
              </w:rPr>
              <w:t>f de Vinc</w:t>
            </w:r>
            <w:r w:rsidRPr="00806A5B">
              <w:rPr>
                <w:b/>
                <w:sz w:val="20"/>
                <w:szCs w:val="20"/>
                <w:lang w:val="fr-CA"/>
              </w:rPr>
              <w:t>e</w:t>
            </w:r>
            <w:r>
              <w:rPr>
                <w:b/>
                <w:sz w:val="20"/>
                <w:szCs w:val="20"/>
                <w:lang w:val="fr-CA"/>
              </w:rPr>
              <w:t>nt Lacroi</w:t>
            </w:r>
            <w:r w:rsidR="00BD61A2">
              <w:rPr>
                <w:b/>
                <w:sz w:val="20"/>
                <w:szCs w:val="20"/>
                <w:lang w:val="fr-CA"/>
              </w:rPr>
              <w:t>x</w:t>
            </w:r>
            <w:r w:rsidRPr="00806A5B">
              <w:rPr>
                <w:b/>
                <w:sz w:val="20"/>
                <w:szCs w:val="20"/>
                <w:lang w:val="fr-CA"/>
              </w:rPr>
              <w:t xml:space="preserve"> (Qc)</w:t>
            </w:r>
          </w:p>
          <w:p w:rsidR="00452B89" w:rsidRPr="00806A5B" w:rsidRDefault="00452B89" w:rsidP="00452B89">
            <w:pPr>
              <w:keepNext/>
              <w:keepLines/>
              <w:tabs>
                <w:tab w:val="left" w:pos="-1440"/>
                <w:tab w:val="left" w:pos="-720"/>
              </w:tabs>
              <w:rPr>
                <w:sz w:val="20"/>
                <w:szCs w:val="20"/>
                <w:lang w:val="fr-CA"/>
              </w:rPr>
            </w:pPr>
            <w:r w:rsidRPr="00806A5B">
              <w:rPr>
                <w:sz w:val="20"/>
                <w:szCs w:val="20"/>
                <w:lang w:val="fr-CA"/>
              </w:rPr>
              <w:tab/>
            </w:r>
            <w:r>
              <w:rPr>
                <w:sz w:val="20"/>
                <w:szCs w:val="20"/>
                <w:lang w:val="fr-CA"/>
              </w:rPr>
              <w:t>Isabelle Desharnais</w:t>
            </w:r>
          </w:p>
          <w:p w:rsidR="00452B89" w:rsidRPr="00021805" w:rsidRDefault="00452B89" w:rsidP="00452B89">
            <w:pPr>
              <w:keepNext/>
              <w:keepLines/>
              <w:tabs>
                <w:tab w:val="left" w:pos="-1440"/>
                <w:tab w:val="left" w:pos="-720"/>
              </w:tabs>
              <w:rPr>
                <w:sz w:val="20"/>
                <w:szCs w:val="20"/>
                <w:lang w:val="fr-CA"/>
              </w:rPr>
            </w:pPr>
            <w:r w:rsidRPr="00806A5B">
              <w:rPr>
                <w:sz w:val="20"/>
                <w:szCs w:val="20"/>
                <w:lang w:val="fr-CA"/>
              </w:rPr>
              <w:tab/>
            </w:r>
            <w:r w:rsidRPr="00021805">
              <w:rPr>
                <w:sz w:val="20"/>
                <w:szCs w:val="20"/>
                <w:lang w:val="fr-CA"/>
              </w:rPr>
              <w:t>Borden Ladner Gervais s.e.n.c.r.l., s.r.l.</w:t>
            </w:r>
          </w:p>
          <w:p w:rsidR="00452B89" w:rsidRPr="00021805" w:rsidRDefault="00452B89" w:rsidP="00452B89">
            <w:pPr>
              <w:keepNext/>
              <w:keepLines/>
              <w:tabs>
                <w:tab w:val="left" w:pos="-1440"/>
                <w:tab w:val="left" w:pos="-720"/>
              </w:tabs>
              <w:rPr>
                <w:sz w:val="20"/>
                <w:szCs w:val="20"/>
                <w:lang w:val="fr-CA"/>
              </w:rPr>
            </w:pPr>
          </w:p>
          <w:p w:rsidR="00452B89" w:rsidRPr="00806A5B" w:rsidRDefault="00452B89" w:rsidP="00452B89">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23</w:t>
            </w:r>
            <w:r w:rsidRPr="00806A5B">
              <w:rPr>
                <w:sz w:val="20"/>
                <w:szCs w:val="20"/>
                <w:lang w:val="fr-CA"/>
              </w:rPr>
              <w:t>.1</w:t>
            </w:r>
            <w:r>
              <w:rPr>
                <w:sz w:val="20"/>
                <w:szCs w:val="20"/>
                <w:lang w:val="fr-CA"/>
              </w:rPr>
              <w:t>2</w:t>
            </w:r>
            <w:r w:rsidRPr="00806A5B">
              <w:rPr>
                <w:sz w:val="20"/>
                <w:szCs w:val="20"/>
                <w:lang w:val="fr-CA"/>
              </w:rPr>
              <w:t>.2014</w:t>
            </w:r>
            <w:r w:rsidR="008A5B26">
              <w:rPr>
                <w:sz w:val="20"/>
                <w:szCs w:val="20"/>
                <w:lang w:val="fr-CA"/>
              </w:rPr>
              <w:pict>
                <v:rect id="_x0000_i1030" style="width:108pt;height:1pt" o:hrpct="0" o:hralign="center" o:hrstd="t" o:hrnoshade="t" o:hr="t" fillcolor="black [3213]" stroked="f"/>
              </w:pict>
            </w:r>
          </w:p>
        </w:tc>
      </w:tr>
      <w:tr w:rsidR="00C21644" w:rsidRPr="00D363E5" w:rsidTr="003B3977">
        <w:trPr>
          <w:cantSplit/>
        </w:trPr>
        <w:tc>
          <w:tcPr>
            <w:tcW w:w="4320" w:type="dxa"/>
            <w:shd w:val="clear" w:color="auto" w:fill="auto"/>
          </w:tcPr>
          <w:p w:rsidR="00C21644" w:rsidRPr="00452B89" w:rsidRDefault="00452B89" w:rsidP="005F1ED8">
            <w:pPr>
              <w:rPr>
                <w:b/>
                <w:sz w:val="20"/>
                <w:szCs w:val="20"/>
              </w:rPr>
            </w:pPr>
            <w:r w:rsidRPr="00452B89">
              <w:rPr>
                <w:b/>
                <w:sz w:val="20"/>
                <w:szCs w:val="20"/>
              </w:rPr>
              <w:t>Apotex Inc.</w:t>
            </w:r>
          </w:p>
          <w:p w:rsidR="00C21644" w:rsidRPr="00452B89" w:rsidRDefault="00C21644" w:rsidP="005F1ED8">
            <w:pPr>
              <w:tabs>
                <w:tab w:val="left" w:pos="-1440"/>
                <w:tab w:val="left" w:pos="-720"/>
              </w:tabs>
              <w:rPr>
                <w:sz w:val="20"/>
                <w:szCs w:val="20"/>
              </w:rPr>
            </w:pPr>
            <w:r w:rsidRPr="00452B89">
              <w:rPr>
                <w:sz w:val="20"/>
                <w:szCs w:val="20"/>
              </w:rPr>
              <w:tab/>
            </w:r>
            <w:r w:rsidR="00452B89" w:rsidRPr="00452B89">
              <w:rPr>
                <w:sz w:val="20"/>
                <w:szCs w:val="20"/>
              </w:rPr>
              <w:t xml:space="preserve">Harry B. </w:t>
            </w:r>
            <w:r w:rsidR="00452B89">
              <w:rPr>
                <w:sz w:val="20"/>
                <w:szCs w:val="20"/>
              </w:rPr>
              <w:t>Radomski</w:t>
            </w:r>
          </w:p>
          <w:p w:rsidR="00C21644" w:rsidRPr="00452B89" w:rsidRDefault="00C21644" w:rsidP="005F1ED8">
            <w:pPr>
              <w:tabs>
                <w:tab w:val="left" w:pos="-1440"/>
                <w:tab w:val="left" w:pos="-720"/>
              </w:tabs>
              <w:rPr>
                <w:sz w:val="20"/>
                <w:szCs w:val="20"/>
              </w:rPr>
            </w:pPr>
            <w:r w:rsidRPr="00452B89">
              <w:rPr>
                <w:sz w:val="20"/>
                <w:szCs w:val="20"/>
              </w:rPr>
              <w:tab/>
            </w:r>
            <w:r w:rsidR="00452B89">
              <w:rPr>
                <w:sz w:val="20"/>
                <w:szCs w:val="20"/>
              </w:rPr>
              <w:t>Goodmans LLP</w:t>
            </w:r>
          </w:p>
          <w:p w:rsidR="00C21644" w:rsidRPr="00452B89" w:rsidRDefault="00C21644" w:rsidP="005F1ED8">
            <w:pPr>
              <w:tabs>
                <w:tab w:val="left" w:pos="-1440"/>
                <w:tab w:val="left" w:pos="-720"/>
              </w:tabs>
              <w:rPr>
                <w:sz w:val="20"/>
                <w:szCs w:val="20"/>
              </w:rPr>
            </w:pPr>
          </w:p>
          <w:p w:rsidR="00C21644" w:rsidRPr="00021805" w:rsidRDefault="00C21644" w:rsidP="005F1ED8">
            <w:pPr>
              <w:tabs>
                <w:tab w:val="left" w:pos="-1440"/>
                <w:tab w:val="left" w:pos="-720"/>
              </w:tabs>
              <w:rPr>
                <w:sz w:val="20"/>
                <w:szCs w:val="20"/>
                <w:lang w:val="fr-CA"/>
              </w:rPr>
            </w:pPr>
            <w:r w:rsidRPr="00452B89">
              <w:rPr>
                <w:sz w:val="20"/>
                <w:szCs w:val="20"/>
              </w:rPr>
              <w:tab/>
            </w:r>
            <w:r w:rsidRPr="00021805">
              <w:rPr>
                <w:sz w:val="20"/>
                <w:szCs w:val="20"/>
                <w:lang w:val="fr-CA"/>
              </w:rPr>
              <w:t>v. (3</w:t>
            </w:r>
            <w:r w:rsidR="00452B89" w:rsidRPr="00021805">
              <w:rPr>
                <w:sz w:val="20"/>
                <w:szCs w:val="20"/>
                <w:lang w:val="fr-CA"/>
              </w:rPr>
              <w:t>6227</w:t>
            </w:r>
            <w:r w:rsidRPr="00021805">
              <w:rPr>
                <w:sz w:val="20"/>
                <w:szCs w:val="20"/>
                <w:lang w:val="fr-CA"/>
              </w:rPr>
              <w:t>)</w:t>
            </w:r>
          </w:p>
          <w:p w:rsidR="00C21644" w:rsidRPr="00021805" w:rsidRDefault="00C21644" w:rsidP="005F1ED8">
            <w:pPr>
              <w:tabs>
                <w:tab w:val="left" w:pos="-1440"/>
                <w:tab w:val="left" w:pos="-720"/>
              </w:tabs>
              <w:rPr>
                <w:sz w:val="20"/>
                <w:szCs w:val="20"/>
                <w:lang w:val="fr-CA"/>
              </w:rPr>
            </w:pPr>
          </w:p>
          <w:p w:rsidR="00C21644" w:rsidRPr="00452B89" w:rsidRDefault="00452B89" w:rsidP="005F1ED8">
            <w:pPr>
              <w:tabs>
                <w:tab w:val="left" w:pos="-1440"/>
                <w:tab w:val="left" w:pos="-720"/>
              </w:tabs>
              <w:rPr>
                <w:b/>
                <w:sz w:val="20"/>
                <w:szCs w:val="20"/>
              </w:rPr>
            </w:pPr>
            <w:r w:rsidRPr="00452B89">
              <w:rPr>
                <w:b/>
                <w:sz w:val="20"/>
                <w:szCs w:val="20"/>
                <w:lang w:val="fr-CA"/>
              </w:rPr>
              <w:t xml:space="preserve">Pfizer Canada Inc. et al. </w:t>
            </w:r>
            <w:r w:rsidR="00C21644" w:rsidRPr="00452B89">
              <w:rPr>
                <w:b/>
                <w:sz w:val="20"/>
                <w:szCs w:val="20"/>
              </w:rPr>
              <w:t>(</w:t>
            </w:r>
            <w:r>
              <w:rPr>
                <w:b/>
                <w:sz w:val="20"/>
                <w:szCs w:val="20"/>
              </w:rPr>
              <w:t>F.C</w:t>
            </w:r>
            <w:r w:rsidR="00C21644" w:rsidRPr="00452B89">
              <w:rPr>
                <w:b/>
                <w:sz w:val="20"/>
                <w:szCs w:val="20"/>
              </w:rPr>
              <w:t>.)</w:t>
            </w:r>
          </w:p>
          <w:p w:rsidR="00C21644" w:rsidRPr="00452B89" w:rsidRDefault="00C21644" w:rsidP="005F1ED8">
            <w:pPr>
              <w:tabs>
                <w:tab w:val="left" w:pos="-1440"/>
                <w:tab w:val="left" w:pos="-720"/>
              </w:tabs>
              <w:rPr>
                <w:sz w:val="20"/>
                <w:szCs w:val="20"/>
              </w:rPr>
            </w:pPr>
            <w:r w:rsidRPr="00452B89">
              <w:rPr>
                <w:sz w:val="20"/>
                <w:szCs w:val="20"/>
              </w:rPr>
              <w:tab/>
            </w:r>
            <w:r w:rsidR="00452B89">
              <w:rPr>
                <w:sz w:val="20"/>
                <w:szCs w:val="20"/>
              </w:rPr>
              <w:t>Andrew Bernstein</w:t>
            </w:r>
          </w:p>
          <w:p w:rsidR="00C21644" w:rsidRPr="00452B89" w:rsidRDefault="00C21644" w:rsidP="005F1ED8">
            <w:pPr>
              <w:tabs>
                <w:tab w:val="left" w:pos="-1440"/>
                <w:tab w:val="left" w:pos="-720"/>
              </w:tabs>
              <w:rPr>
                <w:sz w:val="20"/>
                <w:szCs w:val="20"/>
              </w:rPr>
            </w:pPr>
            <w:r w:rsidRPr="00452B89">
              <w:rPr>
                <w:sz w:val="20"/>
                <w:szCs w:val="20"/>
              </w:rPr>
              <w:tab/>
            </w:r>
            <w:r w:rsidR="00452B89">
              <w:rPr>
                <w:sz w:val="20"/>
                <w:szCs w:val="20"/>
              </w:rPr>
              <w:t>Torys LLP</w:t>
            </w:r>
          </w:p>
          <w:p w:rsidR="00C21644" w:rsidRPr="00452B89" w:rsidRDefault="00C21644" w:rsidP="005F1ED8">
            <w:pPr>
              <w:tabs>
                <w:tab w:val="left" w:pos="-1440"/>
                <w:tab w:val="left" w:pos="-720"/>
              </w:tabs>
              <w:rPr>
                <w:sz w:val="20"/>
                <w:szCs w:val="20"/>
              </w:rPr>
            </w:pPr>
          </w:p>
          <w:p w:rsidR="00C21644" w:rsidRPr="00452B89" w:rsidRDefault="00C21644" w:rsidP="00D363E5">
            <w:pPr>
              <w:rPr>
                <w:sz w:val="20"/>
                <w:szCs w:val="20"/>
              </w:rPr>
            </w:pPr>
            <w:r w:rsidRPr="00452B89">
              <w:rPr>
                <w:sz w:val="20"/>
                <w:szCs w:val="20"/>
              </w:rPr>
              <w:t>FILING DATE: 2</w:t>
            </w:r>
            <w:r w:rsidR="00D363E5">
              <w:rPr>
                <w:sz w:val="20"/>
                <w:szCs w:val="20"/>
              </w:rPr>
              <w:t>3</w:t>
            </w:r>
            <w:r w:rsidRPr="00452B89">
              <w:rPr>
                <w:sz w:val="20"/>
                <w:szCs w:val="20"/>
              </w:rPr>
              <w:t>.</w:t>
            </w:r>
            <w:r w:rsidR="00D363E5">
              <w:rPr>
                <w:sz w:val="20"/>
                <w:szCs w:val="20"/>
              </w:rPr>
              <w:t>1</w:t>
            </w:r>
            <w:r w:rsidRPr="00452B89">
              <w:rPr>
                <w:sz w:val="20"/>
                <w:szCs w:val="20"/>
              </w:rPr>
              <w:t>2.2014</w:t>
            </w:r>
            <w:r w:rsidR="008A5B26">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452B89" w:rsidRDefault="00C21644" w:rsidP="00242AEE">
            <w:pPr>
              <w:jc w:val="center"/>
              <w:rPr>
                <w:sz w:val="20"/>
                <w:szCs w:val="20"/>
              </w:rPr>
            </w:pPr>
          </w:p>
          <w:p w:rsidR="00C21644" w:rsidRPr="00452B89" w:rsidRDefault="00C21644" w:rsidP="00242AEE">
            <w:pPr>
              <w:jc w:val="center"/>
              <w:rPr>
                <w:sz w:val="20"/>
                <w:szCs w:val="20"/>
              </w:rPr>
            </w:pPr>
          </w:p>
          <w:p w:rsidR="00C21644" w:rsidRPr="00452B89" w:rsidRDefault="00C21644" w:rsidP="00242AEE">
            <w:pPr>
              <w:jc w:val="center"/>
              <w:rPr>
                <w:sz w:val="20"/>
                <w:szCs w:val="20"/>
              </w:rPr>
            </w:pPr>
          </w:p>
          <w:p w:rsidR="00C21644" w:rsidRPr="00452B89" w:rsidRDefault="00C21644" w:rsidP="00242AEE">
            <w:pPr>
              <w:jc w:val="center"/>
              <w:rPr>
                <w:sz w:val="20"/>
                <w:szCs w:val="20"/>
              </w:rPr>
            </w:pPr>
          </w:p>
          <w:p w:rsidR="00C21644" w:rsidRPr="00452B89" w:rsidRDefault="00C21644" w:rsidP="00242AEE">
            <w:pPr>
              <w:jc w:val="center"/>
              <w:rPr>
                <w:sz w:val="20"/>
                <w:szCs w:val="20"/>
              </w:rPr>
            </w:pPr>
          </w:p>
          <w:p w:rsidR="00C21644" w:rsidRPr="00452B89" w:rsidRDefault="00C21644" w:rsidP="00242AEE">
            <w:pPr>
              <w:jc w:val="center"/>
              <w:rPr>
                <w:sz w:val="20"/>
                <w:szCs w:val="20"/>
              </w:rPr>
            </w:pPr>
          </w:p>
          <w:p w:rsidR="00C21644" w:rsidRPr="00452B89" w:rsidRDefault="00C21644" w:rsidP="00242AEE">
            <w:pPr>
              <w:jc w:val="center"/>
              <w:rPr>
                <w:sz w:val="20"/>
                <w:szCs w:val="20"/>
              </w:rPr>
            </w:pPr>
          </w:p>
          <w:p w:rsidR="00C21644" w:rsidRPr="00452B89" w:rsidRDefault="00C21644" w:rsidP="00242AEE">
            <w:pPr>
              <w:jc w:val="center"/>
              <w:rPr>
                <w:sz w:val="20"/>
                <w:szCs w:val="20"/>
              </w:rPr>
            </w:pPr>
          </w:p>
          <w:p w:rsidR="00C21644" w:rsidRPr="00452B89" w:rsidRDefault="00C21644" w:rsidP="00242AEE">
            <w:pPr>
              <w:jc w:val="center"/>
              <w:rPr>
                <w:sz w:val="20"/>
                <w:szCs w:val="20"/>
              </w:rPr>
            </w:pPr>
          </w:p>
          <w:p w:rsidR="00C21644" w:rsidRPr="00452B89" w:rsidRDefault="00C21644" w:rsidP="00242AEE">
            <w:pPr>
              <w:jc w:val="center"/>
              <w:rPr>
                <w:sz w:val="20"/>
                <w:szCs w:val="20"/>
              </w:rPr>
            </w:pPr>
          </w:p>
          <w:p w:rsidR="00C21644" w:rsidRPr="00452B89" w:rsidRDefault="00C21644" w:rsidP="00242AEE">
            <w:pPr>
              <w:jc w:val="center"/>
              <w:rPr>
                <w:sz w:val="20"/>
                <w:szCs w:val="20"/>
              </w:rPr>
            </w:pPr>
          </w:p>
          <w:p w:rsidR="00C21644" w:rsidRPr="00452B89" w:rsidRDefault="00C21644" w:rsidP="00242AEE">
            <w:pPr>
              <w:jc w:val="center"/>
              <w:rPr>
                <w:sz w:val="20"/>
                <w:szCs w:val="20"/>
              </w:rPr>
            </w:pPr>
          </w:p>
          <w:p w:rsidR="00C21644" w:rsidRPr="00452B89" w:rsidRDefault="00C21644" w:rsidP="00242AEE">
            <w:pPr>
              <w:jc w:val="center"/>
              <w:rPr>
                <w:sz w:val="20"/>
                <w:szCs w:val="20"/>
              </w:rPr>
            </w:pPr>
          </w:p>
        </w:tc>
        <w:tc>
          <w:tcPr>
            <w:tcW w:w="4320" w:type="dxa"/>
            <w:shd w:val="clear" w:color="auto" w:fill="auto"/>
          </w:tcPr>
          <w:p w:rsidR="00C21644" w:rsidRPr="00452B89" w:rsidRDefault="00D363E5" w:rsidP="005F1ED8">
            <w:pPr>
              <w:rPr>
                <w:b/>
                <w:sz w:val="20"/>
                <w:szCs w:val="20"/>
              </w:rPr>
            </w:pPr>
            <w:r>
              <w:rPr>
                <w:b/>
                <w:sz w:val="20"/>
                <w:szCs w:val="20"/>
              </w:rPr>
              <w:t>Mylan Pharmaceuticals ULC</w:t>
            </w:r>
          </w:p>
          <w:p w:rsidR="00C21644" w:rsidRPr="00452B89" w:rsidRDefault="00C21644" w:rsidP="005F1ED8">
            <w:pPr>
              <w:tabs>
                <w:tab w:val="left" w:pos="-1440"/>
                <w:tab w:val="left" w:pos="-720"/>
              </w:tabs>
              <w:rPr>
                <w:sz w:val="20"/>
                <w:szCs w:val="20"/>
              </w:rPr>
            </w:pPr>
            <w:r w:rsidRPr="00452B89">
              <w:rPr>
                <w:sz w:val="20"/>
                <w:szCs w:val="20"/>
              </w:rPr>
              <w:tab/>
            </w:r>
            <w:r w:rsidR="00D363E5">
              <w:rPr>
                <w:sz w:val="20"/>
                <w:szCs w:val="20"/>
              </w:rPr>
              <w:t>Tim Gilbert</w:t>
            </w:r>
          </w:p>
          <w:p w:rsidR="00C21644" w:rsidRPr="00452B89" w:rsidRDefault="00C21644" w:rsidP="005F1ED8">
            <w:pPr>
              <w:tabs>
                <w:tab w:val="left" w:pos="-1440"/>
                <w:tab w:val="left" w:pos="-720"/>
              </w:tabs>
              <w:rPr>
                <w:sz w:val="20"/>
                <w:szCs w:val="20"/>
              </w:rPr>
            </w:pPr>
            <w:r w:rsidRPr="00452B89">
              <w:rPr>
                <w:sz w:val="20"/>
                <w:szCs w:val="20"/>
              </w:rPr>
              <w:tab/>
            </w:r>
            <w:r w:rsidR="00D363E5">
              <w:rPr>
                <w:sz w:val="20"/>
                <w:szCs w:val="20"/>
              </w:rPr>
              <w:t>Gilbert’s LLP</w:t>
            </w:r>
          </w:p>
          <w:p w:rsidR="00C21644" w:rsidRPr="00452B89" w:rsidRDefault="00C21644" w:rsidP="005F1ED8">
            <w:pPr>
              <w:tabs>
                <w:tab w:val="left" w:pos="-1440"/>
                <w:tab w:val="left" w:pos="-720"/>
              </w:tabs>
              <w:rPr>
                <w:sz w:val="20"/>
                <w:szCs w:val="20"/>
              </w:rPr>
            </w:pPr>
          </w:p>
          <w:p w:rsidR="00C21644" w:rsidRPr="00D363E5" w:rsidRDefault="00C21644" w:rsidP="005F1ED8">
            <w:pPr>
              <w:tabs>
                <w:tab w:val="left" w:pos="-1440"/>
                <w:tab w:val="left" w:pos="-720"/>
              </w:tabs>
              <w:rPr>
                <w:sz w:val="20"/>
                <w:szCs w:val="20"/>
                <w:lang w:val="fr-CA"/>
              </w:rPr>
            </w:pPr>
            <w:r w:rsidRPr="00452B89">
              <w:rPr>
                <w:sz w:val="20"/>
                <w:szCs w:val="20"/>
              </w:rPr>
              <w:tab/>
            </w:r>
            <w:r w:rsidRPr="00D363E5">
              <w:rPr>
                <w:sz w:val="20"/>
                <w:szCs w:val="20"/>
                <w:lang w:val="fr-CA"/>
              </w:rPr>
              <w:t>v. (3</w:t>
            </w:r>
            <w:r w:rsidR="00D363E5" w:rsidRPr="00D363E5">
              <w:rPr>
                <w:sz w:val="20"/>
                <w:szCs w:val="20"/>
                <w:lang w:val="fr-CA"/>
              </w:rPr>
              <w:t>6228</w:t>
            </w:r>
            <w:r w:rsidRPr="00D363E5">
              <w:rPr>
                <w:sz w:val="20"/>
                <w:szCs w:val="20"/>
                <w:lang w:val="fr-CA"/>
              </w:rPr>
              <w:t>)</w:t>
            </w:r>
          </w:p>
          <w:p w:rsidR="00C21644" w:rsidRPr="00D363E5" w:rsidRDefault="00C21644" w:rsidP="005F1ED8">
            <w:pPr>
              <w:tabs>
                <w:tab w:val="left" w:pos="-1440"/>
                <w:tab w:val="left" w:pos="-720"/>
              </w:tabs>
              <w:rPr>
                <w:sz w:val="20"/>
                <w:szCs w:val="20"/>
                <w:lang w:val="fr-CA"/>
              </w:rPr>
            </w:pPr>
          </w:p>
          <w:p w:rsidR="00C21644" w:rsidRPr="00021805" w:rsidRDefault="00D363E5" w:rsidP="005F1ED8">
            <w:pPr>
              <w:tabs>
                <w:tab w:val="left" w:pos="-1440"/>
                <w:tab w:val="left" w:pos="-720"/>
              </w:tabs>
              <w:rPr>
                <w:b/>
                <w:sz w:val="20"/>
                <w:szCs w:val="20"/>
              </w:rPr>
            </w:pPr>
            <w:r w:rsidRPr="00D363E5">
              <w:rPr>
                <w:b/>
                <w:sz w:val="20"/>
                <w:szCs w:val="20"/>
                <w:lang w:val="fr-CA"/>
              </w:rPr>
              <w:t xml:space="preserve">Pfizer Canada Inc. et al. </w:t>
            </w:r>
            <w:r w:rsidR="00C21644" w:rsidRPr="00021805">
              <w:rPr>
                <w:b/>
                <w:sz w:val="20"/>
                <w:szCs w:val="20"/>
              </w:rPr>
              <w:t>(</w:t>
            </w:r>
            <w:r w:rsidRPr="00021805">
              <w:rPr>
                <w:b/>
                <w:sz w:val="20"/>
                <w:szCs w:val="20"/>
              </w:rPr>
              <w:t>F.C</w:t>
            </w:r>
            <w:r w:rsidR="00C21644" w:rsidRPr="00021805">
              <w:rPr>
                <w:b/>
                <w:sz w:val="20"/>
                <w:szCs w:val="20"/>
              </w:rPr>
              <w:t>.)</w:t>
            </w:r>
          </w:p>
          <w:p w:rsidR="00D363E5" w:rsidRPr="00452B89" w:rsidRDefault="00C21644" w:rsidP="00D363E5">
            <w:pPr>
              <w:tabs>
                <w:tab w:val="left" w:pos="-1440"/>
                <w:tab w:val="left" w:pos="-720"/>
              </w:tabs>
              <w:rPr>
                <w:sz w:val="20"/>
                <w:szCs w:val="20"/>
              </w:rPr>
            </w:pPr>
            <w:r w:rsidRPr="00021805">
              <w:rPr>
                <w:sz w:val="20"/>
                <w:szCs w:val="20"/>
              </w:rPr>
              <w:tab/>
            </w:r>
            <w:r w:rsidR="00D363E5">
              <w:rPr>
                <w:sz w:val="20"/>
                <w:szCs w:val="20"/>
              </w:rPr>
              <w:t>Andrew Bernstein</w:t>
            </w:r>
          </w:p>
          <w:p w:rsidR="00D363E5" w:rsidRPr="00452B89" w:rsidRDefault="00D363E5" w:rsidP="00D363E5">
            <w:pPr>
              <w:tabs>
                <w:tab w:val="left" w:pos="-1440"/>
                <w:tab w:val="left" w:pos="-720"/>
              </w:tabs>
              <w:rPr>
                <w:sz w:val="20"/>
                <w:szCs w:val="20"/>
              </w:rPr>
            </w:pPr>
            <w:r w:rsidRPr="00452B89">
              <w:rPr>
                <w:sz w:val="20"/>
                <w:szCs w:val="20"/>
              </w:rPr>
              <w:tab/>
            </w:r>
            <w:r>
              <w:rPr>
                <w:sz w:val="20"/>
                <w:szCs w:val="20"/>
              </w:rPr>
              <w:t>Torys LLP</w:t>
            </w:r>
          </w:p>
          <w:p w:rsidR="00C21644" w:rsidRPr="00D363E5" w:rsidRDefault="00C21644" w:rsidP="005F1ED8">
            <w:pPr>
              <w:tabs>
                <w:tab w:val="left" w:pos="-1440"/>
                <w:tab w:val="left" w:pos="-720"/>
              </w:tabs>
              <w:rPr>
                <w:sz w:val="20"/>
                <w:szCs w:val="20"/>
              </w:rPr>
            </w:pPr>
          </w:p>
          <w:p w:rsidR="00C21644" w:rsidRPr="00D363E5" w:rsidRDefault="00C21644" w:rsidP="00D363E5">
            <w:pPr>
              <w:rPr>
                <w:sz w:val="20"/>
                <w:szCs w:val="20"/>
              </w:rPr>
            </w:pPr>
            <w:r w:rsidRPr="00D363E5">
              <w:rPr>
                <w:sz w:val="20"/>
                <w:szCs w:val="20"/>
              </w:rPr>
              <w:t>FILING DATE: 2</w:t>
            </w:r>
            <w:r w:rsidR="00D363E5">
              <w:rPr>
                <w:sz w:val="20"/>
                <w:szCs w:val="20"/>
              </w:rPr>
              <w:t>3</w:t>
            </w:r>
            <w:r w:rsidRPr="00D363E5">
              <w:rPr>
                <w:sz w:val="20"/>
                <w:szCs w:val="20"/>
              </w:rPr>
              <w:t>.</w:t>
            </w:r>
            <w:r w:rsidR="00D363E5">
              <w:rPr>
                <w:sz w:val="20"/>
                <w:szCs w:val="20"/>
              </w:rPr>
              <w:t>1</w:t>
            </w:r>
            <w:r w:rsidRPr="00D363E5">
              <w:rPr>
                <w:sz w:val="20"/>
                <w:szCs w:val="20"/>
              </w:rPr>
              <w:t>2.2014</w:t>
            </w:r>
            <w:r w:rsidR="008A5B26">
              <w:rPr>
                <w:sz w:val="20"/>
                <w:szCs w:val="20"/>
                <w:lang w:val="fr-CA"/>
              </w:rPr>
              <w:pict>
                <v:rect id="_x0000_i1032" style="width:108pt;height:1pt" o:hrpct="0" o:hralign="center" o:hrstd="t" o:hrnoshade="t" o:hr="t" fillcolor="black [3213]" stroked="f"/>
              </w:pict>
            </w:r>
          </w:p>
        </w:tc>
      </w:tr>
      <w:tr w:rsidR="00D363E5" w:rsidRPr="00D363E5" w:rsidTr="003B3977">
        <w:trPr>
          <w:cantSplit/>
        </w:trPr>
        <w:tc>
          <w:tcPr>
            <w:tcW w:w="4320" w:type="dxa"/>
            <w:shd w:val="clear" w:color="auto" w:fill="auto"/>
          </w:tcPr>
          <w:p w:rsidR="00D363E5" w:rsidRPr="00021805" w:rsidRDefault="00D363E5" w:rsidP="005F1ED8">
            <w:pPr>
              <w:rPr>
                <w:b/>
                <w:sz w:val="20"/>
                <w:szCs w:val="20"/>
              </w:rPr>
            </w:pPr>
            <w:r w:rsidRPr="00021805">
              <w:rPr>
                <w:b/>
                <w:sz w:val="20"/>
                <w:szCs w:val="20"/>
              </w:rPr>
              <w:lastRenderedPageBreak/>
              <w:t>Terry Piersanti</w:t>
            </w:r>
          </w:p>
          <w:p w:rsidR="00D363E5" w:rsidRPr="00D363E5" w:rsidRDefault="00D363E5" w:rsidP="005F1ED8">
            <w:pPr>
              <w:tabs>
                <w:tab w:val="left" w:pos="-1440"/>
                <w:tab w:val="left" w:pos="-720"/>
              </w:tabs>
              <w:rPr>
                <w:sz w:val="20"/>
                <w:szCs w:val="20"/>
              </w:rPr>
            </w:pPr>
            <w:r w:rsidRPr="00021805">
              <w:rPr>
                <w:sz w:val="20"/>
                <w:szCs w:val="20"/>
              </w:rPr>
              <w:tab/>
            </w:r>
            <w:r w:rsidRPr="00D363E5">
              <w:rPr>
                <w:sz w:val="20"/>
                <w:szCs w:val="20"/>
              </w:rPr>
              <w:t>V. Ross Morrison</w:t>
            </w:r>
          </w:p>
          <w:p w:rsidR="00D363E5" w:rsidRPr="00D363E5" w:rsidRDefault="00D363E5" w:rsidP="005F1ED8">
            <w:pPr>
              <w:tabs>
                <w:tab w:val="left" w:pos="-1440"/>
                <w:tab w:val="left" w:pos="-720"/>
              </w:tabs>
              <w:rPr>
                <w:sz w:val="20"/>
                <w:szCs w:val="20"/>
              </w:rPr>
            </w:pPr>
            <w:r w:rsidRPr="00D363E5">
              <w:rPr>
                <w:sz w:val="20"/>
                <w:szCs w:val="20"/>
              </w:rPr>
              <w:tab/>
              <w:t xml:space="preserve">Morrison Brown Sosnovitch </w:t>
            </w:r>
          </w:p>
          <w:p w:rsidR="00D363E5" w:rsidRPr="00D363E5" w:rsidRDefault="00D363E5" w:rsidP="005F1ED8">
            <w:pPr>
              <w:tabs>
                <w:tab w:val="left" w:pos="-1440"/>
                <w:tab w:val="left" w:pos="-720"/>
              </w:tabs>
              <w:rPr>
                <w:sz w:val="20"/>
                <w:szCs w:val="20"/>
              </w:rPr>
            </w:pPr>
          </w:p>
          <w:p w:rsidR="00D363E5" w:rsidRPr="00D363E5" w:rsidRDefault="00D363E5" w:rsidP="005F1ED8">
            <w:pPr>
              <w:tabs>
                <w:tab w:val="left" w:pos="-1440"/>
                <w:tab w:val="left" w:pos="-720"/>
              </w:tabs>
              <w:rPr>
                <w:sz w:val="20"/>
                <w:szCs w:val="20"/>
              </w:rPr>
            </w:pPr>
            <w:r w:rsidRPr="00D363E5">
              <w:rPr>
                <w:sz w:val="20"/>
                <w:szCs w:val="20"/>
              </w:rPr>
              <w:tab/>
              <w:t>v. (36230)</w:t>
            </w:r>
          </w:p>
          <w:p w:rsidR="00D363E5" w:rsidRPr="00D363E5" w:rsidRDefault="00D363E5" w:rsidP="005F1ED8">
            <w:pPr>
              <w:tabs>
                <w:tab w:val="left" w:pos="-1440"/>
                <w:tab w:val="left" w:pos="-720"/>
              </w:tabs>
              <w:rPr>
                <w:sz w:val="20"/>
                <w:szCs w:val="20"/>
              </w:rPr>
            </w:pPr>
          </w:p>
          <w:p w:rsidR="00D363E5" w:rsidRPr="00D363E5" w:rsidRDefault="00D363E5" w:rsidP="005F1ED8">
            <w:pPr>
              <w:tabs>
                <w:tab w:val="left" w:pos="-1440"/>
                <w:tab w:val="left" w:pos="-720"/>
              </w:tabs>
              <w:rPr>
                <w:b/>
                <w:sz w:val="20"/>
                <w:szCs w:val="20"/>
              </w:rPr>
            </w:pPr>
            <w:r w:rsidRPr="00D363E5">
              <w:rPr>
                <w:b/>
                <w:sz w:val="20"/>
                <w:szCs w:val="20"/>
              </w:rPr>
              <w:t>Her Majesty the Queen (F.C.)</w:t>
            </w:r>
          </w:p>
          <w:p w:rsidR="00D363E5" w:rsidRPr="00D363E5" w:rsidRDefault="00D363E5" w:rsidP="005F1ED8">
            <w:pPr>
              <w:tabs>
                <w:tab w:val="left" w:pos="-1440"/>
                <w:tab w:val="left" w:pos="-720"/>
              </w:tabs>
              <w:rPr>
                <w:sz w:val="20"/>
                <w:szCs w:val="20"/>
              </w:rPr>
            </w:pPr>
            <w:r w:rsidRPr="00D363E5">
              <w:rPr>
                <w:sz w:val="20"/>
                <w:szCs w:val="20"/>
              </w:rPr>
              <w:tab/>
            </w:r>
            <w:r>
              <w:rPr>
                <w:sz w:val="20"/>
                <w:szCs w:val="20"/>
              </w:rPr>
              <w:t>Laurent Bartleman</w:t>
            </w:r>
          </w:p>
          <w:p w:rsidR="00D363E5" w:rsidRPr="00D363E5" w:rsidRDefault="00D363E5" w:rsidP="005F1ED8">
            <w:pPr>
              <w:tabs>
                <w:tab w:val="left" w:pos="-1440"/>
                <w:tab w:val="left" w:pos="-720"/>
              </w:tabs>
              <w:rPr>
                <w:sz w:val="20"/>
                <w:szCs w:val="20"/>
              </w:rPr>
            </w:pPr>
            <w:r w:rsidRPr="00D363E5">
              <w:rPr>
                <w:sz w:val="20"/>
                <w:szCs w:val="20"/>
              </w:rPr>
              <w:tab/>
            </w:r>
            <w:r>
              <w:rPr>
                <w:sz w:val="20"/>
                <w:szCs w:val="20"/>
              </w:rPr>
              <w:t>A.G. of Canada</w:t>
            </w:r>
          </w:p>
          <w:p w:rsidR="00D363E5" w:rsidRPr="00D363E5" w:rsidRDefault="00D363E5" w:rsidP="005F1ED8">
            <w:pPr>
              <w:tabs>
                <w:tab w:val="left" w:pos="-1440"/>
                <w:tab w:val="left" w:pos="-720"/>
              </w:tabs>
              <w:rPr>
                <w:sz w:val="20"/>
                <w:szCs w:val="20"/>
              </w:rPr>
            </w:pPr>
          </w:p>
          <w:p w:rsidR="00D363E5" w:rsidRPr="00D363E5" w:rsidRDefault="00D363E5" w:rsidP="00D363E5">
            <w:pPr>
              <w:rPr>
                <w:sz w:val="20"/>
                <w:szCs w:val="20"/>
                <w:lang w:val="fr-CA"/>
              </w:rPr>
            </w:pPr>
            <w:r w:rsidRPr="00D363E5">
              <w:rPr>
                <w:sz w:val="20"/>
                <w:szCs w:val="20"/>
                <w:lang w:val="fr-CA"/>
              </w:rPr>
              <w:t>FILING DATE: 2</w:t>
            </w:r>
            <w:r>
              <w:rPr>
                <w:sz w:val="20"/>
                <w:szCs w:val="20"/>
                <w:lang w:val="fr-CA"/>
              </w:rPr>
              <w:t>4</w:t>
            </w:r>
            <w:r w:rsidRPr="00D363E5">
              <w:rPr>
                <w:sz w:val="20"/>
                <w:szCs w:val="20"/>
                <w:lang w:val="fr-CA"/>
              </w:rPr>
              <w:t>.</w:t>
            </w:r>
            <w:r>
              <w:rPr>
                <w:sz w:val="20"/>
                <w:szCs w:val="20"/>
                <w:lang w:val="fr-CA"/>
              </w:rPr>
              <w:t>1</w:t>
            </w:r>
            <w:r w:rsidRPr="00D363E5">
              <w:rPr>
                <w:sz w:val="20"/>
                <w:szCs w:val="20"/>
                <w:lang w:val="fr-CA"/>
              </w:rPr>
              <w:t>2.2014</w:t>
            </w:r>
            <w:r w:rsidR="008A5B26">
              <w:rPr>
                <w:sz w:val="20"/>
                <w:szCs w:val="20"/>
                <w:lang w:val="fr-CA"/>
              </w:rPr>
              <w:pict>
                <v:rect id="_x0000_i1033" style="width:108pt;height:1pt" o:hrpct="0" o:hralign="center" o:hrstd="t" o:hrnoshade="t" o:hr="t" fillcolor="black [3213]" stroked="f"/>
              </w:pict>
            </w:r>
          </w:p>
        </w:tc>
        <w:tc>
          <w:tcPr>
            <w:tcW w:w="1181" w:type="dxa"/>
            <w:shd w:val="clear" w:color="auto" w:fill="auto"/>
          </w:tcPr>
          <w:p w:rsidR="00D363E5" w:rsidRPr="00D363E5" w:rsidRDefault="00D363E5" w:rsidP="00242AEE">
            <w:pPr>
              <w:jc w:val="center"/>
              <w:rPr>
                <w:sz w:val="20"/>
                <w:szCs w:val="20"/>
                <w:lang w:val="fr-CA"/>
              </w:rPr>
            </w:pPr>
          </w:p>
          <w:p w:rsidR="00D363E5" w:rsidRPr="00D363E5" w:rsidRDefault="00D363E5" w:rsidP="00242AEE">
            <w:pPr>
              <w:jc w:val="center"/>
              <w:rPr>
                <w:sz w:val="20"/>
                <w:szCs w:val="20"/>
                <w:lang w:val="fr-CA"/>
              </w:rPr>
            </w:pPr>
          </w:p>
          <w:p w:rsidR="00D363E5" w:rsidRPr="00D363E5" w:rsidRDefault="00D363E5" w:rsidP="00242AEE">
            <w:pPr>
              <w:jc w:val="center"/>
              <w:rPr>
                <w:sz w:val="20"/>
                <w:szCs w:val="20"/>
                <w:lang w:val="fr-CA"/>
              </w:rPr>
            </w:pPr>
          </w:p>
          <w:p w:rsidR="00D363E5" w:rsidRPr="00D363E5" w:rsidRDefault="00D363E5" w:rsidP="00242AEE">
            <w:pPr>
              <w:jc w:val="center"/>
              <w:rPr>
                <w:sz w:val="20"/>
                <w:szCs w:val="20"/>
                <w:lang w:val="fr-CA"/>
              </w:rPr>
            </w:pPr>
          </w:p>
          <w:p w:rsidR="00D363E5" w:rsidRPr="00D363E5" w:rsidRDefault="00D363E5" w:rsidP="00242AEE">
            <w:pPr>
              <w:jc w:val="center"/>
              <w:rPr>
                <w:sz w:val="20"/>
                <w:szCs w:val="20"/>
                <w:lang w:val="fr-CA"/>
              </w:rPr>
            </w:pPr>
          </w:p>
          <w:p w:rsidR="00D363E5" w:rsidRPr="00D363E5" w:rsidRDefault="00D363E5" w:rsidP="00242AEE">
            <w:pPr>
              <w:jc w:val="center"/>
              <w:rPr>
                <w:sz w:val="20"/>
                <w:szCs w:val="20"/>
                <w:lang w:val="fr-CA"/>
              </w:rPr>
            </w:pPr>
          </w:p>
          <w:p w:rsidR="00D363E5" w:rsidRPr="00D363E5" w:rsidRDefault="00D363E5" w:rsidP="00242AEE">
            <w:pPr>
              <w:jc w:val="center"/>
              <w:rPr>
                <w:sz w:val="20"/>
                <w:szCs w:val="20"/>
                <w:lang w:val="fr-CA"/>
              </w:rPr>
            </w:pPr>
          </w:p>
          <w:p w:rsidR="00D363E5" w:rsidRPr="00D363E5" w:rsidRDefault="00D363E5" w:rsidP="00242AEE">
            <w:pPr>
              <w:jc w:val="center"/>
              <w:rPr>
                <w:sz w:val="20"/>
                <w:szCs w:val="20"/>
                <w:lang w:val="fr-CA"/>
              </w:rPr>
            </w:pPr>
          </w:p>
          <w:p w:rsidR="00D363E5" w:rsidRPr="00D363E5" w:rsidRDefault="00D363E5" w:rsidP="00242AEE">
            <w:pPr>
              <w:jc w:val="center"/>
              <w:rPr>
                <w:sz w:val="20"/>
                <w:szCs w:val="20"/>
                <w:lang w:val="fr-CA"/>
              </w:rPr>
            </w:pPr>
          </w:p>
          <w:p w:rsidR="00D363E5" w:rsidRPr="00D363E5" w:rsidRDefault="00D363E5" w:rsidP="00242AEE">
            <w:pPr>
              <w:jc w:val="center"/>
              <w:rPr>
                <w:sz w:val="20"/>
                <w:szCs w:val="20"/>
                <w:lang w:val="fr-CA"/>
              </w:rPr>
            </w:pPr>
          </w:p>
          <w:p w:rsidR="00D363E5" w:rsidRPr="00D363E5" w:rsidRDefault="00D363E5" w:rsidP="00242AEE">
            <w:pPr>
              <w:jc w:val="center"/>
              <w:rPr>
                <w:sz w:val="20"/>
                <w:szCs w:val="20"/>
                <w:lang w:val="fr-CA"/>
              </w:rPr>
            </w:pPr>
          </w:p>
          <w:p w:rsidR="00D363E5" w:rsidRPr="00D363E5" w:rsidRDefault="00D363E5" w:rsidP="00242AEE">
            <w:pPr>
              <w:jc w:val="center"/>
              <w:rPr>
                <w:sz w:val="20"/>
                <w:szCs w:val="20"/>
                <w:lang w:val="fr-CA"/>
              </w:rPr>
            </w:pPr>
          </w:p>
          <w:p w:rsidR="00D363E5" w:rsidRPr="00D363E5" w:rsidRDefault="00D363E5" w:rsidP="00242AEE">
            <w:pPr>
              <w:jc w:val="center"/>
              <w:rPr>
                <w:sz w:val="20"/>
                <w:szCs w:val="20"/>
                <w:lang w:val="fr-CA"/>
              </w:rPr>
            </w:pPr>
          </w:p>
        </w:tc>
        <w:tc>
          <w:tcPr>
            <w:tcW w:w="4320" w:type="dxa"/>
            <w:shd w:val="clear" w:color="auto" w:fill="auto"/>
          </w:tcPr>
          <w:p w:rsidR="00D363E5" w:rsidRPr="00021805" w:rsidRDefault="00D363E5" w:rsidP="00644732">
            <w:pPr>
              <w:rPr>
                <w:b/>
                <w:sz w:val="20"/>
                <w:szCs w:val="20"/>
              </w:rPr>
            </w:pPr>
            <w:r w:rsidRPr="00021805">
              <w:rPr>
                <w:b/>
                <w:sz w:val="20"/>
                <w:szCs w:val="20"/>
              </w:rPr>
              <w:t>Ab</w:t>
            </w:r>
            <w:r w:rsidR="003643E6" w:rsidRPr="00021805">
              <w:rPr>
                <w:b/>
                <w:sz w:val="20"/>
                <w:szCs w:val="20"/>
              </w:rPr>
              <w:t>b</w:t>
            </w:r>
            <w:r w:rsidRPr="00021805">
              <w:rPr>
                <w:b/>
                <w:sz w:val="20"/>
                <w:szCs w:val="20"/>
              </w:rPr>
              <w:t>vie Corporation et al.</w:t>
            </w:r>
          </w:p>
          <w:p w:rsidR="00D363E5" w:rsidRPr="00021805" w:rsidRDefault="00D363E5" w:rsidP="00644732">
            <w:pPr>
              <w:tabs>
                <w:tab w:val="left" w:pos="-1440"/>
                <w:tab w:val="left" w:pos="-720"/>
              </w:tabs>
              <w:rPr>
                <w:sz w:val="20"/>
                <w:szCs w:val="20"/>
              </w:rPr>
            </w:pPr>
            <w:r w:rsidRPr="00021805">
              <w:rPr>
                <w:sz w:val="20"/>
                <w:szCs w:val="20"/>
              </w:rPr>
              <w:tab/>
              <w:t>Andrew J. Reddon</w:t>
            </w:r>
          </w:p>
          <w:p w:rsidR="00D363E5" w:rsidRPr="00021805" w:rsidRDefault="00D363E5" w:rsidP="00644732">
            <w:pPr>
              <w:tabs>
                <w:tab w:val="left" w:pos="-1440"/>
                <w:tab w:val="left" w:pos="-720"/>
              </w:tabs>
              <w:rPr>
                <w:sz w:val="20"/>
                <w:szCs w:val="20"/>
              </w:rPr>
            </w:pPr>
            <w:r w:rsidRPr="00021805">
              <w:rPr>
                <w:sz w:val="20"/>
                <w:szCs w:val="20"/>
              </w:rPr>
              <w:tab/>
              <w:t>McCarthy Tétrault LLP</w:t>
            </w:r>
          </w:p>
          <w:p w:rsidR="00D363E5" w:rsidRPr="00021805" w:rsidRDefault="00D363E5" w:rsidP="00644732">
            <w:pPr>
              <w:tabs>
                <w:tab w:val="left" w:pos="-1440"/>
                <w:tab w:val="left" w:pos="-720"/>
              </w:tabs>
              <w:rPr>
                <w:sz w:val="20"/>
                <w:szCs w:val="20"/>
              </w:rPr>
            </w:pPr>
          </w:p>
          <w:p w:rsidR="00D363E5" w:rsidRPr="00021805" w:rsidRDefault="00D363E5" w:rsidP="00644732">
            <w:pPr>
              <w:tabs>
                <w:tab w:val="left" w:pos="-1440"/>
                <w:tab w:val="left" w:pos="-720"/>
              </w:tabs>
              <w:rPr>
                <w:sz w:val="20"/>
                <w:szCs w:val="20"/>
              </w:rPr>
            </w:pPr>
            <w:r w:rsidRPr="00021805">
              <w:rPr>
                <w:sz w:val="20"/>
                <w:szCs w:val="20"/>
              </w:rPr>
              <w:tab/>
              <w:t>v. (36232)</w:t>
            </w:r>
          </w:p>
          <w:p w:rsidR="00D363E5" w:rsidRPr="00021805" w:rsidRDefault="00D363E5" w:rsidP="00644732">
            <w:pPr>
              <w:tabs>
                <w:tab w:val="left" w:pos="-1440"/>
                <w:tab w:val="left" w:pos="-720"/>
              </w:tabs>
              <w:rPr>
                <w:sz w:val="20"/>
                <w:szCs w:val="20"/>
              </w:rPr>
            </w:pPr>
          </w:p>
          <w:p w:rsidR="00D363E5" w:rsidRPr="00D363E5" w:rsidRDefault="00D363E5" w:rsidP="00644732">
            <w:pPr>
              <w:tabs>
                <w:tab w:val="left" w:pos="-1440"/>
                <w:tab w:val="left" w:pos="-720"/>
              </w:tabs>
              <w:rPr>
                <w:b/>
                <w:sz w:val="20"/>
                <w:szCs w:val="20"/>
              </w:rPr>
            </w:pPr>
            <w:r w:rsidRPr="00D363E5">
              <w:rPr>
                <w:b/>
                <w:sz w:val="20"/>
                <w:szCs w:val="20"/>
              </w:rPr>
              <w:t>Janssen Inc. (F.C.)</w:t>
            </w:r>
          </w:p>
          <w:p w:rsidR="00D363E5" w:rsidRPr="00D363E5" w:rsidRDefault="00D363E5" w:rsidP="00644732">
            <w:pPr>
              <w:tabs>
                <w:tab w:val="left" w:pos="-1440"/>
                <w:tab w:val="left" w:pos="-720"/>
              </w:tabs>
              <w:rPr>
                <w:sz w:val="20"/>
                <w:szCs w:val="20"/>
              </w:rPr>
            </w:pPr>
            <w:r w:rsidRPr="00D363E5">
              <w:rPr>
                <w:sz w:val="20"/>
                <w:szCs w:val="20"/>
              </w:rPr>
              <w:tab/>
              <w:t>Peter Wilcox</w:t>
            </w:r>
          </w:p>
          <w:p w:rsidR="00D363E5" w:rsidRPr="00D363E5" w:rsidRDefault="00D363E5" w:rsidP="00644732">
            <w:pPr>
              <w:tabs>
                <w:tab w:val="left" w:pos="-1440"/>
                <w:tab w:val="left" w:pos="-720"/>
              </w:tabs>
              <w:rPr>
                <w:sz w:val="20"/>
                <w:szCs w:val="20"/>
              </w:rPr>
            </w:pPr>
            <w:r w:rsidRPr="00D363E5">
              <w:rPr>
                <w:sz w:val="20"/>
                <w:szCs w:val="20"/>
              </w:rPr>
              <w:tab/>
            </w:r>
            <w:r>
              <w:rPr>
                <w:sz w:val="20"/>
                <w:szCs w:val="20"/>
              </w:rPr>
              <w:t>Belmore Neidrauer LLP</w:t>
            </w:r>
          </w:p>
          <w:p w:rsidR="00D363E5" w:rsidRPr="00D363E5" w:rsidRDefault="00D363E5" w:rsidP="00644732">
            <w:pPr>
              <w:tabs>
                <w:tab w:val="left" w:pos="-1440"/>
                <w:tab w:val="left" w:pos="-720"/>
              </w:tabs>
              <w:rPr>
                <w:sz w:val="20"/>
                <w:szCs w:val="20"/>
              </w:rPr>
            </w:pPr>
          </w:p>
          <w:p w:rsidR="00D363E5" w:rsidRPr="00D363E5" w:rsidRDefault="00D363E5" w:rsidP="00D363E5">
            <w:pPr>
              <w:rPr>
                <w:sz w:val="20"/>
                <w:szCs w:val="20"/>
              </w:rPr>
            </w:pPr>
            <w:r w:rsidRPr="00D363E5">
              <w:rPr>
                <w:sz w:val="20"/>
                <w:szCs w:val="20"/>
              </w:rPr>
              <w:t>FILING DATE: 29.12.2014</w:t>
            </w:r>
            <w:r w:rsidR="008A5B26">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787937">
          <w:headerReference w:type="default" r:id="rId16"/>
          <w:footerReference w:type="default" r:id="rId17"/>
          <w:headerReference w:type="first" r:id="rId18"/>
          <w:footerReference w:type="first" r:id="rId19"/>
          <w:pgSz w:w="12240" w:h="15840"/>
          <w:pgMar w:top="720" w:right="965" w:bottom="1080" w:left="1656" w:header="706" w:footer="706" w:gutter="0"/>
          <w:pgNumType w:start="10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8A5B26"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 xml:space="preserve">JANUARY </w:t>
      </w:r>
      <w:r w:rsidR="00020DC3">
        <w:rPr>
          <w:b/>
          <w:sz w:val="20"/>
          <w:szCs w:val="20"/>
        </w:rPr>
        <w:t>1</w:t>
      </w:r>
      <w:r w:rsidR="0066344F">
        <w:rPr>
          <w:b/>
          <w:sz w:val="20"/>
          <w:szCs w:val="20"/>
        </w:rPr>
        <w:t>9</w:t>
      </w:r>
      <w:r w:rsidRPr="00C50A5C">
        <w:rPr>
          <w:b/>
          <w:sz w:val="20"/>
          <w:szCs w:val="20"/>
        </w:rPr>
        <w:t>, 201</w:t>
      </w:r>
      <w:r w:rsidR="00020DC3">
        <w:rPr>
          <w:b/>
          <w:sz w:val="20"/>
          <w:szCs w:val="20"/>
        </w:rPr>
        <w:t>5</w:t>
      </w:r>
      <w:r w:rsidRPr="00C50A5C">
        <w:rPr>
          <w:b/>
          <w:sz w:val="20"/>
          <w:szCs w:val="20"/>
        </w:rPr>
        <w:t xml:space="preserve"> / LE </w:t>
      </w:r>
      <w:r w:rsidR="00020DC3">
        <w:rPr>
          <w:b/>
          <w:sz w:val="20"/>
          <w:szCs w:val="20"/>
        </w:rPr>
        <w:t>1</w:t>
      </w:r>
      <w:r w:rsidR="0066344F">
        <w:rPr>
          <w:b/>
          <w:sz w:val="20"/>
          <w:szCs w:val="20"/>
        </w:rPr>
        <w:t>9</w:t>
      </w:r>
      <w:r>
        <w:rPr>
          <w:b/>
          <w:sz w:val="20"/>
          <w:szCs w:val="20"/>
        </w:rPr>
        <w:t xml:space="preserve"> JANVIER</w:t>
      </w:r>
      <w:r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736840" w:rsidP="00CB3520">
      <w:pPr>
        <w:pStyle w:val="ListParagraph"/>
        <w:widowControl w:val="0"/>
        <w:numPr>
          <w:ilvl w:val="0"/>
          <w:numId w:val="1"/>
        </w:numPr>
        <w:ind w:hanging="720"/>
        <w:jc w:val="both"/>
        <w:rPr>
          <w:sz w:val="20"/>
          <w:szCs w:val="20"/>
        </w:rPr>
      </w:pPr>
      <w:r w:rsidRPr="00736840">
        <w:rPr>
          <w:i/>
          <w:sz w:val="20"/>
          <w:szCs w:val="20"/>
          <w:lang w:val="fr-CA"/>
        </w:rPr>
        <w:t>Osmose-Pentox Inc. v. Société Laurentide inc.</w:t>
      </w:r>
      <w:r w:rsidRPr="00736840">
        <w:rPr>
          <w:sz w:val="20"/>
          <w:szCs w:val="20"/>
          <w:lang w:val="fr-CA"/>
        </w:rPr>
        <w:t xml:space="preserve"> </w:t>
      </w:r>
      <w:r w:rsidRPr="00736840">
        <w:rPr>
          <w:sz w:val="20"/>
          <w:szCs w:val="20"/>
        </w:rPr>
        <w:t>(F.C.) (Civil) (By Leave)</w:t>
      </w:r>
      <w:r w:rsidRPr="00C50A5C">
        <w:rPr>
          <w:sz w:val="20"/>
          <w:szCs w:val="20"/>
        </w:rPr>
        <w:t xml:space="preserve"> </w:t>
      </w:r>
      <w:r w:rsidR="00CB3520" w:rsidRPr="00C50A5C">
        <w:rPr>
          <w:sz w:val="20"/>
          <w:szCs w:val="20"/>
        </w:rPr>
        <w:t>(3</w:t>
      </w:r>
      <w:r w:rsidR="00CB3520">
        <w:rPr>
          <w:sz w:val="20"/>
          <w:szCs w:val="20"/>
        </w:rPr>
        <w:t>6</w:t>
      </w:r>
      <w:r>
        <w:rPr>
          <w:sz w:val="20"/>
          <w:szCs w:val="20"/>
        </w:rPr>
        <w:t>033</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736840" w:rsidP="00CB3520">
      <w:pPr>
        <w:pStyle w:val="ListParagraph"/>
        <w:widowControl w:val="0"/>
        <w:numPr>
          <w:ilvl w:val="0"/>
          <w:numId w:val="1"/>
        </w:numPr>
        <w:ind w:hanging="720"/>
        <w:jc w:val="both"/>
        <w:rPr>
          <w:sz w:val="20"/>
          <w:szCs w:val="20"/>
        </w:rPr>
      </w:pPr>
      <w:r w:rsidRPr="00736840">
        <w:rPr>
          <w:i/>
          <w:sz w:val="20"/>
          <w:szCs w:val="20"/>
        </w:rPr>
        <w:t>Lyle Agar v. Ulrich Weber et al.</w:t>
      </w:r>
      <w:r w:rsidRPr="00736840">
        <w:rPr>
          <w:sz w:val="20"/>
          <w:szCs w:val="20"/>
        </w:rPr>
        <w:t xml:space="preserve"> (B.C.) (Civil) (By Leave)</w:t>
      </w:r>
      <w:r w:rsidRPr="00C612D0">
        <w:rPr>
          <w:sz w:val="20"/>
          <w:szCs w:val="20"/>
        </w:rPr>
        <w:t xml:space="preserve"> </w:t>
      </w:r>
      <w:r w:rsidR="00CB3520" w:rsidRPr="00C612D0">
        <w:rPr>
          <w:sz w:val="20"/>
          <w:szCs w:val="20"/>
        </w:rPr>
        <w:t>(3</w:t>
      </w:r>
      <w:r w:rsidR="00CB3520">
        <w:rPr>
          <w:sz w:val="20"/>
          <w:szCs w:val="20"/>
        </w:rPr>
        <w:t>60</w:t>
      </w:r>
      <w:r>
        <w:rPr>
          <w:sz w:val="20"/>
          <w:szCs w:val="20"/>
        </w:rPr>
        <w:t>90</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736840" w:rsidP="00CB3520">
      <w:pPr>
        <w:pStyle w:val="ListParagraph"/>
        <w:widowControl w:val="0"/>
        <w:numPr>
          <w:ilvl w:val="0"/>
          <w:numId w:val="1"/>
        </w:numPr>
        <w:ind w:hanging="720"/>
        <w:jc w:val="both"/>
        <w:rPr>
          <w:sz w:val="20"/>
          <w:szCs w:val="20"/>
        </w:rPr>
      </w:pPr>
      <w:r w:rsidRPr="00736840">
        <w:rPr>
          <w:i/>
          <w:sz w:val="20"/>
          <w:szCs w:val="20"/>
        </w:rPr>
        <w:t>Caroline Louise Denby Mclean v. Clarence Ross Yaremko</w:t>
      </w:r>
      <w:r w:rsidRPr="00736840">
        <w:rPr>
          <w:sz w:val="20"/>
          <w:szCs w:val="20"/>
        </w:rPr>
        <w:t xml:space="preserve"> (Man.) (Civil) (By Leave)</w:t>
      </w:r>
      <w:r w:rsidRPr="00940CAD">
        <w:rPr>
          <w:sz w:val="20"/>
          <w:szCs w:val="20"/>
        </w:rPr>
        <w:t xml:space="preserve"> </w:t>
      </w:r>
      <w:r w:rsidR="00CB3520" w:rsidRPr="00940CAD">
        <w:rPr>
          <w:sz w:val="20"/>
          <w:szCs w:val="20"/>
        </w:rPr>
        <w:t>(3</w:t>
      </w:r>
      <w:r w:rsidR="00CB3520">
        <w:rPr>
          <w:sz w:val="20"/>
          <w:szCs w:val="20"/>
        </w:rPr>
        <w:t>5</w:t>
      </w:r>
      <w:r>
        <w:rPr>
          <w:sz w:val="20"/>
          <w:szCs w:val="20"/>
        </w:rPr>
        <w:t>99</w:t>
      </w:r>
      <w:r w:rsidR="00CB3520">
        <w:rPr>
          <w:sz w:val="20"/>
          <w:szCs w:val="20"/>
        </w:rPr>
        <w:t>4</w:t>
      </w:r>
      <w:r w:rsidR="00CB3520" w:rsidRPr="00940CAD">
        <w:rPr>
          <w:sz w:val="20"/>
          <w:szCs w:val="20"/>
        </w:rPr>
        <w:t>)</w:t>
      </w:r>
    </w:p>
    <w:p w:rsidR="00CB3520" w:rsidRPr="00C50A5C" w:rsidRDefault="00CB3520" w:rsidP="00CB3520">
      <w:pPr>
        <w:widowControl w:val="0"/>
        <w:rPr>
          <w:sz w:val="20"/>
          <w:szCs w:val="20"/>
        </w:rPr>
      </w:pPr>
    </w:p>
    <w:p w:rsidR="00CB3520" w:rsidRPr="00736840" w:rsidRDefault="00736840" w:rsidP="00CB3520">
      <w:pPr>
        <w:pStyle w:val="ListParagraph"/>
        <w:widowControl w:val="0"/>
        <w:numPr>
          <w:ilvl w:val="0"/>
          <w:numId w:val="1"/>
        </w:numPr>
        <w:ind w:hanging="720"/>
        <w:jc w:val="both"/>
        <w:rPr>
          <w:sz w:val="20"/>
          <w:szCs w:val="20"/>
          <w:lang w:val="fr-CA"/>
        </w:rPr>
      </w:pPr>
      <w:r w:rsidRPr="00736840">
        <w:rPr>
          <w:i/>
          <w:sz w:val="20"/>
          <w:szCs w:val="20"/>
          <w:lang w:val="fr-CA"/>
        </w:rPr>
        <w:t>Provigo Québec inc. c. Syndicat des travailleurs et travailleuses de Provigo, Entrepôt Armand-Viau et autre</w:t>
      </w:r>
      <w:r w:rsidRPr="00736840">
        <w:rPr>
          <w:sz w:val="20"/>
          <w:szCs w:val="20"/>
          <w:lang w:val="fr-CA"/>
        </w:rPr>
        <w:t xml:space="preserve"> (Qc) (Civile) (Autorisation) </w:t>
      </w:r>
      <w:r w:rsidR="00CB3520" w:rsidRPr="00736840">
        <w:rPr>
          <w:sz w:val="20"/>
          <w:szCs w:val="20"/>
          <w:lang w:val="fr-CA"/>
        </w:rPr>
        <w:t>(360</w:t>
      </w:r>
      <w:r w:rsidRPr="00736840">
        <w:rPr>
          <w:sz w:val="20"/>
          <w:szCs w:val="20"/>
          <w:lang w:val="fr-CA"/>
        </w:rPr>
        <w:t>24</w:t>
      </w:r>
      <w:r w:rsidR="00CB3520" w:rsidRPr="00736840">
        <w:rPr>
          <w:sz w:val="20"/>
          <w:szCs w:val="20"/>
          <w:lang w:val="fr-CA"/>
        </w:rPr>
        <w:t>)</w:t>
      </w:r>
    </w:p>
    <w:p w:rsidR="00CB3520" w:rsidRPr="00736840" w:rsidRDefault="00CB3520" w:rsidP="00CB3520">
      <w:pPr>
        <w:widowControl w:val="0"/>
        <w:jc w:val="both"/>
        <w:rPr>
          <w:sz w:val="20"/>
          <w:szCs w:val="20"/>
          <w:lang w:val="fr-CA"/>
        </w:rPr>
      </w:pPr>
    </w:p>
    <w:p w:rsidR="00736840" w:rsidRPr="00736840" w:rsidRDefault="00736840" w:rsidP="00CB3520">
      <w:pPr>
        <w:widowControl w:val="0"/>
        <w:jc w:val="both"/>
        <w:rPr>
          <w:sz w:val="20"/>
          <w:szCs w:val="20"/>
          <w:lang w:val="fr-CA"/>
        </w:rPr>
      </w:pPr>
    </w:p>
    <w:p w:rsidR="00736840" w:rsidRPr="00736840" w:rsidRDefault="00736840" w:rsidP="00736840">
      <w:pPr>
        <w:widowControl w:val="0"/>
        <w:jc w:val="center"/>
        <w:rPr>
          <w:b/>
          <w:sz w:val="20"/>
          <w:szCs w:val="20"/>
          <w:lang w:val="fr-CA"/>
        </w:rPr>
      </w:pPr>
      <w:r w:rsidRPr="00736840">
        <w:rPr>
          <w:b/>
          <w:sz w:val="20"/>
          <w:szCs w:val="20"/>
          <w:lang w:val="fr-CA"/>
        </w:rPr>
        <w:t>CORAM: Abella, Karakatsanis and Côté JJ.</w:t>
      </w:r>
    </w:p>
    <w:p w:rsidR="00736840" w:rsidRPr="00C50A5C" w:rsidRDefault="00736840" w:rsidP="00736840">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736840" w:rsidRPr="00736840" w:rsidRDefault="00736840" w:rsidP="00CB3520">
      <w:pPr>
        <w:widowControl w:val="0"/>
        <w:jc w:val="both"/>
        <w:rPr>
          <w:sz w:val="20"/>
          <w:szCs w:val="20"/>
          <w:lang w:val="fr-CA"/>
        </w:rPr>
      </w:pPr>
    </w:p>
    <w:p w:rsidR="00CB3520" w:rsidRPr="00736840" w:rsidRDefault="00736840" w:rsidP="00CB3520">
      <w:pPr>
        <w:pStyle w:val="ListParagraph"/>
        <w:widowControl w:val="0"/>
        <w:numPr>
          <w:ilvl w:val="0"/>
          <w:numId w:val="1"/>
        </w:numPr>
        <w:ind w:hanging="720"/>
        <w:jc w:val="both"/>
        <w:rPr>
          <w:sz w:val="20"/>
          <w:szCs w:val="20"/>
          <w:lang w:val="fr-CA"/>
        </w:rPr>
      </w:pPr>
      <w:r w:rsidRPr="00736840">
        <w:rPr>
          <w:i/>
          <w:sz w:val="20"/>
          <w:szCs w:val="20"/>
          <w:lang w:val="fr-CA"/>
        </w:rPr>
        <w:t>Pascal Beaudoin c. Sa Majesté la Reine</w:t>
      </w:r>
      <w:r w:rsidRPr="00736840">
        <w:rPr>
          <w:sz w:val="20"/>
          <w:szCs w:val="20"/>
          <w:lang w:val="fr-CA"/>
        </w:rPr>
        <w:t xml:space="preserve"> (Qc) (Crim.) (Autorisation)</w:t>
      </w:r>
      <w:r w:rsidR="002F228C">
        <w:rPr>
          <w:sz w:val="20"/>
          <w:szCs w:val="20"/>
          <w:lang w:val="fr-CA"/>
        </w:rPr>
        <w:t xml:space="preserve"> </w:t>
      </w:r>
      <w:r w:rsidR="00CB3520" w:rsidRPr="00736840">
        <w:rPr>
          <w:sz w:val="20"/>
          <w:szCs w:val="20"/>
          <w:lang w:val="fr-CA"/>
        </w:rPr>
        <w:t>(361</w:t>
      </w:r>
      <w:r w:rsidRPr="00736840">
        <w:rPr>
          <w:sz w:val="20"/>
          <w:szCs w:val="20"/>
          <w:lang w:val="fr-CA"/>
        </w:rPr>
        <w:t>09</w:t>
      </w:r>
      <w:r w:rsidR="00CB3520" w:rsidRPr="00736840">
        <w:rPr>
          <w:sz w:val="20"/>
          <w:szCs w:val="20"/>
          <w:lang w:val="fr-CA"/>
        </w:rPr>
        <w:t>)</w:t>
      </w:r>
    </w:p>
    <w:p w:rsidR="00CB3520" w:rsidRPr="00736840" w:rsidRDefault="00CB3520" w:rsidP="00CB3520">
      <w:pPr>
        <w:widowControl w:val="0"/>
        <w:rPr>
          <w:sz w:val="20"/>
          <w:szCs w:val="20"/>
          <w:lang w:val="fr-CA"/>
        </w:rPr>
      </w:pPr>
    </w:p>
    <w:p w:rsidR="00CB3520" w:rsidRPr="00736840" w:rsidRDefault="00736840" w:rsidP="00CB3520">
      <w:pPr>
        <w:pStyle w:val="ListParagraph"/>
        <w:widowControl w:val="0"/>
        <w:numPr>
          <w:ilvl w:val="0"/>
          <w:numId w:val="1"/>
        </w:numPr>
        <w:ind w:hanging="720"/>
        <w:jc w:val="both"/>
        <w:rPr>
          <w:sz w:val="20"/>
          <w:szCs w:val="20"/>
        </w:rPr>
      </w:pPr>
      <w:r w:rsidRPr="00736840">
        <w:rPr>
          <w:i/>
          <w:sz w:val="20"/>
          <w:szCs w:val="20"/>
        </w:rPr>
        <w:t>John Murphy v. Harold Bruce Boe et al.</w:t>
      </w:r>
      <w:r w:rsidRPr="00736840">
        <w:rPr>
          <w:sz w:val="20"/>
          <w:szCs w:val="20"/>
        </w:rPr>
        <w:t xml:space="preserve"> (B.C.) (Civil) (By Leave) </w:t>
      </w:r>
      <w:r w:rsidR="00CB3520" w:rsidRPr="00736840">
        <w:rPr>
          <w:sz w:val="20"/>
          <w:szCs w:val="20"/>
        </w:rPr>
        <w:t>(36</w:t>
      </w:r>
      <w:r w:rsidRPr="00736840">
        <w:rPr>
          <w:sz w:val="20"/>
          <w:szCs w:val="20"/>
        </w:rPr>
        <w:t>0</w:t>
      </w:r>
      <w:r w:rsidR="00CB3520" w:rsidRPr="00736840">
        <w:rPr>
          <w:sz w:val="20"/>
          <w:szCs w:val="20"/>
        </w:rPr>
        <w:t>4</w:t>
      </w:r>
      <w:r w:rsidRPr="00736840">
        <w:rPr>
          <w:sz w:val="20"/>
          <w:szCs w:val="20"/>
        </w:rPr>
        <w:t>8</w:t>
      </w:r>
      <w:r w:rsidR="00CB3520" w:rsidRPr="00736840">
        <w:rPr>
          <w:sz w:val="20"/>
          <w:szCs w:val="20"/>
        </w:rPr>
        <w:t>)</w:t>
      </w:r>
    </w:p>
    <w:p w:rsidR="00CB3520" w:rsidRPr="00736840" w:rsidRDefault="00CB3520" w:rsidP="00CB3520">
      <w:pPr>
        <w:widowControl w:val="0"/>
        <w:jc w:val="both"/>
        <w:rPr>
          <w:sz w:val="20"/>
          <w:szCs w:val="20"/>
        </w:rPr>
      </w:pPr>
    </w:p>
    <w:p w:rsidR="00CB3520" w:rsidRPr="009C5D38" w:rsidRDefault="00736840" w:rsidP="00CB3520">
      <w:pPr>
        <w:pStyle w:val="ListParagraph"/>
        <w:widowControl w:val="0"/>
        <w:numPr>
          <w:ilvl w:val="0"/>
          <w:numId w:val="1"/>
        </w:numPr>
        <w:ind w:hanging="720"/>
        <w:jc w:val="both"/>
        <w:rPr>
          <w:sz w:val="20"/>
          <w:szCs w:val="20"/>
        </w:rPr>
      </w:pPr>
      <w:r w:rsidRPr="00736840">
        <w:rPr>
          <w:i/>
          <w:sz w:val="20"/>
          <w:szCs w:val="20"/>
        </w:rPr>
        <w:t>Bryan Teskey v. Attorney General of Canada</w:t>
      </w:r>
      <w:r w:rsidRPr="00736840">
        <w:rPr>
          <w:sz w:val="20"/>
          <w:szCs w:val="20"/>
        </w:rPr>
        <w:t xml:space="preserve"> (Ont.) (Civil) (By Leave)</w:t>
      </w:r>
      <w:r w:rsidRPr="009C5D38">
        <w:rPr>
          <w:sz w:val="20"/>
          <w:szCs w:val="20"/>
        </w:rPr>
        <w:t xml:space="preserve"> </w:t>
      </w:r>
      <w:r w:rsidR="00CB3520" w:rsidRPr="009C5D38">
        <w:rPr>
          <w:sz w:val="20"/>
          <w:szCs w:val="20"/>
        </w:rPr>
        <w:t>(36</w:t>
      </w:r>
      <w:r>
        <w:rPr>
          <w:sz w:val="20"/>
          <w:szCs w:val="20"/>
        </w:rPr>
        <w:t>1</w:t>
      </w:r>
      <w:r w:rsidR="00CB3520" w:rsidRPr="009C5D38">
        <w:rPr>
          <w:sz w:val="20"/>
          <w:szCs w:val="20"/>
        </w:rPr>
        <w:t>3</w:t>
      </w:r>
      <w:r>
        <w:rPr>
          <w:sz w:val="20"/>
          <w:szCs w:val="20"/>
        </w:rPr>
        <w:t>7</w:t>
      </w:r>
      <w:r w:rsidR="00CB3520" w:rsidRPr="009C5D38">
        <w:rPr>
          <w:sz w:val="20"/>
          <w:szCs w:val="20"/>
        </w:rPr>
        <w:t>)</w:t>
      </w:r>
    </w:p>
    <w:p w:rsidR="00CB3520" w:rsidRDefault="00CB3520" w:rsidP="00CB3520">
      <w:pPr>
        <w:widowControl w:val="0"/>
        <w:jc w:val="both"/>
        <w:rPr>
          <w:sz w:val="20"/>
          <w:szCs w:val="20"/>
        </w:rPr>
      </w:pPr>
    </w:p>
    <w:p w:rsidR="00736840" w:rsidRDefault="00736840" w:rsidP="00CB3520">
      <w:pPr>
        <w:widowControl w:val="0"/>
        <w:jc w:val="both"/>
        <w:rPr>
          <w:sz w:val="20"/>
          <w:szCs w:val="20"/>
        </w:rPr>
      </w:pPr>
    </w:p>
    <w:p w:rsidR="00736840" w:rsidRPr="00C50A5C" w:rsidRDefault="00736840" w:rsidP="00736840">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736840" w:rsidRPr="00C50A5C" w:rsidRDefault="00736840" w:rsidP="00736840">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736840" w:rsidRPr="00736840" w:rsidRDefault="00736840" w:rsidP="00CB3520">
      <w:pPr>
        <w:widowControl w:val="0"/>
        <w:jc w:val="both"/>
        <w:rPr>
          <w:sz w:val="20"/>
          <w:szCs w:val="20"/>
          <w:lang w:val="fr-CA"/>
        </w:rPr>
      </w:pPr>
    </w:p>
    <w:p w:rsidR="00CB3520" w:rsidRPr="00736840" w:rsidRDefault="00736840" w:rsidP="00CB3520">
      <w:pPr>
        <w:pStyle w:val="ListParagraph"/>
        <w:widowControl w:val="0"/>
        <w:numPr>
          <w:ilvl w:val="0"/>
          <w:numId w:val="1"/>
        </w:numPr>
        <w:ind w:hanging="720"/>
        <w:jc w:val="both"/>
        <w:rPr>
          <w:sz w:val="20"/>
          <w:szCs w:val="20"/>
        </w:rPr>
      </w:pPr>
      <w:r w:rsidRPr="00736840">
        <w:rPr>
          <w:i/>
          <w:sz w:val="20"/>
          <w:szCs w:val="20"/>
        </w:rPr>
        <w:t>Emmet Quinn v. Her Majesty the Queen</w:t>
      </w:r>
      <w:r w:rsidRPr="00736840">
        <w:rPr>
          <w:sz w:val="20"/>
          <w:szCs w:val="20"/>
        </w:rPr>
        <w:t xml:space="preserve"> (Ont.) (Crim.) (By Leave) </w:t>
      </w:r>
      <w:r w:rsidR="00CB3520" w:rsidRPr="00736840">
        <w:rPr>
          <w:sz w:val="20"/>
          <w:szCs w:val="20"/>
        </w:rPr>
        <w:t>(36</w:t>
      </w:r>
      <w:r w:rsidRPr="00736840">
        <w:rPr>
          <w:sz w:val="20"/>
          <w:szCs w:val="20"/>
        </w:rPr>
        <w:t>141</w:t>
      </w:r>
      <w:r w:rsidR="00CB3520" w:rsidRPr="00736840">
        <w:rPr>
          <w:sz w:val="20"/>
          <w:szCs w:val="20"/>
        </w:rPr>
        <w:t>)</w:t>
      </w:r>
    </w:p>
    <w:p w:rsidR="00CB3520" w:rsidRPr="00736840" w:rsidRDefault="00CB3520" w:rsidP="00CB3520">
      <w:pPr>
        <w:widowControl w:val="0"/>
        <w:rPr>
          <w:sz w:val="20"/>
          <w:szCs w:val="20"/>
        </w:rPr>
      </w:pPr>
    </w:p>
    <w:p w:rsidR="00CB3520" w:rsidRPr="00736840" w:rsidRDefault="00736840" w:rsidP="00CB3520">
      <w:pPr>
        <w:pStyle w:val="ListParagraph"/>
        <w:widowControl w:val="0"/>
        <w:numPr>
          <w:ilvl w:val="0"/>
          <w:numId w:val="1"/>
        </w:numPr>
        <w:ind w:hanging="720"/>
        <w:jc w:val="both"/>
        <w:rPr>
          <w:sz w:val="20"/>
          <w:szCs w:val="20"/>
        </w:rPr>
      </w:pPr>
      <w:r w:rsidRPr="00736840">
        <w:rPr>
          <w:i/>
          <w:sz w:val="20"/>
          <w:szCs w:val="20"/>
        </w:rPr>
        <w:t>Abdikarim Hilowle v. Her Majesty the Queen</w:t>
      </w:r>
      <w:r w:rsidRPr="00736840">
        <w:rPr>
          <w:sz w:val="20"/>
          <w:szCs w:val="20"/>
        </w:rPr>
        <w:t xml:space="preserve"> (Sask.) (Crim.) (By Leave) </w:t>
      </w:r>
      <w:r w:rsidR="00CB3520" w:rsidRPr="00736840">
        <w:rPr>
          <w:sz w:val="20"/>
          <w:szCs w:val="20"/>
        </w:rPr>
        <w:t>(360</w:t>
      </w:r>
      <w:r w:rsidRPr="00736840">
        <w:rPr>
          <w:sz w:val="20"/>
          <w:szCs w:val="20"/>
        </w:rPr>
        <w:t>6</w:t>
      </w:r>
      <w:r w:rsidR="00CB3520" w:rsidRPr="00736840">
        <w:rPr>
          <w:sz w:val="20"/>
          <w:szCs w:val="20"/>
        </w:rPr>
        <w:t>2)</w:t>
      </w:r>
    </w:p>
    <w:p w:rsidR="00CB3520" w:rsidRPr="00736840" w:rsidRDefault="00CB3520" w:rsidP="00CB3520">
      <w:pPr>
        <w:widowControl w:val="0"/>
        <w:jc w:val="both"/>
        <w:rPr>
          <w:sz w:val="20"/>
          <w:szCs w:val="20"/>
        </w:rPr>
      </w:pPr>
    </w:p>
    <w:p w:rsidR="00CB3520" w:rsidRPr="00115C9E" w:rsidRDefault="00736840" w:rsidP="00CB3520">
      <w:pPr>
        <w:pStyle w:val="ListParagraph"/>
        <w:widowControl w:val="0"/>
        <w:numPr>
          <w:ilvl w:val="0"/>
          <w:numId w:val="1"/>
        </w:numPr>
        <w:ind w:hanging="720"/>
        <w:jc w:val="both"/>
        <w:rPr>
          <w:sz w:val="20"/>
          <w:szCs w:val="20"/>
        </w:rPr>
      </w:pPr>
      <w:r w:rsidRPr="00736840">
        <w:rPr>
          <w:i/>
          <w:sz w:val="20"/>
          <w:szCs w:val="20"/>
        </w:rPr>
        <w:t>Algonquins of Pikwakanagan v. Children</w:t>
      </w:r>
      <w:r w:rsidR="002F228C">
        <w:rPr>
          <w:i/>
          <w:sz w:val="20"/>
          <w:szCs w:val="20"/>
        </w:rPr>
        <w:t>’</w:t>
      </w:r>
      <w:r w:rsidRPr="00736840">
        <w:rPr>
          <w:i/>
          <w:sz w:val="20"/>
          <w:szCs w:val="20"/>
        </w:rPr>
        <w:t>s Aid Society of the County of Renfrew et al.</w:t>
      </w:r>
      <w:r w:rsidRPr="00736840">
        <w:rPr>
          <w:sz w:val="20"/>
          <w:szCs w:val="20"/>
        </w:rPr>
        <w:t xml:space="preserve"> (Ont.) (Civil) (By</w:t>
      </w:r>
      <w:r>
        <w:rPr>
          <w:sz w:val="20"/>
          <w:szCs w:val="20"/>
        </w:rPr>
        <w:t> </w:t>
      </w:r>
      <w:r w:rsidRPr="00736840">
        <w:rPr>
          <w:sz w:val="20"/>
          <w:szCs w:val="20"/>
        </w:rPr>
        <w:t>Leave)</w:t>
      </w:r>
      <w:r w:rsidRPr="00115C9E">
        <w:rPr>
          <w:sz w:val="20"/>
          <w:szCs w:val="20"/>
        </w:rPr>
        <w:t xml:space="preserve"> </w:t>
      </w:r>
      <w:r w:rsidR="00CB3520" w:rsidRPr="00115C9E">
        <w:rPr>
          <w:sz w:val="20"/>
          <w:szCs w:val="20"/>
        </w:rPr>
        <w:t>(3</w:t>
      </w:r>
      <w:r>
        <w:rPr>
          <w:sz w:val="20"/>
          <w:szCs w:val="20"/>
        </w:rPr>
        <w:t>6</w:t>
      </w:r>
      <w:r w:rsidR="00CB3520">
        <w:rPr>
          <w:sz w:val="20"/>
          <w:szCs w:val="20"/>
        </w:rPr>
        <w:t>1</w:t>
      </w:r>
      <w:r>
        <w:rPr>
          <w:sz w:val="20"/>
          <w:szCs w:val="20"/>
        </w:rPr>
        <w:t>88</w:t>
      </w:r>
      <w:r w:rsidR="00CB3520" w:rsidRPr="00115C9E">
        <w:rPr>
          <w:sz w:val="20"/>
          <w:szCs w:val="20"/>
        </w:rPr>
        <w:t>)</w:t>
      </w:r>
    </w:p>
    <w:p w:rsidR="002E2327" w:rsidRPr="00736840" w:rsidRDefault="002E2327" w:rsidP="002E2327">
      <w:pPr>
        <w:widowControl w:val="0"/>
        <w:rPr>
          <w:sz w:val="20"/>
          <w:szCs w:val="20"/>
        </w:rPr>
      </w:pPr>
    </w:p>
    <w:p w:rsidR="002E2327" w:rsidRDefault="008A5B26" w:rsidP="002E2327">
      <w:pPr>
        <w:widowControl w:val="0"/>
        <w:rPr>
          <w:sz w:val="20"/>
          <w:szCs w:val="20"/>
        </w:rPr>
      </w:pPr>
      <w:r>
        <w:rPr>
          <w:sz w:val="20"/>
          <w:szCs w:val="20"/>
        </w:rPr>
        <w:pict>
          <v:rect id="_x0000_i1037" style="width:2in;height:1pt" o:hrpct="0" o:hralign="center" o:hrstd="t" o:hrnoshade="t" o:hr="t" fillcolor="black [3213]" stroked="f"/>
        </w:pict>
      </w:r>
    </w:p>
    <w:p w:rsidR="00D94028" w:rsidRDefault="00D94028" w:rsidP="002E2327">
      <w:pPr>
        <w:widowControl w:val="0"/>
        <w:rPr>
          <w:sz w:val="20"/>
          <w:szCs w:val="20"/>
        </w:rPr>
      </w:pPr>
    </w:p>
    <w:p w:rsidR="00736840" w:rsidRPr="00736840" w:rsidRDefault="00736840" w:rsidP="00736840">
      <w:pPr>
        <w:widowControl w:val="0"/>
        <w:rPr>
          <w:sz w:val="20"/>
          <w:szCs w:val="20"/>
          <w:lang w:val="fr-CA"/>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8A5B26"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81F61" w:rsidP="000E2959">
      <w:pPr>
        <w:rPr>
          <w:b/>
          <w:sz w:val="20"/>
          <w:szCs w:val="20"/>
        </w:rPr>
      </w:pPr>
      <w:r>
        <w:rPr>
          <w:b/>
          <w:sz w:val="20"/>
          <w:szCs w:val="20"/>
        </w:rPr>
        <w:t>J</w:t>
      </w:r>
      <w:r w:rsidR="000E2959" w:rsidRPr="00C50A5C">
        <w:rPr>
          <w:b/>
          <w:sz w:val="20"/>
          <w:szCs w:val="20"/>
        </w:rPr>
        <w:t>A</w:t>
      </w:r>
      <w:r>
        <w:rPr>
          <w:b/>
          <w:sz w:val="20"/>
          <w:szCs w:val="20"/>
        </w:rPr>
        <w:t>NUAR</w:t>
      </w:r>
      <w:r w:rsidR="000E2959">
        <w:rPr>
          <w:b/>
          <w:sz w:val="20"/>
          <w:szCs w:val="20"/>
        </w:rPr>
        <w:t>Y</w:t>
      </w:r>
      <w:r w:rsidR="000E2959" w:rsidRPr="00C50A5C">
        <w:rPr>
          <w:b/>
          <w:sz w:val="20"/>
          <w:szCs w:val="20"/>
        </w:rPr>
        <w:t xml:space="preserve"> 2</w:t>
      </w:r>
      <w:r>
        <w:rPr>
          <w:b/>
          <w:sz w:val="20"/>
          <w:szCs w:val="20"/>
        </w:rPr>
        <w:t>2</w:t>
      </w:r>
      <w:r w:rsidR="000E2959" w:rsidRPr="00C50A5C">
        <w:rPr>
          <w:b/>
          <w:sz w:val="20"/>
          <w:szCs w:val="20"/>
        </w:rPr>
        <w:t>, 201</w:t>
      </w:r>
      <w:r>
        <w:rPr>
          <w:b/>
          <w:sz w:val="20"/>
          <w:szCs w:val="20"/>
        </w:rPr>
        <w:t>5</w:t>
      </w:r>
      <w:r w:rsidR="000E2959" w:rsidRPr="00C50A5C">
        <w:rPr>
          <w:b/>
          <w:sz w:val="20"/>
          <w:szCs w:val="20"/>
        </w:rPr>
        <w:t xml:space="preserve"> / LE 2</w:t>
      </w:r>
      <w:r>
        <w:rPr>
          <w:b/>
          <w:sz w:val="20"/>
          <w:szCs w:val="20"/>
        </w:rPr>
        <w:t>2</w:t>
      </w:r>
      <w:r w:rsidR="000E2959" w:rsidRPr="00C50A5C">
        <w:rPr>
          <w:b/>
          <w:sz w:val="20"/>
          <w:szCs w:val="20"/>
        </w:rPr>
        <w:t xml:space="preserve"> </w:t>
      </w:r>
      <w:r>
        <w:rPr>
          <w:b/>
          <w:sz w:val="20"/>
          <w:szCs w:val="20"/>
        </w:rPr>
        <w:t>J</w:t>
      </w:r>
      <w:r w:rsidR="000E2959" w:rsidRPr="00C50A5C">
        <w:rPr>
          <w:b/>
          <w:sz w:val="20"/>
          <w:szCs w:val="20"/>
        </w:rPr>
        <w:t>A</w:t>
      </w:r>
      <w:r>
        <w:rPr>
          <w:b/>
          <w:sz w:val="20"/>
          <w:szCs w:val="20"/>
        </w:rPr>
        <w:t>NV</w:t>
      </w:r>
      <w:r w:rsidR="000E2959" w:rsidRPr="00C50A5C">
        <w:rPr>
          <w:b/>
          <w:sz w:val="20"/>
          <w:szCs w:val="20"/>
        </w:rPr>
        <w:t>I</w:t>
      </w:r>
      <w:r>
        <w:rPr>
          <w:b/>
          <w:sz w:val="20"/>
          <w:szCs w:val="20"/>
        </w:rPr>
        <w:t>ER</w:t>
      </w:r>
      <w:r w:rsidR="000E2959" w:rsidRPr="00C50A5C">
        <w:rPr>
          <w:b/>
          <w:sz w:val="20"/>
          <w:szCs w:val="20"/>
        </w:rPr>
        <w:t xml:space="preserve"> 201</w:t>
      </w:r>
      <w:r>
        <w:rPr>
          <w:b/>
          <w:sz w:val="20"/>
          <w:szCs w:val="20"/>
        </w:rPr>
        <w:t>5</w:t>
      </w:r>
    </w:p>
    <w:p w:rsidR="000E2959" w:rsidRDefault="000E2959" w:rsidP="000E2959">
      <w:pPr>
        <w:rPr>
          <w:sz w:val="20"/>
          <w:szCs w:val="20"/>
        </w:rPr>
      </w:pPr>
    </w:p>
    <w:p w:rsidR="00611550" w:rsidRDefault="0061155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21805" w:rsidRPr="000E19FC" w:rsidTr="00EE6F1A">
        <w:trPr>
          <w:cantSplit/>
        </w:trPr>
        <w:tc>
          <w:tcPr>
            <w:tcW w:w="1458" w:type="dxa"/>
          </w:tcPr>
          <w:p w:rsidR="00021805" w:rsidRPr="000E19FC" w:rsidRDefault="00021805" w:rsidP="00EE6F1A">
            <w:pPr>
              <w:rPr>
                <w:sz w:val="20"/>
                <w:szCs w:val="20"/>
              </w:rPr>
            </w:pPr>
            <w:r w:rsidRPr="000E19FC">
              <w:rPr>
                <w:rStyle w:val="SCCFileNumberChar"/>
                <w:sz w:val="20"/>
                <w:szCs w:val="20"/>
              </w:rPr>
              <w:t>35974</w:t>
            </w:r>
          </w:p>
          <w:p w:rsidR="00021805" w:rsidRPr="000E19FC" w:rsidRDefault="00021805" w:rsidP="00EE6F1A">
            <w:pPr>
              <w:rPr>
                <w:b/>
                <w:sz w:val="20"/>
                <w:szCs w:val="20"/>
                <w:lang w:val="fr-CA"/>
              </w:rPr>
            </w:pPr>
          </w:p>
        </w:tc>
        <w:tc>
          <w:tcPr>
            <w:tcW w:w="8118" w:type="dxa"/>
          </w:tcPr>
          <w:p w:rsidR="00021805" w:rsidRPr="000E19FC" w:rsidRDefault="00021805" w:rsidP="00EE6F1A">
            <w:pPr>
              <w:jc w:val="both"/>
              <w:rPr>
                <w:sz w:val="20"/>
                <w:szCs w:val="20"/>
              </w:rPr>
            </w:pPr>
            <w:r w:rsidRPr="00021805">
              <w:rPr>
                <w:rStyle w:val="SCCLsocChar"/>
                <w:sz w:val="20"/>
                <w:szCs w:val="20"/>
                <w:lang w:val="en-CA"/>
              </w:rPr>
              <w:t>Steven Lucas v. Her Majesty the Queen AND BETWEEN Vinh Ban Chau v. Her Majesty the Queen AND BETWEEN Ryan Coyle v. Her Majesty the Queen</w:t>
            </w:r>
            <w:r w:rsidRPr="000E19FC">
              <w:rPr>
                <w:sz w:val="20"/>
                <w:szCs w:val="20"/>
              </w:rPr>
              <w:t xml:space="preserve"> (Ont.) (Criminal) (By Leave)</w:t>
            </w:r>
          </w:p>
          <w:p w:rsidR="00021805" w:rsidRPr="000E19FC" w:rsidRDefault="00021805" w:rsidP="00EE6F1A">
            <w:pPr>
              <w:jc w:val="both"/>
              <w:rPr>
                <w:sz w:val="20"/>
                <w:szCs w:val="20"/>
              </w:rPr>
            </w:pPr>
          </w:p>
        </w:tc>
      </w:tr>
      <w:tr w:rsidR="00021805" w:rsidRPr="000E19FC" w:rsidTr="00EE6F1A">
        <w:trPr>
          <w:cantSplit/>
        </w:trPr>
        <w:tc>
          <w:tcPr>
            <w:tcW w:w="1458" w:type="dxa"/>
          </w:tcPr>
          <w:p w:rsidR="00021805" w:rsidRPr="000E19FC" w:rsidRDefault="00021805" w:rsidP="00EE6F1A">
            <w:pPr>
              <w:rPr>
                <w:sz w:val="20"/>
                <w:szCs w:val="20"/>
              </w:rPr>
            </w:pPr>
            <w:r w:rsidRPr="000E19FC">
              <w:rPr>
                <w:sz w:val="20"/>
                <w:szCs w:val="20"/>
              </w:rPr>
              <w:t>Coram :</w:t>
            </w:r>
          </w:p>
        </w:tc>
        <w:tc>
          <w:tcPr>
            <w:tcW w:w="8118" w:type="dxa"/>
          </w:tcPr>
          <w:p w:rsidR="00021805" w:rsidRPr="000E19FC" w:rsidRDefault="00021805" w:rsidP="00EE6F1A">
            <w:pPr>
              <w:rPr>
                <w:sz w:val="20"/>
                <w:szCs w:val="20"/>
              </w:rPr>
            </w:pPr>
            <w:r w:rsidRPr="00021805">
              <w:rPr>
                <w:rStyle w:val="SCCCoramChar"/>
                <w:sz w:val="20"/>
                <w:szCs w:val="20"/>
                <w:lang w:val="en-CA"/>
              </w:rPr>
              <w:t>Rothstein, Cromwell and Moldaver JJ.</w:t>
            </w:r>
          </w:p>
          <w:p w:rsidR="00021805" w:rsidRPr="000E19FC" w:rsidRDefault="00021805" w:rsidP="00EE6F1A">
            <w:pPr>
              <w:rPr>
                <w:sz w:val="20"/>
                <w:szCs w:val="20"/>
                <w:u w:val="single"/>
              </w:rPr>
            </w:pPr>
          </w:p>
        </w:tc>
      </w:tr>
      <w:tr w:rsidR="00021805" w:rsidRPr="008A5B26" w:rsidTr="00EE6F1A">
        <w:trPr>
          <w:cantSplit/>
        </w:trPr>
        <w:tc>
          <w:tcPr>
            <w:tcW w:w="9576" w:type="dxa"/>
            <w:gridSpan w:val="2"/>
          </w:tcPr>
          <w:p w:rsidR="00021805" w:rsidRPr="000E19FC" w:rsidRDefault="00021805" w:rsidP="00EE6F1A">
            <w:pPr>
              <w:pStyle w:val="SCCShortJudgment"/>
              <w:rPr>
                <w:szCs w:val="20"/>
              </w:rPr>
            </w:pPr>
            <w:r w:rsidRPr="000E19FC">
              <w:rPr>
                <w:szCs w:val="20"/>
              </w:rPr>
              <w:t>The motion to join files 35974 and 35976 is granted. The application for leave to appeal from the judgment of the Court of Appeal for Ontario, Numbers C51429, C51469 and C51526, 2014 ONCA 561, dated July 23, 2014, is dismissed without costs.</w:t>
            </w:r>
          </w:p>
          <w:p w:rsidR="00021805" w:rsidRPr="000E19FC" w:rsidRDefault="00021805" w:rsidP="00EE6F1A">
            <w:pPr>
              <w:pStyle w:val="SCCShortJudgment"/>
              <w:ind w:firstLine="0"/>
              <w:rPr>
                <w:szCs w:val="20"/>
              </w:rPr>
            </w:pPr>
          </w:p>
          <w:p w:rsidR="00021805" w:rsidRPr="000E19FC" w:rsidRDefault="00021805" w:rsidP="00EE6F1A">
            <w:pPr>
              <w:pStyle w:val="SCCShortJudgment"/>
              <w:rPr>
                <w:szCs w:val="20"/>
                <w:lang w:val="fr-CA"/>
              </w:rPr>
            </w:pPr>
            <w:r w:rsidRPr="000E19FC">
              <w:rPr>
                <w:szCs w:val="20"/>
                <w:lang w:val="fr-CA"/>
              </w:rPr>
              <w:t>La requête pour joindre les dossiers 35974 et 35976 est accueillie. La demande d’autorisation d’appel de l’arrêt de la Cour d’appel de l’Ontario, numéros C51429, C51469 et C51526, 2014 ONCA 561, daté du 23 juillet 2014, est rejetée sans dépens.</w:t>
            </w:r>
          </w:p>
        </w:tc>
      </w:tr>
    </w:tbl>
    <w:p w:rsidR="00611550" w:rsidRPr="00021805" w:rsidRDefault="00611550" w:rsidP="000E2959">
      <w:pPr>
        <w:rPr>
          <w:sz w:val="20"/>
          <w:szCs w:val="20"/>
          <w:lang w:val="fr-CA"/>
        </w:rPr>
      </w:pPr>
    </w:p>
    <w:p w:rsidR="00611550" w:rsidRPr="001B157C" w:rsidRDefault="00611550" w:rsidP="00611550">
      <w:pPr>
        <w:rPr>
          <w:sz w:val="20"/>
          <w:szCs w:val="20"/>
          <w:u w:val="single"/>
        </w:rPr>
      </w:pPr>
      <w:r w:rsidRPr="001B157C">
        <w:rPr>
          <w:sz w:val="20"/>
          <w:szCs w:val="20"/>
          <w:u w:val="single"/>
        </w:rPr>
        <w:t>CASE SUMMARY</w:t>
      </w:r>
    </w:p>
    <w:p w:rsidR="00611550" w:rsidRDefault="00611550" w:rsidP="0061155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2"/>
        <w:gridCol w:w="514"/>
        <w:gridCol w:w="4461"/>
      </w:tblGrid>
      <w:tr w:rsidR="00BB37C4" w:rsidRPr="008047CE" w:rsidTr="00EE6F1A">
        <w:tc>
          <w:tcPr>
            <w:tcW w:w="5000" w:type="pct"/>
            <w:gridSpan w:val="3"/>
          </w:tcPr>
          <w:p w:rsidR="00BB37C4" w:rsidRPr="008047CE" w:rsidRDefault="00BB37C4" w:rsidP="00EE6F1A">
            <w:pPr>
              <w:jc w:val="both"/>
              <w:rPr>
                <w:rFonts w:eastAsia="Calibri"/>
                <w:sz w:val="20"/>
              </w:rPr>
            </w:pPr>
            <w:r w:rsidRPr="008047CE">
              <w:rPr>
                <w:rFonts w:eastAsia="Calibri"/>
                <w:i/>
                <w:sz w:val="20"/>
              </w:rPr>
              <w:t xml:space="preserve">Charter </w:t>
            </w:r>
            <w:r w:rsidRPr="008047CE">
              <w:rPr>
                <w:rFonts w:eastAsia="Calibri"/>
                <w:smallCaps/>
                <w:sz w:val="20"/>
              </w:rPr>
              <w:t xml:space="preserve">— </w:t>
            </w:r>
            <w:r w:rsidRPr="008047CE">
              <w:rPr>
                <w:rFonts w:eastAsia="Calibri"/>
                <w:sz w:val="20"/>
              </w:rPr>
              <w:t xml:space="preserve">Criminal </w:t>
            </w:r>
            <w:r w:rsidRPr="008047CE">
              <w:rPr>
                <w:rFonts w:eastAsia="Calibri"/>
                <w:smallCaps/>
                <w:sz w:val="20"/>
              </w:rPr>
              <w:t xml:space="preserve">— </w:t>
            </w:r>
            <w:r w:rsidRPr="008047CE">
              <w:rPr>
                <w:rFonts w:eastAsia="Calibri"/>
                <w:sz w:val="20"/>
              </w:rPr>
              <w:t xml:space="preserve">Interception of private communications </w:t>
            </w:r>
            <w:r w:rsidRPr="008047CE">
              <w:rPr>
                <w:rFonts w:eastAsia="Calibri"/>
                <w:smallCaps/>
                <w:sz w:val="20"/>
              </w:rPr>
              <w:t xml:space="preserve">— </w:t>
            </w:r>
            <w:r w:rsidRPr="008047CE">
              <w:rPr>
                <w:rFonts w:eastAsia="Calibri"/>
                <w:sz w:val="20"/>
              </w:rPr>
              <w:t xml:space="preserve">Search and seizure </w:t>
            </w:r>
            <w:r w:rsidRPr="008047CE">
              <w:rPr>
                <w:rFonts w:eastAsia="Calibri"/>
                <w:smallCaps/>
                <w:sz w:val="20"/>
              </w:rPr>
              <w:t xml:space="preserve">— </w:t>
            </w:r>
            <w:r w:rsidRPr="008047CE">
              <w:rPr>
                <w:rFonts w:eastAsia="Calibri"/>
                <w:sz w:val="20"/>
              </w:rPr>
              <w:t xml:space="preserve">Trial </w:t>
            </w:r>
            <w:r w:rsidRPr="008047CE">
              <w:rPr>
                <w:rFonts w:eastAsia="Calibri"/>
                <w:smallCaps/>
                <w:sz w:val="20"/>
              </w:rPr>
              <w:t xml:space="preserve">— </w:t>
            </w:r>
            <w:r w:rsidRPr="008047CE">
              <w:rPr>
                <w:rFonts w:eastAsia="Calibri"/>
                <w:sz w:val="20"/>
              </w:rPr>
              <w:t xml:space="preserve">Procedure </w:t>
            </w:r>
            <w:r w:rsidRPr="008047CE">
              <w:rPr>
                <w:rFonts w:eastAsia="Calibri"/>
                <w:smallCaps/>
                <w:sz w:val="20"/>
              </w:rPr>
              <w:t xml:space="preserve">— </w:t>
            </w:r>
            <w:r w:rsidRPr="008047CE">
              <w:rPr>
                <w:rFonts w:eastAsia="Calibri"/>
                <w:sz w:val="20"/>
              </w:rPr>
              <w:t xml:space="preserve">Whether s. 186 (1.1) of the </w:t>
            </w:r>
            <w:r w:rsidRPr="008047CE">
              <w:rPr>
                <w:rFonts w:eastAsia="Calibri"/>
                <w:i/>
                <w:sz w:val="20"/>
              </w:rPr>
              <w:t>Criminal Code</w:t>
            </w:r>
            <w:r w:rsidRPr="008047CE">
              <w:rPr>
                <w:rFonts w:eastAsia="Calibri"/>
                <w:sz w:val="20"/>
              </w:rPr>
              <w:t xml:space="preserve"> is unconstitutional </w:t>
            </w:r>
            <w:r w:rsidRPr="008047CE">
              <w:rPr>
                <w:rFonts w:eastAsia="Calibri"/>
                <w:smallCaps/>
                <w:sz w:val="20"/>
              </w:rPr>
              <w:t xml:space="preserve">— </w:t>
            </w:r>
            <w:r w:rsidRPr="008047CE">
              <w:rPr>
                <w:rFonts w:eastAsia="Calibri"/>
                <w:sz w:val="20"/>
              </w:rPr>
              <w:t xml:space="preserve">Whether s. 487.01 of the </w:t>
            </w:r>
            <w:r w:rsidRPr="008047CE">
              <w:rPr>
                <w:rFonts w:eastAsia="Calibri"/>
                <w:i/>
                <w:sz w:val="20"/>
              </w:rPr>
              <w:t xml:space="preserve">Criminal Code </w:t>
            </w:r>
            <w:r w:rsidRPr="008047CE">
              <w:rPr>
                <w:rFonts w:eastAsia="Calibri"/>
                <w:sz w:val="20"/>
              </w:rPr>
              <w:t xml:space="preserve">is unconstitutional </w:t>
            </w:r>
            <w:r w:rsidRPr="008047CE">
              <w:rPr>
                <w:rFonts w:eastAsia="Calibri"/>
                <w:smallCaps/>
                <w:sz w:val="20"/>
              </w:rPr>
              <w:t xml:space="preserve">— </w:t>
            </w:r>
            <w:r w:rsidRPr="008047CE">
              <w:rPr>
                <w:rFonts w:eastAsia="Calibri"/>
                <w:sz w:val="20"/>
              </w:rPr>
              <w:t xml:space="preserve">Whether Court of Appeal erred in concluding that the general warrants did not impermissibly delegate the judge’s discretion to the police though an unconstitutionally broad “triggering event” </w:t>
            </w:r>
            <w:r w:rsidRPr="008047CE">
              <w:rPr>
                <w:rFonts w:eastAsia="Calibri"/>
                <w:smallCaps/>
                <w:sz w:val="20"/>
              </w:rPr>
              <w:t xml:space="preserve">— </w:t>
            </w:r>
            <w:r w:rsidRPr="008047CE">
              <w:rPr>
                <w:rFonts w:eastAsia="Calibri"/>
                <w:sz w:val="20"/>
              </w:rPr>
              <w:t xml:space="preserve">Whether accused were improperly excluded from trial contrary to section 650(1) of the </w:t>
            </w:r>
            <w:r w:rsidRPr="008047CE">
              <w:rPr>
                <w:rFonts w:eastAsia="Calibri"/>
                <w:i/>
                <w:sz w:val="20"/>
              </w:rPr>
              <w:t>Criminal Code</w:t>
            </w:r>
            <w:r w:rsidRPr="008047CE">
              <w:rPr>
                <w:rFonts w:eastAsia="Calibri"/>
                <w:sz w:val="20"/>
              </w:rPr>
              <w:t xml:space="preserve"> and s. 7 of the </w:t>
            </w:r>
            <w:r w:rsidRPr="008047CE">
              <w:rPr>
                <w:rFonts w:eastAsia="Calibri"/>
                <w:i/>
                <w:sz w:val="20"/>
              </w:rPr>
              <w:t>Charter</w:t>
            </w:r>
            <w:r w:rsidRPr="008047CE">
              <w:rPr>
                <w:rFonts w:eastAsia="Calibri"/>
                <w:sz w:val="20"/>
              </w:rPr>
              <w:t>.</w:t>
            </w:r>
          </w:p>
        </w:tc>
      </w:tr>
      <w:tr w:rsidR="00BB37C4" w:rsidRPr="008047CE" w:rsidTr="00EE6F1A">
        <w:tc>
          <w:tcPr>
            <w:tcW w:w="5000" w:type="pct"/>
            <w:gridSpan w:val="3"/>
          </w:tcPr>
          <w:p w:rsidR="00BB37C4" w:rsidRPr="008047CE" w:rsidRDefault="00BB37C4" w:rsidP="00EE6F1A">
            <w:pPr>
              <w:jc w:val="both"/>
              <w:rPr>
                <w:rFonts w:eastAsia="Calibri"/>
                <w:sz w:val="20"/>
              </w:rPr>
            </w:pPr>
          </w:p>
        </w:tc>
      </w:tr>
      <w:tr w:rsidR="00BB37C4" w:rsidRPr="008047CE" w:rsidTr="00EE6F1A">
        <w:tc>
          <w:tcPr>
            <w:tcW w:w="5000" w:type="pct"/>
            <w:gridSpan w:val="3"/>
          </w:tcPr>
          <w:p w:rsidR="00BB37C4" w:rsidRPr="008047CE" w:rsidRDefault="00BB37C4" w:rsidP="00EE6F1A">
            <w:pPr>
              <w:jc w:val="both"/>
              <w:rPr>
                <w:rFonts w:eastAsia="Calibri"/>
                <w:sz w:val="20"/>
              </w:rPr>
            </w:pPr>
            <w:r w:rsidRPr="008047CE">
              <w:rPr>
                <w:rFonts w:eastAsia="Calibri"/>
                <w:sz w:val="20"/>
              </w:rPr>
              <w:t xml:space="preserve">The applicants were charged with firearms and drug charges following a large scale police investigation into the activities of an alleged criminal gang known as the “Doomstown Crips.”  They were also charged with having committed the offences for the benefit of a criminal organization.  There were several pre-trial; rulings in three of these are at issue in the leave application.  There were two pre-trial motions for declarations of constitutional invalidity of two provisions of the </w:t>
            </w:r>
            <w:r w:rsidRPr="008047CE">
              <w:rPr>
                <w:rFonts w:eastAsia="Calibri"/>
                <w:i/>
                <w:sz w:val="20"/>
              </w:rPr>
              <w:t>Criminal Code</w:t>
            </w:r>
            <w:r w:rsidRPr="008047CE">
              <w:rPr>
                <w:rFonts w:eastAsia="Calibri"/>
                <w:sz w:val="20"/>
              </w:rPr>
              <w:t xml:space="preserve">, s. 186(1.1) and s. 487.01.  Both motions were dismissed.  The third ruling related to an </w:t>
            </w:r>
            <w:r w:rsidRPr="008047CE">
              <w:rPr>
                <w:rFonts w:eastAsia="Calibri"/>
                <w:i/>
                <w:sz w:val="20"/>
              </w:rPr>
              <w:t>in camera ex parte</w:t>
            </w:r>
            <w:r w:rsidRPr="008047CE">
              <w:rPr>
                <w:rFonts w:eastAsia="Calibri"/>
                <w:sz w:val="20"/>
              </w:rPr>
              <w:t xml:space="preserve"> proceeding to determine whether certain individuals were confidential informers.  The applicants were convicted at a trial before judge and jury and appealed their convictions to the Court of Appeal for Ontario.  Their appeals were dismissed.</w:t>
            </w:r>
          </w:p>
          <w:p w:rsidR="00BB37C4" w:rsidRPr="008047CE" w:rsidRDefault="00BB37C4" w:rsidP="00EE6F1A">
            <w:pPr>
              <w:jc w:val="both"/>
              <w:rPr>
                <w:rFonts w:eastAsia="Calibri"/>
                <w:sz w:val="20"/>
              </w:rPr>
            </w:pPr>
          </w:p>
        </w:tc>
      </w:tr>
      <w:tr w:rsidR="00BB37C4" w:rsidRPr="008047CE" w:rsidTr="00EE6F1A">
        <w:tblPrEx>
          <w:tblCellMar>
            <w:bottom w:w="0" w:type="dxa"/>
          </w:tblCellMar>
        </w:tblPrEx>
        <w:tc>
          <w:tcPr>
            <w:tcW w:w="2389" w:type="pct"/>
          </w:tcPr>
          <w:p w:rsidR="00BB37C4" w:rsidRPr="008047CE" w:rsidRDefault="00BB37C4" w:rsidP="00EE6F1A">
            <w:pPr>
              <w:jc w:val="both"/>
              <w:rPr>
                <w:rFonts w:eastAsia="Calibri"/>
                <w:sz w:val="20"/>
              </w:rPr>
            </w:pPr>
            <w:r w:rsidRPr="008047CE">
              <w:rPr>
                <w:rFonts w:eastAsia="Calibri"/>
                <w:sz w:val="20"/>
              </w:rPr>
              <w:t>April 17, 2009</w:t>
            </w:r>
          </w:p>
          <w:p w:rsidR="00BB37C4" w:rsidRPr="008047CE" w:rsidRDefault="00BB37C4" w:rsidP="00EE6F1A">
            <w:pPr>
              <w:jc w:val="both"/>
              <w:rPr>
                <w:rFonts w:eastAsia="Calibri"/>
                <w:sz w:val="20"/>
              </w:rPr>
            </w:pPr>
            <w:r w:rsidRPr="008047CE">
              <w:rPr>
                <w:rFonts w:eastAsia="Calibri"/>
                <w:sz w:val="20"/>
              </w:rPr>
              <w:t>Ontario Superior Court of Justice</w:t>
            </w:r>
          </w:p>
          <w:p w:rsidR="00BB37C4" w:rsidRPr="008047CE" w:rsidRDefault="00BB37C4" w:rsidP="00EE6F1A">
            <w:pPr>
              <w:jc w:val="both"/>
              <w:rPr>
                <w:rFonts w:eastAsia="Calibri"/>
                <w:sz w:val="20"/>
              </w:rPr>
            </w:pPr>
            <w:r w:rsidRPr="008047CE">
              <w:rPr>
                <w:rFonts w:eastAsia="Calibri"/>
                <w:sz w:val="20"/>
              </w:rPr>
              <w:t>(Nordheimer J.)</w:t>
            </w:r>
          </w:p>
          <w:p w:rsidR="00BB37C4" w:rsidRPr="008047CE" w:rsidRDefault="00BB37C4" w:rsidP="00EE6F1A">
            <w:pPr>
              <w:jc w:val="both"/>
              <w:rPr>
                <w:rFonts w:eastAsia="Calibri"/>
                <w:sz w:val="20"/>
              </w:rPr>
            </w:pPr>
          </w:p>
        </w:tc>
        <w:tc>
          <w:tcPr>
            <w:tcW w:w="270" w:type="pct"/>
          </w:tcPr>
          <w:p w:rsidR="00BB37C4" w:rsidRPr="008047CE" w:rsidRDefault="00BB37C4" w:rsidP="00EE6F1A">
            <w:pPr>
              <w:jc w:val="both"/>
              <w:rPr>
                <w:rFonts w:eastAsia="Calibri"/>
                <w:sz w:val="20"/>
              </w:rPr>
            </w:pPr>
          </w:p>
        </w:tc>
        <w:tc>
          <w:tcPr>
            <w:tcW w:w="2341" w:type="pct"/>
          </w:tcPr>
          <w:p w:rsidR="00BB37C4" w:rsidRPr="008047CE" w:rsidRDefault="00BB37C4" w:rsidP="00EE6F1A">
            <w:pPr>
              <w:jc w:val="both"/>
              <w:rPr>
                <w:rFonts w:eastAsia="Calibri"/>
                <w:sz w:val="20"/>
              </w:rPr>
            </w:pPr>
            <w:r w:rsidRPr="008047CE">
              <w:rPr>
                <w:rFonts w:eastAsia="Calibri"/>
                <w:sz w:val="20"/>
              </w:rPr>
              <w:t xml:space="preserve">Pre-trial ruling on constitutionality of s. 186(1.1) of the </w:t>
            </w:r>
            <w:r w:rsidRPr="008047CE">
              <w:rPr>
                <w:rFonts w:eastAsia="Calibri"/>
                <w:i/>
                <w:sz w:val="20"/>
              </w:rPr>
              <w:t>Criminal Code</w:t>
            </w:r>
            <w:r w:rsidRPr="008047CE">
              <w:rPr>
                <w:rFonts w:eastAsia="Calibri"/>
                <w:sz w:val="20"/>
              </w:rPr>
              <w:t>:  applicants’ motion for declaration of invalidity denied</w:t>
            </w:r>
          </w:p>
          <w:p w:rsidR="00BB37C4" w:rsidRPr="008047CE" w:rsidRDefault="00BB37C4" w:rsidP="00EE6F1A">
            <w:pPr>
              <w:jc w:val="both"/>
              <w:rPr>
                <w:rFonts w:eastAsia="Calibri"/>
                <w:sz w:val="20"/>
              </w:rPr>
            </w:pPr>
          </w:p>
        </w:tc>
      </w:tr>
      <w:tr w:rsidR="00BB37C4" w:rsidRPr="008047CE" w:rsidTr="00EE6F1A">
        <w:tblPrEx>
          <w:tblCellMar>
            <w:bottom w:w="0" w:type="dxa"/>
          </w:tblCellMar>
        </w:tblPrEx>
        <w:tc>
          <w:tcPr>
            <w:tcW w:w="2389" w:type="pct"/>
          </w:tcPr>
          <w:p w:rsidR="00BB37C4" w:rsidRPr="008047CE" w:rsidRDefault="00BB37C4" w:rsidP="00EE6F1A">
            <w:pPr>
              <w:jc w:val="both"/>
              <w:rPr>
                <w:rFonts w:eastAsia="Calibri"/>
                <w:sz w:val="20"/>
              </w:rPr>
            </w:pPr>
            <w:r w:rsidRPr="008047CE">
              <w:rPr>
                <w:rFonts w:eastAsia="Calibri"/>
                <w:sz w:val="20"/>
              </w:rPr>
              <w:t>June 12, 2009</w:t>
            </w:r>
          </w:p>
          <w:p w:rsidR="00BB37C4" w:rsidRPr="008047CE" w:rsidRDefault="00BB37C4" w:rsidP="00EE6F1A">
            <w:pPr>
              <w:jc w:val="both"/>
              <w:rPr>
                <w:rFonts w:eastAsia="Calibri"/>
                <w:sz w:val="20"/>
              </w:rPr>
            </w:pPr>
            <w:r w:rsidRPr="008047CE">
              <w:rPr>
                <w:rFonts w:eastAsia="Calibri"/>
                <w:sz w:val="20"/>
              </w:rPr>
              <w:t>Ontario Superior Court of Justice</w:t>
            </w:r>
          </w:p>
          <w:p w:rsidR="00BB37C4" w:rsidRPr="008047CE" w:rsidRDefault="00BB37C4" w:rsidP="00EE6F1A">
            <w:pPr>
              <w:jc w:val="both"/>
              <w:rPr>
                <w:rFonts w:eastAsia="Calibri"/>
                <w:sz w:val="20"/>
              </w:rPr>
            </w:pPr>
            <w:r w:rsidRPr="008047CE">
              <w:rPr>
                <w:rFonts w:eastAsia="Calibri"/>
                <w:sz w:val="20"/>
              </w:rPr>
              <w:t>(Nordheimer J.)</w:t>
            </w:r>
          </w:p>
          <w:p w:rsidR="00BB37C4" w:rsidRPr="008047CE" w:rsidRDefault="00BB37C4" w:rsidP="00EE6F1A">
            <w:pPr>
              <w:jc w:val="both"/>
              <w:rPr>
                <w:rFonts w:eastAsia="Calibri"/>
                <w:sz w:val="20"/>
              </w:rPr>
            </w:pPr>
          </w:p>
        </w:tc>
        <w:tc>
          <w:tcPr>
            <w:tcW w:w="270" w:type="pct"/>
          </w:tcPr>
          <w:p w:rsidR="00BB37C4" w:rsidRPr="008047CE" w:rsidRDefault="00BB37C4" w:rsidP="00EE6F1A">
            <w:pPr>
              <w:jc w:val="both"/>
              <w:rPr>
                <w:rFonts w:eastAsia="Calibri"/>
                <w:sz w:val="20"/>
              </w:rPr>
            </w:pPr>
          </w:p>
        </w:tc>
        <w:tc>
          <w:tcPr>
            <w:tcW w:w="2341" w:type="pct"/>
          </w:tcPr>
          <w:p w:rsidR="00BB37C4" w:rsidRPr="008047CE" w:rsidRDefault="00BB37C4" w:rsidP="00EE6F1A">
            <w:pPr>
              <w:jc w:val="both"/>
              <w:rPr>
                <w:rFonts w:eastAsia="Calibri"/>
                <w:sz w:val="20"/>
              </w:rPr>
            </w:pPr>
            <w:r w:rsidRPr="008047CE">
              <w:rPr>
                <w:rFonts w:eastAsia="Calibri"/>
                <w:sz w:val="20"/>
              </w:rPr>
              <w:t xml:space="preserve">Pre-trial ruling on constitutionality of s. 487.01 of the </w:t>
            </w:r>
            <w:r w:rsidRPr="008047CE">
              <w:rPr>
                <w:rFonts w:eastAsia="Calibri"/>
                <w:i/>
                <w:sz w:val="20"/>
              </w:rPr>
              <w:t>Criminal Code</w:t>
            </w:r>
            <w:r w:rsidRPr="008047CE">
              <w:rPr>
                <w:rFonts w:eastAsia="Calibri"/>
                <w:sz w:val="20"/>
              </w:rPr>
              <w:t>:  applicants’ motion for declaration of invalidity denied</w:t>
            </w:r>
          </w:p>
          <w:p w:rsidR="00BB37C4" w:rsidRPr="008047CE" w:rsidRDefault="00BB37C4" w:rsidP="00EE6F1A">
            <w:pPr>
              <w:jc w:val="both"/>
              <w:rPr>
                <w:rFonts w:eastAsia="Calibri"/>
                <w:sz w:val="20"/>
              </w:rPr>
            </w:pPr>
          </w:p>
        </w:tc>
      </w:tr>
      <w:tr w:rsidR="00BB37C4" w:rsidRPr="008047CE" w:rsidTr="00EE6F1A">
        <w:tblPrEx>
          <w:tblCellMar>
            <w:bottom w:w="0" w:type="dxa"/>
          </w:tblCellMar>
        </w:tblPrEx>
        <w:tc>
          <w:tcPr>
            <w:tcW w:w="2389" w:type="pct"/>
          </w:tcPr>
          <w:p w:rsidR="00BB37C4" w:rsidRPr="008047CE" w:rsidRDefault="00BB37C4" w:rsidP="00EE6F1A">
            <w:pPr>
              <w:jc w:val="both"/>
              <w:rPr>
                <w:rFonts w:eastAsia="Calibri"/>
                <w:sz w:val="20"/>
              </w:rPr>
            </w:pPr>
            <w:r w:rsidRPr="008047CE">
              <w:rPr>
                <w:rFonts w:eastAsia="Calibri"/>
                <w:sz w:val="20"/>
              </w:rPr>
              <w:t>December 8, 2009</w:t>
            </w:r>
          </w:p>
          <w:p w:rsidR="00BB37C4" w:rsidRPr="008047CE" w:rsidRDefault="00BB37C4" w:rsidP="00EE6F1A">
            <w:pPr>
              <w:jc w:val="both"/>
              <w:rPr>
                <w:rFonts w:eastAsia="Calibri"/>
                <w:sz w:val="20"/>
              </w:rPr>
            </w:pPr>
            <w:r w:rsidRPr="008047CE">
              <w:rPr>
                <w:rFonts w:eastAsia="Calibri"/>
                <w:sz w:val="20"/>
              </w:rPr>
              <w:t>Ontario Superior Court of Justice</w:t>
            </w:r>
          </w:p>
          <w:p w:rsidR="00BB37C4" w:rsidRPr="008047CE" w:rsidRDefault="00BB37C4" w:rsidP="00EE6F1A">
            <w:pPr>
              <w:jc w:val="both"/>
              <w:rPr>
                <w:rFonts w:eastAsia="Calibri"/>
                <w:sz w:val="20"/>
              </w:rPr>
            </w:pPr>
            <w:r w:rsidRPr="008047CE">
              <w:rPr>
                <w:rFonts w:eastAsia="Calibri"/>
                <w:sz w:val="20"/>
              </w:rPr>
              <w:t>(Nordheimer J.)</w:t>
            </w:r>
          </w:p>
          <w:p w:rsidR="00BB37C4" w:rsidRPr="008047CE" w:rsidRDefault="00BB37C4" w:rsidP="00EE6F1A">
            <w:pPr>
              <w:jc w:val="both"/>
              <w:rPr>
                <w:rFonts w:eastAsia="Calibri"/>
                <w:sz w:val="20"/>
              </w:rPr>
            </w:pPr>
          </w:p>
        </w:tc>
        <w:tc>
          <w:tcPr>
            <w:tcW w:w="270" w:type="pct"/>
          </w:tcPr>
          <w:p w:rsidR="00BB37C4" w:rsidRPr="008047CE" w:rsidRDefault="00BB37C4" w:rsidP="00EE6F1A">
            <w:pPr>
              <w:jc w:val="both"/>
              <w:rPr>
                <w:rFonts w:eastAsia="Calibri"/>
                <w:sz w:val="20"/>
              </w:rPr>
            </w:pPr>
          </w:p>
        </w:tc>
        <w:tc>
          <w:tcPr>
            <w:tcW w:w="2341" w:type="pct"/>
          </w:tcPr>
          <w:p w:rsidR="00BB37C4" w:rsidRPr="008047CE" w:rsidRDefault="00BB37C4" w:rsidP="00EE6F1A">
            <w:pPr>
              <w:jc w:val="both"/>
              <w:rPr>
                <w:rFonts w:eastAsia="Calibri"/>
                <w:sz w:val="20"/>
              </w:rPr>
            </w:pPr>
            <w:r w:rsidRPr="008047CE">
              <w:rPr>
                <w:rFonts w:eastAsia="Calibri"/>
                <w:sz w:val="20"/>
              </w:rPr>
              <w:t>Convictions:  conspiracy to traffic in cocaine and possession of the proceeds of crime</w:t>
            </w:r>
          </w:p>
        </w:tc>
      </w:tr>
      <w:tr w:rsidR="00BB37C4" w:rsidRPr="008047CE" w:rsidTr="00EE6F1A">
        <w:tblPrEx>
          <w:tblCellMar>
            <w:bottom w:w="0" w:type="dxa"/>
          </w:tblCellMar>
        </w:tblPrEx>
        <w:tc>
          <w:tcPr>
            <w:tcW w:w="2389" w:type="pct"/>
          </w:tcPr>
          <w:p w:rsidR="00BB37C4" w:rsidRPr="008047CE" w:rsidRDefault="00BB37C4" w:rsidP="00EE6F1A">
            <w:pPr>
              <w:jc w:val="both"/>
              <w:rPr>
                <w:rFonts w:eastAsia="Calibri"/>
                <w:sz w:val="20"/>
              </w:rPr>
            </w:pPr>
            <w:r w:rsidRPr="008047CE">
              <w:rPr>
                <w:rFonts w:eastAsia="Calibri"/>
                <w:sz w:val="20"/>
              </w:rPr>
              <w:t>July 23, 2014</w:t>
            </w:r>
          </w:p>
          <w:p w:rsidR="00BB37C4" w:rsidRPr="008047CE" w:rsidRDefault="00BB37C4" w:rsidP="00EE6F1A">
            <w:pPr>
              <w:jc w:val="both"/>
              <w:rPr>
                <w:rFonts w:eastAsia="Calibri"/>
                <w:sz w:val="20"/>
              </w:rPr>
            </w:pPr>
            <w:r w:rsidRPr="008047CE">
              <w:rPr>
                <w:rFonts w:eastAsia="Calibri"/>
                <w:sz w:val="20"/>
              </w:rPr>
              <w:t>Court of Appeal for Ontario</w:t>
            </w:r>
          </w:p>
          <w:p w:rsidR="00BB37C4" w:rsidRPr="008047CE" w:rsidRDefault="00BB37C4" w:rsidP="00EE6F1A">
            <w:pPr>
              <w:jc w:val="both"/>
              <w:rPr>
                <w:rFonts w:eastAsia="Calibri"/>
                <w:sz w:val="20"/>
              </w:rPr>
            </w:pPr>
            <w:r w:rsidRPr="008047CE">
              <w:rPr>
                <w:rFonts w:eastAsia="Calibri"/>
                <w:sz w:val="20"/>
              </w:rPr>
              <w:t>(Rosenberg, Goudge and van Rensburg JJ.A.)</w:t>
            </w:r>
          </w:p>
          <w:p w:rsidR="00BB37C4" w:rsidRPr="008047CE" w:rsidRDefault="00BB37C4" w:rsidP="00EE6F1A">
            <w:pPr>
              <w:jc w:val="both"/>
              <w:rPr>
                <w:rFonts w:eastAsia="Calibri"/>
                <w:sz w:val="20"/>
              </w:rPr>
            </w:pPr>
            <w:r w:rsidRPr="008047CE">
              <w:rPr>
                <w:rFonts w:eastAsia="Calibri"/>
                <w:sz w:val="20"/>
              </w:rPr>
              <w:t xml:space="preserve">Neutral citation: </w:t>
            </w:r>
            <w:hyperlink r:id="rId24" w:history="1">
              <w:r w:rsidRPr="00F34021">
                <w:rPr>
                  <w:rFonts w:eastAsia="Calibri"/>
                  <w:color w:val="0000FF"/>
                  <w:sz w:val="20"/>
                  <w:u w:val="single"/>
                </w:rPr>
                <w:t>2014 ONCA 561</w:t>
              </w:r>
            </w:hyperlink>
          </w:p>
          <w:p w:rsidR="00BB37C4" w:rsidRPr="008047CE" w:rsidRDefault="00BB37C4" w:rsidP="00EE6F1A">
            <w:pPr>
              <w:jc w:val="both"/>
              <w:rPr>
                <w:rFonts w:eastAsia="Calibri"/>
                <w:sz w:val="20"/>
              </w:rPr>
            </w:pPr>
          </w:p>
        </w:tc>
        <w:tc>
          <w:tcPr>
            <w:tcW w:w="270" w:type="pct"/>
          </w:tcPr>
          <w:p w:rsidR="00BB37C4" w:rsidRPr="008047CE" w:rsidRDefault="00BB37C4" w:rsidP="00EE6F1A">
            <w:pPr>
              <w:jc w:val="both"/>
              <w:rPr>
                <w:rFonts w:eastAsia="Calibri"/>
                <w:sz w:val="20"/>
              </w:rPr>
            </w:pPr>
          </w:p>
        </w:tc>
        <w:tc>
          <w:tcPr>
            <w:tcW w:w="2341" w:type="pct"/>
          </w:tcPr>
          <w:p w:rsidR="00BB37C4" w:rsidRPr="008047CE" w:rsidRDefault="00BB37C4" w:rsidP="00EE6F1A">
            <w:pPr>
              <w:jc w:val="both"/>
              <w:rPr>
                <w:rFonts w:eastAsia="Calibri"/>
                <w:sz w:val="20"/>
              </w:rPr>
            </w:pPr>
            <w:r w:rsidRPr="008047CE">
              <w:rPr>
                <w:rFonts w:eastAsia="Calibri"/>
                <w:sz w:val="20"/>
              </w:rPr>
              <w:t>Appeals dismissed</w:t>
            </w:r>
          </w:p>
          <w:p w:rsidR="00BB37C4" w:rsidRPr="008047CE" w:rsidRDefault="00BB37C4" w:rsidP="00EE6F1A">
            <w:pPr>
              <w:jc w:val="both"/>
              <w:rPr>
                <w:rFonts w:eastAsia="Calibri"/>
                <w:sz w:val="20"/>
              </w:rPr>
            </w:pPr>
          </w:p>
        </w:tc>
      </w:tr>
      <w:tr w:rsidR="00BB37C4" w:rsidRPr="008047CE" w:rsidTr="00EE6F1A">
        <w:tblPrEx>
          <w:tblCellMar>
            <w:bottom w:w="0" w:type="dxa"/>
          </w:tblCellMar>
        </w:tblPrEx>
        <w:tc>
          <w:tcPr>
            <w:tcW w:w="2389" w:type="pct"/>
          </w:tcPr>
          <w:p w:rsidR="00BB37C4" w:rsidRPr="008047CE" w:rsidRDefault="00BB37C4" w:rsidP="00EE6F1A">
            <w:pPr>
              <w:jc w:val="both"/>
              <w:rPr>
                <w:rFonts w:eastAsia="Calibri"/>
                <w:sz w:val="20"/>
              </w:rPr>
            </w:pPr>
            <w:r w:rsidRPr="008047CE">
              <w:rPr>
                <w:rFonts w:eastAsia="Calibri"/>
                <w:sz w:val="20"/>
              </w:rPr>
              <w:lastRenderedPageBreak/>
              <w:t>September 29, 2014</w:t>
            </w:r>
          </w:p>
          <w:p w:rsidR="00BB37C4" w:rsidRPr="008047CE" w:rsidRDefault="00BB37C4" w:rsidP="00EE6F1A">
            <w:pPr>
              <w:jc w:val="both"/>
              <w:rPr>
                <w:rFonts w:eastAsia="Calibri"/>
                <w:sz w:val="20"/>
              </w:rPr>
            </w:pPr>
            <w:r w:rsidRPr="008047CE">
              <w:rPr>
                <w:rFonts w:eastAsia="Calibri"/>
                <w:sz w:val="20"/>
              </w:rPr>
              <w:t>Supreme Court of Canada</w:t>
            </w:r>
          </w:p>
        </w:tc>
        <w:tc>
          <w:tcPr>
            <w:tcW w:w="270" w:type="pct"/>
          </w:tcPr>
          <w:p w:rsidR="00BB37C4" w:rsidRPr="008047CE" w:rsidRDefault="00BB37C4" w:rsidP="00EE6F1A">
            <w:pPr>
              <w:jc w:val="both"/>
              <w:rPr>
                <w:rFonts w:eastAsia="Calibri"/>
                <w:sz w:val="20"/>
              </w:rPr>
            </w:pPr>
          </w:p>
        </w:tc>
        <w:tc>
          <w:tcPr>
            <w:tcW w:w="2341" w:type="pct"/>
          </w:tcPr>
          <w:p w:rsidR="00BB37C4" w:rsidRPr="008047CE" w:rsidRDefault="00BB37C4" w:rsidP="00EE6F1A">
            <w:pPr>
              <w:jc w:val="both"/>
              <w:rPr>
                <w:rFonts w:eastAsia="Calibri"/>
                <w:sz w:val="20"/>
              </w:rPr>
            </w:pPr>
            <w:r w:rsidRPr="008047CE">
              <w:rPr>
                <w:rFonts w:eastAsia="Calibri"/>
                <w:sz w:val="20"/>
              </w:rPr>
              <w:t>Application for leave to appeal filed</w:t>
            </w:r>
          </w:p>
        </w:tc>
      </w:tr>
    </w:tbl>
    <w:p w:rsidR="00611550" w:rsidRDefault="00611550" w:rsidP="000E2959">
      <w:pPr>
        <w:rPr>
          <w:sz w:val="20"/>
          <w:szCs w:val="20"/>
        </w:rPr>
      </w:pPr>
    </w:p>
    <w:p w:rsidR="00611550" w:rsidRPr="00C50A5C" w:rsidRDefault="008A5B26" w:rsidP="00611550">
      <w:pPr>
        <w:rPr>
          <w:sz w:val="20"/>
          <w:szCs w:val="20"/>
        </w:rPr>
      </w:pPr>
      <w:r>
        <w:rPr>
          <w:sz w:val="20"/>
          <w:szCs w:val="20"/>
          <w:lang w:val="fr-CA"/>
        </w:rPr>
        <w:pict>
          <v:rect id="_x0000_i1040" style="width:2in;height:1pt" o:hrpct="0" o:hralign="center" o:hrstd="t" o:hrnoshade="t" o:hr="t" fillcolor="black [3213]" stroked="f"/>
        </w:pict>
      </w:r>
    </w:p>
    <w:p w:rsidR="00611550" w:rsidRDefault="00611550" w:rsidP="00611550">
      <w:pPr>
        <w:rPr>
          <w:sz w:val="20"/>
          <w:szCs w:val="20"/>
        </w:rPr>
      </w:pPr>
    </w:p>
    <w:p w:rsidR="00611550" w:rsidRPr="001B157C" w:rsidRDefault="00611550" w:rsidP="00611550">
      <w:pPr>
        <w:rPr>
          <w:sz w:val="20"/>
          <w:szCs w:val="20"/>
          <w:u w:val="single"/>
          <w:lang w:val="fr-CA"/>
        </w:rPr>
      </w:pPr>
      <w:r w:rsidRPr="001B157C">
        <w:rPr>
          <w:sz w:val="20"/>
          <w:szCs w:val="20"/>
          <w:u w:val="single"/>
          <w:lang w:val="fr-CA"/>
        </w:rPr>
        <w:t>RÉSUMÉ DE L’AFFAIRE</w:t>
      </w:r>
    </w:p>
    <w:p w:rsidR="00611550" w:rsidRDefault="00611550"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3"/>
        <w:gridCol w:w="514"/>
        <w:gridCol w:w="4428"/>
        <w:gridCol w:w="32"/>
      </w:tblGrid>
      <w:tr w:rsidR="00BB37C4" w:rsidRPr="008A5B26" w:rsidTr="00EE6F1A">
        <w:tc>
          <w:tcPr>
            <w:tcW w:w="5000" w:type="pct"/>
            <w:gridSpan w:val="4"/>
          </w:tcPr>
          <w:p w:rsidR="00BB37C4" w:rsidRPr="008047CE" w:rsidRDefault="00BB37C4" w:rsidP="00EE6F1A">
            <w:pPr>
              <w:jc w:val="both"/>
              <w:rPr>
                <w:rFonts w:eastAsia="Calibri"/>
                <w:sz w:val="20"/>
                <w:lang w:val="fr-CA"/>
              </w:rPr>
            </w:pPr>
            <w:r w:rsidRPr="008047CE">
              <w:rPr>
                <w:rFonts w:eastAsia="Calibri"/>
                <w:i/>
                <w:sz w:val="20"/>
                <w:lang w:val="fr-CA"/>
              </w:rPr>
              <w:t xml:space="preserve">Charte </w:t>
            </w:r>
            <w:r w:rsidRPr="008047CE">
              <w:rPr>
                <w:rFonts w:eastAsia="Calibri"/>
                <w:sz w:val="20"/>
                <w:lang w:val="fr-CA"/>
              </w:rPr>
              <w:t xml:space="preserve">— Droit criminel — Interception de communications privées — Fouilles, perquisitions et saisies — Procès — Procédure — Le paragraphe 186(1.1) du </w:t>
            </w:r>
            <w:r w:rsidRPr="008047CE">
              <w:rPr>
                <w:rFonts w:eastAsia="Calibri"/>
                <w:i/>
                <w:sz w:val="20"/>
                <w:lang w:val="fr-CA"/>
              </w:rPr>
              <w:t>Code criminel</w:t>
            </w:r>
            <w:r w:rsidRPr="008047CE">
              <w:rPr>
                <w:rFonts w:eastAsia="Calibri"/>
                <w:sz w:val="20"/>
                <w:lang w:val="fr-CA"/>
              </w:rPr>
              <w:t xml:space="preserve"> est</w:t>
            </w:r>
            <w:r w:rsidRPr="008047CE">
              <w:rPr>
                <w:rFonts w:eastAsia="Calibri"/>
                <w:smallCaps/>
                <w:sz w:val="20"/>
                <w:lang w:val="fr-CA"/>
              </w:rPr>
              <w:t>-</w:t>
            </w:r>
            <w:r w:rsidRPr="008047CE">
              <w:rPr>
                <w:rFonts w:eastAsia="Calibri"/>
                <w:sz w:val="20"/>
                <w:lang w:val="fr-CA"/>
              </w:rPr>
              <w:t xml:space="preserve">il inconstitutionnel? — L’article 487.01 du </w:t>
            </w:r>
            <w:r w:rsidRPr="008047CE">
              <w:rPr>
                <w:rFonts w:eastAsia="Calibri"/>
                <w:i/>
                <w:sz w:val="20"/>
                <w:lang w:val="fr-CA"/>
              </w:rPr>
              <w:t xml:space="preserve">Code criminel </w:t>
            </w:r>
            <w:r w:rsidRPr="008047CE">
              <w:rPr>
                <w:rFonts w:eastAsia="Calibri"/>
                <w:sz w:val="20"/>
                <w:lang w:val="fr-CA"/>
              </w:rPr>
              <w:t>est</w:t>
            </w:r>
            <w:r w:rsidRPr="008047CE">
              <w:rPr>
                <w:rFonts w:eastAsia="Calibri"/>
                <w:smallCaps/>
                <w:sz w:val="20"/>
                <w:lang w:val="fr-CA"/>
              </w:rPr>
              <w:t>-</w:t>
            </w:r>
            <w:r w:rsidRPr="008047CE">
              <w:rPr>
                <w:rFonts w:eastAsia="Calibri"/>
                <w:sz w:val="20"/>
                <w:lang w:val="fr-CA"/>
              </w:rPr>
              <w:t>il inconstitutionnel? — La Cour d’appel a</w:t>
            </w:r>
            <w:r w:rsidRPr="008047CE">
              <w:rPr>
                <w:rFonts w:eastAsia="Calibri"/>
                <w:smallCaps/>
                <w:sz w:val="20"/>
                <w:lang w:val="fr-CA"/>
              </w:rPr>
              <w:t>-</w:t>
            </w:r>
            <w:r w:rsidRPr="008047CE">
              <w:rPr>
                <w:rFonts w:eastAsia="Calibri"/>
                <w:sz w:val="20"/>
                <w:lang w:val="fr-CA"/>
              </w:rPr>
              <w:t>t</w:t>
            </w:r>
            <w:r w:rsidRPr="008047CE">
              <w:rPr>
                <w:rFonts w:eastAsia="Calibri"/>
                <w:smallCaps/>
                <w:sz w:val="20"/>
                <w:lang w:val="fr-CA"/>
              </w:rPr>
              <w:t>-</w:t>
            </w:r>
            <w:r w:rsidRPr="008047CE">
              <w:rPr>
                <w:rFonts w:eastAsia="Calibri"/>
                <w:sz w:val="20"/>
                <w:lang w:val="fr-CA"/>
              </w:rPr>
              <w:t>elle commis une erreur en concluant que les mandats généraux ne déléguaient pas de façon inacceptable le pouvoir discrétionnaire du juge à la police par l’utilisation d’un [</w:t>
            </w:r>
            <w:r w:rsidRPr="008047CE">
              <w:rPr>
                <w:rFonts w:eastAsia="Calibri"/>
                <w:smallCaps/>
                <w:sz w:val="20"/>
                <w:lang w:val="fr-CA"/>
              </w:rPr>
              <w:t>traduction</w:t>
            </w:r>
            <w:r w:rsidRPr="008047CE">
              <w:rPr>
                <w:rFonts w:eastAsia="Calibri"/>
                <w:sz w:val="20"/>
                <w:lang w:val="fr-CA"/>
              </w:rPr>
              <w:t>] « élément déclencheur » trop large et, de ce fait, inconstitutionnel? — L’accusé a</w:t>
            </w:r>
            <w:r w:rsidRPr="008047CE">
              <w:rPr>
                <w:rFonts w:eastAsia="Calibri"/>
                <w:smallCaps/>
                <w:sz w:val="20"/>
                <w:lang w:val="fr-CA"/>
              </w:rPr>
              <w:t>-</w:t>
            </w:r>
            <w:r w:rsidRPr="008047CE">
              <w:rPr>
                <w:rFonts w:eastAsia="Calibri"/>
                <w:sz w:val="20"/>
                <w:lang w:val="fr-CA"/>
              </w:rPr>
              <w:t>t</w:t>
            </w:r>
            <w:r w:rsidRPr="008047CE">
              <w:rPr>
                <w:rFonts w:eastAsia="Calibri"/>
                <w:smallCaps/>
                <w:sz w:val="20"/>
                <w:lang w:val="fr-CA"/>
              </w:rPr>
              <w:t>-</w:t>
            </w:r>
            <w:r w:rsidRPr="008047CE">
              <w:rPr>
                <w:rFonts w:eastAsia="Calibri"/>
                <w:sz w:val="20"/>
                <w:lang w:val="fr-CA"/>
              </w:rPr>
              <w:t xml:space="preserve">il été exclu à tort du procès contrairement au par. 650(1) du </w:t>
            </w:r>
            <w:r w:rsidRPr="008047CE">
              <w:rPr>
                <w:rFonts w:eastAsia="Calibri"/>
                <w:i/>
                <w:sz w:val="20"/>
                <w:lang w:val="fr-CA"/>
              </w:rPr>
              <w:t>Code criminel</w:t>
            </w:r>
            <w:r w:rsidRPr="008047CE">
              <w:rPr>
                <w:rFonts w:eastAsia="Calibri"/>
                <w:sz w:val="20"/>
                <w:lang w:val="fr-CA"/>
              </w:rPr>
              <w:t xml:space="preserve"> et de l’art. 7 de la </w:t>
            </w:r>
            <w:r w:rsidRPr="008047CE">
              <w:rPr>
                <w:rFonts w:eastAsia="Calibri"/>
                <w:i/>
                <w:sz w:val="20"/>
                <w:lang w:val="fr-CA"/>
              </w:rPr>
              <w:t>Charte</w:t>
            </w:r>
            <w:r w:rsidRPr="008047CE">
              <w:rPr>
                <w:rFonts w:eastAsia="Calibri"/>
                <w:sz w:val="20"/>
                <w:lang w:val="fr-CA"/>
              </w:rPr>
              <w:t>?</w:t>
            </w:r>
          </w:p>
        </w:tc>
      </w:tr>
      <w:tr w:rsidR="00BB37C4" w:rsidRPr="008A5B26" w:rsidTr="00EE6F1A">
        <w:tc>
          <w:tcPr>
            <w:tcW w:w="5000" w:type="pct"/>
            <w:gridSpan w:val="4"/>
          </w:tcPr>
          <w:p w:rsidR="00BB37C4" w:rsidRPr="008047CE" w:rsidRDefault="00BB37C4" w:rsidP="00EE6F1A">
            <w:pPr>
              <w:jc w:val="both"/>
              <w:rPr>
                <w:rFonts w:eastAsia="Calibri"/>
                <w:sz w:val="20"/>
                <w:lang w:val="fr-CA"/>
              </w:rPr>
            </w:pPr>
          </w:p>
        </w:tc>
      </w:tr>
      <w:tr w:rsidR="00BB37C4" w:rsidRPr="008047CE" w:rsidTr="00EE6F1A">
        <w:tc>
          <w:tcPr>
            <w:tcW w:w="5000" w:type="pct"/>
            <w:gridSpan w:val="4"/>
          </w:tcPr>
          <w:p w:rsidR="00BB37C4" w:rsidRPr="008047CE" w:rsidRDefault="00BB37C4" w:rsidP="00EE6F1A">
            <w:pPr>
              <w:jc w:val="both"/>
              <w:rPr>
                <w:rFonts w:eastAsia="Calibri"/>
                <w:sz w:val="20"/>
                <w:lang w:val="fr-CA"/>
              </w:rPr>
            </w:pPr>
            <w:r w:rsidRPr="008047CE">
              <w:rPr>
                <w:rFonts w:eastAsia="Calibri"/>
                <w:sz w:val="20"/>
                <w:lang w:val="fr-CA"/>
              </w:rPr>
              <w:t xml:space="preserve">Les demandeurs ont été inculpés d’infractions liées aux armes à feu et aux stupéfiants à la suite d’une enquête policière de grande envergure sur les activités d’un gang présumé de criminels connu sous le nom des « Doomstown Crips ».  Ils ont également été accusés d’avoir commis ces infractions au profit d’une organisation criminelle. Plusieurs procédures préalables au procès ont été tenues; les décisions relatives à trois d’entre elles sont en cause dans la demande d’autorisation.  Deux motions visaient à faire déclarer constitutionnellement invalides deux dispositions du </w:t>
            </w:r>
            <w:r w:rsidRPr="008047CE">
              <w:rPr>
                <w:rFonts w:eastAsia="Calibri"/>
                <w:i/>
                <w:sz w:val="20"/>
                <w:lang w:val="fr-CA"/>
              </w:rPr>
              <w:t>Code criminel</w:t>
            </w:r>
            <w:r w:rsidRPr="008047CE">
              <w:rPr>
                <w:rFonts w:eastAsia="Calibri"/>
                <w:sz w:val="20"/>
                <w:lang w:val="fr-CA"/>
              </w:rPr>
              <w:t xml:space="preserve">, le par. 186(1.1) et l’art. 487.01.  Les deux motions ont été rejetées.  La troisième décision se rapporte à une procédure </w:t>
            </w:r>
            <w:r w:rsidRPr="008047CE">
              <w:rPr>
                <w:rFonts w:eastAsia="Calibri"/>
                <w:i/>
                <w:sz w:val="20"/>
                <w:lang w:val="fr-CA"/>
              </w:rPr>
              <w:t>ex parte</w:t>
            </w:r>
            <w:r w:rsidRPr="008047CE">
              <w:rPr>
                <w:rFonts w:eastAsia="Calibri"/>
                <w:sz w:val="20"/>
                <w:lang w:val="fr-CA"/>
              </w:rPr>
              <w:t xml:space="preserve"> à huis clos qui visait à déterminer si certaines personnes avaient agi comme dénonciateurs confidentiels.  Les demandeurs ont été déclarés coupables à l’issue d’un procès devant juge et jury, et ont interjeté appel de leurs déclarations de culpabilité devant la Cour d’appel de l’Ontario.  Leurs appels ont été rejetés.</w:t>
            </w:r>
          </w:p>
          <w:p w:rsidR="00BB37C4" w:rsidRPr="008047CE" w:rsidRDefault="00BB37C4" w:rsidP="00EE6F1A">
            <w:pPr>
              <w:jc w:val="both"/>
              <w:rPr>
                <w:rFonts w:eastAsia="Calibri"/>
                <w:sz w:val="20"/>
                <w:lang w:val="fr-CA"/>
              </w:rPr>
            </w:pPr>
          </w:p>
        </w:tc>
      </w:tr>
      <w:tr w:rsidR="00BB37C4" w:rsidRPr="006A1EFB" w:rsidTr="00EE6F1A">
        <w:tblPrEx>
          <w:tblCellMar>
            <w:bottom w:w="0" w:type="dxa"/>
          </w:tblCellMar>
        </w:tblPrEx>
        <w:trPr>
          <w:gridAfter w:val="1"/>
          <w:wAfter w:w="16" w:type="pct"/>
        </w:trPr>
        <w:tc>
          <w:tcPr>
            <w:tcW w:w="2389" w:type="pct"/>
          </w:tcPr>
          <w:p w:rsidR="00BB37C4" w:rsidRPr="008047CE" w:rsidRDefault="00BB37C4" w:rsidP="00EE6F1A">
            <w:pPr>
              <w:jc w:val="both"/>
              <w:rPr>
                <w:rFonts w:eastAsia="Calibri"/>
                <w:sz w:val="20"/>
                <w:lang w:val="fr-CA"/>
              </w:rPr>
            </w:pPr>
            <w:r w:rsidRPr="008047CE">
              <w:rPr>
                <w:rFonts w:eastAsia="Calibri"/>
                <w:sz w:val="20"/>
                <w:lang w:val="fr-CA"/>
              </w:rPr>
              <w:t>17 avril 2009</w:t>
            </w:r>
          </w:p>
          <w:p w:rsidR="00BB37C4" w:rsidRPr="008047CE" w:rsidRDefault="00BB37C4" w:rsidP="00EE6F1A">
            <w:pPr>
              <w:jc w:val="both"/>
              <w:rPr>
                <w:rFonts w:eastAsia="Calibri"/>
                <w:sz w:val="20"/>
                <w:lang w:val="fr-CA"/>
              </w:rPr>
            </w:pPr>
            <w:r w:rsidRPr="008047CE">
              <w:rPr>
                <w:rFonts w:eastAsia="Calibri"/>
                <w:sz w:val="20"/>
                <w:lang w:val="fr-CA"/>
              </w:rPr>
              <w:t>Cour supérieure de justice de l’Ontario</w:t>
            </w:r>
          </w:p>
          <w:p w:rsidR="00BB37C4" w:rsidRPr="008047CE" w:rsidRDefault="00BB37C4" w:rsidP="00EE6F1A">
            <w:pPr>
              <w:jc w:val="both"/>
              <w:rPr>
                <w:rFonts w:eastAsia="Calibri"/>
                <w:sz w:val="20"/>
                <w:lang w:val="fr-CA"/>
              </w:rPr>
            </w:pPr>
            <w:r w:rsidRPr="008047CE">
              <w:rPr>
                <w:rFonts w:eastAsia="Calibri"/>
                <w:sz w:val="20"/>
                <w:lang w:val="fr-CA"/>
              </w:rPr>
              <w:t>(Juge Nordheimer)</w:t>
            </w:r>
          </w:p>
          <w:p w:rsidR="00BB37C4" w:rsidRPr="008047CE" w:rsidRDefault="00BB37C4" w:rsidP="00EE6F1A">
            <w:pPr>
              <w:jc w:val="both"/>
              <w:rPr>
                <w:rFonts w:eastAsia="Calibri"/>
                <w:sz w:val="20"/>
                <w:lang w:val="fr-CA"/>
              </w:rPr>
            </w:pPr>
          </w:p>
        </w:tc>
        <w:tc>
          <w:tcPr>
            <w:tcW w:w="270" w:type="pct"/>
          </w:tcPr>
          <w:p w:rsidR="00BB37C4" w:rsidRPr="008047CE" w:rsidRDefault="00BB37C4" w:rsidP="00EE6F1A">
            <w:pPr>
              <w:jc w:val="both"/>
              <w:rPr>
                <w:rFonts w:eastAsia="Calibri"/>
                <w:sz w:val="20"/>
                <w:lang w:val="fr-CA"/>
              </w:rPr>
            </w:pPr>
          </w:p>
        </w:tc>
        <w:tc>
          <w:tcPr>
            <w:tcW w:w="2324" w:type="pct"/>
          </w:tcPr>
          <w:p w:rsidR="00BB37C4" w:rsidRPr="008047CE" w:rsidRDefault="00BB37C4" w:rsidP="00EE6F1A">
            <w:pPr>
              <w:jc w:val="both"/>
              <w:rPr>
                <w:rFonts w:eastAsia="Calibri"/>
                <w:sz w:val="20"/>
                <w:lang w:val="fr-CA"/>
              </w:rPr>
            </w:pPr>
            <w:r w:rsidRPr="008047CE">
              <w:rPr>
                <w:rFonts w:eastAsia="Calibri"/>
                <w:sz w:val="20"/>
                <w:lang w:val="fr-CA"/>
              </w:rPr>
              <w:t xml:space="preserve">Décision avant procès sur la constitutionnalité du par. 186(1.1) du </w:t>
            </w:r>
            <w:r w:rsidRPr="008047CE">
              <w:rPr>
                <w:rFonts w:eastAsia="Calibri"/>
                <w:i/>
                <w:sz w:val="20"/>
                <w:lang w:val="fr-CA"/>
              </w:rPr>
              <w:t>Code criminel </w:t>
            </w:r>
            <w:r w:rsidRPr="008047CE">
              <w:rPr>
                <w:rFonts w:eastAsia="Calibri"/>
                <w:sz w:val="20"/>
                <w:lang w:val="fr-CA"/>
              </w:rPr>
              <w:t xml:space="preserve">: rejet de la motion en déclaration d’invalidité présentée par les demandeurs </w:t>
            </w:r>
          </w:p>
          <w:p w:rsidR="00BB37C4" w:rsidRPr="008047CE" w:rsidRDefault="00BB37C4" w:rsidP="00EE6F1A">
            <w:pPr>
              <w:jc w:val="both"/>
              <w:rPr>
                <w:rFonts w:eastAsia="Calibri"/>
                <w:sz w:val="20"/>
                <w:lang w:val="fr-CA"/>
              </w:rPr>
            </w:pPr>
          </w:p>
        </w:tc>
      </w:tr>
      <w:tr w:rsidR="00BB37C4" w:rsidRPr="006A1EFB" w:rsidTr="00EE6F1A">
        <w:tblPrEx>
          <w:tblCellMar>
            <w:bottom w:w="0" w:type="dxa"/>
          </w:tblCellMar>
        </w:tblPrEx>
        <w:trPr>
          <w:gridAfter w:val="1"/>
          <w:wAfter w:w="16" w:type="pct"/>
        </w:trPr>
        <w:tc>
          <w:tcPr>
            <w:tcW w:w="2389" w:type="pct"/>
          </w:tcPr>
          <w:p w:rsidR="00BB37C4" w:rsidRPr="008047CE" w:rsidRDefault="00BB37C4" w:rsidP="00EE6F1A">
            <w:pPr>
              <w:jc w:val="both"/>
              <w:rPr>
                <w:rFonts w:eastAsia="Calibri"/>
                <w:sz w:val="20"/>
                <w:lang w:val="fr-CA"/>
              </w:rPr>
            </w:pPr>
            <w:r w:rsidRPr="008047CE">
              <w:rPr>
                <w:rFonts w:eastAsia="Calibri"/>
                <w:sz w:val="20"/>
                <w:lang w:val="fr-CA"/>
              </w:rPr>
              <w:t>12 juin 2009</w:t>
            </w:r>
          </w:p>
          <w:p w:rsidR="00BB37C4" w:rsidRPr="008047CE" w:rsidRDefault="00BB37C4" w:rsidP="00EE6F1A">
            <w:pPr>
              <w:jc w:val="both"/>
              <w:rPr>
                <w:rFonts w:eastAsia="Calibri"/>
                <w:sz w:val="20"/>
                <w:lang w:val="fr-CA"/>
              </w:rPr>
            </w:pPr>
            <w:r w:rsidRPr="008047CE">
              <w:rPr>
                <w:rFonts w:eastAsia="Calibri"/>
                <w:sz w:val="20"/>
                <w:lang w:val="fr-CA"/>
              </w:rPr>
              <w:t>Cour supérieure de justice de l’Ontario</w:t>
            </w:r>
          </w:p>
          <w:p w:rsidR="00BB37C4" w:rsidRPr="008047CE" w:rsidRDefault="00BB37C4" w:rsidP="00EE6F1A">
            <w:pPr>
              <w:jc w:val="both"/>
              <w:rPr>
                <w:rFonts w:eastAsia="Calibri"/>
                <w:sz w:val="20"/>
                <w:lang w:val="fr-CA"/>
              </w:rPr>
            </w:pPr>
            <w:r w:rsidRPr="008047CE">
              <w:rPr>
                <w:rFonts w:eastAsia="Calibri"/>
                <w:sz w:val="20"/>
                <w:lang w:val="fr-CA"/>
              </w:rPr>
              <w:t>(Juge Nordheimer)</w:t>
            </w:r>
          </w:p>
          <w:p w:rsidR="00BB37C4" w:rsidRPr="008047CE" w:rsidRDefault="00BB37C4" w:rsidP="00EE6F1A">
            <w:pPr>
              <w:jc w:val="both"/>
              <w:rPr>
                <w:rFonts w:eastAsia="Calibri"/>
                <w:sz w:val="20"/>
                <w:lang w:val="fr-CA"/>
              </w:rPr>
            </w:pPr>
          </w:p>
        </w:tc>
        <w:tc>
          <w:tcPr>
            <w:tcW w:w="270" w:type="pct"/>
          </w:tcPr>
          <w:p w:rsidR="00BB37C4" w:rsidRPr="008047CE" w:rsidRDefault="00BB37C4" w:rsidP="00EE6F1A">
            <w:pPr>
              <w:jc w:val="both"/>
              <w:rPr>
                <w:rFonts w:eastAsia="Calibri"/>
                <w:sz w:val="20"/>
                <w:lang w:val="fr-CA"/>
              </w:rPr>
            </w:pPr>
          </w:p>
        </w:tc>
        <w:tc>
          <w:tcPr>
            <w:tcW w:w="2324" w:type="pct"/>
          </w:tcPr>
          <w:p w:rsidR="00BB37C4" w:rsidRPr="008047CE" w:rsidRDefault="00BB37C4" w:rsidP="00EE6F1A">
            <w:pPr>
              <w:jc w:val="both"/>
              <w:rPr>
                <w:rFonts w:eastAsia="Calibri"/>
                <w:sz w:val="20"/>
                <w:lang w:val="fr-CA"/>
              </w:rPr>
            </w:pPr>
            <w:r w:rsidRPr="008047CE">
              <w:rPr>
                <w:rFonts w:eastAsia="Calibri"/>
                <w:sz w:val="20"/>
                <w:lang w:val="fr-CA"/>
              </w:rPr>
              <w:t xml:space="preserve">Décision avant procès sur la constitutionnalité de l’art. 487.01 du </w:t>
            </w:r>
            <w:r w:rsidRPr="008047CE">
              <w:rPr>
                <w:rFonts w:eastAsia="Calibri"/>
                <w:i/>
                <w:sz w:val="20"/>
                <w:lang w:val="fr-CA"/>
              </w:rPr>
              <w:t>Code criminel </w:t>
            </w:r>
            <w:r w:rsidRPr="008047CE">
              <w:rPr>
                <w:rFonts w:eastAsia="Calibri"/>
                <w:sz w:val="20"/>
                <w:lang w:val="fr-CA"/>
              </w:rPr>
              <w:t>: rejet de la motion en déclaration d’invalidité présentée par les demandeurs</w:t>
            </w:r>
          </w:p>
          <w:p w:rsidR="00BB37C4" w:rsidRPr="008047CE" w:rsidRDefault="00BB37C4" w:rsidP="00EE6F1A">
            <w:pPr>
              <w:jc w:val="both"/>
              <w:rPr>
                <w:rFonts w:eastAsia="Calibri"/>
                <w:sz w:val="20"/>
                <w:lang w:val="fr-CA"/>
              </w:rPr>
            </w:pPr>
          </w:p>
        </w:tc>
      </w:tr>
      <w:tr w:rsidR="00BB37C4" w:rsidRPr="006A1EFB" w:rsidTr="00EE6F1A">
        <w:tblPrEx>
          <w:tblCellMar>
            <w:bottom w:w="0" w:type="dxa"/>
          </w:tblCellMar>
        </w:tblPrEx>
        <w:trPr>
          <w:gridAfter w:val="1"/>
          <w:wAfter w:w="16" w:type="pct"/>
        </w:trPr>
        <w:tc>
          <w:tcPr>
            <w:tcW w:w="2389" w:type="pct"/>
          </w:tcPr>
          <w:p w:rsidR="00BB37C4" w:rsidRPr="008047CE" w:rsidRDefault="00BB37C4" w:rsidP="00EE6F1A">
            <w:pPr>
              <w:jc w:val="both"/>
              <w:rPr>
                <w:rFonts w:eastAsia="Calibri"/>
                <w:sz w:val="20"/>
                <w:lang w:val="fr-CA"/>
              </w:rPr>
            </w:pPr>
            <w:r w:rsidRPr="008047CE">
              <w:rPr>
                <w:rFonts w:eastAsia="Calibri"/>
                <w:sz w:val="20"/>
                <w:lang w:val="fr-CA"/>
              </w:rPr>
              <w:t>8 décembre 2009</w:t>
            </w:r>
          </w:p>
          <w:p w:rsidR="00BB37C4" w:rsidRPr="008047CE" w:rsidRDefault="00BB37C4" w:rsidP="00EE6F1A">
            <w:pPr>
              <w:jc w:val="both"/>
              <w:rPr>
                <w:rFonts w:eastAsia="Calibri"/>
                <w:sz w:val="20"/>
                <w:lang w:val="fr-CA"/>
              </w:rPr>
            </w:pPr>
            <w:r w:rsidRPr="008047CE">
              <w:rPr>
                <w:rFonts w:eastAsia="Calibri"/>
                <w:sz w:val="20"/>
                <w:lang w:val="fr-CA"/>
              </w:rPr>
              <w:t>Cour supérieure de justice de l’Ontario</w:t>
            </w:r>
          </w:p>
          <w:p w:rsidR="00BB37C4" w:rsidRPr="008047CE" w:rsidRDefault="00BB37C4" w:rsidP="00EE6F1A">
            <w:pPr>
              <w:jc w:val="both"/>
              <w:rPr>
                <w:rFonts w:eastAsia="Calibri"/>
                <w:sz w:val="20"/>
                <w:lang w:val="fr-CA"/>
              </w:rPr>
            </w:pPr>
            <w:r w:rsidRPr="008047CE">
              <w:rPr>
                <w:rFonts w:eastAsia="Calibri"/>
                <w:sz w:val="20"/>
                <w:lang w:val="fr-CA"/>
              </w:rPr>
              <w:t>(Juge Nordheimer)</w:t>
            </w:r>
          </w:p>
          <w:p w:rsidR="00BB37C4" w:rsidRPr="008047CE" w:rsidRDefault="00BB37C4" w:rsidP="00EE6F1A">
            <w:pPr>
              <w:jc w:val="both"/>
              <w:rPr>
                <w:rFonts w:eastAsia="Calibri"/>
                <w:sz w:val="20"/>
                <w:lang w:val="fr-CA"/>
              </w:rPr>
            </w:pPr>
          </w:p>
        </w:tc>
        <w:tc>
          <w:tcPr>
            <w:tcW w:w="270" w:type="pct"/>
          </w:tcPr>
          <w:p w:rsidR="00BB37C4" w:rsidRPr="008047CE" w:rsidRDefault="00BB37C4" w:rsidP="00EE6F1A">
            <w:pPr>
              <w:jc w:val="both"/>
              <w:rPr>
                <w:rFonts w:eastAsia="Calibri"/>
                <w:sz w:val="20"/>
                <w:lang w:val="fr-CA"/>
              </w:rPr>
            </w:pPr>
          </w:p>
        </w:tc>
        <w:tc>
          <w:tcPr>
            <w:tcW w:w="2324" w:type="pct"/>
          </w:tcPr>
          <w:p w:rsidR="00BB37C4" w:rsidRPr="008047CE" w:rsidRDefault="00BB37C4" w:rsidP="00EE6F1A">
            <w:pPr>
              <w:jc w:val="both"/>
              <w:rPr>
                <w:rFonts w:eastAsia="Calibri"/>
                <w:sz w:val="20"/>
                <w:lang w:val="fr-CA"/>
              </w:rPr>
            </w:pPr>
            <w:r w:rsidRPr="008047CE">
              <w:rPr>
                <w:rFonts w:eastAsia="Calibri"/>
                <w:sz w:val="20"/>
                <w:lang w:val="fr-CA"/>
              </w:rPr>
              <w:t>Déclarations de culpabilité : complot en vue de faire le trafic de la cocaïne et possession de produits de la criminalité</w:t>
            </w:r>
          </w:p>
        </w:tc>
      </w:tr>
      <w:tr w:rsidR="00BB37C4" w:rsidRPr="008047CE" w:rsidTr="00EE6F1A">
        <w:tblPrEx>
          <w:tblCellMar>
            <w:bottom w:w="0" w:type="dxa"/>
          </w:tblCellMar>
        </w:tblPrEx>
        <w:trPr>
          <w:gridAfter w:val="1"/>
          <w:wAfter w:w="16" w:type="pct"/>
        </w:trPr>
        <w:tc>
          <w:tcPr>
            <w:tcW w:w="2389" w:type="pct"/>
          </w:tcPr>
          <w:p w:rsidR="00BB37C4" w:rsidRPr="008047CE" w:rsidRDefault="00BB37C4" w:rsidP="00EE6F1A">
            <w:pPr>
              <w:jc w:val="both"/>
              <w:rPr>
                <w:rFonts w:eastAsia="Calibri"/>
                <w:sz w:val="20"/>
                <w:lang w:val="fr-CA"/>
              </w:rPr>
            </w:pPr>
            <w:r w:rsidRPr="008047CE">
              <w:rPr>
                <w:rFonts w:eastAsia="Calibri"/>
                <w:sz w:val="20"/>
                <w:lang w:val="fr-CA"/>
              </w:rPr>
              <w:t>23 juillet 2014</w:t>
            </w:r>
          </w:p>
          <w:p w:rsidR="00BB37C4" w:rsidRPr="008047CE" w:rsidRDefault="00BB37C4" w:rsidP="00EE6F1A">
            <w:pPr>
              <w:jc w:val="both"/>
              <w:rPr>
                <w:rFonts w:eastAsia="Calibri"/>
                <w:sz w:val="20"/>
                <w:lang w:val="fr-CA"/>
              </w:rPr>
            </w:pPr>
            <w:r w:rsidRPr="008047CE">
              <w:rPr>
                <w:rFonts w:eastAsia="Calibri"/>
                <w:sz w:val="20"/>
                <w:lang w:val="fr-CA"/>
              </w:rPr>
              <w:t>Cour d’appel de l’Ontario</w:t>
            </w:r>
          </w:p>
          <w:p w:rsidR="00BB37C4" w:rsidRPr="008047CE" w:rsidRDefault="00BB37C4" w:rsidP="00EE6F1A">
            <w:pPr>
              <w:jc w:val="both"/>
              <w:rPr>
                <w:rFonts w:eastAsia="Calibri"/>
                <w:sz w:val="20"/>
                <w:lang w:val="fr-CA"/>
              </w:rPr>
            </w:pPr>
            <w:r w:rsidRPr="008047CE">
              <w:rPr>
                <w:rFonts w:eastAsia="Calibri"/>
                <w:sz w:val="20"/>
                <w:lang w:val="fr-CA"/>
              </w:rPr>
              <w:t>(Juges Rosenberg, Goudge et van Rensburg)</w:t>
            </w:r>
          </w:p>
          <w:p w:rsidR="00BB37C4" w:rsidRPr="008047CE" w:rsidRDefault="00BB37C4" w:rsidP="00EE6F1A">
            <w:pPr>
              <w:jc w:val="both"/>
              <w:rPr>
                <w:rFonts w:eastAsia="Calibri"/>
                <w:sz w:val="20"/>
                <w:lang w:val="fr-CA"/>
              </w:rPr>
            </w:pPr>
            <w:r w:rsidRPr="008047CE">
              <w:rPr>
                <w:rFonts w:eastAsia="Calibri"/>
                <w:sz w:val="20"/>
                <w:lang w:val="fr-CA"/>
              </w:rPr>
              <w:t xml:space="preserve">Référence neutre : </w:t>
            </w:r>
            <w:hyperlink r:id="rId25" w:history="1">
              <w:r w:rsidRPr="00F34021">
                <w:rPr>
                  <w:rFonts w:eastAsia="Calibri"/>
                  <w:color w:val="0000FF"/>
                  <w:sz w:val="20"/>
                  <w:u w:val="single"/>
                  <w:lang w:val="fr-CA"/>
                </w:rPr>
                <w:t>2014 ONCA 561</w:t>
              </w:r>
            </w:hyperlink>
          </w:p>
          <w:p w:rsidR="00BB37C4" w:rsidRPr="008047CE" w:rsidRDefault="00BB37C4" w:rsidP="00EE6F1A">
            <w:pPr>
              <w:jc w:val="both"/>
              <w:rPr>
                <w:rFonts w:eastAsia="Calibri"/>
                <w:sz w:val="20"/>
                <w:lang w:val="fr-CA"/>
              </w:rPr>
            </w:pPr>
          </w:p>
        </w:tc>
        <w:tc>
          <w:tcPr>
            <w:tcW w:w="270" w:type="pct"/>
          </w:tcPr>
          <w:p w:rsidR="00BB37C4" w:rsidRPr="008047CE" w:rsidRDefault="00BB37C4" w:rsidP="00EE6F1A">
            <w:pPr>
              <w:jc w:val="both"/>
              <w:rPr>
                <w:rFonts w:eastAsia="Calibri"/>
                <w:sz w:val="20"/>
                <w:lang w:val="fr-CA"/>
              </w:rPr>
            </w:pPr>
          </w:p>
        </w:tc>
        <w:tc>
          <w:tcPr>
            <w:tcW w:w="2324" w:type="pct"/>
          </w:tcPr>
          <w:p w:rsidR="00BB37C4" w:rsidRPr="008047CE" w:rsidRDefault="00BB37C4" w:rsidP="00EE6F1A">
            <w:pPr>
              <w:jc w:val="both"/>
              <w:rPr>
                <w:rFonts w:eastAsia="Calibri"/>
                <w:sz w:val="20"/>
                <w:lang w:val="fr-CA"/>
              </w:rPr>
            </w:pPr>
            <w:r w:rsidRPr="008047CE">
              <w:rPr>
                <w:rFonts w:eastAsia="Calibri"/>
                <w:sz w:val="20"/>
                <w:lang w:val="fr-CA"/>
              </w:rPr>
              <w:t>Rejet des appels</w:t>
            </w:r>
          </w:p>
          <w:p w:rsidR="00BB37C4" w:rsidRPr="008047CE" w:rsidRDefault="00BB37C4" w:rsidP="00EE6F1A">
            <w:pPr>
              <w:jc w:val="both"/>
              <w:rPr>
                <w:rFonts w:eastAsia="Calibri"/>
                <w:sz w:val="20"/>
                <w:lang w:val="fr-CA"/>
              </w:rPr>
            </w:pPr>
          </w:p>
        </w:tc>
      </w:tr>
      <w:tr w:rsidR="00BB37C4" w:rsidRPr="006A1EFB" w:rsidTr="00EE6F1A">
        <w:tblPrEx>
          <w:tblCellMar>
            <w:bottom w:w="0" w:type="dxa"/>
          </w:tblCellMar>
        </w:tblPrEx>
        <w:trPr>
          <w:gridAfter w:val="1"/>
          <w:wAfter w:w="16" w:type="pct"/>
        </w:trPr>
        <w:tc>
          <w:tcPr>
            <w:tcW w:w="2389" w:type="pct"/>
          </w:tcPr>
          <w:p w:rsidR="00BB37C4" w:rsidRPr="008047CE" w:rsidRDefault="00BB37C4" w:rsidP="00EE6F1A">
            <w:pPr>
              <w:jc w:val="both"/>
              <w:rPr>
                <w:rFonts w:eastAsia="Calibri"/>
                <w:sz w:val="20"/>
                <w:lang w:val="fr-CA"/>
              </w:rPr>
            </w:pPr>
            <w:r w:rsidRPr="008047CE">
              <w:rPr>
                <w:rFonts w:eastAsia="Calibri"/>
                <w:sz w:val="20"/>
                <w:lang w:val="fr-CA"/>
              </w:rPr>
              <w:t>29 septembre 2014</w:t>
            </w:r>
          </w:p>
          <w:p w:rsidR="00BB37C4" w:rsidRPr="008047CE" w:rsidRDefault="00BB37C4" w:rsidP="00EE6F1A">
            <w:pPr>
              <w:jc w:val="both"/>
              <w:rPr>
                <w:rFonts w:eastAsia="Calibri"/>
                <w:sz w:val="20"/>
                <w:lang w:val="fr-CA"/>
              </w:rPr>
            </w:pPr>
            <w:r w:rsidRPr="008047CE">
              <w:rPr>
                <w:rFonts w:eastAsia="Calibri"/>
                <w:sz w:val="20"/>
                <w:lang w:val="fr-CA"/>
              </w:rPr>
              <w:t>Cour suprême du Canada</w:t>
            </w:r>
          </w:p>
        </w:tc>
        <w:tc>
          <w:tcPr>
            <w:tcW w:w="270" w:type="pct"/>
          </w:tcPr>
          <w:p w:rsidR="00BB37C4" w:rsidRPr="008047CE" w:rsidRDefault="00BB37C4" w:rsidP="00EE6F1A">
            <w:pPr>
              <w:jc w:val="both"/>
              <w:rPr>
                <w:rFonts w:eastAsia="Calibri"/>
                <w:sz w:val="20"/>
                <w:lang w:val="fr-CA"/>
              </w:rPr>
            </w:pPr>
          </w:p>
        </w:tc>
        <w:tc>
          <w:tcPr>
            <w:tcW w:w="2324" w:type="pct"/>
          </w:tcPr>
          <w:p w:rsidR="00BB37C4" w:rsidRPr="008047CE" w:rsidRDefault="00BB37C4" w:rsidP="00EE6F1A">
            <w:pPr>
              <w:jc w:val="both"/>
              <w:rPr>
                <w:rFonts w:eastAsia="Calibri"/>
                <w:sz w:val="20"/>
                <w:lang w:val="fr-CA"/>
              </w:rPr>
            </w:pPr>
            <w:r w:rsidRPr="008047CE">
              <w:rPr>
                <w:rFonts w:eastAsia="Calibri"/>
                <w:sz w:val="20"/>
                <w:lang w:val="fr-CA"/>
              </w:rPr>
              <w:t>Dépôt de la demande d’autorisation d’appel</w:t>
            </w:r>
          </w:p>
        </w:tc>
      </w:tr>
    </w:tbl>
    <w:p w:rsidR="00611550" w:rsidRPr="00BB37C4" w:rsidRDefault="00611550" w:rsidP="000E2959">
      <w:pPr>
        <w:rPr>
          <w:sz w:val="20"/>
          <w:szCs w:val="20"/>
          <w:lang w:val="fr-CA"/>
        </w:rPr>
      </w:pPr>
    </w:p>
    <w:p w:rsidR="00611550" w:rsidRDefault="008A5B26" w:rsidP="000E2959">
      <w:pPr>
        <w:rPr>
          <w:sz w:val="20"/>
          <w:szCs w:val="20"/>
          <w:lang w:val="fr-CA"/>
        </w:rPr>
      </w:pPr>
      <w:r>
        <w:rPr>
          <w:sz w:val="20"/>
          <w:szCs w:val="20"/>
          <w:lang w:val="fr-CA"/>
        </w:rPr>
        <w:pict>
          <v:rect id="_x0000_i1041" style="width:2in;height:1pt" o:hrpct="0" o:hralign="center" o:hrstd="t" o:hrnoshade="t" o:hr="t" fillcolor="black [3213]" stroked="f"/>
        </w:pict>
      </w:r>
    </w:p>
    <w:p w:rsidR="00BB37C4" w:rsidRDefault="00BB37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21805" w:rsidRPr="000E19FC" w:rsidTr="00263E08">
        <w:tc>
          <w:tcPr>
            <w:tcW w:w="1458" w:type="dxa"/>
          </w:tcPr>
          <w:p w:rsidR="00021805" w:rsidRPr="000E19FC" w:rsidRDefault="00021805" w:rsidP="00EE6F1A">
            <w:pPr>
              <w:rPr>
                <w:sz w:val="20"/>
                <w:szCs w:val="20"/>
              </w:rPr>
            </w:pPr>
            <w:r w:rsidRPr="000E19FC">
              <w:rPr>
                <w:rStyle w:val="SCCFileNumberChar"/>
                <w:sz w:val="20"/>
                <w:szCs w:val="20"/>
              </w:rPr>
              <w:t>35976</w:t>
            </w:r>
          </w:p>
          <w:p w:rsidR="00021805" w:rsidRPr="000E19FC" w:rsidRDefault="00021805" w:rsidP="00EE6F1A">
            <w:pPr>
              <w:rPr>
                <w:b/>
                <w:sz w:val="20"/>
                <w:szCs w:val="20"/>
                <w:lang w:val="fr-CA"/>
              </w:rPr>
            </w:pPr>
          </w:p>
        </w:tc>
        <w:tc>
          <w:tcPr>
            <w:tcW w:w="8118" w:type="dxa"/>
          </w:tcPr>
          <w:p w:rsidR="00021805" w:rsidRPr="000E19FC" w:rsidRDefault="00021805" w:rsidP="00EE6F1A">
            <w:pPr>
              <w:rPr>
                <w:sz w:val="20"/>
                <w:szCs w:val="20"/>
              </w:rPr>
            </w:pPr>
            <w:r w:rsidRPr="00021805">
              <w:rPr>
                <w:rStyle w:val="SCCLsocChar"/>
                <w:sz w:val="20"/>
                <w:szCs w:val="20"/>
                <w:lang w:val="en-CA"/>
              </w:rPr>
              <w:t>Stefan Rosa v. Her Majesty the Queen</w:t>
            </w:r>
            <w:r w:rsidRPr="000E19FC">
              <w:rPr>
                <w:sz w:val="20"/>
                <w:szCs w:val="20"/>
              </w:rPr>
              <w:t xml:space="preserve"> (Ont.) (Criminal) (By Leave)</w:t>
            </w:r>
          </w:p>
          <w:p w:rsidR="00021805" w:rsidRPr="000E19FC" w:rsidRDefault="00021805" w:rsidP="00EE6F1A">
            <w:pPr>
              <w:rPr>
                <w:sz w:val="20"/>
                <w:szCs w:val="20"/>
              </w:rPr>
            </w:pPr>
          </w:p>
        </w:tc>
      </w:tr>
      <w:tr w:rsidR="00021805" w:rsidRPr="000E19FC" w:rsidTr="00263E08">
        <w:tc>
          <w:tcPr>
            <w:tcW w:w="1458" w:type="dxa"/>
          </w:tcPr>
          <w:p w:rsidR="00021805" w:rsidRPr="000E19FC" w:rsidRDefault="00021805" w:rsidP="00EE6F1A">
            <w:pPr>
              <w:rPr>
                <w:sz w:val="20"/>
                <w:szCs w:val="20"/>
              </w:rPr>
            </w:pPr>
            <w:r w:rsidRPr="000E19FC">
              <w:rPr>
                <w:sz w:val="20"/>
                <w:szCs w:val="20"/>
              </w:rPr>
              <w:t>Coram :</w:t>
            </w:r>
          </w:p>
        </w:tc>
        <w:tc>
          <w:tcPr>
            <w:tcW w:w="8118" w:type="dxa"/>
          </w:tcPr>
          <w:p w:rsidR="00021805" w:rsidRPr="000E19FC" w:rsidRDefault="00021805" w:rsidP="00EE6F1A">
            <w:pPr>
              <w:rPr>
                <w:sz w:val="20"/>
                <w:szCs w:val="20"/>
              </w:rPr>
            </w:pPr>
            <w:r w:rsidRPr="00021805">
              <w:rPr>
                <w:rStyle w:val="SCCCoramChar"/>
                <w:sz w:val="20"/>
                <w:szCs w:val="20"/>
                <w:lang w:val="en-CA"/>
              </w:rPr>
              <w:t>Rothstein, Cromwell and Moldaver JJ.</w:t>
            </w:r>
          </w:p>
          <w:p w:rsidR="00021805" w:rsidRPr="000E19FC" w:rsidRDefault="00021805" w:rsidP="00EE6F1A">
            <w:pPr>
              <w:rPr>
                <w:sz w:val="20"/>
                <w:szCs w:val="20"/>
                <w:u w:val="single"/>
              </w:rPr>
            </w:pPr>
          </w:p>
        </w:tc>
      </w:tr>
      <w:tr w:rsidR="00021805" w:rsidRPr="000E19FC" w:rsidTr="00263E08">
        <w:tc>
          <w:tcPr>
            <w:tcW w:w="9576" w:type="dxa"/>
            <w:gridSpan w:val="2"/>
          </w:tcPr>
          <w:p w:rsidR="00021805" w:rsidRPr="000E19FC" w:rsidRDefault="00021805" w:rsidP="00EE6F1A">
            <w:pPr>
              <w:pStyle w:val="SCCShortJudgment"/>
              <w:rPr>
                <w:szCs w:val="20"/>
              </w:rPr>
            </w:pPr>
            <w:r w:rsidRPr="000E19FC">
              <w:rPr>
                <w:szCs w:val="20"/>
              </w:rPr>
              <w:t xml:space="preserve">The motion to join files 35976 and 35974 is granted. The application for leave to appeal from the judgment of the Court of Appeal for Ontario, Number C51606, 2014 ONCA 561, dated July 23, 2014, is dismissed without </w:t>
            </w:r>
            <w:r w:rsidRPr="000E19FC">
              <w:rPr>
                <w:szCs w:val="20"/>
              </w:rPr>
              <w:lastRenderedPageBreak/>
              <w:t>costs.</w:t>
            </w:r>
          </w:p>
          <w:p w:rsidR="00021805" w:rsidRPr="000E19FC" w:rsidRDefault="00021805" w:rsidP="00EE6F1A">
            <w:pPr>
              <w:pStyle w:val="SCCShortJudgment"/>
              <w:ind w:firstLine="0"/>
              <w:rPr>
                <w:szCs w:val="20"/>
              </w:rPr>
            </w:pPr>
          </w:p>
          <w:p w:rsidR="00021805" w:rsidRPr="000E19FC" w:rsidRDefault="00021805" w:rsidP="00EE6F1A">
            <w:pPr>
              <w:pStyle w:val="SCCShortJudgment"/>
              <w:rPr>
                <w:szCs w:val="20"/>
                <w:lang w:val="fr-CA"/>
              </w:rPr>
            </w:pPr>
            <w:r w:rsidRPr="000E19FC">
              <w:rPr>
                <w:szCs w:val="20"/>
                <w:lang w:val="fr-CA"/>
              </w:rPr>
              <w:t>La requête pour joindre les dossiers 35976 et 35974 est accueillie. La demande d’autorisation d’appel de l’arrêt de la Cour d’appel de l’Ontario, numéro C51606, 2014 ONCA 561, daté du 23 juillet 2014, est rejetée sans dépens.</w:t>
            </w:r>
          </w:p>
        </w:tc>
      </w:tr>
    </w:tbl>
    <w:p w:rsidR="00611550" w:rsidRPr="00021805" w:rsidRDefault="00611550" w:rsidP="000E2959">
      <w:pPr>
        <w:rPr>
          <w:sz w:val="20"/>
          <w:szCs w:val="20"/>
          <w:lang w:val="fr-CA"/>
        </w:rPr>
      </w:pPr>
    </w:p>
    <w:p w:rsidR="00611550" w:rsidRPr="001B157C" w:rsidRDefault="00611550" w:rsidP="00611550">
      <w:pPr>
        <w:rPr>
          <w:sz w:val="20"/>
          <w:szCs w:val="20"/>
          <w:u w:val="single"/>
        </w:rPr>
      </w:pPr>
      <w:r w:rsidRPr="001B157C">
        <w:rPr>
          <w:sz w:val="20"/>
          <w:szCs w:val="20"/>
          <w:u w:val="single"/>
        </w:rPr>
        <w:t>CASE SUMMARY</w:t>
      </w:r>
    </w:p>
    <w:p w:rsidR="00611550" w:rsidRDefault="00611550" w:rsidP="0061155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B37C4" w:rsidRPr="008047CE" w:rsidTr="00EE6F1A">
        <w:tc>
          <w:tcPr>
            <w:tcW w:w="5000" w:type="pct"/>
            <w:gridSpan w:val="3"/>
          </w:tcPr>
          <w:p w:rsidR="00BB37C4" w:rsidRPr="008047CE" w:rsidRDefault="00BB37C4" w:rsidP="00EE6F1A">
            <w:pPr>
              <w:jc w:val="both"/>
              <w:rPr>
                <w:rFonts w:eastAsia="Calibri"/>
                <w:sz w:val="20"/>
              </w:rPr>
            </w:pPr>
            <w:r w:rsidRPr="008047CE">
              <w:rPr>
                <w:rFonts w:eastAsia="Calibri"/>
                <w:i/>
                <w:sz w:val="20"/>
              </w:rPr>
              <w:t xml:space="preserve">Charter </w:t>
            </w:r>
            <w:r w:rsidRPr="008047CE">
              <w:rPr>
                <w:rFonts w:eastAsia="Calibri"/>
                <w:smallCaps/>
                <w:sz w:val="20"/>
              </w:rPr>
              <w:t xml:space="preserve">— </w:t>
            </w:r>
            <w:r w:rsidRPr="008047CE">
              <w:rPr>
                <w:rFonts w:eastAsia="Calibri"/>
                <w:sz w:val="20"/>
              </w:rPr>
              <w:t xml:space="preserve">Criminal </w:t>
            </w:r>
            <w:r w:rsidRPr="008047CE">
              <w:rPr>
                <w:rFonts w:eastAsia="Calibri"/>
                <w:smallCaps/>
                <w:sz w:val="20"/>
              </w:rPr>
              <w:t xml:space="preserve">— </w:t>
            </w:r>
            <w:r w:rsidRPr="008047CE">
              <w:rPr>
                <w:rFonts w:eastAsia="Calibri"/>
                <w:sz w:val="20"/>
              </w:rPr>
              <w:t xml:space="preserve">Interception of private communications </w:t>
            </w:r>
            <w:r w:rsidRPr="008047CE">
              <w:rPr>
                <w:rFonts w:eastAsia="Calibri"/>
                <w:smallCaps/>
                <w:sz w:val="20"/>
              </w:rPr>
              <w:t xml:space="preserve">— </w:t>
            </w:r>
            <w:r w:rsidRPr="008047CE">
              <w:rPr>
                <w:rFonts w:eastAsia="Calibri"/>
                <w:sz w:val="20"/>
              </w:rPr>
              <w:t xml:space="preserve">Search and seizure </w:t>
            </w:r>
            <w:r w:rsidRPr="008047CE">
              <w:rPr>
                <w:rFonts w:eastAsia="Calibri"/>
                <w:smallCaps/>
                <w:sz w:val="20"/>
              </w:rPr>
              <w:t xml:space="preserve">— </w:t>
            </w:r>
            <w:r w:rsidRPr="008047CE">
              <w:rPr>
                <w:rFonts w:eastAsia="Calibri"/>
                <w:sz w:val="20"/>
              </w:rPr>
              <w:t xml:space="preserve">Trial </w:t>
            </w:r>
            <w:r w:rsidRPr="008047CE">
              <w:rPr>
                <w:rFonts w:eastAsia="Calibri"/>
                <w:smallCaps/>
                <w:sz w:val="20"/>
              </w:rPr>
              <w:t xml:space="preserve">— </w:t>
            </w:r>
            <w:r w:rsidRPr="008047CE">
              <w:rPr>
                <w:rFonts w:eastAsia="Calibri"/>
                <w:sz w:val="20"/>
              </w:rPr>
              <w:t xml:space="preserve">Procedure </w:t>
            </w:r>
            <w:r w:rsidRPr="008047CE">
              <w:rPr>
                <w:rFonts w:eastAsia="Calibri"/>
                <w:smallCaps/>
                <w:sz w:val="20"/>
              </w:rPr>
              <w:t xml:space="preserve">— </w:t>
            </w:r>
            <w:r w:rsidRPr="008047CE">
              <w:rPr>
                <w:rFonts w:eastAsia="Calibri"/>
                <w:sz w:val="20"/>
              </w:rPr>
              <w:t xml:space="preserve">Whether s. 186 (1.1) of the </w:t>
            </w:r>
            <w:r w:rsidRPr="008047CE">
              <w:rPr>
                <w:rFonts w:eastAsia="Calibri"/>
                <w:i/>
                <w:sz w:val="20"/>
              </w:rPr>
              <w:t>Criminal Code</w:t>
            </w:r>
            <w:r w:rsidRPr="008047CE">
              <w:rPr>
                <w:rFonts w:eastAsia="Calibri"/>
                <w:sz w:val="20"/>
              </w:rPr>
              <w:t xml:space="preserve"> is unconstitutional </w:t>
            </w:r>
            <w:r w:rsidRPr="008047CE">
              <w:rPr>
                <w:rFonts w:eastAsia="Calibri"/>
                <w:smallCaps/>
                <w:sz w:val="20"/>
              </w:rPr>
              <w:t xml:space="preserve">— </w:t>
            </w:r>
            <w:r w:rsidRPr="008047CE">
              <w:rPr>
                <w:rFonts w:eastAsia="Calibri"/>
                <w:sz w:val="20"/>
              </w:rPr>
              <w:t xml:space="preserve">Whether s. 487.01 of the </w:t>
            </w:r>
            <w:r w:rsidRPr="008047CE">
              <w:rPr>
                <w:rFonts w:eastAsia="Calibri"/>
                <w:i/>
                <w:sz w:val="20"/>
              </w:rPr>
              <w:t xml:space="preserve">Criminal Code </w:t>
            </w:r>
            <w:r w:rsidRPr="008047CE">
              <w:rPr>
                <w:rFonts w:eastAsia="Calibri"/>
                <w:sz w:val="20"/>
              </w:rPr>
              <w:t xml:space="preserve">is unconstitutional </w:t>
            </w:r>
            <w:r w:rsidRPr="008047CE">
              <w:rPr>
                <w:rFonts w:eastAsia="Calibri"/>
                <w:smallCaps/>
                <w:sz w:val="20"/>
              </w:rPr>
              <w:t xml:space="preserve">— </w:t>
            </w:r>
            <w:r w:rsidRPr="008047CE">
              <w:rPr>
                <w:rFonts w:eastAsia="Calibri"/>
                <w:sz w:val="20"/>
              </w:rPr>
              <w:t xml:space="preserve">Whether Court of Appeal erred in concluding that the general warrants did not impermissibly delegate the judge’s discretion to the police though an unconstitutionally broad “triggering event” </w:t>
            </w:r>
            <w:r w:rsidRPr="008047CE">
              <w:rPr>
                <w:rFonts w:eastAsia="Calibri"/>
                <w:smallCaps/>
                <w:sz w:val="20"/>
              </w:rPr>
              <w:t xml:space="preserve">— </w:t>
            </w:r>
            <w:r w:rsidRPr="008047CE">
              <w:rPr>
                <w:rFonts w:eastAsia="Calibri"/>
                <w:sz w:val="20"/>
              </w:rPr>
              <w:t xml:space="preserve">Whether accused improperly excluded from trial contrary to section 650(1) of the </w:t>
            </w:r>
            <w:r w:rsidRPr="008047CE">
              <w:rPr>
                <w:rFonts w:eastAsia="Calibri"/>
                <w:i/>
                <w:sz w:val="20"/>
              </w:rPr>
              <w:t>Criminal Code</w:t>
            </w:r>
            <w:r w:rsidRPr="008047CE">
              <w:rPr>
                <w:rFonts w:eastAsia="Calibri"/>
                <w:sz w:val="20"/>
              </w:rPr>
              <w:t xml:space="preserve"> and s. 7 of the </w:t>
            </w:r>
            <w:r w:rsidRPr="008047CE">
              <w:rPr>
                <w:rFonts w:eastAsia="Calibri"/>
                <w:i/>
                <w:sz w:val="20"/>
              </w:rPr>
              <w:t>Charter</w:t>
            </w:r>
            <w:r w:rsidRPr="008047CE">
              <w:rPr>
                <w:rFonts w:eastAsia="Calibri"/>
                <w:sz w:val="20"/>
              </w:rPr>
              <w:t>.</w:t>
            </w:r>
          </w:p>
          <w:p w:rsidR="00BB37C4" w:rsidRPr="008047CE" w:rsidRDefault="00BB37C4" w:rsidP="00EE6F1A">
            <w:pPr>
              <w:jc w:val="both"/>
              <w:rPr>
                <w:rFonts w:eastAsia="Calibri"/>
                <w:sz w:val="20"/>
              </w:rPr>
            </w:pPr>
          </w:p>
        </w:tc>
      </w:tr>
      <w:tr w:rsidR="00BB37C4" w:rsidRPr="008047CE" w:rsidTr="00EE6F1A">
        <w:tc>
          <w:tcPr>
            <w:tcW w:w="5000" w:type="pct"/>
            <w:gridSpan w:val="3"/>
          </w:tcPr>
          <w:p w:rsidR="00BB37C4" w:rsidRPr="008047CE" w:rsidRDefault="00BB37C4" w:rsidP="00EE6F1A">
            <w:pPr>
              <w:jc w:val="both"/>
              <w:rPr>
                <w:rFonts w:eastAsia="Calibri"/>
                <w:sz w:val="20"/>
              </w:rPr>
            </w:pPr>
            <w:r w:rsidRPr="008047CE">
              <w:rPr>
                <w:rFonts w:eastAsia="Calibri"/>
                <w:sz w:val="20"/>
              </w:rPr>
              <w:t xml:space="preserve">The applicant and several co-accused were charged with firearms and drug charges following a large scale police investigation into the activities of an alleged criminal gang known as the “Doomstown Crips.”  They were also charged with having committed the offences for the benefit of a criminal organization.  There were several pre-trial; rulings in three of these are at issue in the leave application.  There were two pre-trial motions for declarations of constitutional invalidity of two provisions of the </w:t>
            </w:r>
            <w:r w:rsidRPr="008047CE">
              <w:rPr>
                <w:rFonts w:eastAsia="Calibri"/>
                <w:i/>
                <w:sz w:val="20"/>
              </w:rPr>
              <w:t>Criminal Code</w:t>
            </w:r>
            <w:r w:rsidRPr="008047CE">
              <w:rPr>
                <w:rFonts w:eastAsia="Calibri"/>
                <w:sz w:val="20"/>
              </w:rPr>
              <w:t xml:space="preserve">, s. 186(1.1) and s. 487.01.  Both motions were dismissed.  The third ruling related to an </w:t>
            </w:r>
            <w:r w:rsidRPr="008047CE">
              <w:rPr>
                <w:rFonts w:eastAsia="Calibri"/>
                <w:i/>
                <w:sz w:val="20"/>
              </w:rPr>
              <w:t>in camera ex parte</w:t>
            </w:r>
            <w:r w:rsidRPr="008047CE">
              <w:rPr>
                <w:rFonts w:eastAsia="Calibri"/>
                <w:sz w:val="20"/>
              </w:rPr>
              <w:t xml:space="preserve"> proceeding to determine whether certain individuals were confidential informers.  The applicant and his co-accused were convicted at a trial before judge and jury and appealed their convictions to the Court of Appeal for Ontario.  Their appeals were dismissed.</w:t>
            </w:r>
          </w:p>
          <w:p w:rsidR="00BB37C4" w:rsidRPr="008047CE" w:rsidRDefault="00BB37C4" w:rsidP="00EE6F1A">
            <w:pPr>
              <w:jc w:val="both"/>
              <w:rPr>
                <w:rFonts w:eastAsia="Calibri"/>
                <w:sz w:val="20"/>
              </w:rPr>
            </w:pPr>
          </w:p>
        </w:tc>
      </w:tr>
      <w:tr w:rsidR="00BB37C4" w:rsidRPr="008047CE" w:rsidTr="00EE6F1A">
        <w:tc>
          <w:tcPr>
            <w:tcW w:w="2427" w:type="pct"/>
          </w:tcPr>
          <w:p w:rsidR="00BB37C4" w:rsidRPr="008047CE" w:rsidRDefault="00BB37C4" w:rsidP="00EE6F1A">
            <w:pPr>
              <w:jc w:val="both"/>
              <w:rPr>
                <w:rFonts w:eastAsia="Calibri"/>
                <w:sz w:val="20"/>
              </w:rPr>
            </w:pPr>
            <w:r w:rsidRPr="008047CE">
              <w:rPr>
                <w:rFonts w:eastAsia="Calibri"/>
                <w:sz w:val="20"/>
              </w:rPr>
              <w:t>April 17, 2009</w:t>
            </w:r>
          </w:p>
          <w:p w:rsidR="00BB37C4" w:rsidRPr="008047CE" w:rsidRDefault="00BB37C4" w:rsidP="00EE6F1A">
            <w:pPr>
              <w:jc w:val="both"/>
              <w:rPr>
                <w:rFonts w:eastAsia="Calibri"/>
                <w:sz w:val="20"/>
              </w:rPr>
            </w:pPr>
            <w:r w:rsidRPr="008047CE">
              <w:rPr>
                <w:rFonts w:eastAsia="Calibri"/>
                <w:sz w:val="20"/>
              </w:rPr>
              <w:t>Ontario Superior Court of Justice</w:t>
            </w:r>
          </w:p>
          <w:p w:rsidR="00BB37C4" w:rsidRPr="008047CE" w:rsidRDefault="00BB37C4" w:rsidP="00EE6F1A">
            <w:pPr>
              <w:jc w:val="both"/>
              <w:rPr>
                <w:rFonts w:eastAsia="Calibri"/>
                <w:sz w:val="20"/>
              </w:rPr>
            </w:pPr>
            <w:r w:rsidRPr="008047CE">
              <w:rPr>
                <w:rFonts w:eastAsia="Calibri"/>
                <w:sz w:val="20"/>
              </w:rPr>
              <w:t>(Nordheimer J.)</w:t>
            </w:r>
          </w:p>
          <w:p w:rsidR="00BB37C4" w:rsidRPr="008047CE" w:rsidRDefault="00BB37C4" w:rsidP="00EE6F1A">
            <w:pPr>
              <w:jc w:val="both"/>
              <w:rPr>
                <w:rFonts w:eastAsia="Calibri"/>
                <w:sz w:val="20"/>
              </w:rPr>
            </w:pPr>
          </w:p>
        </w:tc>
        <w:tc>
          <w:tcPr>
            <w:tcW w:w="243" w:type="pct"/>
          </w:tcPr>
          <w:p w:rsidR="00BB37C4" w:rsidRPr="008047CE" w:rsidRDefault="00BB37C4" w:rsidP="00EE6F1A">
            <w:pPr>
              <w:jc w:val="both"/>
              <w:rPr>
                <w:rFonts w:eastAsia="Calibri"/>
                <w:sz w:val="20"/>
              </w:rPr>
            </w:pPr>
          </w:p>
        </w:tc>
        <w:tc>
          <w:tcPr>
            <w:tcW w:w="2330" w:type="pct"/>
          </w:tcPr>
          <w:p w:rsidR="00BB37C4" w:rsidRPr="008047CE" w:rsidRDefault="00BB37C4" w:rsidP="00EE6F1A">
            <w:pPr>
              <w:jc w:val="both"/>
              <w:rPr>
                <w:rFonts w:eastAsia="Calibri"/>
                <w:sz w:val="20"/>
              </w:rPr>
            </w:pPr>
            <w:r w:rsidRPr="008047CE">
              <w:rPr>
                <w:rFonts w:eastAsia="Calibri"/>
                <w:sz w:val="20"/>
              </w:rPr>
              <w:t xml:space="preserve">Pre-trial ruling on constitutionality of s. 186(1.1) of the </w:t>
            </w:r>
            <w:r w:rsidRPr="008047CE">
              <w:rPr>
                <w:rFonts w:eastAsia="Calibri"/>
                <w:i/>
                <w:sz w:val="20"/>
              </w:rPr>
              <w:t>Criminal Code</w:t>
            </w:r>
            <w:r w:rsidRPr="008047CE">
              <w:rPr>
                <w:rFonts w:eastAsia="Calibri"/>
                <w:sz w:val="20"/>
              </w:rPr>
              <w:t>:  applicants’ motion for declaration of invalidity denied</w:t>
            </w:r>
          </w:p>
          <w:p w:rsidR="00BB37C4" w:rsidRPr="008047CE" w:rsidRDefault="00BB37C4" w:rsidP="00EE6F1A">
            <w:pPr>
              <w:jc w:val="both"/>
              <w:rPr>
                <w:rFonts w:eastAsia="Calibri"/>
                <w:sz w:val="20"/>
              </w:rPr>
            </w:pPr>
          </w:p>
        </w:tc>
      </w:tr>
      <w:tr w:rsidR="00BB37C4" w:rsidRPr="008047CE" w:rsidTr="00EE6F1A">
        <w:tc>
          <w:tcPr>
            <w:tcW w:w="2427" w:type="pct"/>
          </w:tcPr>
          <w:p w:rsidR="00BB37C4" w:rsidRPr="008047CE" w:rsidRDefault="00BB37C4" w:rsidP="00EE6F1A">
            <w:pPr>
              <w:jc w:val="both"/>
              <w:rPr>
                <w:rFonts w:eastAsia="Calibri"/>
                <w:sz w:val="20"/>
              </w:rPr>
            </w:pPr>
            <w:r w:rsidRPr="008047CE">
              <w:rPr>
                <w:rFonts w:eastAsia="Calibri"/>
                <w:sz w:val="20"/>
              </w:rPr>
              <w:t>June 12, 2009</w:t>
            </w:r>
          </w:p>
          <w:p w:rsidR="00BB37C4" w:rsidRPr="008047CE" w:rsidRDefault="00BB37C4" w:rsidP="00EE6F1A">
            <w:pPr>
              <w:jc w:val="both"/>
              <w:rPr>
                <w:rFonts w:eastAsia="Calibri"/>
                <w:sz w:val="20"/>
              </w:rPr>
            </w:pPr>
            <w:r w:rsidRPr="008047CE">
              <w:rPr>
                <w:rFonts w:eastAsia="Calibri"/>
                <w:sz w:val="20"/>
              </w:rPr>
              <w:t>Ontario Superior Court of Justice</w:t>
            </w:r>
          </w:p>
          <w:p w:rsidR="00BB37C4" w:rsidRPr="008047CE" w:rsidRDefault="00BB37C4" w:rsidP="00EE6F1A">
            <w:pPr>
              <w:jc w:val="both"/>
              <w:rPr>
                <w:rFonts w:eastAsia="Calibri"/>
                <w:sz w:val="20"/>
              </w:rPr>
            </w:pPr>
            <w:r w:rsidRPr="008047CE">
              <w:rPr>
                <w:rFonts w:eastAsia="Calibri"/>
                <w:sz w:val="20"/>
              </w:rPr>
              <w:t>(Nordheimer J.)</w:t>
            </w:r>
          </w:p>
          <w:p w:rsidR="00BB37C4" w:rsidRPr="008047CE" w:rsidRDefault="00BB37C4" w:rsidP="00EE6F1A">
            <w:pPr>
              <w:jc w:val="both"/>
              <w:rPr>
                <w:rFonts w:eastAsia="Calibri"/>
                <w:sz w:val="20"/>
              </w:rPr>
            </w:pPr>
          </w:p>
        </w:tc>
        <w:tc>
          <w:tcPr>
            <w:tcW w:w="243" w:type="pct"/>
          </w:tcPr>
          <w:p w:rsidR="00BB37C4" w:rsidRPr="008047CE" w:rsidRDefault="00BB37C4" w:rsidP="00EE6F1A">
            <w:pPr>
              <w:jc w:val="both"/>
              <w:rPr>
                <w:rFonts w:eastAsia="Calibri"/>
                <w:sz w:val="20"/>
              </w:rPr>
            </w:pPr>
          </w:p>
        </w:tc>
        <w:tc>
          <w:tcPr>
            <w:tcW w:w="2330" w:type="pct"/>
          </w:tcPr>
          <w:p w:rsidR="00BB37C4" w:rsidRPr="008047CE" w:rsidRDefault="00BB37C4" w:rsidP="00EE6F1A">
            <w:pPr>
              <w:jc w:val="both"/>
              <w:rPr>
                <w:rFonts w:eastAsia="Calibri"/>
                <w:sz w:val="20"/>
              </w:rPr>
            </w:pPr>
            <w:r w:rsidRPr="008047CE">
              <w:rPr>
                <w:rFonts w:eastAsia="Calibri"/>
                <w:sz w:val="20"/>
              </w:rPr>
              <w:t xml:space="preserve">Pre-trial ruling on constitutionality of s. 487.01 of the </w:t>
            </w:r>
            <w:r w:rsidRPr="008047CE">
              <w:rPr>
                <w:rFonts w:eastAsia="Calibri"/>
                <w:i/>
                <w:sz w:val="20"/>
              </w:rPr>
              <w:t>Criminal Code</w:t>
            </w:r>
            <w:r w:rsidRPr="008047CE">
              <w:rPr>
                <w:rFonts w:eastAsia="Calibri"/>
                <w:sz w:val="20"/>
              </w:rPr>
              <w:t>:  applicants’ motion for declaration of invalidity denied</w:t>
            </w:r>
          </w:p>
          <w:p w:rsidR="00BB37C4" w:rsidRPr="008047CE" w:rsidRDefault="00BB37C4" w:rsidP="00EE6F1A">
            <w:pPr>
              <w:jc w:val="both"/>
              <w:rPr>
                <w:rFonts w:eastAsia="Calibri"/>
                <w:sz w:val="20"/>
              </w:rPr>
            </w:pPr>
          </w:p>
        </w:tc>
      </w:tr>
      <w:tr w:rsidR="00BB37C4" w:rsidRPr="008047CE" w:rsidTr="00EE6F1A">
        <w:tc>
          <w:tcPr>
            <w:tcW w:w="2427" w:type="pct"/>
          </w:tcPr>
          <w:p w:rsidR="00BB37C4" w:rsidRPr="008047CE" w:rsidRDefault="00BB37C4" w:rsidP="00EE6F1A">
            <w:pPr>
              <w:jc w:val="both"/>
              <w:rPr>
                <w:rFonts w:eastAsia="Calibri"/>
                <w:sz w:val="20"/>
              </w:rPr>
            </w:pPr>
            <w:r w:rsidRPr="008047CE">
              <w:rPr>
                <w:rFonts w:eastAsia="Calibri"/>
                <w:sz w:val="20"/>
              </w:rPr>
              <w:t>December 8, 2009</w:t>
            </w:r>
          </w:p>
          <w:p w:rsidR="00BB37C4" w:rsidRPr="008047CE" w:rsidRDefault="00BB37C4" w:rsidP="00EE6F1A">
            <w:pPr>
              <w:jc w:val="both"/>
              <w:rPr>
                <w:rFonts w:eastAsia="Calibri"/>
                <w:sz w:val="20"/>
              </w:rPr>
            </w:pPr>
            <w:r w:rsidRPr="008047CE">
              <w:rPr>
                <w:rFonts w:eastAsia="Calibri"/>
                <w:sz w:val="20"/>
              </w:rPr>
              <w:t>Ontario Superior Court of Justice</w:t>
            </w:r>
          </w:p>
          <w:p w:rsidR="00BB37C4" w:rsidRPr="008047CE" w:rsidRDefault="00BB37C4" w:rsidP="00EE6F1A">
            <w:pPr>
              <w:jc w:val="both"/>
              <w:rPr>
                <w:rFonts w:eastAsia="Calibri"/>
                <w:sz w:val="20"/>
              </w:rPr>
            </w:pPr>
            <w:r w:rsidRPr="008047CE">
              <w:rPr>
                <w:rFonts w:eastAsia="Calibri"/>
                <w:sz w:val="20"/>
              </w:rPr>
              <w:t>(Nordheimer J.)</w:t>
            </w:r>
          </w:p>
          <w:p w:rsidR="00BB37C4" w:rsidRPr="008047CE" w:rsidRDefault="00BB37C4" w:rsidP="00EE6F1A">
            <w:pPr>
              <w:jc w:val="both"/>
              <w:rPr>
                <w:rFonts w:eastAsia="Calibri"/>
                <w:sz w:val="20"/>
              </w:rPr>
            </w:pPr>
          </w:p>
        </w:tc>
        <w:tc>
          <w:tcPr>
            <w:tcW w:w="243" w:type="pct"/>
          </w:tcPr>
          <w:p w:rsidR="00BB37C4" w:rsidRPr="008047CE" w:rsidRDefault="00BB37C4" w:rsidP="00EE6F1A">
            <w:pPr>
              <w:jc w:val="both"/>
              <w:rPr>
                <w:rFonts w:eastAsia="Calibri"/>
                <w:sz w:val="20"/>
              </w:rPr>
            </w:pPr>
          </w:p>
        </w:tc>
        <w:tc>
          <w:tcPr>
            <w:tcW w:w="2330" w:type="pct"/>
          </w:tcPr>
          <w:p w:rsidR="00BB37C4" w:rsidRPr="008047CE" w:rsidRDefault="00BB37C4" w:rsidP="00EE6F1A">
            <w:pPr>
              <w:jc w:val="both"/>
              <w:rPr>
                <w:rFonts w:eastAsia="Calibri"/>
                <w:sz w:val="20"/>
              </w:rPr>
            </w:pPr>
            <w:r w:rsidRPr="008047CE">
              <w:rPr>
                <w:rFonts w:eastAsia="Calibri"/>
                <w:sz w:val="20"/>
              </w:rPr>
              <w:t>Convictions:  conspiracy to traffic in cocaine and possession of the proceeds of crime</w:t>
            </w:r>
          </w:p>
        </w:tc>
      </w:tr>
      <w:tr w:rsidR="00BB37C4" w:rsidRPr="008047CE" w:rsidTr="00EE6F1A">
        <w:tc>
          <w:tcPr>
            <w:tcW w:w="2427" w:type="pct"/>
          </w:tcPr>
          <w:p w:rsidR="00BB37C4" w:rsidRPr="008047CE" w:rsidRDefault="00BB37C4" w:rsidP="00EE6F1A">
            <w:pPr>
              <w:jc w:val="both"/>
              <w:rPr>
                <w:rFonts w:eastAsia="Calibri"/>
                <w:sz w:val="20"/>
              </w:rPr>
            </w:pPr>
            <w:r w:rsidRPr="008047CE">
              <w:rPr>
                <w:rFonts w:eastAsia="Calibri"/>
                <w:sz w:val="20"/>
              </w:rPr>
              <w:t>July 23, 2014</w:t>
            </w:r>
          </w:p>
          <w:p w:rsidR="00BB37C4" w:rsidRPr="008047CE" w:rsidRDefault="00BB37C4" w:rsidP="00EE6F1A">
            <w:pPr>
              <w:jc w:val="both"/>
              <w:rPr>
                <w:rFonts w:eastAsia="Calibri"/>
                <w:sz w:val="20"/>
              </w:rPr>
            </w:pPr>
            <w:r w:rsidRPr="008047CE">
              <w:rPr>
                <w:rFonts w:eastAsia="Calibri"/>
                <w:sz w:val="20"/>
              </w:rPr>
              <w:t>Court of Appeal for Ontario</w:t>
            </w:r>
          </w:p>
          <w:p w:rsidR="00BB37C4" w:rsidRPr="008047CE" w:rsidRDefault="00BB37C4" w:rsidP="00EE6F1A">
            <w:pPr>
              <w:jc w:val="both"/>
              <w:rPr>
                <w:rFonts w:eastAsia="Calibri"/>
                <w:sz w:val="20"/>
              </w:rPr>
            </w:pPr>
            <w:r w:rsidRPr="008047CE">
              <w:rPr>
                <w:rFonts w:eastAsia="Calibri"/>
                <w:sz w:val="20"/>
              </w:rPr>
              <w:t>(Rosenberg, Goudge and van Rensburg JJ.A.)</w:t>
            </w:r>
          </w:p>
          <w:p w:rsidR="00BB37C4" w:rsidRPr="008047CE" w:rsidRDefault="00BB37C4" w:rsidP="00EE6F1A">
            <w:pPr>
              <w:jc w:val="both"/>
              <w:rPr>
                <w:rFonts w:eastAsia="Calibri"/>
                <w:sz w:val="20"/>
              </w:rPr>
            </w:pPr>
            <w:r w:rsidRPr="008047CE">
              <w:rPr>
                <w:rFonts w:eastAsia="Calibri"/>
                <w:sz w:val="20"/>
              </w:rPr>
              <w:t xml:space="preserve">Neutral citation: </w:t>
            </w:r>
            <w:hyperlink r:id="rId26" w:history="1">
              <w:r w:rsidRPr="00F34021">
                <w:rPr>
                  <w:rFonts w:eastAsia="Calibri"/>
                  <w:color w:val="0000FF"/>
                  <w:sz w:val="20"/>
                  <w:u w:val="single"/>
                </w:rPr>
                <w:t>2014 ONCA 561</w:t>
              </w:r>
            </w:hyperlink>
          </w:p>
          <w:p w:rsidR="00BB37C4" w:rsidRPr="008047CE" w:rsidRDefault="00BB37C4" w:rsidP="00EE6F1A">
            <w:pPr>
              <w:jc w:val="both"/>
              <w:rPr>
                <w:rFonts w:eastAsia="Calibri"/>
                <w:sz w:val="20"/>
              </w:rPr>
            </w:pPr>
          </w:p>
        </w:tc>
        <w:tc>
          <w:tcPr>
            <w:tcW w:w="243" w:type="pct"/>
          </w:tcPr>
          <w:p w:rsidR="00BB37C4" w:rsidRPr="008047CE" w:rsidRDefault="00BB37C4" w:rsidP="00EE6F1A">
            <w:pPr>
              <w:jc w:val="both"/>
              <w:rPr>
                <w:rFonts w:eastAsia="Calibri"/>
                <w:sz w:val="20"/>
              </w:rPr>
            </w:pPr>
          </w:p>
        </w:tc>
        <w:tc>
          <w:tcPr>
            <w:tcW w:w="2330" w:type="pct"/>
          </w:tcPr>
          <w:p w:rsidR="00BB37C4" w:rsidRPr="008047CE" w:rsidRDefault="00BB37C4" w:rsidP="00EE6F1A">
            <w:pPr>
              <w:jc w:val="both"/>
              <w:rPr>
                <w:rFonts w:eastAsia="Calibri"/>
                <w:sz w:val="20"/>
              </w:rPr>
            </w:pPr>
            <w:r w:rsidRPr="008047CE">
              <w:rPr>
                <w:rFonts w:eastAsia="Calibri"/>
                <w:sz w:val="20"/>
              </w:rPr>
              <w:t>Appeals dismissed</w:t>
            </w:r>
          </w:p>
          <w:p w:rsidR="00BB37C4" w:rsidRPr="008047CE" w:rsidRDefault="00BB37C4" w:rsidP="00EE6F1A">
            <w:pPr>
              <w:jc w:val="both"/>
              <w:rPr>
                <w:rFonts w:eastAsia="Calibri"/>
                <w:sz w:val="20"/>
              </w:rPr>
            </w:pPr>
          </w:p>
        </w:tc>
      </w:tr>
      <w:tr w:rsidR="00BB37C4" w:rsidRPr="008047CE" w:rsidTr="00EE6F1A">
        <w:tc>
          <w:tcPr>
            <w:tcW w:w="2427" w:type="pct"/>
          </w:tcPr>
          <w:p w:rsidR="00BB37C4" w:rsidRPr="008047CE" w:rsidRDefault="00BB37C4" w:rsidP="00EE6F1A">
            <w:pPr>
              <w:jc w:val="both"/>
              <w:rPr>
                <w:rFonts w:eastAsia="Calibri"/>
                <w:sz w:val="20"/>
              </w:rPr>
            </w:pPr>
            <w:r w:rsidRPr="008047CE">
              <w:rPr>
                <w:rFonts w:eastAsia="Calibri"/>
                <w:sz w:val="20"/>
              </w:rPr>
              <w:t>September 29, 2014</w:t>
            </w:r>
          </w:p>
          <w:p w:rsidR="00BB37C4" w:rsidRPr="008047CE" w:rsidRDefault="00BB37C4" w:rsidP="00EE6F1A">
            <w:pPr>
              <w:jc w:val="both"/>
              <w:rPr>
                <w:rFonts w:eastAsia="Calibri"/>
                <w:sz w:val="20"/>
              </w:rPr>
            </w:pPr>
            <w:r w:rsidRPr="008047CE">
              <w:rPr>
                <w:rFonts w:eastAsia="Calibri"/>
                <w:sz w:val="20"/>
              </w:rPr>
              <w:t>Supreme Court of Canada</w:t>
            </w:r>
          </w:p>
        </w:tc>
        <w:tc>
          <w:tcPr>
            <w:tcW w:w="243" w:type="pct"/>
          </w:tcPr>
          <w:p w:rsidR="00BB37C4" w:rsidRPr="008047CE" w:rsidRDefault="00BB37C4" w:rsidP="00EE6F1A">
            <w:pPr>
              <w:jc w:val="both"/>
              <w:rPr>
                <w:rFonts w:eastAsia="Calibri"/>
                <w:sz w:val="20"/>
              </w:rPr>
            </w:pPr>
          </w:p>
        </w:tc>
        <w:tc>
          <w:tcPr>
            <w:tcW w:w="2330" w:type="pct"/>
          </w:tcPr>
          <w:p w:rsidR="00BB37C4" w:rsidRPr="008047CE" w:rsidRDefault="00BB37C4" w:rsidP="00EE6F1A">
            <w:pPr>
              <w:jc w:val="both"/>
              <w:rPr>
                <w:rFonts w:eastAsia="Calibri"/>
                <w:sz w:val="20"/>
              </w:rPr>
            </w:pPr>
            <w:r w:rsidRPr="008047CE">
              <w:rPr>
                <w:rFonts w:eastAsia="Calibri"/>
                <w:sz w:val="20"/>
              </w:rPr>
              <w:t>Application for leave to appeal filed</w:t>
            </w:r>
          </w:p>
          <w:p w:rsidR="00BB37C4" w:rsidRPr="008047CE" w:rsidRDefault="00BB37C4" w:rsidP="00EE6F1A">
            <w:pPr>
              <w:jc w:val="both"/>
              <w:rPr>
                <w:rFonts w:eastAsia="Calibri"/>
                <w:sz w:val="20"/>
              </w:rPr>
            </w:pPr>
          </w:p>
        </w:tc>
      </w:tr>
    </w:tbl>
    <w:p w:rsidR="00611550" w:rsidRDefault="00611550" w:rsidP="00611550">
      <w:pPr>
        <w:rPr>
          <w:sz w:val="20"/>
          <w:szCs w:val="20"/>
        </w:rPr>
      </w:pPr>
    </w:p>
    <w:p w:rsidR="00611550" w:rsidRPr="00C50A5C" w:rsidRDefault="008A5B26" w:rsidP="00611550">
      <w:pPr>
        <w:rPr>
          <w:sz w:val="20"/>
          <w:szCs w:val="20"/>
        </w:rPr>
      </w:pPr>
      <w:r>
        <w:rPr>
          <w:sz w:val="20"/>
          <w:szCs w:val="20"/>
          <w:lang w:val="fr-CA"/>
        </w:rPr>
        <w:pict>
          <v:rect id="_x0000_i1042" style="width:2in;height:1pt" o:hrpct="0" o:hralign="center" o:hrstd="t" o:hrnoshade="t" o:hr="t" fillcolor="black [3213]" stroked="f"/>
        </w:pict>
      </w:r>
    </w:p>
    <w:p w:rsidR="00611550" w:rsidRDefault="00611550" w:rsidP="00611550">
      <w:pPr>
        <w:rPr>
          <w:sz w:val="20"/>
          <w:szCs w:val="20"/>
        </w:rPr>
      </w:pPr>
    </w:p>
    <w:p w:rsidR="00611550" w:rsidRPr="001B157C" w:rsidRDefault="00611550" w:rsidP="00611550">
      <w:pPr>
        <w:rPr>
          <w:sz w:val="20"/>
          <w:szCs w:val="20"/>
          <w:u w:val="single"/>
          <w:lang w:val="fr-CA"/>
        </w:rPr>
      </w:pPr>
      <w:r w:rsidRPr="001B157C">
        <w:rPr>
          <w:sz w:val="20"/>
          <w:szCs w:val="20"/>
          <w:u w:val="single"/>
          <w:lang w:val="fr-CA"/>
        </w:rPr>
        <w:t>RÉSUMÉ DE L’AFFAIRE</w:t>
      </w:r>
    </w:p>
    <w:p w:rsidR="00611550" w:rsidRDefault="00611550" w:rsidP="0061155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B37C4" w:rsidRPr="006A1EFB" w:rsidTr="00EE6F1A">
        <w:tc>
          <w:tcPr>
            <w:tcW w:w="5000" w:type="pct"/>
            <w:gridSpan w:val="3"/>
          </w:tcPr>
          <w:p w:rsidR="00BB37C4" w:rsidRPr="008047CE" w:rsidRDefault="00BB37C4" w:rsidP="00EE6F1A">
            <w:pPr>
              <w:jc w:val="both"/>
              <w:rPr>
                <w:rFonts w:eastAsia="Calibri"/>
                <w:sz w:val="20"/>
                <w:lang w:val="fr-CA"/>
              </w:rPr>
            </w:pPr>
            <w:r w:rsidRPr="008047CE">
              <w:rPr>
                <w:rFonts w:eastAsia="Calibri"/>
                <w:i/>
                <w:sz w:val="20"/>
                <w:lang w:val="fr-CA"/>
              </w:rPr>
              <w:t xml:space="preserve">Charte </w:t>
            </w:r>
            <w:r w:rsidRPr="008047CE">
              <w:rPr>
                <w:rFonts w:eastAsia="Calibri"/>
                <w:sz w:val="20"/>
                <w:lang w:val="fr-CA"/>
              </w:rPr>
              <w:t xml:space="preserve">— Droit criminel — Interception de communications privées — Fouilles, perquisitions et saisies — Procès — Procédure — Le paragraphe 186(1.1) du </w:t>
            </w:r>
            <w:r w:rsidRPr="008047CE">
              <w:rPr>
                <w:rFonts w:eastAsia="Calibri"/>
                <w:i/>
                <w:sz w:val="20"/>
                <w:lang w:val="fr-CA"/>
              </w:rPr>
              <w:t>Code criminel</w:t>
            </w:r>
            <w:r w:rsidRPr="008047CE">
              <w:rPr>
                <w:rFonts w:eastAsia="Calibri"/>
                <w:sz w:val="20"/>
                <w:lang w:val="fr-CA"/>
              </w:rPr>
              <w:t xml:space="preserve"> est</w:t>
            </w:r>
            <w:r w:rsidRPr="008047CE">
              <w:rPr>
                <w:rFonts w:eastAsia="Calibri"/>
                <w:smallCaps/>
                <w:sz w:val="20"/>
                <w:lang w:val="fr-CA"/>
              </w:rPr>
              <w:t>-</w:t>
            </w:r>
            <w:r w:rsidRPr="008047CE">
              <w:rPr>
                <w:rFonts w:eastAsia="Calibri"/>
                <w:sz w:val="20"/>
                <w:lang w:val="fr-CA"/>
              </w:rPr>
              <w:t xml:space="preserve">il inconstitutionnel? — L’article 487.01 du </w:t>
            </w:r>
            <w:r w:rsidRPr="008047CE">
              <w:rPr>
                <w:rFonts w:eastAsia="Calibri"/>
                <w:i/>
                <w:sz w:val="20"/>
                <w:lang w:val="fr-CA"/>
              </w:rPr>
              <w:t xml:space="preserve">Code criminel </w:t>
            </w:r>
            <w:r w:rsidRPr="008047CE">
              <w:rPr>
                <w:rFonts w:eastAsia="Calibri"/>
                <w:sz w:val="20"/>
                <w:lang w:val="fr-CA"/>
              </w:rPr>
              <w:t>est</w:t>
            </w:r>
            <w:r w:rsidRPr="008047CE">
              <w:rPr>
                <w:rFonts w:eastAsia="Calibri"/>
                <w:smallCaps/>
                <w:sz w:val="20"/>
                <w:lang w:val="fr-CA"/>
              </w:rPr>
              <w:t>-</w:t>
            </w:r>
            <w:r w:rsidRPr="008047CE">
              <w:rPr>
                <w:rFonts w:eastAsia="Calibri"/>
                <w:sz w:val="20"/>
                <w:lang w:val="fr-CA"/>
              </w:rPr>
              <w:t>il inconstitutionnel? — La Cour d’appel a</w:t>
            </w:r>
            <w:r w:rsidRPr="008047CE">
              <w:rPr>
                <w:rFonts w:eastAsia="Calibri"/>
                <w:smallCaps/>
                <w:sz w:val="20"/>
                <w:lang w:val="fr-CA"/>
              </w:rPr>
              <w:t>-</w:t>
            </w:r>
            <w:r w:rsidRPr="008047CE">
              <w:rPr>
                <w:rFonts w:eastAsia="Calibri"/>
                <w:sz w:val="20"/>
                <w:lang w:val="fr-CA"/>
              </w:rPr>
              <w:t>t</w:t>
            </w:r>
            <w:r w:rsidRPr="008047CE">
              <w:rPr>
                <w:rFonts w:eastAsia="Calibri"/>
                <w:smallCaps/>
                <w:sz w:val="20"/>
                <w:lang w:val="fr-CA"/>
              </w:rPr>
              <w:t>-</w:t>
            </w:r>
            <w:r w:rsidRPr="008047CE">
              <w:rPr>
                <w:rFonts w:eastAsia="Calibri"/>
                <w:sz w:val="20"/>
                <w:lang w:val="fr-CA"/>
              </w:rPr>
              <w:t xml:space="preserve">elle commis une erreur en concluant que les mandats généraux ne </w:t>
            </w:r>
            <w:r w:rsidRPr="008047CE">
              <w:rPr>
                <w:rFonts w:eastAsia="Calibri"/>
                <w:sz w:val="20"/>
                <w:lang w:val="fr-CA"/>
              </w:rPr>
              <w:lastRenderedPageBreak/>
              <w:t>déléguaient pas de façon inacceptable le pouvoir discrétionnaire du juge à la police par l’utilisation d’un [</w:t>
            </w:r>
            <w:r w:rsidRPr="008047CE">
              <w:rPr>
                <w:rFonts w:eastAsia="Calibri"/>
                <w:smallCaps/>
                <w:sz w:val="20"/>
                <w:lang w:val="fr-CA"/>
              </w:rPr>
              <w:t>traduction</w:t>
            </w:r>
            <w:r w:rsidRPr="008047CE">
              <w:rPr>
                <w:rFonts w:eastAsia="Calibri"/>
                <w:sz w:val="20"/>
                <w:lang w:val="fr-CA"/>
              </w:rPr>
              <w:t>] « élément déclencheur » trop large et, de ce fait, inconstitutionnel? — L’accusé a</w:t>
            </w:r>
            <w:r w:rsidRPr="008047CE">
              <w:rPr>
                <w:rFonts w:eastAsia="Calibri"/>
                <w:smallCaps/>
                <w:sz w:val="20"/>
                <w:lang w:val="fr-CA"/>
              </w:rPr>
              <w:t>-</w:t>
            </w:r>
            <w:r w:rsidRPr="008047CE">
              <w:rPr>
                <w:rFonts w:eastAsia="Calibri"/>
                <w:sz w:val="20"/>
                <w:lang w:val="fr-CA"/>
              </w:rPr>
              <w:t>t</w:t>
            </w:r>
            <w:r w:rsidRPr="008047CE">
              <w:rPr>
                <w:rFonts w:eastAsia="Calibri"/>
                <w:smallCaps/>
                <w:sz w:val="20"/>
                <w:lang w:val="fr-CA"/>
              </w:rPr>
              <w:t>-</w:t>
            </w:r>
            <w:r w:rsidRPr="008047CE">
              <w:rPr>
                <w:rFonts w:eastAsia="Calibri"/>
                <w:sz w:val="20"/>
                <w:lang w:val="fr-CA"/>
              </w:rPr>
              <w:t xml:space="preserve">il été exclu à tort du procès contrairement au par. 650(1) du </w:t>
            </w:r>
            <w:r w:rsidRPr="008047CE">
              <w:rPr>
                <w:rFonts w:eastAsia="Calibri"/>
                <w:i/>
                <w:sz w:val="20"/>
                <w:lang w:val="fr-CA"/>
              </w:rPr>
              <w:t>Code criminel</w:t>
            </w:r>
            <w:r w:rsidRPr="008047CE">
              <w:rPr>
                <w:rFonts w:eastAsia="Calibri"/>
                <w:sz w:val="20"/>
                <w:lang w:val="fr-CA"/>
              </w:rPr>
              <w:t xml:space="preserve"> et de l’art. 7 de la </w:t>
            </w:r>
            <w:r w:rsidRPr="008047CE">
              <w:rPr>
                <w:rFonts w:eastAsia="Calibri"/>
                <w:i/>
                <w:sz w:val="20"/>
                <w:lang w:val="fr-CA"/>
              </w:rPr>
              <w:t>Charte</w:t>
            </w:r>
            <w:r w:rsidRPr="008047CE">
              <w:rPr>
                <w:rFonts w:eastAsia="Calibri"/>
                <w:sz w:val="20"/>
                <w:lang w:val="fr-CA"/>
              </w:rPr>
              <w:t>?</w:t>
            </w:r>
          </w:p>
        </w:tc>
      </w:tr>
      <w:tr w:rsidR="00BB37C4" w:rsidRPr="006A1EFB" w:rsidTr="00EE6F1A">
        <w:tc>
          <w:tcPr>
            <w:tcW w:w="5000" w:type="pct"/>
            <w:gridSpan w:val="3"/>
          </w:tcPr>
          <w:p w:rsidR="00BB37C4" w:rsidRPr="008047CE" w:rsidRDefault="00BB37C4" w:rsidP="00EE6F1A">
            <w:pPr>
              <w:jc w:val="both"/>
              <w:rPr>
                <w:rFonts w:eastAsia="Calibri"/>
                <w:sz w:val="20"/>
                <w:lang w:val="fr-CA"/>
              </w:rPr>
            </w:pPr>
          </w:p>
        </w:tc>
      </w:tr>
      <w:tr w:rsidR="00BB37C4" w:rsidRPr="008047CE" w:rsidTr="00EE6F1A">
        <w:tc>
          <w:tcPr>
            <w:tcW w:w="5000" w:type="pct"/>
            <w:gridSpan w:val="3"/>
          </w:tcPr>
          <w:p w:rsidR="00BB37C4" w:rsidRPr="008047CE" w:rsidRDefault="00BB37C4" w:rsidP="00EE6F1A">
            <w:pPr>
              <w:jc w:val="both"/>
              <w:rPr>
                <w:rFonts w:eastAsia="Calibri"/>
                <w:sz w:val="20"/>
                <w:lang w:val="fr-CA"/>
              </w:rPr>
            </w:pPr>
            <w:r w:rsidRPr="008047CE">
              <w:rPr>
                <w:rFonts w:eastAsia="Calibri"/>
                <w:sz w:val="20"/>
                <w:lang w:val="fr-CA"/>
              </w:rPr>
              <w:t xml:space="preserve">Le demandeur et plusieurs coaccusés ont été inculpés d’infractions liées aux armes à feu et aux stupéfiants à la suite d’une enquête policière de grande envergure sur les activités d’un gang présumé de criminels connu sous le nom des « Doomstown Crips ».  Ils ont également été accusés d’avoir commis ces infractions au profit d’une organisation criminelle. Plusieurs procédures préalables au procès ont été tenues; les décisions relatives à trois d’entre elles sont en cause dans la demande d’autorisation.  Deux motions visaient à faire déclarer constitutionnellement invalides deux dispositions du </w:t>
            </w:r>
            <w:r w:rsidRPr="008047CE">
              <w:rPr>
                <w:rFonts w:eastAsia="Calibri"/>
                <w:i/>
                <w:sz w:val="20"/>
                <w:lang w:val="fr-CA"/>
              </w:rPr>
              <w:t>Code criminel</w:t>
            </w:r>
            <w:r w:rsidRPr="008047CE">
              <w:rPr>
                <w:rFonts w:eastAsia="Calibri"/>
                <w:sz w:val="20"/>
                <w:lang w:val="fr-CA"/>
              </w:rPr>
              <w:t xml:space="preserve">, le par. 186(1.1) et l’art. 487.01.  Les deux motions ont été rejetées.  La troisième décision se rapporte à une procédure </w:t>
            </w:r>
            <w:r w:rsidRPr="008047CE">
              <w:rPr>
                <w:rFonts w:eastAsia="Calibri"/>
                <w:i/>
                <w:sz w:val="20"/>
                <w:lang w:val="fr-CA"/>
              </w:rPr>
              <w:t>ex parte</w:t>
            </w:r>
            <w:r w:rsidRPr="008047CE">
              <w:rPr>
                <w:rFonts w:eastAsia="Calibri"/>
                <w:sz w:val="20"/>
                <w:lang w:val="fr-CA"/>
              </w:rPr>
              <w:t xml:space="preserve"> à huis clos qui visait à déterminer si certaines personnes avaient agi comme dénonciateurs confidentiels.  Le demandeur et son coaccusé ont été déclarés coupables à l’issue d’un procès devant juge et jury, et ont interjeté appel de leurs déclarations de culpabilité devant la Cour d’appel de l’Ontario. Leurs appels ont été rejetés.</w:t>
            </w:r>
          </w:p>
          <w:p w:rsidR="00BB37C4" w:rsidRPr="008047CE" w:rsidRDefault="00BB37C4" w:rsidP="00EE6F1A">
            <w:pPr>
              <w:jc w:val="both"/>
              <w:rPr>
                <w:rFonts w:eastAsia="Calibri"/>
                <w:sz w:val="20"/>
                <w:lang w:val="fr-CA"/>
              </w:rPr>
            </w:pPr>
          </w:p>
        </w:tc>
      </w:tr>
      <w:tr w:rsidR="00BB37C4" w:rsidRPr="006A1EFB" w:rsidTr="00EE6F1A">
        <w:tc>
          <w:tcPr>
            <w:tcW w:w="2427" w:type="pct"/>
          </w:tcPr>
          <w:p w:rsidR="00BB37C4" w:rsidRPr="008047CE" w:rsidRDefault="00BB37C4" w:rsidP="00EE6F1A">
            <w:pPr>
              <w:jc w:val="both"/>
              <w:rPr>
                <w:rFonts w:eastAsia="Calibri"/>
                <w:sz w:val="20"/>
                <w:lang w:val="fr-CA"/>
              </w:rPr>
            </w:pPr>
            <w:r w:rsidRPr="008047CE">
              <w:rPr>
                <w:rFonts w:eastAsia="Calibri"/>
                <w:sz w:val="20"/>
                <w:lang w:val="fr-CA"/>
              </w:rPr>
              <w:t>17 avril 2009</w:t>
            </w:r>
          </w:p>
          <w:p w:rsidR="00BB37C4" w:rsidRPr="008047CE" w:rsidRDefault="00BB37C4" w:rsidP="00EE6F1A">
            <w:pPr>
              <w:jc w:val="both"/>
              <w:rPr>
                <w:rFonts w:eastAsia="Calibri"/>
                <w:sz w:val="20"/>
                <w:lang w:val="fr-CA"/>
              </w:rPr>
            </w:pPr>
            <w:r w:rsidRPr="008047CE">
              <w:rPr>
                <w:rFonts w:eastAsia="Calibri"/>
                <w:sz w:val="20"/>
                <w:lang w:val="fr-CA"/>
              </w:rPr>
              <w:t>Cour supérieure de justice de l’Ontario</w:t>
            </w:r>
          </w:p>
          <w:p w:rsidR="00BB37C4" w:rsidRPr="008047CE" w:rsidRDefault="00BB37C4" w:rsidP="00EE6F1A">
            <w:pPr>
              <w:jc w:val="both"/>
              <w:rPr>
                <w:rFonts w:eastAsia="Calibri"/>
                <w:sz w:val="20"/>
                <w:lang w:val="fr-CA"/>
              </w:rPr>
            </w:pPr>
            <w:r w:rsidRPr="008047CE">
              <w:rPr>
                <w:rFonts w:eastAsia="Calibri"/>
                <w:sz w:val="20"/>
                <w:lang w:val="fr-CA"/>
              </w:rPr>
              <w:t>(Juge Nordheimer)</w:t>
            </w:r>
          </w:p>
          <w:p w:rsidR="00BB37C4" w:rsidRPr="008047CE" w:rsidRDefault="00BB37C4" w:rsidP="00EE6F1A">
            <w:pPr>
              <w:jc w:val="both"/>
              <w:rPr>
                <w:rFonts w:eastAsia="Calibri"/>
                <w:sz w:val="20"/>
                <w:lang w:val="fr-CA"/>
              </w:rPr>
            </w:pPr>
          </w:p>
        </w:tc>
        <w:tc>
          <w:tcPr>
            <w:tcW w:w="243" w:type="pct"/>
          </w:tcPr>
          <w:p w:rsidR="00BB37C4" w:rsidRPr="008047CE" w:rsidRDefault="00BB37C4" w:rsidP="00EE6F1A">
            <w:pPr>
              <w:jc w:val="both"/>
              <w:rPr>
                <w:rFonts w:eastAsia="Calibri"/>
                <w:sz w:val="20"/>
                <w:lang w:val="fr-CA"/>
              </w:rPr>
            </w:pPr>
          </w:p>
        </w:tc>
        <w:tc>
          <w:tcPr>
            <w:tcW w:w="2330" w:type="pct"/>
          </w:tcPr>
          <w:p w:rsidR="00BB37C4" w:rsidRPr="008047CE" w:rsidRDefault="00BB37C4" w:rsidP="00EE6F1A">
            <w:pPr>
              <w:jc w:val="both"/>
              <w:rPr>
                <w:rFonts w:eastAsia="Calibri"/>
                <w:sz w:val="20"/>
                <w:lang w:val="fr-CA"/>
              </w:rPr>
            </w:pPr>
            <w:r w:rsidRPr="008047CE">
              <w:rPr>
                <w:rFonts w:eastAsia="Calibri"/>
                <w:sz w:val="20"/>
                <w:lang w:val="fr-CA"/>
              </w:rPr>
              <w:t xml:space="preserve">Décision avant procès sur la constitutionnalité du par. 186(1.1) du </w:t>
            </w:r>
            <w:r w:rsidRPr="008047CE">
              <w:rPr>
                <w:rFonts w:eastAsia="Calibri"/>
                <w:i/>
                <w:sz w:val="20"/>
                <w:lang w:val="fr-CA"/>
              </w:rPr>
              <w:t>Code criminel </w:t>
            </w:r>
            <w:r w:rsidRPr="008047CE">
              <w:rPr>
                <w:rFonts w:eastAsia="Calibri"/>
                <w:sz w:val="20"/>
                <w:lang w:val="fr-CA"/>
              </w:rPr>
              <w:t xml:space="preserve">: rejet de la motion en déclaration d’invalidité présentée par les demandeurs </w:t>
            </w:r>
          </w:p>
          <w:p w:rsidR="00BB37C4" w:rsidRPr="008047CE" w:rsidRDefault="00BB37C4" w:rsidP="00EE6F1A">
            <w:pPr>
              <w:jc w:val="both"/>
              <w:rPr>
                <w:rFonts w:eastAsia="Calibri"/>
                <w:sz w:val="20"/>
                <w:lang w:val="fr-CA"/>
              </w:rPr>
            </w:pPr>
          </w:p>
        </w:tc>
      </w:tr>
      <w:tr w:rsidR="00BB37C4" w:rsidRPr="006A1EFB" w:rsidTr="00EE6F1A">
        <w:tc>
          <w:tcPr>
            <w:tcW w:w="2427" w:type="pct"/>
          </w:tcPr>
          <w:p w:rsidR="00BB37C4" w:rsidRPr="008047CE" w:rsidRDefault="00BB37C4" w:rsidP="00EE6F1A">
            <w:pPr>
              <w:jc w:val="both"/>
              <w:rPr>
                <w:rFonts w:eastAsia="Calibri"/>
                <w:sz w:val="20"/>
                <w:lang w:val="fr-CA"/>
              </w:rPr>
            </w:pPr>
            <w:r w:rsidRPr="008047CE">
              <w:rPr>
                <w:rFonts w:eastAsia="Calibri"/>
                <w:sz w:val="20"/>
                <w:lang w:val="fr-CA"/>
              </w:rPr>
              <w:t>12 juin 2009</w:t>
            </w:r>
          </w:p>
          <w:p w:rsidR="00BB37C4" w:rsidRPr="008047CE" w:rsidRDefault="00BB37C4" w:rsidP="00EE6F1A">
            <w:pPr>
              <w:jc w:val="both"/>
              <w:rPr>
                <w:rFonts w:eastAsia="Calibri"/>
                <w:sz w:val="20"/>
                <w:lang w:val="fr-CA"/>
              </w:rPr>
            </w:pPr>
            <w:r w:rsidRPr="008047CE">
              <w:rPr>
                <w:rFonts w:eastAsia="Calibri"/>
                <w:sz w:val="20"/>
                <w:lang w:val="fr-CA"/>
              </w:rPr>
              <w:t>Cour supérieure de justice de l’Ontario</w:t>
            </w:r>
          </w:p>
          <w:p w:rsidR="00BB37C4" w:rsidRPr="008047CE" w:rsidRDefault="00BB37C4" w:rsidP="00EE6F1A">
            <w:pPr>
              <w:jc w:val="both"/>
              <w:rPr>
                <w:rFonts w:eastAsia="Calibri"/>
                <w:sz w:val="20"/>
                <w:lang w:val="fr-CA"/>
              </w:rPr>
            </w:pPr>
            <w:r w:rsidRPr="008047CE">
              <w:rPr>
                <w:rFonts w:eastAsia="Calibri"/>
                <w:sz w:val="20"/>
                <w:lang w:val="fr-CA"/>
              </w:rPr>
              <w:t>(Juge Nordheimer)</w:t>
            </w:r>
          </w:p>
          <w:p w:rsidR="00BB37C4" w:rsidRPr="008047CE" w:rsidRDefault="00BB37C4" w:rsidP="00EE6F1A">
            <w:pPr>
              <w:jc w:val="both"/>
              <w:rPr>
                <w:rFonts w:eastAsia="Calibri"/>
                <w:sz w:val="20"/>
                <w:lang w:val="fr-CA"/>
              </w:rPr>
            </w:pPr>
          </w:p>
        </w:tc>
        <w:tc>
          <w:tcPr>
            <w:tcW w:w="243" w:type="pct"/>
          </w:tcPr>
          <w:p w:rsidR="00BB37C4" w:rsidRPr="008047CE" w:rsidRDefault="00BB37C4" w:rsidP="00EE6F1A">
            <w:pPr>
              <w:jc w:val="both"/>
              <w:rPr>
                <w:rFonts w:eastAsia="Calibri"/>
                <w:sz w:val="20"/>
                <w:lang w:val="fr-CA"/>
              </w:rPr>
            </w:pPr>
          </w:p>
        </w:tc>
        <w:tc>
          <w:tcPr>
            <w:tcW w:w="2330" w:type="pct"/>
          </w:tcPr>
          <w:p w:rsidR="00BB37C4" w:rsidRPr="008047CE" w:rsidRDefault="00BB37C4" w:rsidP="00EE6F1A">
            <w:pPr>
              <w:jc w:val="both"/>
              <w:rPr>
                <w:rFonts w:eastAsia="Calibri"/>
                <w:sz w:val="20"/>
                <w:lang w:val="fr-CA"/>
              </w:rPr>
            </w:pPr>
            <w:r w:rsidRPr="008047CE">
              <w:rPr>
                <w:rFonts w:eastAsia="Calibri"/>
                <w:sz w:val="20"/>
                <w:lang w:val="fr-CA"/>
              </w:rPr>
              <w:t xml:space="preserve">Décision avant procès sur la constitutionnalité de l’art. 487.01 du </w:t>
            </w:r>
            <w:r w:rsidRPr="008047CE">
              <w:rPr>
                <w:rFonts w:eastAsia="Calibri"/>
                <w:i/>
                <w:sz w:val="20"/>
                <w:lang w:val="fr-CA"/>
              </w:rPr>
              <w:t>Code criminel </w:t>
            </w:r>
            <w:r w:rsidRPr="008047CE">
              <w:rPr>
                <w:rFonts w:eastAsia="Calibri"/>
                <w:sz w:val="20"/>
                <w:lang w:val="fr-CA"/>
              </w:rPr>
              <w:t xml:space="preserve">: rejet de la motion en déclaration d’invalidité présentée par les demandeurs  </w:t>
            </w:r>
          </w:p>
          <w:p w:rsidR="00BB37C4" w:rsidRPr="008047CE" w:rsidRDefault="00BB37C4" w:rsidP="00EE6F1A">
            <w:pPr>
              <w:jc w:val="both"/>
              <w:rPr>
                <w:rFonts w:eastAsia="Calibri"/>
                <w:sz w:val="20"/>
                <w:lang w:val="fr-CA"/>
              </w:rPr>
            </w:pPr>
          </w:p>
        </w:tc>
      </w:tr>
      <w:tr w:rsidR="00BB37C4" w:rsidRPr="006A1EFB" w:rsidTr="00EE6F1A">
        <w:tc>
          <w:tcPr>
            <w:tcW w:w="2427" w:type="pct"/>
          </w:tcPr>
          <w:p w:rsidR="00BB37C4" w:rsidRPr="008047CE" w:rsidRDefault="00BB37C4" w:rsidP="00EE6F1A">
            <w:pPr>
              <w:jc w:val="both"/>
              <w:rPr>
                <w:rFonts w:eastAsia="Calibri"/>
                <w:sz w:val="20"/>
                <w:lang w:val="fr-CA"/>
              </w:rPr>
            </w:pPr>
            <w:r w:rsidRPr="008047CE">
              <w:rPr>
                <w:rFonts w:eastAsia="Calibri"/>
                <w:sz w:val="20"/>
                <w:lang w:val="fr-CA"/>
              </w:rPr>
              <w:t>8 décembre 2009</w:t>
            </w:r>
          </w:p>
          <w:p w:rsidR="00BB37C4" w:rsidRPr="008047CE" w:rsidRDefault="00BB37C4" w:rsidP="00EE6F1A">
            <w:pPr>
              <w:jc w:val="both"/>
              <w:rPr>
                <w:rFonts w:eastAsia="Calibri"/>
                <w:sz w:val="20"/>
                <w:lang w:val="fr-CA"/>
              </w:rPr>
            </w:pPr>
            <w:r w:rsidRPr="008047CE">
              <w:rPr>
                <w:rFonts w:eastAsia="Calibri"/>
                <w:sz w:val="20"/>
                <w:lang w:val="fr-CA"/>
              </w:rPr>
              <w:t xml:space="preserve">Cour supérieure de justice de l’Ontario </w:t>
            </w:r>
          </w:p>
          <w:p w:rsidR="00BB37C4" w:rsidRPr="008047CE" w:rsidRDefault="00BB37C4" w:rsidP="00EE6F1A">
            <w:pPr>
              <w:jc w:val="both"/>
              <w:rPr>
                <w:rFonts w:eastAsia="Calibri"/>
                <w:sz w:val="20"/>
                <w:lang w:val="fr-CA"/>
              </w:rPr>
            </w:pPr>
            <w:r w:rsidRPr="008047CE">
              <w:rPr>
                <w:rFonts w:eastAsia="Calibri"/>
                <w:sz w:val="20"/>
                <w:lang w:val="fr-CA"/>
              </w:rPr>
              <w:t>(Juge Nordheimer)</w:t>
            </w:r>
          </w:p>
          <w:p w:rsidR="00BB37C4" w:rsidRPr="008047CE" w:rsidRDefault="00BB37C4" w:rsidP="00EE6F1A">
            <w:pPr>
              <w:jc w:val="both"/>
              <w:rPr>
                <w:rFonts w:eastAsia="Calibri"/>
                <w:sz w:val="20"/>
                <w:lang w:val="fr-CA"/>
              </w:rPr>
            </w:pPr>
          </w:p>
        </w:tc>
        <w:tc>
          <w:tcPr>
            <w:tcW w:w="243" w:type="pct"/>
          </w:tcPr>
          <w:p w:rsidR="00BB37C4" w:rsidRPr="008047CE" w:rsidRDefault="00BB37C4" w:rsidP="00EE6F1A">
            <w:pPr>
              <w:jc w:val="both"/>
              <w:rPr>
                <w:rFonts w:eastAsia="Calibri"/>
                <w:sz w:val="20"/>
                <w:lang w:val="fr-CA"/>
              </w:rPr>
            </w:pPr>
          </w:p>
        </w:tc>
        <w:tc>
          <w:tcPr>
            <w:tcW w:w="2330" w:type="pct"/>
          </w:tcPr>
          <w:p w:rsidR="00BB37C4" w:rsidRPr="008047CE" w:rsidRDefault="00BB37C4" w:rsidP="00EE6F1A">
            <w:pPr>
              <w:jc w:val="both"/>
              <w:rPr>
                <w:rFonts w:eastAsia="Calibri"/>
                <w:sz w:val="20"/>
                <w:lang w:val="fr-CA"/>
              </w:rPr>
            </w:pPr>
            <w:r w:rsidRPr="008047CE">
              <w:rPr>
                <w:rFonts w:eastAsia="Calibri"/>
                <w:sz w:val="20"/>
                <w:lang w:val="fr-CA"/>
              </w:rPr>
              <w:t xml:space="preserve">Déclarations de culpabilité : complot en vue de faire le trafic de la cocaïne et possession de produits de la criminalité  </w:t>
            </w:r>
          </w:p>
        </w:tc>
      </w:tr>
      <w:tr w:rsidR="00BB37C4" w:rsidRPr="008047CE" w:rsidTr="00EE6F1A">
        <w:tc>
          <w:tcPr>
            <w:tcW w:w="2427" w:type="pct"/>
          </w:tcPr>
          <w:p w:rsidR="00BB37C4" w:rsidRPr="008047CE" w:rsidRDefault="00BB37C4" w:rsidP="00EE6F1A">
            <w:pPr>
              <w:jc w:val="both"/>
              <w:rPr>
                <w:rFonts w:eastAsia="Calibri"/>
                <w:sz w:val="20"/>
                <w:lang w:val="fr-CA"/>
              </w:rPr>
            </w:pPr>
            <w:r w:rsidRPr="008047CE">
              <w:rPr>
                <w:rFonts w:eastAsia="Calibri"/>
                <w:sz w:val="20"/>
                <w:lang w:val="fr-CA"/>
              </w:rPr>
              <w:t>23 juillet 2014</w:t>
            </w:r>
          </w:p>
          <w:p w:rsidR="00BB37C4" w:rsidRPr="008047CE" w:rsidRDefault="00BB37C4" w:rsidP="00EE6F1A">
            <w:pPr>
              <w:jc w:val="both"/>
              <w:rPr>
                <w:rFonts w:eastAsia="Calibri"/>
                <w:sz w:val="20"/>
                <w:lang w:val="fr-CA"/>
              </w:rPr>
            </w:pPr>
            <w:r w:rsidRPr="008047CE">
              <w:rPr>
                <w:rFonts w:eastAsia="Calibri"/>
                <w:sz w:val="20"/>
                <w:lang w:val="fr-CA"/>
              </w:rPr>
              <w:t>Cour d’appel de l’Ontario</w:t>
            </w:r>
          </w:p>
          <w:p w:rsidR="00BB37C4" w:rsidRPr="008047CE" w:rsidRDefault="00BB37C4" w:rsidP="00EE6F1A">
            <w:pPr>
              <w:jc w:val="both"/>
              <w:rPr>
                <w:rFonts w:eastAsia="Calibri"/>
                <w:sz w:val="20"/>
                <w:lang w:val="fr-CA"/>
              </w:rPr>
            </w:pPr>
            <w:r w:rsidRPr="008047CE">
              <w:rPr>
                <w:rFonts w:eastAsia="Calibri"/>
                <w:sz w:val="20"/>
                <w:lang w:val="fr-CA"/>
              </w:rPr>
              <w:t>(Juges Rosenberg, Goudge et van Rensburg)</w:t>
            </w:r>
          </w:p>
          <w:p w:rsidR="00BB37C4" w:rsidRPr="008047CE" w:rsidRDefault="00BB37C4" w:rsidP="00EE6F1A">
            <w:pPr>
              <w:jc w:val="both"/>
              <w:rPr>
                <w:rFonts w:eastAsia="Calibri"/>
                <w:sz w:val="20"/>
                <w:lang w:val="fr-CA"/>
              </w:rPr>
            </w:pPr>
            <w:r w:rsidRPr="008047CE">
              <w:rPr>
                <w:rFonts w:eastAsia="Calibri"/>
                <w:sz w:val="20"/>
                <w:lang w:val="fr-CA"/>
              </w:rPr>
              <w:t xml:space="preserve">Référence neutre : </w:t>
            </w:r>
            <w:hyperlink r:id="rId27" w:history="1">
              <w:r w:rsidRPr="00F34021">
                <w:rPr>
                  <w:rFonts w:eastAsia="Calibri"/>
                  <w:color w:val="0000FF"/>
                  <w:sz w:val="20"/>
                  <w:u w:val="single"/>
                  <w:lang w:val="fr-CA"/>
                </w:rPr>
                <w:t>2014 ONCA 561</w:t>
              </w:r>
            </w:hyperlink>
          </w:p>
          <w:p w:rsidR="00BB37C4" w:rsidRPr="008047CE" w:rsidRDefault="00BB37C4" w:rsidP="00EE6F1A">
            <w:pPr>
              <w:jc w:val="both"/>
              <w:rPr>
                <w:rFonts w:eastAsia="Calibri"/>
                <w:sz w:val="20"/>
                <w:lang w:val="fr-CA"/>
              </w:rPr>
            </w:pPr>
          </w:p>
        </w:tc>
        <w:tc>
          <w:tcPr>
            <w:tcW w:w="243" w:type="pct"/>
          </w:tcPr>
          <w:p w:rsidR="00BB37C4" w:rsidRPr="008047CE" w:rsidRDefault="00BB37C4" w:rsidP="00EE6F1A">
            <w:pPr>
              <w:jc w:val="both"/>
              <w:rPr>
                <w:rFonts w:eastAsia="Calibri"/>
                <w:sz w:val="20"/>
                <w:lang w:val="fr-CA"/>
              </w:rPr>
            </w:pPr>
          </w:p>
        </w:tc>
        <w:tc>
          <w:tcPr>
            <w:tcW w:w="2330" w:type="pct"/>
          </w:tcPr>
          <w:p w:rsidR="00BB37C4" w:rsidRPr="008047CE" w:rsidRDefault="00BB37C4" w:rsidP="00EE6F1A">
            <w:pPr>
              <w:jc w:val="both"/>
              <w:rPr>
                <w:rFonts w:eastAsia="Calibri"/>
                <w:sz w:val="20"/>
                <w:lang w:val="fr-CA"/>
              </w:rPr>
            </w:pPr>
            <w:r w:rsidRPr="008047CE">
              <w:rPr>
                <w:rFonts w:eastAsia="Calibri"/>
                <w:sz w:val="20"/>
                <w:lang w:val="fr-CA"/>
              </w:rPr>
              <w:t>Rejet des appels</w:t>
            </w:r>
          </w:p>
          <w:p w:rsidR="00BB37C4" w:rsidRPr="008047CE" w:rsidRDefault="00BB37C4" w:rsidP="00EE6F1A">
            <w:pPr>
              <w:jc w:val="both"/>
              <w:rPr>
                <w:rFonts w:eastAsia="Calibri"/>
                <w:sz w:val="20"/>
                <w:lang w:val="fr-CA"/>
              </w:rPr>
            </w:pPr>
          </w:p>
        </w:tc>
      </w:tr>
      <w:tr w:rsidR="00BB37C4" w:rsidRPr="006A1EFB" w:rsidTr="00EE6F1A">
        <w:tc>
          <w:tcPr>
            <w:tcW w:w="2427" w:type="pct"/>
          </w:tcPr>
          <w:p w:rsidR="00BB37C4" w:rsidRPr="008047CE" w:rsidRDefault="00BB37C4" w:rsidP="00EE6F1A">
            <w:pPr>
              <w:jc w:val="both"/>
              <w:rPr>
                <w:rFonts w:eastAsia="Calibri"/>
                <w:sz w:val="20"/>
                <w:lang w:val="fr-CA"/>
              </w:rPr>
            </w:pPr>
            <w:r w:rsidRPr="008047CE">
              <w:rPr>
                <w:rFonts w:eastAsia="Calibri"/>
                <w:sz w:val="20"/>
                <w:lang w:val="fr-CA"/>
              </w:rPr>
              <w:t>29 septembre 2014</w:t>
            </w:r>
          </w:p>
          <w:p w:rsidR="00BB37C4" w:rsidRPr="008047CE" w:rsidRDefault="00BB37C4" w:rsidP="00EE6F1A">
            <w:pPr>
              <w:jc w:val="both"/>
              <w:rPr>
                <w:rFonts w:eastAsia="Calibri"/>
                <w:sz w:val="20"/>
                <w:lang w:val="fr-CA"/>
              </w:rPr>
            </w:pPr>
            <w:r w:rsidRPr="008047CE">
              <w:rPr>
                <w:rFonts w:eastAsia="Calibri"/>
                <w:sz w:val="20"/>
                <w:lang w:val="fr-CA"/>
              </w:rPr>
              <w:t xml:space="preserve">Cour suprême du Canada </w:t>
            </w:r>
          </w:p>
        </w:tc>
        <w:tc>
          <w:tcPr>
            <w:tcW w:w="243" w:type="pct"/>
          </w:tcPr>
          <w:p w:rsidR="00BB37C4" w:rsidRPr="008047CE" w:rsidRDefault="00BB37C4" w:rsidP="00EE6F1A">
            <w:pPr>
              <w:jc w:val="both"/>
              <w:rPr>
                <w:rFonts w:eastAsia="Calibri"/>
                <w:sz w:val="20"/>
                <w:lang w:val="fr-CA"/>
              </w:rPr>
            </w:pPr>
          </w:p>
        </w:tc>
        <w:tc>
          <w:tcPr>
            <w:tcW w:w="2330" w:type="pct"/>
          </w:tcPr>
          <w:p w:rsidR="00BB37C4" w:rsidRPr="008047CE" w:rsidRDefault="00BB37C4" w:rsidP="00EE6F1A">
            <w:pPr>
              <w:jc w:val="both"/>
              <w:rPr>
                <w:rFonts w:eastAsia="Calibri"/>
                <w:sz w:val="20"/>
                <w:lang w:val="fr-CA"/>
              </w:rPr>
            </w:pPr>
            <w:r w:rsidRPr="008047CE">
              <w:rPr>
                <w:rFonts w:eastAsia="Calibri"/>
                <w:sz w:val="20"/>
                <w:lang w:val="fr-CA"/>
              </w:rPr>
              <w:t xml:space="preserve">Dépôt de la demande d’autorisation d’appel </w:t>
            </w:r>
          </w:p>
        </w:tc>
      </w:tr>
    </w:tbl>
    <w:p w:rsidR="00611550" w:rsidRPr="00BB37C4" w:rsidRDefault="00611550" w:rsidP="00611550">
      <w:pPr>
        <w:rPr>
          <w:sz w:val="20"/>
          <w:szCs w:val="20"/>
          <w:lang w:val="fr-CA"/>
        </w:rPr>
      </w:pPr>
    </w:p>
    <w:p w:rsidR="00611550" w:rsidRDefault="008A5B26" w:rsidP="00611550">
      <w:pPr>
        <w:rPr>
          <w:sz w:val="20"/>
          <w:szCs w:val="20"/>
          <w:lang w:val="fr-CA"/>
        </w:rPr>
      </w:pPr>
      <w:r>
        <w:rPr>
          <w:sz w:val="20"/>
          <w:szCs w:val="20"/>
          <w:lang w:val="fr-CA"/>
        </w:rPr>
        <w:pict>
          <v:rect id="_x0000_i1043" style="width:2in;height:1pt" o:hrpct="0" o:hralign="center" o:hrstd="t" o:hrnoshade="t" o:hr="t" fillcolor="black [3213]" stroked="f"/>
        </w:pict>
      </w:r>
    </w:p>
    <w:p w:rsidR="00611550" w:rsidRDefault="00611550" w:rsidP="0061155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21805" w:rsidRPr="000E19FC" w:rsidTr="00BB37C4">
        <w:tc>
          <w:tcPr>
            <w:tcW w:w="1458" w:type="dxa"/>
          </w:tcPr>
          <w:p w:rsidR="00021805" w:rsidRPr="000E19FC" w:rsidRDefault="00021805" w:rsidP="00EE6F1A">
            <w:pPr>
              <w:rPr>
                <w:sz w:val="20"/>
                <w:szCs w:val="20"/>
              </w:rPr>
            </w:pPr>
            <w:r w:rsidRPr="000E19FC">
              <w:rPr>
                <w:rStyle w:val="SCCFileNumberChar"/>
                <w:sz w:val="20"/>
                <w:szCs w:val="20"/>
              </w:rPr>
              <w:t>36075</w:t>
            </w:r>
          </w:p>
          <w:p w:rsidR="00021805" w:rsidRPr="000E19FC" w:rsidRDefault="00021805" w:rsidP="00EE6F1A">
            <w:pPr>
              <w:rPr>
                <w:b/>
                <w:sz w:val="20"/>
                <w:szCs w:val="20"/>
                <w:lang w:val="fr-CA"/>
              </w:rPr>
            </w:pPr>
          </w:p>
        </w:tc>
        <w:tc>
          <w:tcPr>
            <w:tcW w:w="8118" w:type="dxa"/>
          </w:tcPr>
          <w:p w:rsidR="00021805" w:rsidRPr="000E19FC" w:rsidRDefault="00021805" w:rsidP="00EE6F1A">
            <w:pPr>
              <w:rPr>
                <w:sz w:val="20"/>
                <w:szCs w:val="20"/>
              </w:rPr>
            </w:pPr>
            <w:r w:rsidRPr="00021805">
              <w:rPr>
                <w:rStyle w:val="SCCLsocChar"/>
                <w:sz w:val="20"/>
                <w:szCs w:val="20"/>
                <w:lang w:val="en-CA"/>
              </w:rPr>
              <w:t>Anna Czarniecki v. Shawn Martin</w:t>
            </w:r>
            <w:r w:rsidRPr="000E19FC">
              <w:rPr>
                <w:sz w:val="20"/>
                <w:szCs w:val="20"/>
              </w:rPr>
              <w:t xml:space="preserve"> (Ont.) (Civil) (By Leave)</w:t>
            </w:r>
          </w:p>
          <w:p w:rsidR="00021805" w:rsidRPr="000E19FC" w:rsidRDefault="00021805" w:rsidP="00EE6F1A">
            <w:pPr>
              <w:rPr>
                <w:sz w:val="20"/>
                <w:szCs w:val="20"/>
              </w:rPr>
            </w:pPr>
          </w:p>
        </w:tc>
      </w:tr>
      <w:tr w:rsidR="00021805" w:rsidRPr="000E19FC" w:rsidTr="00BB37C4">
        <w:tc>
          <w:tcPr>
            <w:tcW w:w="1458" w:type="dxa"/>
          </w:tcPr>
          <w:p w:rsidR="00021805" w:rsidRPr="000E19FC" w:rsidRDefault="00021805" w:rsidP="00EE6F1A">
            <w:pPr>
              <w:rPr>
                <w:sz w:val="20"/>
                <w:szCs w:val="20"/>
              </w:rPr>
            </w:pPr>
            <w:r w:rsidRPr="000E19FC">
              <w:rPr>
                <w:sz w:val="20"/>
                <w:szCs w:val="20"/>
              </w:rPr>
              <w:t>Coram :</w:t>
            </w:r>
          </w:p>
        </w:tc>
        <w:tc>
          <w:tcPr>
            <w:tcW w:w="8118" w:type="dxa"/>
          </w:tcPr>
          <w:p w:rsidR="00021805" w:rsidRPr="000E19FC" w:rsidRDefault="00021805" w:rsidP="00EE6F1A">
            <w:pPr>
              <w:rPr>
                <w:sz w:val="20"/>
                <w:szCs w:val="20"/>
              </w:rPr>
            </w:pPr>
            <w:r w:rsidRPr="00021805">
              <w:rPr>
                <w:rStyle w:val="SCCCoramChar"/>
                <w:sz w:val="20"/>
                <w:szCs w:val="20"/>
                <w:lang w:val="en-CA"/>
              </w:rPr>
              <w:t>Rothstein, Cromwell and Moldaver JJ.</w:t>
            </w:r>
          </w:p>
          <w:p w:rsidR="00021805" w:rsidRPr="000E19FC" w:rsidRDefault="00021805" w:rsidP="00EE6F1A">
            <w:pPr>
              <w:rPr>
                <w:sz w:val="20"/>
                <w:szCs w:val="20"/>
                <w:u w:val="single"/>
              </w:rPr>
            </w:pPr>
          </w:p>
        </w:tc>
      </w:tr>
      <w:tr w:rsidR="00021805" w:rsidRPr="000E19FC" w:rsidTr="00BB37C4">
        <w:tc>
          <w:tcPr>
            <w:tcW w:w="9576" w:type="dxa"/>
            <w:gridSpan w:val="2"/>
          </w:tcPr>
          <w:p w:rsidR="00021805" w:rsidRPr="000E19FC" w:rsidRDefault="00021805" w:rsidP="00EE6F1A">
            <w:pPr>
              <w:pStyle w:val="SCCShortJudgment"/>
              <w:rPr>
                <w:szCs w:val="20"/>
              </w:rPr>
            </w:pPr>
            <w:r w:rsidRPr="000E19FC">
              <w:rPr>
                <w:szCs w:val="20"/>
              </w:rPr>
              <w:t>The application for leave to appeal from the judgment of the Court of Appeal for Ontario, Number M43667 (C56571), dated June 23, 2014, is dismissed with costs.</w:t>
            </w:r>
          </w:p>
          <w:p w:rsidR="00021805" w:rsidRPr="000E19FC" w:rsidRDefault="00021805" w:rsidP="00EE6F1A">
            <w:pPr>
              <w:pStyle w:val="SCCShortJudgment"/>
              <w:ind w:firstLine="0"/>
              <w:rPr>
                <w:szCs w:val="20"/>
              </w:rPr>
            </w:pPr>
          </w:p>
          <w:p w:rsidR="00021805" w:rsidRPr="000E19FC" w:rsidRDefault="00021805" w:rsidP="00EE6F1A">
            <w:pPr>
              <w:pStyle w:val="SCCShortJudgment"/>
              <w:rPr>
                <w:szCs w:val="20"/>
                <w:lang w:val="fr-CA"/>
              </w:rPr>
            </w:pPr>
            <w:r w:rsidRPr="000E19FC">
              <w:rPr>
                <w:szCs w:val="20"/>
                <w:lang w:val="fr-CA"/>
              </w:rPr>
              <w:t>La demande d’autorisation d’appel de l’arrêt de la Cour d’appel de l’Ontario, numéro M43667 (C56571), daté du 23 juin 2014, est rejetée avec dépens.</w:t>
            </w:r>
          </w:p>
        </w:tc>
      </w:tr>
    </w:tbl>
    <w:p w:rsidR="00263E08" w:rsidRDefault="00263E08" w:rsidP="000E2959">
      <w:pPr>
        <w:rPr>
          <w:sz w:val="20"/>
          <w:szCs w:val="20"/>
          <w:lang w:val="fr-CA"/>
        </w:rPr>
      </w:pPr>
    </w:p>
    <w:p w:rsidR="00263E08" w:rsidRDefault="00263E08">
      <w:pPr>
        <w:rPr>
          <w:sz w:val="20"/>
          <w:szCs w:val="20"/>
          <w:lang w:val="fr-CA"/>
        </w:rPr>
      </w:pPr>
      <w:r>
        <w:rPr>
          <w:sz w:val="20"/>
          <w:szCs w:val="20"/>
          <w:lang w:val="fr-CA"/>
        </w:rPr>
        <w:br w:type="page"/>
      </w:r>
    </w:p>
    <w:p w:rsidR="00611550" w:rsidRPr="001B157C" w:rsidRDefault="00611550" w:rsidP="00611550">
      <w:pPr>
        <w:rPr>
          <w:sz w:val="20"/>
          <w:szCs w:val="20"/>
          <w:u w:val="single"/>
        </w:rPr>
      </w:pPr>
      <w:r w:rsidRPr="001B157C">
        <w:rPr>
          <w:sz w:val="20"/>
          <w:szCs w:val="20"/>
          <w:u w:val="single"/>
        </w:rPr>
        <w:lastRenderedPageBreak/>
        <w:t>CASE SUMMARY</w:t>
      </w:r>
    </w:p>
    <w:p w:rsidR="00611550" w:rsidRDefault="00611550" w:rsidP="0061155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5CB1" w:rsidRPr="008047CE" w:rsidTr="00EE6F1A">
        <w:tc>
          <w:tcPr>
            <w:tcW w:w="5000" w:type="pct"/>
            <w:gridSpan w:val="3"/>
          </w:tcPr>
          <w:p w:rsidR="00D55CB1" w:rsidRPr="008047CE" w:rsidRDefault="00D55CB1" w:rsidP="00EE6F1A">
            <w:pPr>
              <w:jc w:val="both"/>
              <w:rPr>
                <w:rFonts w:eastAsia="Calibri"/>
                <w:sz w:val="20"/>
              </w:rPr>
            </w:pPr>
            <w:r w:rsidRPr="008047CE">
              <w:rPr>
                <w:rFonts w:eastAsia="Calibri"/>
                <w:i/>
                <w:sz w:val="20"/>
              </w:rPr>
              <w:t>Charter of Rights</w:t>
            </w:r>
            <w:r w:rsidRPr="008047CE">
              <w:rPr>
                <w:rFonts w:eastAsia="Calibri"/>
                <w:sz w:val="20"/>
              </w:rPr>
              <w:t xml:space="preserve"> – Right to equality – Family law – Custody – Mobility – Civil procedure – Costs – Advance costs – Mother of child ordered to post security for costs in her attempt to appeal order awarding custody of child to father – Whether establishing fees as a pre condition to a foreign person to get access to Canadian justice does not conform with s. 15 of the </w:t>
            </w:r>
            <w:r w:rsidRPr="008047CE">
              <w:rPr>
                <w:rFonts w:eastAsia="Calibri"/>
                <w:i/>
                <w:sz w:val="20"/>
              </w:rPr>
              <w:t>Charter</w:t>
            </w:r>
            <w:r w:rsidRPr="008047CE">
              <w:rPr>
                <w:rFonts w:eastAsia="Calibri"/>
                <w:sz w:val="20"/>
              </w:rPr>
              <w:t>, the rule of law or the common law constitutional right of access to the courts.</w:t>
            </w:r>
          </w:p>
        </w:tc>
      </w:tr>
      <w:tr w:rsidR="00D55CB1" w:rsidRPr="008047CE" w:rsidTr="00EE6F1A">
        <w:tc>
          <w:tcPr>
            <w:tcW w:w="5000" w:type="pct"/>
            <w:gridSpan w:val="3"/>
          </w:tcPr>
          <w:p w:rsidR="00D55CB1" w:rsidRPr="008047CE" w:rsidRDefault="00D55CB1" w:rsidP="00EE6F1A">
            <w:pPr>
              <w:jc w:val="both"/>
              <w:rPr>
                <w:rFonts w:eastAsia="Calibri"/>
                <w:sz w:val="20"/>
              </w:rPr>
            </w:pPr>
          </w:p>
        </w:tc>
      </w:tr>
      <w:tr w:rsidR="00D55CB1" w:rsidRPr="008047CE" w:rsidTr="00EE6F1A">
        <w:tc>
          <w:tcPr>
            <w:tcW w:w="5000" w:type="pct"/>
            <w:gridSpan w:val="3"/>
          </w:tcPr>
          <w:p w:rsidR="00D55CB1" w:rsidRPr="008047CE" w:rsidRDefault="00D55CB1" w:rsidP="00EE6F1A">
            <w:pPr>
              <w:jc w:val="both"/>
              <w:rPr>
                <w:rFonts w:eastAsia="Calibri"/>
                <w:sz w:val="20"/>
              </w:rPr>
            </w:pPr>
            <w:r w:rsidRPr="008047CE">
              <w:rPr>
                <w:rFonts w:eastAsia="Calibri"/>
                <w:sz w:val="20"/>
              </w:rPr>
              <w:t>The parties are the parents of a five year old boy who was born in Germany but lived with his parents in Canada.  He was the subject of protracted custody proceedings in both Germany and Canada.  Eventually, the respondent father was awarded sole custody in January, 2013 by a Canadian court.  Costs of $105,000 were awarded against the mother.  She sought to appeal the custody order and the father brought a motion for security for costs.</w:t>
            </w:r>
          </w:p>
          <w:p w:rsidR="00D55CB1" w:rsidRPr="008047CE" w:rsidRDefault="00D55CB1" w:rsidP="00EE6F1A">
            <w:pPr>
              <w:jc w:val="both"/>
              <w:rPr>
                <w:rFonts w:eastAsia="Calibri"/>
                <w:sz w:val="20"/>
              </w:rPr>
            </w:pPr>
          </w:p>
        </w:tc>
      </w:tr>
      <w:tr w:rsidR="00D55CB1" w:rsidRPr="008047CE" w:rsidTr="00EE6F1A">
        <w:tc>
          <w:tcPr>
            <w:tcW w:w="2427" w:type="pct"/>
          </w:tcPr>
          <w:p w:rsidR="00D55CB1" w:rsidRPr="008047CE" w:rsidRDefault="00D55CB1" w:rsidP="00EE6F1A">
            <w:pPr>
              <w:jc w:val="both"/>
              <w:rPr>
                <w:rFonts w:eastAsia="Calibri"/>
                <w:sz w:val="20"/>
              </w:rPr>
            </w:pPr>
            <w:r w:rsidRPr="008047CE">
              <w:rPr>
                <w:rFonts w:eastAsia="Calibri"/>
                <w:sz w:val="20"/>
              </w:rPr>
              <w:t>April 2, 2014</w:t>
            </w:r>
          </w:p>
          <w:p w:rsidR="00D55CB1" w:rsidRPr="008047CE" w:rsidRDefault="00D55CB1" w:rsidP="00EE6F1A">
            <w:pPr>
              <w:jc w:val="both"/>
              <w:rPr>
                <w:rFonts w:eastAsia="Calibri"/>
                <w:sz w:val="20"/>
              </w:rPr>
            </w:pPr>
            <w:r w:rsidRPr="008047CE">
              <w:rPr>
                <w:rFonts w:eastAsia="Calibri"/>
                <w:sz w:val="20"/>
              </w:rPr>
              <w:t>Court of Appeal for Ontario</w:t>
            </w:r>
          </w:p>
          <w:p w:rsidR="00D55CB1" w:rsidRPr="008047CE" w:rsidRDefault="00D55CB1" w:rsidP="00EE6F1A">
            <w:pPr>
              <w:jc w:val="both"/>
              <w:rPr>
                <w:rFonts w:eastAsia="Calibri"/>
                <w:sz w:val="20"/>
              </w:rPr>
            </w:pPr>
            <w:r w:rsidRPr="008047CE">
              <w:rPr>
                <w:rFonts w:eastAsia="Calibri"/>
                <w:sz w:val="20"/>
              </w:rPr>
              <w:t>(Benotto J.)</w:t>
            </w:r>
          </w:p>
          <w:p w:rsidR="00D55CB1" w:rsidRDefault="00D55CB1" w:rsidP="00EE6F1A">
            <w:pPr>
              <w:jc w:val="both"/>
              <w:rPr>
                <w:rFonts w:eastAsia="Calibri"/>
                <w:sz w:val="20"/>
              </w:rPr>
            </w:pPr>
            <w:r w:rsidRPr="008047CE">
              <w:rPr>
                <w:rFonts w:eastAsia="Calibri"/>
                <w:sz w:val="20"/>
              </w:rPr>
              <w:t>Unreported</w:t>
            </w:r>
          </w:p>
          <w:p w:rsidR="00D55CB1" w:rsidRPr="008047CE" w:rsidRDefault="00D55CB1" w:rsidP="00EE6F1A">
            <w:pPr>
              <w:jc w:val="both"/>
              <w:rPr>
                <w:rFonts w:eastAsia="Calibri"/>
                <w:sz w:val="20"/>
              </w:rPr>
            </w:pPr>
          </w:p>
        </w:tc>
        <w:tc>
          <w:tcPr>
            <w:tcW w:w="243" w:type="pct"/>
          </w:tcPr>
          <w:p w:rsidR="00D55CB1" w:rsidRPr="008047CE" w:rsidRDefault="00D55CB1" w:rsidP="00EE6F1A">
            <w:pPr>
              <w:jc w:val="both"/>
              <w:rPr>
                <w:rFonts w:eastAsia="Calibri"/>
                <w:sz w:val="20"/>
              </w:rPr>
            </w:pPr>
          </w:p>
        </w:tc>
        <w:tc>
          <w:tcPr>
            <w:tcW w:w="2330" w:type="pct"/>
          </w:tcPr>
          <w:p w:rsidR="00D55CB1" w:rsidRPr="008047CE" w:rsidRDefault="00D55CB1" w:rsidP="00EE6F1A">
            <w:pPr>
              <w:jc w:val="both"/>
              <w:rPr>
                <w:rFonts w:eastAsia="Calibri"/>
                <w:sz w:val="20"/>
              </w:rPr>
            </w:pPr>
            <w:r w:rsidRPr="008047CE">
              <w:rPr>
                <w:rFonts w:eastAsia="Calibri"/>
                <w:sz w:val="20"/>
              </w:rPr>
              <w:t>Applicant ordered to post $20,000 as security for costs in her appeal of custody award</w:t>
            </w:r>
          </w:p>
          <w:p w:rsidR="00D55CB1" w:rsidRPr="008047CE" w:rsidRDefault="00D55CB1" w:rsidP="00EE6F1A">
            <w:pPr>
              <w:jc w:val="both"/>
              <w:rPr>
                <w:rFonts w:eastAsia="Calibri"/>
                <w:sz w:val="20"/>
              </w:rPr>
            </w:pPr>
          </w:p>
          <w:p w:rsidR="00D55CB1" w:rsidRPr="008047CE" w:rsidRDefault="00D55CB1" w:rsidP="00EE6F1A">
            <w:pPr>
              <w:jc w:val="both"/>
              <w:rPr>
                <w:rFonts w:eastAsia="Calibri"/>
                <w:sz w:val="20"/>
              </w:rPr>
            </w:pPr>
          </w:p>
        </w:tc>
      </w:tr>
      <w:tr w:rsidR="00D55CB1" w:rsidRPr="008047CE" w:rsidTr="00EE6F1A">
        <w:tc>
          <w:tcPr>
            <w:tcW w:w="2427" w:type="pct"/>
          </w:tcPr>
          <w:p w:rsidR="00D55CB1" w:rsidRPr="008047CE" w:rsidRDefault="00D55CB1" w:rsidP="00EE6F1A">
            <w:pPr>
              <w:jc w:val="both"/>
              <w:rPr>
                <w:rFonts w:eastAsia="Calibri"/>
                <w:sz w:val="20"/>
              </w:rPr>
            </w:pPr>
            <w:r w:rsidRPr="008047CE">
              <w:rPr>
                <w:rFonts w:eastAsia="Calibri"/>
                <w:sz w:val="20"/>
              </w:rPr>
              <w:t>June 23, 2014</w:t>
            </w:r>
          </w:p>
          <w:p w:rsidR="00D55CB1" w:rsidRPr="008047CE" w:rsidRDefault="00D55CB1" w:rsidP="00EE6F1A">
            <w:pPr>
              <w:jc w:val="both"/>
              <w:rPr>
                <w:rFonts w:eastAsia="Calibri"/>
                <w:sz w:val="20"/>
              </w:rPr>
            </w:pPr>
            <w:r w:rsidRPr="008047CE">
              <w:rPr>
                <w:rFonts w:eastAsia="Calibri"/>
                <w:sz w:val="20"/>
              </w:rPr>
              <w:t>Court of Appeal for Ontario</w:t>
            </w:r>
          </w:p>
          <w:p w:rsidR="00D55CB1" w:rsidRPr="008047CE" w:rsidRDefault="00D55CB1" w:rsidP="00EE6F1A">
            <w:pPr>
              <w:jc w:val="both"/>
              <w:rPr>
                <w:rFonts w:eastAsia="Calibri"/>
                <w:sz w:val="20"/>
              </w:rPr>
            </w:pPr>
            <w:r w:rsidRPr="008047CE">
              <w:rPr>
                <w:rFonts w:eastAsia="Calibri"/>
                <w:sz w:val="20"/>
              </w:rPr>
              <w:t>(Laskin, MacFarland and Lauwers JJ.A.)</w:t>
            </w:r>
          </w:p>
          <w:p w:rsidR="00D55CB1" w:rsidRPr="008047CE" w:rsidRDefault="00D55CB1" w:rsidP="00EE6F1A">
            <w:pPr>
              <w:jc w:val="both"/>
              <w:rPr>
                <w:rFonts w:eastAsia="Calibri"/>
                <w:sz w:val="20"/>
              </w:rPr>
            </w:pPr>
            <w:r w:rsidRPr="008047CE">
              <w:rPr>
                <w:rFonts w:eastAsia="Calibri"/>
                <w:sz w:val="20"/>
              </w:rPr>
              <w:t>Unreported</w:t>
            </w:r>
          </w:p>
          <w:p w:rsidR="00D55CB1" w:rsidRPr="008047CE" w:rsidRDefault="00D55CB1" w:rsidP="00EE6F1A">
            <w:pPr>
              <w:jc w:val="both"/>
              <w:rPr>
                <w:rFonts w:eastAsia="Calibri"/>
                <w:sz w:val="20"/>
              </w:rPr>
            </w:pPr>
          </w:p>
        </w:tc>
        <w:tc>
          <w:tcPr>
            <w:tcW w:w="243" w:type="pct"/>
          </w:tcPr>
          <w:p w:rsidR="00D55CB1" w:rsidRPr="008047CE" w:rsidRDefault="00D55CB1" w:rsidP="00EE6F1A">
            <w:pPr>
              <w:jc w:val="both"/>
              <w:rPr>
                <w:rFonts w:eastAsia="Calibri"/>
                <w:sz w:val="20"/>
              </w:rPr>
            </w:pPr>
          </w:p>
        </w:tc>
        <w:tc>
          <w:tcPr>
            <w:tcW w:w="2330" w:type="pct"/>
          </w:tcPr>
          <w:p w:rsidR="00D55CB1" w:rsidRPr="008047CE" w:rsidRDefault="00D55CB1" w:rsidP="00EE6F1A">
            <w:pPr>
              <w:jc w:val="both"/>
              <w:rPr>
                <w:rFonts w:eastAsia="Calibri"/>
                <w:sz w:val="20"/>
              </w:rPr>
            </w:pPr>
            <w:r w:rsidRPr="008047CE">
              <w:rPr>
                <w:rFonts w:eastAsia="Calibri"/>
                <w:sz w:val="20"/>
              </w:rPr>
              <w:t>Appeal dismissed</w:t>
            </w:r>
          </w:p>
          <w:p w:rsidR="00D55CB1" w:rsidRPr="008047CE" w:rsidRDefault="00D55CB1" w:rsidP="00EE6F1A">
            <w:pPr>
              <w:jc w:val="both"/>
              <w:rPr>
                <w:rFonts w:eastAsia="Calibri"/>
                <w:sz w:val="20"/>
              </w:rPr>
            </w:pPr>
          </w:p>
        </w:tc>
      </w:tr>
      <w:tr w:rsidR="00D55CB1" w:rsidRPr="008047CE" w:rsidTr="00EE6F1A">
        <w:tc>
          <w:tcPr>
            <w:tcW w:w="2427" w:type="pct"/>
          </w:tcPr>
          <w:p w:rsidR="00D55CB1" w:rsidRPr="008047CE" w:rsidRDefault="00D55CB1" w:rsidP="00EE6F1A">
            <w:pPr>
              <w:jc w:val="both"/>
              <w:rPr>
                <w:rFonts w:eastAsia="Calibri"/>
                <w:sz w:val="20"/>
              </w:rPr>
            </w:pPr>
            <w:r w:rsidRPr="008047CE">
              <w:rPr>
                <w:rFonts w:eastAsia="Calibri"/>
                <w:sz w:val="20"/>
              </w:rPr>
              <w:t>September 22, 2014</w:t>
            </w:r>
          </w:p>
          <w:p w:rsidR="00D55CB1" w:rsidRPr="008047CE" w:rsidRDefault="00D55CB1" w:rsidP="00EE6F1A">
            <w:pPr>
              <w:jc w:val="both"/>
              <w:rPr>
                <w:rFonts w:eastAsia="Calibri"/>
                <w:sz w:val="20"/>
              </w:rPr>
            </w:pPr>
            <w:r w:rsidRPr="008047CE">
              <w:rPr>
                <w:rFonts w:eastAsia="Calibri"/>
                <w:sz w:val="20"/>
              </w:rPr>
              <w:t>Supreme Court of Canada</w:t>
            </w:r>
          </w:p>
        </w:tc>
        <w:tc>
          <w:tcPr>
            <w:tcW w:w="243" w:type="pct"/>
          </w:tcPr>
          <w:p w:rsidR="00D55CB1" w:rsidRPr="008047CE" w:rsidRDefault="00D55CB1" w:rsidP="00EE6F1A">
            <w:pPr>
              <w:jc w:val="both"/>
              <w:rPr>
                <w:rFonts w:eastAsia="Calibri"/>
                <w:sz w:val="20"/>
              </w:rPr>
            </w:pPr>
          </w:p>
        </w:tc>
        <w:tc>
          <w:tcPr>
            <w:tcW w:w="2330" w:type="pct"/>
          </w:tcPr>
          <w:p w:rsidR="00D55CB1" w:rsidRPr="008047CE" w:rsidRDefault="00D55CB1" w:rsidP="00EE6F1A">
            <w:pPr>
              <w:jc w:val="both"/>
              <w:rPr>
                <w:rFonts w:eastAsia="Calibri"/>
                <w:sz w:val="20"/>
              </w:rPr>
            </w:pPr>
            <w:r w:rsidRPr="008047CE">
              <w:rPr>
                <w:rFonts w:eastAsia="Calibri"/>
                <w:sz w:val="20"/>
              </w:rPr>
              <w:t>Application for leave to appeal filed</w:t>
            </w:r>
          </w:p>
          <w:p w:rsidR="00D55CB1" w:rsidRPr="008047CE" w:rsidRDefault="00D55CB1" w:rsidP="00EE6F1A">
            <w:pPr>
              <w:jc w:val="both"/>
              <w:rPr>
                <w:rFonts w:eastAsia="Calibri"/>
                <w:sz w:val="20"/>
              </w:rPr>
            </w:pPr>
          </w:p>
        </w:tc>
      </w:tr>
    </w:tbl>
    <w:p w:rsidR="00611550" w:rsidRDefault="00611550" w:rsidP="00611550">
      <w:pPr>
        <w:rPr>
          <w:sz w:val="20"/>
          <w:szCs w:val="20"/>
        </w:rPr>
      </w:pPr>
    </w:p>
    <w:p w:rsidR="00611550" w:rsidRPr="00C50A5C" w:rsidRDefault="008A5B26" w:rsidP="00611550">
      <w:pPr>
        <w:rPr>
          <w:sz w:val="20"/>
          <w:szCs w:val="20"/>
        </w:rPr>
      </w:pPr>
      <w:r>
        <w:rPr>
          <w:sz w:val="20"/>
          <w:szCs w:val="20"/>
          <w:lang w:val="fr-CA"/>
        </w:rPr>
        <w:pict>
          <v:rect id="_x0000_i1044" style="width:2in;height:1pt" o:hrpct="0" o:hralign="center" o:hrstd="t" o:hrnoshade="t" o:hr="t" fillcolor="black [3213]" stroked="f"/>
        </w:pict>
      </w:r>
    </w:p>
    <w:p w:rsidR="00611550" w:rsidRDefault="00611550" w:rsidP="00611550">
      <w:pPr>
        <w:rPr>
          <w:sz w:val="20"/>
          <w:szCs w:val="20"/>
        </w:rPr>
      </w:pPr>
    </w:p>
    <w:p w:rsidR="00611550" w:rsidRPr="001B157C" w:rsidRDefault="00611550" w:rsidP="00611550">
      <w:pPr>
        <w:rPr>
          <w:sz w:val="20"/>
          <w:szCs w:val="20"/>
          <w:u w:val="single"/>
          <w:lang w:val="fr-CA"/>
        </w:rPr>
      </w:pPr>
      <w:r w:rsidRPr="001B157C">
        <w:rPr>
          <w:sz w:val="20"/>
          <w:szCs w:val="20"/>
          <w:u w:val="single"/>
          <w:lang w:val="fr-CA"/>
        </w:rPr>
        <w:t>RÉSUMÉ DE L’AFFAIRE</w:t>
      </w:r>
    </w:p>
    <w:p w:rsidR="00611550" w:rsidRDefault="00611550" w:rsidP="0061155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5CB1" w:rsidRPr="006A1EFB" w:rsidTr="00EE6F1A">
        <w:tc>
          <w:tcPr>
            <w:tcW w:w="5000" w:type="pct"/>
            <w:gridSpan w:val="3"/>
          </w:tcPr>
          <w:p w:rsidR="00D55CB1" w:rsidRPr="008047CE" w:rsidRDefault="00D55CB1" w:rsidP="00EE6F1A">
            <w:pPr>
              <w:jc w:val="both"/>
              <w:rPr>
                <w:rFonts w:eastAsia="Calibri"/>
                <w:sz w:val="20"/>
                <w:lang w:val="fr-CA"/>
              </w:rPr>
            </w:pPr>
            <w:r w:rsidRPr="008047CE">
              <w:rPr>
                <w:rFonts w:eastAsia="Calibri"/>
                <w:i/>
                <w:sz w:val="20"/>
                <w:lang w:val="fr-CA"/>
              </w:rPr>
              <w:t xml:space="preserve">Charte des droits </w:t>
            </w:r>
            <w:r w:rsidRPr="008047CE">
              <w:rPr>
                <w:rFonts w:eastAsia="Calibri"/>
                <w:sz w:val="20"/>
                <w:lang w:val="fr-CA"/>
              </w:rPr>
              <w:t xml:space="preserve">– Droit à l’égalité – Droit de la famille – Garde – Mobilité – Procédure civile – Dépens – Provisions pour frais – La Cour ordonne à la mère de l’enfant de fournir un cautionnement pour frais dans sa tentative d’interjeter appel d’une ordonnance octroyant la garde de l’enfant au père – L’établissement de frais comme condition préalable à ce qu’une personne de l’étranger ait accès à la justice canadienne est-il contraire à l’art. 15 de la </w:t>
            </w:r>
            <w:r w:rsidRPr="008047CE">
              <w:rPr>
                <w:rFonts w:eastAsia="Calibri"/>
                <w:i/>
                <w:sz w:val="20"/>
                <w:lang w:val="fr-CA"/>
              </w:rPr>
              <w:t>Charte</w:t>
            </w:r>
            <w:r w:rsidRPr="008047CE">
              <w:rPr>
                <w:rFonts w:eastAsia="Calibri"/>
                <w:sz w:val="20"/>
                <w:lang w:val="fr-CA"/>
              </w:rPr>
              <w:t>, à la primauté du droit ou au droit constitutionnel, reconnu par la common law, d’accès à la justice?</w:t>
            </w:r>
          </w:p>
        </w:tc>
      </w:tr>
      <w:tr w:rsidR="00D55CB1" w:rsidRPr="006A1EFB" w:rsidTr="00EE6F1A">
        <w:tc>
          <w:tcPr>
            <w:tcW w:w="5000" w:type="pct"/>
            <w:gridSpan w:val="3"/>
          </w:tcPr>
          <w:p w:rsidR="00D55CB1" w:rsidRPr="008047CE" w:rsidRDefault="00D55CB1" w:rsidP="00EE6F1A">
            <w:pPr>
              <w:jc w:val="both"/>
              <w:rPr>
                <w:rFonts w:eastAsia="Calibri"/>
                <w:sz w:val="20"/>
                <w:lang w:val="fr-CA"/>
              </w:rPr>
            </w:pPr>
          </w:p>
        </w:tc>
      </w:tr>
      <w:tr w:rsidR="00D55CB1" w:rsidRPr="006A1EFB" w:rsidTr="00EE6F1A">
        <w:tc>
          <w:tcPr>
            <w:tcW w:w="5000" w:type="pct"/>
            <w:gridSpan w:val="3"/>
          </w:tcPr>
          <w:p w:rsidR="00D55CB1" w:rsidRPr="008047CE" w:rsidRDefault="00D55CB1" w:rsidP="00EE6F1A">
            <w:pPr>
              <w:jc w:val="both"/>
              <w:rPr>
                <w:rFonts w:eastAsia="Calibri"/>
                <w:sz w:val="20"/>
                <w:lang w:val="fr-CA"/>
              </w:rPr>
            </w:pPr>
            <w:r w:rsidRPr="008047CE">
              <w:rPr>
                <w:rFonts w:eastAsia="Calibri"/>
                <w:sz w:val="20"/>
                <w:lang w:val="fr-CA"/>
              </w:rPr>
              <w:t>Les parties sont parents d’un garçon de cinq ans, né en Allemagne, mais qui a vécu avec ses parents au Canada.  Il a été l’objet, en Allemagne et au Canada, de longues procédures concernant sa garde.  Un tribunal canadien a fini par octroyer la garde exclusive au père intimé en janvier 2013.  La mère a été condamnée aux dépens de 105 000 $.  Elle a cherché à interjeter appel de l’ordonnance de garde et le père a présenté une motion en cautionnement pour frais.</w:t>
            </w:r>
          </w:p>
          <w:p w:rsidR="00D55CB1" w:rsidRPr="008047CE" w:rsidRDefault="00D55CB1" w:rsidP="00EE6F1A">
            <w:pPr>
              <w:jc w:val="both"/>
              <w:rPr>
                <w:rFonts w:eastAsia="Calibri"/>
                <w:sz w:val="20"/>
                <w:lang w:val="fr-CA"/>
              </w:rPr>
            </w:pPr>
          </w:p>
        </w:tc>
      </w:tr>
      <w:tr w:rsidR="00D55CB1" w:rsidRPr="006A1EFB" w:rsidTr="00EE6F1A">
        <w:tc>
          <w:tcPr>
            <w:tcW w:w="2427" w:type="pct"/>
          </w:tcPr>
          <w:p w:rsidR="00D55CB1" w:rsidRPr="008047CE" w:rsidRDefault="00D55CB1" w:rsidP="00EE6F1A">
            <w:pPr>
              <w:jc w:val="both"/>
              <w:rPr>
                <w:rFonts w:eastAsia="Calibri"/>
                <w:sz w:val="20"/>
                <w:lang w:val="fr-CA"/>
              </w:rPr>
            </w:pPr>
            <w:r w:rsidRPr="008047CE">
              <w:rPr>
                <w:rFonts w:eastAsia="Calibri"/>
                <w:sz w:val="20"/>
                <w:lang w:val="fr-CA"/>
              </w:rPr>
              <w:t>2 avril 2014</w:t>
            </w:r>
          </w:p>
          <w:p w:rsidR="00D55CB1" w:rsidRPr="008047CE" w:rsidRDefault="00D55CB1" w:rsidP="00EE6F1A">
            <w:pPr>
              <w:jc w:val="both"/>
              <w:rPr>
                <w:rFonts w:eastAsia="Calibri"/>
                <w:sz w:val="20"/>
                <w:lang w:val="fr-CA"/>
              </w:rPr>
            </w:pPr>
            <w:r w:rsidRPr="008047CE">
              <w:rPr>
                <w:rFonts w:eastAsia="Calibri"/>
                <w:sz w:val="20"/>
                <w:lang w:val="fr-CA"/>
              </w:rPr>
              <w:t>Cour d’appel de l’Ontario</w:t>
            </w:r>
          </w:p>
          <w:p w:rsidR="00D55CB1" w:rsidRPr="008047CE" w:rsidRDefault="00D55CB1" w:rsidP="00EE6F1A">
            <w:pPr>
              <w:jc w:val="both"/>
              <w:rPr>
                <w:rFonts w:eastAsia="Calibri"/>
                <w:sz w:val="20"/>
                <w:lang w:val="fr-CA"/>
              </w:rPr>
            </w:pPr>
            <w:r w:rsidRPr="008047CE">
              <w:rPr>
                <w:rFonts w:eastAsia="Calibri"/>
                <w:sz w:val="20"/>
                <w:lang w:val="fr-CA"/>
              </w:rPr>
              <w:t>(Juge Benotto)</w:t>
            </w:r>
          </w:p>
          <w:p w:rsidR="00D55CB1" w:rsidRDefault="00D55CB1" w:rsidP="00EE6F1A">
            <w:pPr>
              <w:jc w:val="both"/>
              <w:rPr>
                <w:rFonts w:eastAsia="Calibri"/>
                <w:sz w:val="20"/>
                <w:lang w:val="fr-CA"/>
              </w:rPr>
            </w:pPr>
            <w:r w:rsidRPr="008047CE">
              <w:rPr>
                <w:rFonts w:eastAsia="Calibri"/>
                <w:sz w:val="20"/>
                <w:lang w:val="fr-CA"/>
              </w:rPr>
              <w:t>Non publié</w:t>
            </w:r>
          </w:p>
          <w:p w:rsidR="00D55CB1" w:rsidRPr="008047CE" w:rsidRDefault="00D55CB1" w:rsidP="00EE6F1A">
            <w:pPr>
              <w:jc w:val="both"/>
              <w:rPr>
                <w:rFonts w:eastAsia="Calibri"/>
                <w:sz w:val="20"/>
                <w:lang w:val="fr-CA"/>
              </w:rPr>
            </w:pPr>
          </w:p>
        </w:tc>
        <w:tc>
          <w:tcPr>
            <w:tcW w:w="243" w:type="pct"/>
          </w:tcPr>
          <w:p w:rsidR="00D55CB1" w:rsidRPr="008047CE" w:rsidRDefault="00D55CB1" w:rsidP="00EE6F1A">
            <w:pPr>
              <w:jc w:val="both"/>
              <w:rPr>
                <w:rFonts w:eastAsia="Calibri"/>
                <w:sz w:val="20"/>
                <w:lang w:val="fr-CA"/>
              </w:rPr>
            </w:pPr>
          </w:p>
        </w:tc>
        <w:tc>
          <w:tcPr>
            <w:tcW w:w="2330" w:type="pct"/>
          </w:tcPr>
          <w:p w:rsidR="00D55CB1" w:rsidRPr="008047CE" w:rsidRDefault="00D55CB1" w:rsidP="00EE6F1A">
            <w:pPr>
              <w:jc w:val="both"/>
              <w:rPr>
                <w:rFonts w:eastAsia="Calibri"/>
                <w:sz w:val="20"/>
                <w:lang w:val="fr-CA"/>
              </w:rPr>
            </w:pPr>
            <w:r w:rsidRPr="008047CE">
              <w:rPr>
                <w:rFonts w:eastAsia="Calibri"/>
                <w:sz w:val="20"/>
                <w:lang w:val="fr-CA"/>
              </w:rPr>
              <w:t xml:space="preserve">Ordonnance enjoignant à la demanderesse de fournir un cautionnement pour frais de 20 000 $ relativement à son appel de l’ordonnance de garde </w:t>
            </w:r>
          </w:p>
          <w:p w:rsidR="00D55CB1" w:rsidRPr="008047CE" w:rsidRDefault="00D55CB1" w:rsidP="00EE6F1A">
            <w:pPr>
              <w:jc w:val="both"/>
              <w:rPr>
                <w:rFonts w:eastAsia="Calibri"/>
                <w:sz w:val="20"/>
                <w:lang w:val="fr-CA"/>
              </w:rPr>
            </w:pPr>
          </w:p>
        </w:tc>
      </w:tr>
      <w:tr w:rsidR="00D55CB1" w:rsidRPr="008047CE" w:rsidTr="00EE6F1A">
        <w:tc>
          <w:tcPr>
            <w:tcW w:w="2427" w:type="pct"/>
          </w:tcPr>
          <w:p w:rsidR="00D55CB1" w:rsidRPr="008047CE" w:rsidRDefault="00D55CB1" w:rsidP="00EE6F1A">
            <w:pPr>
              <w:jc w:val="both"/>
              <w:rPr>
                <w:rFonts w:eastAsia="Calibri"/>
                <w:sz w:val="20"/>
                <w:lang w:val="fr-CA"/>
              </w:rPr>
            </w:pPr>
            <w:r w:rsidRPr="008047CE">
              <w:rPr>
                <w:rFonts w:eastAsia="Calibri"/>
                <w:sz w:val="20"/>
                <w:lang w:val="fr-CA"/>
              </w:rPr>
              <w:t>23 juin 2014</w:t>
            </w:r>
          </w:p>
          <w:p w:rsidR="00D55CB1" w:rsidRPr="008047CE" w:rsidRDefault="00D55CB1" w:rsidP="00EE6F1A">
            <w:pPr>
              <w:jc w:val="both"/>
              <w:rPr>
                <w:rFonts w:eastAsia="Calibri"/>
                <w:sz w:val="20"/>
                <w:lang w:val="fr-CA"/>
              </w:rPr>
            </w:pPr>
            <w:r w:rsidRPr="008047CE">
              <w:rPr>
                <w:rFonts w:eastAsia="Calibri"/>
                <w:sz w:val="20"/>
                <w:lang w:val="fr-CA"/>
              </w:rPr>
              <w:t>Cour d’appel de l’Ontario</w:t>
            </w:r>
          </w:p>
          <w:p w:rsidR="00D55CB1" w:rsidRPr="008047CE" w:rsidRDefault="00D55CB1" w:rsidP="00EE6F1A">
            <w:pPr>
              <w:jc w:val="both"/>
              <w:rPr>
                <w:rFonts w:eastAsia="Calibri"/>
                <w:sz w:val="20"/>
                <w:lang w:val="fr-CA"/>
              </w:rPr>
            </w:pPr>
            <w:r w:rsidRPr="008047CE">
              <w:rPr>
                <w:rFonts w:eastAsia="Calibri"/>
                <w:sz w:val="20"/>
                <w:lang w:val="fr-CA"/>
              </w:rPr>
              <w:t>(Juges Laskin, MacFarland et Lauwers)</w:t>
            </w:r>
          </w:p>
          <w:p w:rsidR="00D55CB1" w:rsidRPr="008047CE" w:rsidRDefault="00D55CB1" w:rsidP="00EE6F1A">
            <w:pPr>
              <w:jc w:val="both"/>
              <w:rPr>
                <w:rFonts w:eastAsia="Calibri"/>
                <w:sz w:val="20"/>
                <w:lang w:val="fr-CA"/>
              </w:rPr>
            </w:pPr>
            <w:r w:rsidRPr="008047CE">
              <w:rPr>
                <w:rFonts w:eastAsia="Calibri"/>
                <w:sz w:val="20"/>
                <w:lang w:val="fr-CA"/>
              </w:rPr>
              <w:t>Non publié</w:t>
            </w:r>
          </w:p>
          <w:p w:rsidR="00D55CB1" w:rsidRPr="008047CE" w:rsidRDefault="00D55CB1" w:rsidP="00EE6F1A">
            <w:pPr>
              <w:jc w:val="both"/>
              <w:rPr>
                <w:rFonts w:eastAsia="Calibri"/>
                <w:sz w:val="20"/>
                <w:lang w:val="fr-CA"/>
              </w:rPr>
            </w:pPr>
          </w:p>
        </w:tc>
        <w:tc>
          <w:tcPr>
            <w:tcW w:w="243" w:type="pct"/>
          </w:tcPr>
          <w:p w:rsidR="00D55CB1" w:rsidRPr="008047CE" w:rsidRDefault="00D55CB1" w:rsidP="00EE6F1A">
            <w:pPr>
              <w:jc w:val="both"/>
              <w:rPr>
                <w:rFonts w:eastAsia="Calibri"/>
                <w:sz w:val="20"/>
                <w:lang w:val="fr-CA"/>
              </w:rPr>
            </w:pPr>
          </w:p>
        </w:tc>
        <w:tc>
          <w:tcPr>
            <w:tcW w:w="2330" w:type="pct"/>
          </w:tcPr>
          <w:p w:rsidR="00D55CB1" w:rsidRPr="008047CE" w:rsidRDefault="00D55CB1" w:rsidP="00EE6F1A">
            <w:pPr>
              <w:jc w:val="both"/>
              <w:rPr>
                <w:rFonts w:eastAsia="Calibri"/>
                <w:sz w:val="20"/>
                <w:lang w:val="fr-CA"/>
              </w:rPr>
            </w:pPr>
            <w:r w:rsidRPr="008047CE">
              <w:rPr>
                <w:rFonts w:eastAsia="Calibri"/>
                <w:sz w:val="20"/>
                <w:lang w:val="fr-CA"/>
              </w:rPr>
              <w:t>Rejet de l’appel</w:t>
            </w:r>
          </w:p>
          <w:p w:rsidR="00D55CB1" w:rsidRPr="008047CE" w:rsidRDefault="00D55CB1" w:rsidP="00EE6F1A">
            <w:pPr>
              <w:jc w:val="both"/>
              <w:rPr>
                <w:rFonts w:eastAsia="Calibri"/>
                <w:sz w:val="20"/>
                <w:lang w:val="fr-CA"/>
              </w:rPr>
            </w:pPr>
          </w:p>
        </w:tc>
      </w:tr>
      <w:tr w:rsidR="00D55CB1" w:rsidRPr="006A1EFB" w:rsidTr="00EE6F1A">
        <w:tc>
          <w:tcPr>
            <w:tcW w:w="2427" w:type="pct"/>
          </w:tcPr>
          <w:p w:rsidR="00D55CB1" w:rsidRPr="008047CE" w:rsidRDefault="00D55CB1" w:rsidP="00EE6F1A">
            <w:pPr>
              <w:jc w:val="both"/>
              <w:rPr>
                <w:rFonts w:eastAsia="Calibri"/>
                <w:sz w:val="20"/>
                <w:lang w:val="fr-CA"/>
              </w:rPr>
            </w:pPr>
            <w:r w:rsidRPr="008047CE">
              <w:rPr>
                <w:rFonts w:eastAsia="Calibri"/>
                <w:sz w:val="20"/>
                <w:lang w:val="fr-CA"/>
              </w:rPr>
              <w:lastRenderedPageBreak/>
              <w:t>22 septembre 2014</w:t>
            </w:r>
          </w:p>
          <w:p w:rsidR="00D55CB1" w:rsidRPr="008047CE" w:rsidRDefault="00D55CB1" w:rsidP="00EE6F1A">
            <w:pPr>
              <w:jc w:val="both"/>
              <w:rPr>
                <w:rFonts w:eastAsia="Calibri"/>
                <w:sz w:val="20"/>
                <w:lang w:val="fr-CA"/>
              </w:rPr>
            </w:pPr>
            <w:r w:rsidRPr="008047CE">
              <w:rPr>
                <w:rFonts w:eastAsia="Calibri"/>
                <w:sz w:val="20"/>
                <w:lang w:val="fr-CA"/>
              </w:rPr>
              <w:t>Cour suprême du Canada</w:t>
            </w:r>
          </w:p>
        </w:tc>
        <w:tc>
          <w:tcPr>
            <w:tcW w:w="243" w:type="pct"/>
          </w:tcPr>
          <w:p w:rsidR="00D55CB1" w:rsidRPr="008047CE" w:rsidRDefault="00D55CB1" w:rsidP="00EE6F1A">
            <w:pPr>
              <w:jc w:val="both"/>
              <w:rPr>
                <w:rFonts w:eastAsia="Calibri"/>
                <w:sz w:val="20"/>
                <w:lang w:val="fr-CA"/>
              </w:rPr>
            </w:pPr>
          </w:p>
        </w:tc>
        <w:tc>
          <w:tcPr>
            <w:tcW w:w="2330" w:type="pct"/>
          </w:tcPr>
          <w:p w:rsidR="00D55CB1" w:rsidRPr="008047CE" w:rsidRDefault="00D55CB1" w:rsidP="00EE6F1A">
            <w:pPr>
              <w:jc w:val="both"/>
              <w:rPr>
                <w:rFonts w:eastAsia="Calibri"/>
                <w:sz w:val="20"/>
                <w:lang w:val="fr-CA"/>
              </w:rPr>
            </w:pPr>
            <w:r w:rsidRPr="008047CE">
              <w:rPr>
                <w:rFonts w:eastAsia="Calibri"/>
                <w:sz w:val="20"/>
                <w:lang w:val="fr-CA"/>
              </w:rPr>
              <w:t>Dépôt de la demande d’autorisation d’appel</w:t>
            </w:r>
          </w:p>
          <w:p w:rsidR="00D55CB1" w:rsidRPr="008047CE" w:rsidRDefault="00D55CB1" w:rsidP="00EE6F1A">
            <w:pPr>
              <w:jc w:val="both"/>
              <w:rPr>
                <w:rFonts w:eastAsia="Calibri"/>
                <w:sz w:val="20"/>
                <w:lang w:val="fr-CA"/>
              </w:rPr>
            </w:pPr>
          </w:p>
        </w:tc>
      </w:tr>
    </w:tbl>
    <w:p w:rsidR="00611550" w:rsidRPr="00D55CB1" w:rsidRDefault="00611550" w:rsidP="00611550">
      <w:pPr>
        <w:rPr>
          <w:sz w:val="20"/>
          <w:szCs w:val="20"/>
          <w:lang w:val="fr-CA"/>
        </w:rPr>
      </w:pPr>
    </w:p>
    <w:p w:rsidR="00611550" w:rsidRDefault="008A5B26" w:rsidP="00611550">
      <w:pPr>
        <w:rPr>
          <w:sz w:val="20"/>
          <w:szCs w:val="20"/>
          <w:lang w:val="fr-CA"/>
        </w:rPr>
      </w:pPr>
      <w:r>
        <w:rPr>
          <w:sz w:val="20"/>
          <w:szCs w:val="20"/>
          <w:lang w:val="fr-CA"/>
        </w:rPr>
        <w:pict>
          <v:rect id="_x0000_i1045" style="width:2in;height:1pt" o:hrpct="0" o:hralign="center" o:hrstd="t" o:hrnoshade="t" o:hr="t" fillcolor="black [3213]" stroked="f"/>
        </w:pict>
      </w:r>
    </w:p>
    <w:p w:rsidR="00611550" w:rsidRDefault="00611550" w:rsidP="0061155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21805" w:rsidRPr="000E19FC" w:rsidTr="00EE6F1A">
        <w:trPr>
          <w:cantSplit/>
        </w:trPr>
        <w:tc>
          <w:tcPr>
            <w:tcW w:w="1458" w:type="dxa"/>
          </w:tcPr>
          <w:p w:rsidR="00021805" w:rsidRPr="000E19FC" w:rsidRDefault="00021805" w:rsidP="00EE6F1A">
            <w:pPr>
              <w:rPr>
                <w:sz w:val="20"/>
                <w:szCs w:val="20"/>
              </w:rPr>
            </w:pPr>
            <w:r w:rsidRPr="000E19FC">
              <w:rPr>
                <w:rStyle w:val="SCCFileNumberChar"/>
                <w:sz w:val="20"/>
                <w:szCs w:val="20"/>
              </w:rPr>
              <w:t>36082</w:t>
            </w:r>
          </w:p>
          <w:p w:rsidR="00021805" w:rsidRPr="000E19FC" w:rsidRDefault="00021805" w:rsidP="00EE6F1A">
            <w:pPr>
              <w:rPr>
                <w:b/>
                <w:sz w:val="20"/>
                <w:szCs w:val="20"/>
                <w:lang w:val="fr-CA"/>
              </w:rPr>
            </w:pPr>
          </w:p>
        </w:tc>
        <w:tc>
          <w:tcPr>
            <w:tcW w:w="8118" w:type="dxa"/>
          </w:tcPr>
          <w:p w:rsidR="00021805" w:rsidRPr="000E19FC" w:rsidRDefault="00021805" w:rsidP="00EE6F1A">
            <w:pPr>
              <w:rPr>
                <w:sz w:val="20"/>
                <w:szCs w:val="20"/>
              </w:rPr>
            </w:pPr>
            <w:r w:rsidRPr="00021805">
              <w:rPr>
                <w:rStyle w:val="SCCLsocChar"/>
                <w:sz w:val="20"/>
                <w:szCs w:val="20"/>
                <w:lang w:val="en-CA"/>
              </w:rPr>
              <w:t>Larry Estabrooks v. New Brunswick Real Estate Association</w:t>
            </w:r>
            <w:r w:rsidRPr="000E19FC">
              <w:rPr>
                <w:sz w:val="20"/>
                <w:szCs w:val="20"/>
              </w:rPr>
              <w:t xml:space="preserve"> (N.B.) (Civil) (By Leave)</w:t>
            </w:r>
          </w:p>
          <w:p w:rsidR="00021805" w:rsidRPr="000E19FC" w:rsidRDefault="00021805" w:rsidP="00EE6F1A">
            <w:pPr>
              <w:rPr>
                <w:sz w:val="20"/>
                <w:szCs w:val="20"/>
              </w:rPr>
            </w:pPr>
          </w:p>
        </w:tc>
      </w:tr>
      <w:tr w:rsidR="00021805" w:rsidRPr="000E19FC" w:rsidTr="00EE6F1A">
        <w:trPr>
          <w:cantSplit/>
        </w:trPr>
        <w:tc>
          <w:tcPr>
            <w:tcW w:w="1458" w:type="dxa"/>
          </w:tcPr>
          <w:p w:rsidR="00021805" w:rsidRPr="000E19FC" w:rsidRDefault="00021805" w:rsidP="00EE6F1A">
            <w:pPr>
              <w:rPr>
                <w:sz w:val="20"/>
                <w:szCs w:val="20"/>
              </w:rPr>
            </w:pPr>
            <w:r w:rsidRPr="000E19FC">
              <w:rPr>
                <w:sz w:val="20"/>
                <w:szCs w:val="20"/>
              </w:rPr>
              <w:t>Coram :</w:t>
            </w:r>
          </w:p>
        </w:tc>
        <w:tc>
          <w:tcPr>
            <w:tcW w:w="8118" w:type="dxa"/>
          </w:tcPr>
          <w:p w:rsidR="00021805" w:rsidRPr="000E19FC" w:rsidRDefault="00021805" w:rsidP="00EE6F1A">
            <w:pPr>
              <w:rPr>
                <w:sz w:val="20"/>
                <w:szCs w:val="20"/>
              </w:rPr>
            </w:pPr>
            <w:r w:rsidRPr="00021805">
              <w:rPr>
                <w:rStyle w:val="SCCCoramChar"/>
                <w:sz w:val="20"/>
                <w:szCs w:val="20"/>
                <w:lang w:val="en-CA"/>
              </w:rPr>
              <w:t>Rothstein, Cromwell and Moldaver JJ.</w:t>
            </w:r>
          </w:p>
          <w:p w:rsidR="00021805" w:rsidRPr="000E19FC" w:rsidRDefault="00021805" w:rsidP="00EE6F1A">
            <w:pPr>
              <w:rPr>
                <w:sz w:val="20"/>
                <w:szCs w:val="20"/>
                <w:u w:val="single"/>
              </w:rPr>
            </w:pPr>
          </w:p>
        </w:tc>
      </w:tr>
      <w:tr w:rsidR="00021805" w:rsidRPr="000E19FC" w:rsidTr="00EE6F1A">
        <w:trPr>
          <w:cantSplit/>
        </w:trPr>
        <w:tc>
          <w:tcPr>
            <w:tcW w:w="9576" w:type="dxa"/>
            <w:gridSpan w:val="2"/>
          </w:tcPr>
          <w:p w:rsidR="00021805" w:rsidRPr="000E19FC" w:rsidRDefault="00021805" w:rsidP="00EE6F1A">
            <w:pPr>
              <w:pStyle w:val="SCCShortJudgment"/>
              <w:rPr>
                <w:szCs w:val="20"/>
              </w:rPr>
            </w:pPr>
            <w:r w:rsidRPr="000E19FC">
              <w:rPr>
                <w:szCs w:val="20"/>
              </w:rPr>
              <w:t>The application for leave to appeal from the judgment of the Court of Appeal of New Brunswick, Number 6-13-CA, 2014 NBCA 48, dated July 17, 2014, is dismissed with costs.</w:t>
            </w:r>
          </w:p>
          <w:p w:rsidR="00021805" w:rsidRPr="000E19FC" w:rsidRDefault="00021805" w:rsidP="00EE6F1A">
            <w:pPr>
              <w:pStyle w:val="SCCShortJudgment"/>
              <w:ind w:firstLine="0"/>
              <w:rPr>
                <w:szCs w:val="20"/>
              </w:rPr>
            </w:pPr>
          </w:p>
          <w:p w:rsidR="00021805" w:rsidRPr="000E19FC" w:rsidRDefault="00021805" w:rsidP="00EE6F1A">
            <w:pPr>
              <w:pStyle w:val="SCCShortJudgment"/>
              <w:rPr>
                <w:szCs w:val="20"/>
                <w:lang w:val="fr-CA"/>
              </w:rPr>
            </w:pPr>
            <w:r w:rsidRPr="000E19FC">
              <w:rPr>
                <w:szCs w:val="20"/>
                <w:lang w:val="fr-CA"/>
              </w:rPr>
              <w:t>La demande d’autorisation d’appel de l’arrêt de la Cour d’appel du Nouveau-Brunswick, numéro 6-13-CA, 2014 NBCA 48, daté du 17 juillet 2014, est rejetée avec dépens.</w:t>
            </w:r>
          </w:p>
        </w:tc>
      </w:tr>
    </w:tbl>
    <w:p w:rsidR="00611550" w:rsidRPr="00021805" w:rsidRDefault="00611550" w:rsidP="000E2959">
      <w:pPr>
        <w:rPr>
          <w:sz w:val="20"/>
          <w:szCs w:val="20"/>
          <w:lang w:val="fr-CA"/>
        </w:rPr>
      </w:pPr>
    </w:p>
    <w:p w:rsidR="00611550" w:rsidRPr="001B157C" w:rsidRDefault="00611550" w:rsidP="00611550">
      <w:pPr>
        <w:rPr>
          <w:sz w:val="20"/>
          <w:szCs w:val="20"/>
          <w:u w:val="single"/>
        </w:rPr>
      </w:pPr>
      <w:r w:rsidRPr="001B157C">
        <w:rPr>
          <w:sz w:val="20"/>
          <w:szCs w:val="20"/>
          <w:u w:val="single"/>
        </w:rPr>
        <w:t>CASE SUMMARY</w:t>
      </w:r>
    </w:p>
    <w:p w:rsidR="00611550" w:rsidRDefault="00611550" w:rsidP="0061155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06EDB" w:rsidRPr="008047CE" w:rsidTr="00EE6F1A">
        <w:tc>
          <w:tcPr>
            <w:tcW w:w="5000" w:type="pct"/>
            <w:gridSpan w:val="3"/>
          </w:tcPr>
          <w:p w:rsidR="00106EDB" w:rsidRPr="008047CE" w:rsidRDefault="00106EDB" w:rsidP="00EE6F1A">
            <w:pPr>
              <w:jc w:val="both"/>
              <w:rPr>
                <w:rFonts w:eastAsia="Calibri"/>
                <w:sz w:val="20"/>
              </w:rPr>
            </w:pPr>
            <w:r w:rsidRPr="008047CE">
              <w:rPr>
                <w:rFonts w:eastAsia="Calibri"/>
                <w:sz w:val="20"/>
              </w:rPr>
              <w:t xml:space="preserve">Appeals — Torts — Professional liability — Malicious prosecution — Applicant found guilty of professional misconduct by New Brunswick Real Estate Association but finding later quashed — Court of Queen’s Bench finding Association maliciously prosecuted Applicant — Majority of Court of Appeal setting aside that decision — Whether there is appellate conflict over the issue of whether  tort of malicious prosecution extending to afford protection to those who are maliciously prosecuted by their self-regulating disciplinary bodies — Whether Court of Appeal majority erred in allowing appeal from lower court decision finding Association maliciously prosecuted Applicant.  </w:t>
            </w:r>
          </w:p>
        </w:tc>
      </w:tr>
      <w:tr w:rsidR="00106EDB" w:rsidRPr="008047CE" w:rsidTr="00EE6F1A">
        <w:tc>
          <w:tcPr>
            <w:tcW w:w="5000" w:type="pct"/>
            <w:gridSpan w:val="3"/>
          </w:tcPr>
          <w:p w:rsidR="00106EDB" w:rsidRPr="008047CE" w:rsidRDefault="00106EDB" w:rsidP="00EE6F1A">
            <w:pPr>
              <w:jc w:val="both"/>
              <w:rPr>
                <w:rFonts w:eastAsia="Calibri"/>
                <w:sz w:val="20"/>
              </w:rPr>
            </w:pPr>
          </w:p>
        </w:tc>
      </w:tr>
      <w:tr w:rsidR="00106EDB" w:rsidRPr="008047CE" w:rsidTr="00EE6F1A">
        <w:tc>
          <w:tcPr>
            <w:tcW w:w="5000" w:type="pct"/>
            <w:gridSpan w:val="3"/>
          </w:tcPr>
          <w:p w:rsidR="00106EDB" w:rsidRPr="008047CE" w:rsidRDefault="00106EDB" w:rsidP="00EE6F1A">
            <w:pPr>
              <w:jc w:val="both"/>
              <w:rPr>
                <w:rFonts w:eastAsia="Calibri"/>
                <w:sz w:val="20"/>
              </w:rPr>
            </w:pPr>
            <w:r w:rsidRPr="008047CE">
              <w:rPr>
                <w:rFonts w:eastAsia="Calibri"/>
                <w:sz w:val="20"/>
              </w:rPr>
              <w:t xml:space="preserve">The applicant, Mr. Estabrooks is a member of the respondent organization, the New Brunswick Real Estate Association (“NBREA”).  Mr. Estabrooks served as a member of the Board of the NBREA from 1999 to 2003 and as its President from 2001 to 2003.  In 2002, a Board member wrote a complaint letter to the NBREA about Mr. Estabrooks.  This letter was referred to the Complaints Committee of the Association pursuant to the </w:t>
            </w:r>
            <w:r w:rsidRPr="008047CE">
              <w:rPr>
                <w:rFonts w:eastAsia="Calibri"/>
                <w:i/>
                <w:sz w:val="20"/>
              </w:rPr>
              <w:t>New Brunswick Real Estate Association Act</w:t>
            </w:r>
            <w:r w:rsidRPr="008047CE">
              <w:rPr>
                <w:rFonts w:eastAsia="Calibri"/>
                <w:b/>
                <w:sz w:val="20"/>
              </w:rPr>
              <w:t>,</w:t>
            </w:r>
            <w:r w:rsidRPr="008047CE">
              <w:rPr>
                <w:rFonts w:eastAsia="Calibri"/>
                <w:b/>
                <w:i/>
                <w:sz w:val="20"/>
              </w:rPr>
              <w:t xml:space="preserve"> </w:t>
            </w:r>
            <w:r w:rsidRPr="008047CE">
              <w:rPr>
                <w:rFonts w:eastAsia="Calibri"/>
                <w:sz w:val="20"/>
              </w:rPr>
              <w:t>S.N.B. 1994, c. 115.  The Association’s Disciplinary Committee held a hearing to address the complaint and found Mr. Estabrooks guilty of professional misconduct.  Mr. Estabrooks appealed to the Court of Queen’s Bench where this decision was eventually quashed.</w:t>
            </w:r>
          </w:p>
          <w:p w:rsidR="00106EDB" w:rsidRPr="008047CE" w:rsidRDefault="00106EDB" w:rsidP="00EE6F1A">
            <w:pPr>
              <w:spacing w:before="210"/>
              <w:jc w:val="both"/>
              <w:rPr>
                <w:sz w:val="20"/>
              </w:rPr>
            </w:pPr>
            <w:r w:rsidRPr="008047CE">
              <w:rPr>
                <w:sz w:val="20"/>
              </w:rPr>
              <w:t xml:space="preserve">Mr. Estabrooks launched a claim for malicious prosecution against NBREA.  The Court of Queens’ Bench found NBREA maliciously prosecuted Mr. Estabrooks.  The majority of the Court of Appeal allowed the appeal.  </w:t>
            </w:r>
          </w:p>
          <w:p w:rsidR="00106EDB" w:rsidRPr="008047CE" w:rsidRDefault="00106EDB" w:rsidP="00EE6F1A">
            <w:pPr>
              <w:jc w:val="both"/>
              <w:rPr>
                <w:rFonts w:eastAsia="Calibri"/>
                <w:sz w:val="20"/>
              </w:rPr>
            </w:pPr>
          </w:p>
        </w:tc>
      </w:tr>
      <w:tr w:rsidR="00106EDB" w:rsidRPr="008047CE" w:rsidTr="00EE6F1A">
        <w:tc>
          <w:tcPr>
            <w:tcW w:w="2427" w:type="pct"/>
          </w:tcPr>
          <w:p w:rsidR="00106EDB" w:rsidRPr="008047CE" w:rsidRDefault="00106EDB" w:rsidP="00EE6F1A">
            <w:pPr>
              <w:jc w:val="both"/>
              <w:rPr>
                <w:rFonts w:eastAsia="Calibri"/>
                <w:sz w:val="20"/>
              </w:rPr>
            </w:pPr>
            <w:r w:rsidRPr="008047CE">
              <w:rPr>
                <w:rFonts w:eastAsia="Calibri"/>
                <w:sz w:val="20"/>
              </w:rPr>
              <w:t>December 18, 2012</w:t>
            </w:r>
          </w:p>
          <w:p w:rsidR="00106EDB" w:rsidRPr="008047CE" w:rsidRDefault="00106EDB" w:rsidP="00EE6F1A">
            <w:pPr>
              <w:jc w:val="both"/>
              <w:rPr>
                <w:rFonts w:eastAsia="Calibri"/>
                <w:sz w:val="20"/>
              </w:rPr>
            </w:pPr>
            <w:r w:rsidRPr="008047CE">
              <w:rPr>
                <w:rFonts w:eastAsia="Calibri"/>
                <w:sz w:val="20"/>
              </w:rPr>
              <w:t>Court of Queen’s Bench of New Brunswick</w:t>
            </w:r>
          </w:p>
          <w:p w:rsidR="00106EDB" w:rsidRPr="008047CE" w:rsidRDefault="00106EDB" w:rsidP="00EE6F1A">
            <w:pPr>
              <w:jc w:val="both"/>
              <w:rPr>
                <w:rFonts w:eastAsia="Calibri"/>
                <w:sz w:val="20"/>
              </w:rPr>
            </w:pPr>
            <w:r w:rsidRPr="008047CE">
              <w:rPr>
                <w:rFonts w:eastAsia="Calibri"/>
                <w:sz w:val="20"/>
              </w:rPr>
              <w:t>(Dionne J.)</w:t>
            </w:r>
          </w:p>
          <w:p w:rsidR="00106EDB" w:rsidRPr="008047CE" w:rsidRDefault="00106EDB" w:rsidP="00EE6F1A">
            <w:pPr>
              <w:jc w:val="both"/>
              <w:rPr>
                <w:rFonts w:eastAsia="Calibri"/>
                <w:sz w:val="20"/>
              </w:rPr>
            </w:pPr>
            <w:r w:rsidRPr="008047CE">
              <w:rPr>
                <w:rFonts w:eastAsia="Calibri"/>
                <w:sz w:val="20"/>
              </w:rPr>
              <w:t>2012 NBQB 407</w:t>
            </w:r>
          </w:p>
          <w:p w:rsidR="00106EDB" w:rsidRPr="008047CE" w:rsidRDefault="00106EDB" w:rsidP="00EE6F1A">
            <w:pPr>
              <w:jc w:val="both"/>
              <w:rPr>
                <w:rFonts w:eastAsia="Calibri"/>
                <w:sz w:val="20"/>
              </w:rPr>
            </w:pPr>
          </w:p>
        </w:tc>
        <w:tc>
          <w:tcPr>
            <w:tcW w:w="243" w:type="pct"/>
          </w:tcPr>
          <w:p w:rsidR="00106EDB" w:rsidRPr="008047CE" w:rsidRDefault="00106EDB" w:rsidP="00EE6F1A">
            <w:pPr>
              <w:jc w:val="both"/>
              <w:rPr>
                <w:rFonts w:eastAsia="Calibri"/>
                <w:sz w:val="20"/>
              </w:rPr>
            </w:pPr>
          </w:p>
        </w:tc>
        <w:tc>
          <w:tcPr>
            <w:tcW w:w="2330" w:type="pct"/>
          </w:tcPr>
          <w:p w:rsidR="00106EDB" w:rsidRPr="008047CE" w:rsidRDefault="00106EDB" w:rsidP="00EE6F1A">
            <w:pPr>
              <w:jc w:val="both"/>
              <w:rPr>
                <w:rFonts w:eastAsia="Calibri"/>
                <w:sz w:val="20"/>
              </w:rPr>
            </w:pPr>
            <w:r w:rsidRPr="008047CE">
              <w:rPr>
                <w:rFonts w:eastAsia="Calibri"/>
                <w:sz w:val="20"/>
              </w:rPr>
              <w:t>Association maliciously prosecuted Applicant.</w:t>
            </w:r>
          </w:p>
        </w:tc>
      </w:tr>
      <w:tr w:rsidR="00106EDB" w:rsidRPr="008047CE" w:rsidTr="00106EDB">
        <w:trPr>
          <w:cantSplit/>
        </w:trPr>
        <w:tc>
          <w:tcPr>
            <w:tcW w:w="2427" w:type="pct"/>
          </w:tcPr>
          <w:p w:rsidR="00106EDB" w:rsidRPr="008047CE" w:rsidRDefault="00106EDB" w:rsidP="00EE6F1A">
            <w:pPr>
              <w:jc w:val="both"/>
              <w:rPr>
                <w:rFonts w:eastAsia="Calibri"/>
                <w:sz w:val="20"/>
              </w:rPr>
            </w:pPr>
            <w:r w:rsidRPr="008047CE">
              <w:rPr>
                <w:rFonts w:eastAsia="Calibri"/>
                <w:sz w:val="20"/>
              </w:rPr>
              <w:t>July 17, 2014</w:t>
            </w:r>
          </w:p>
          <w:p w:rsidR="00106EDB" w:rsidRPr="008047CE" w:rsidRDefault="00106EDB" w:rsidP="00EE6F1A">
            <w:pPr>
              <w:jc w:val="both"/>
              <w:rPr>
                <w:rFonts w:eastAsia="Calibri"/>
                <w:sz w:val="20"/>
              </w:rPr>
            </w:pPr>
            <w:r w:rsidRPr="008047CE">
              <w:rPr>
                <w:rFonts w:eastAsia="Calibri"/>
                <w:sz w:val="20"/>
              </w:rPr>
              <w:t>Court of Appeal of New Brunswick</w:t>
            </w:r>
          </w:p>
          <w:p w:rsidR="00106EDB" w:rsidRPr="008047CE" w:rsidRDefault="00106EDB" w:rsidP="00EE6F1A">
            <w:pPr>
              <w:jc w:val="both"/>
              <w:rPr>
                <w:rFonts w:eastAsia="Calibri"/>
                <w:sz w:val="20"/>
              </w:rPr>
            </w:pPr>
            <w:r w:rsidRPr="008047CE">
              <w:rPr>
                <w:rFonts w:eastAsia="Calibri"/>
                <w:sz w:val="20"/>
              </w:rPr>
              <w:t xml:space="preserve">(Larlee and Robertson JJ.A. and Bell J.A. </w:t>
            </w:r>
          </w:p>
          <w:p w:rsidR="00106EDB" w:rsidRPr="008047CE" w:rsidRDefault="00106EDB" w:rsidP="00EE6F1A">
            <w:pPr>
              <w:jc w:val="both"/>
              <w:rPr>
                <w:rFonts w:eastAsia="Calibri"/>
                <w:sz w:val="20"/>
              </w:rPr>
            </w:pPr>
            <w:r w:rsidRPr="008047CE">
              <w:rPr>
                <w:rFonts w:eastAsia="Calibri"/>
                <w:sz w:val="20"/>
              </w:rPr>
              <w:t>(dissenting))</w:t>
            </w:r>
          </w:p>
          <w:p w:rsidR="00106EDB" w:rsidRPr="008047CE" w:rsidRDefault="008A5B26" w:rsidP="00EE6F1A">
            <w:pPr>
              <w:jc w:val="both"/>
              <w:rPr>
                <w:rFonts w:eastAsia="Calibri"/>
                <w:sz w:val="20"/>
              </w:rPr>
            </w:pPr>
            <w:hyperlink r:id="rId28" w:history="1">
              <w:r w:rsidR="00106EDB" w:rsidRPr="00F34021">
                <w:rPr>
                  <w:rFonts w:eastAsia="Calibri"/>
                  <w:color w:val="004B91"/>
                  <w:sz w:val="20"/>
                </w:rPr>
                <w:t>2014 NBCA 48</w:t>
              </w:r>
            </w:hyperlink>
          </w:p>
          <w:p w:rsidR="00106EDB" w:rsidRPr="008047CE" w:rsidRDefault="00106EDB" w:rsidP="00EE6F1A">
            <w:pPr>
              <w:jc w:val="both"/>
              <w:rPr>
                <w:rFonts w:eastAsia="Calibri"/>
                <w:sz w:val="20"/>
              </w:rPr>
            </w:pPr>
            <w:r w:rsidRPr="008047CE">
              <w:rPr>
                <w:rFonts w:eastAsia="Calibri"/>
                <w:sz w:val="20"/>
              </w:rPr>
              <w:t>File No.: 6-13-CA</w:t>
            </w:r>
          </w:p>
          <w:p w:rsidR="00106EDB" w:rsidRPr="008047CE" w:rsidRDefault="00106EDB" w:rsidP="00EE6F1A">
            <w:pPr>
              <w:jc w:val="both"/>
              <w:rPr>
                <w:rFonts w:eastAsia="Calibri"/>
                <w:sz w:val="20"/>
              </w:rPr>
            </w:pPr>
          </w:p>
        </w:tc>
        <w:tc>
          <w:tcPr>
            <w:tcW w:w="243" w:type="pct"/>
          </w:tcPr>
          <w:p w:rsidR="00106EDB" w:rsidRPr="008047CE" w:rsidRDefault="00106EDB" w:rsidP="00EE6F1A">
            <w:pPr>
              <w:jc w:val="both"/>
              <w:rPr>
                <w:rFonts w:eastAsia="Calibri"/>
                <w:sz w:val="20"/>
              </w:rPr>
            </w:pPr>
          </w:p>
        </w:tc>
        <w:tc>
          <w:tcPr>
            <w:tcW w:w="2330" w:type="pct"/>
          </w:tcPr>
          <w:p w:rsidR="00106EDB" w:rsidRPr="008047CE" w:rsidRDefault="00106EDB" w:rsidP="00EE6F1A">
            <w:pPr>
              <w:jc w:val="both"/>
              <w:rPr>
                <w:rFonts w:eastAsia="Calibri"/>
                <w:sz w:val="20"/>
              </w:rPr>
            </w:pPr>
            <w:r w:rsidRPr="008047CE">
              <w:rPr>
                <w:rFonts w:eastAsia="Calibri"/>
                <w:sz w:val="20"/>
              </w:rPr>
              <w:t>Appeal allowed.</w:t>
            </w:r>
          </w:p>
          <w:p w:rsidR="00106EDB" w:rsidRPr="008047CE" w:rsidRDefault="00106EDB" w:rsidP="00EE6F1A">
            <w:pPr>
              <w:jc w:val="both"/>
              <w:rPr>
                <w:rFonts w:eastAsia="Calibri"/>
                <w:sz w:val="20"/>
              </w:rPr>
            </w:pPr>
          </w:p>
        </w:tc>
      </w:tr>
    </w:tbl>
    <w:p w:rsidR="00263E08" w:rsidRDefault="00263E08">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06EDB" w:rsidRPr="008047CE" w:rsidTr="00106EDB">
        <w:trPr>
          <w:cantSplit/>
        </w:trPr>
        <w:tc>
          <w:tcPr>
            <w:tcW w:w="2427" w:type="pct"/>
          </w:tcPr>
          <w:p w:rsidR="00106EDB" w:rsidRPr="008047CE" w:rsidRDefault="00106EDB" w:rsidP="00EE6F1A">
            <w:pPr>
              <w:jc w:val="both"/>
              <w:rPr>
                <w:rFonts w:eastAsia="Calibri"/>
                <w:sz w:val="20"/>
              </w:rPr>
            </w:pPr>
            <w:r w:rsidRPr="008047CE">
              <w:rPr>
                <w:rFonts w:eastAsia="Calibri"/>
                <w:sz w:val="20"/>
              </w:rPr>
              <w:lastRenderedPageBreak/>
              <w:t>September 25, 2014</w:t>
            </w:r>
          </w:p>
          <w:p w:rsidR="00106EDB" w:rsidRPr="008047CE" w:rsidRDefault="00106EDB" w:rsidP="00EE6F1A">
            <w:pPr>
              <w:jc w:val="both"/>
              <w:rPr>
                <w:rFonts w:eastAsia="Calibri"/>
                <w:sz w:val="20"/>
              </w:rPr>
            </w:pPr>
            <w:r w:rsidRPr="008047CE">
              <w:rPr>
                <w:rFonts w:eastAsia="Calibri"/>
                <w:sz w:val="20"/>
              </w:rPr>
              <w:t>Supreme Court of Canada</w:t>
            </w:r>
          </w:p>
        </w:tc>
        <w:tc>
          <w:tcPr>
            <w:tcW w:w="243" w:type="pct"/>
          </w:tcPr>
          <w:p w:rsidR="00106EDB" w:rsidRPr="008047CE" w:rsidRDefault="00106EDB" w:rsidP="00EE6F1A">
            <w:pPr>
              <w:jc w:val="both"/>
              <w:rPr>
                <w:rFonts w:eastAsia="Calibri"/>
                <w:sz w:val="20"/>
              </w:rPr>
            </w:pPr>
          </w:p>
        </w:tc>
        <w:tc>
          <w:tcPr>
            <w:tcW w:w="2330" w:type="pct"/>
          </w:tcPr>
          <w:p w:rsidR="00106EDB" w:rsidRPr="008047CE" w:rsidRDefault="00106EDB" w:rsidP="00EE6F1A">
            <w:pPr>
              <w:jc w:val="both"/>
              <w:rPr>
                <w:rFonts w:eastAsia="Calibri"/>
                <w:sz w:val="20"/>
              </w:rPr>
            </w:pPr>
            <w:r w:rsidRPr="008047CE">
              <w:rPr>
                <w:rFonts w:eastAsia="Calibri"/>
                <w:sz w:val="20"/>
              </w:rPr>
              <w:t>Application for leave to appeal filed.</w:t>
            </w:r>
          </w:p>
          <w:p w:rsidR="00106EDB" w:rsidRPr="008047CE" w:rsidRDefault="00106EDB" w:rsidP="00EE6F1A">
            <w:pPr>
              <w:jc w:val="both"/>
              <w:rPr>
                <w:rFonts w:eastAsia="Calibri"/>
                <w:sz w:val="20"/>
              </w:rPr>
            </w:pPr>
          </w:p>
        </w:tc>
      </w:tr>
    </w:tbl>
    <w:p w:rsidR="00611550" w:rsidRDefault="00611550" w:rsidP="00611550">
      <w:pPr>
        <w:rPr>
          <w:sz w:val="20"/>
          <w:szCs w:val="20"/>
        </w:rPr>
      </w:pPr>
    </w:p>
    <w:p w:rsidR="00611550" w:rsidRPr="00C50A5C" w:rsidRDefault="008A5B26" w:rsidP="00611550">
      <w:pPr>
        <w:rPr>
          <w:sz w:val="20"/>
          <w:szCs w:val="20"/>
        </w:rPr>
      </w:pPr>
      <w:r>
        <w:rPr>
          <w:sz w:val="20"/>
          <w:szCs w:val="20"/>
          <w:lang w:val="fr-CA"/>
        </w:rPr>
        <w:pict>
          <v:rect id="_x0000_i1046" style="width:2in;height:1pt" o:hrpct="0" o:hralign="center" o:hrstd="t" o:hrnoshade="t" o:hr="t" fillcolor="black [3213]" stroked="f"/>
        </w:pict>
      </w:r>
    </w:p>
    <w:p w:rsidR="00611550" w:rsidRDefault="00611550" w:rsidP="00611550">
      <w:pPr>
        <w:rPr>
          <w:sz w:val="20"/>
          <w:szCs w:val="20"/>
        </w:rPr>
      </w:pPr>
    </w:p>
    <w:p w:rsidR="00611550" w:rsidRPr="001B157C" w:rsidRDefault="00611550" w:rsidP="00611550">
      <w:pPr>
        <w:rPr>
          <w:sz w:val="20"/>
          <w:szCs w:val="20"/>
          <w:u w:val="single"/>
          <w:lang w:val="fr-CA"/>
        </w:rPr>
      </w:pPr>
      <w:r w:rsidRPr="001B157C">
        <w:rPr>
          <w:sz w:val="20"/>
          <w:szCs w:val="20"/>
          <w:u w:val="single"/>
          <w:lang w:val="fr-CA"/>
        </w:rPr>
        <w:t>RÉSUMÉ DE L’AFFAIRE</w:t>
      </w:r>
    </w:p>
    <w:p w:rsidR="00611550" w:rsidRDefault="00611550" w:rsidP="0061155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06EDB" w:rsidRPr="006A1EFB" w:rsidTr="00EE6F1A">
        <w:tc>
          <w:tcPr>
            <w:tcW w:w="5000" w:type="pct"/>
            <w:gridSpan w:val="3"/>
          </w:tcPr>
          <w:p w:rsidR="00106EDB" w:rsidRPr="008047CE" w:rsidRDefault="00106EDB" w:rsidP="00EE6F1A">
            <w:pPr>
              <w:jc w:val="both"/>
              <w:rPr>
                <w:rFonts w:eastAsia="Calibri"/>
                <w:sz w:val="20"/>
                <w:lang w:val="fr-CA"/>
              </w:rPr>
            </w:pPr>
            <w:r w:rsidRPr="008047CE">
              <w:rPr>
                <w:rFonts w:eastAsia="Calibri"/>
                <w:sz w:val="20"/>
                <w:lang w:val="fr-CA"/>
              </w:rPr>
              <w:t xml:space="preserve">Appels </w:t>
            </w:r>
            <w:r w:rsidRPr="008047CE">
              <w:rPr>
                <w:rFonts w:eastAsia="Calibri"/>
                <w:smallCaps/>
                <w:sz w:val="20"/>
                <w:lang w:val="fr-CA"/>
              </w:rPr>
              <w:t xml:space="preserve">— </w:t>
            </w:r>
            <w:r w:rsidRPr="008047CE">
              <w:rPr>
                <w:rFonts w:eastAsia="Calibri"/>
                <w:sz w:val="20"/>
                <w:lang w:val="fr-CA"/>
              </w:rPr>
              <w:t xml:space="preserve">Responsabilité délictuelle </w:t>
            </w:r>
            <w:r w:rsidRPr="008047CE">
              <w:rPr>
                <w:rFonts w:eastAsia="Calibri"/>
                <w:smallCaps/>
                <w:sz w:val="20"/>
                <w:lang w:val="fr-CA"/>
              </w:rPr>
              <w:t xml:space="preserve">— </w:t>
            </w:r>
            <w:r w:rsidRPr="008047CE">
              <w:rPr>
                <w:rFonts w:eastAsia="Calibri"/>
                <w:sz w:val="20"/>
                <w:lang w:val="fr-CA"/>
              </w:rPr>
              <w:t xml:space="preserve">Responsabilité professionnelle </w:t>
            </w:r>
            <w:r w:rsidRPr="008047CE">
              <w:rPr>
                <w:rFonts w:eastAsia="Calibri"/>
                <w:smallCaps/>
                <w:sz w:val="20"/>
                <w:lang w:val="fr-CA"/>
              </w:rPr>
              <w:t xml:space="preserve">— </w:t>
            </w:r>
            <w:r w:rsidRPr="008047CE">
              <w:rPr>
                <w:rFonts w:eastAsia="Calibri"/>
                <w:sz w:val="20"/>
                <w:lang w:val="fr-CA"/>
              </w:rPr>
              <w:t xml:space="preserve">Poursuites abusives </w:t>
            </w:r>
            <w:r w:rsidRPr="008047CE">
              <w:rPr>
                <w:rFonts w:eastAsia="Calibri"/>
                <w:smallCaps/>
                <w:sz w:val="20"/>
                <w:lang w:val="fr-CA"/>
              </w:rPr>
              <w:t xml:space="preserve">— </w:t>
            </w:r>
            <w:r w:rsidRPr="008047CE">
              <w:rPr>
                <w:rFonts w:eastAsia="Calibri"/>
                <w:sz w:val="20"/>
                <w:lang w:val="fr-CA"/>
              </w:rPr>
              <w:t xml:space="preserve">Le demandeur a été déclaré coupable de faute professionnelle par l’Association des agents immobiliers du Nouveau-Brunswick, mais cette conclusion a été annulée par la suite </w:t>
            </w:r>
            <w:r w:rsidRPr="008047CE">
              <w:rPr>
                <w:rFonts w:eastAsia="Calibri"/>
                <w:smallCaps/>
                <w:sz w:val="20"/>
                <w:lang w:val="fr-CA"/>
              </w:rPr>
              <w:t xml:space="preserve">— </w:t>
            </w:r>
            <w:r w:rsidRPr="008047CE">
              <w:rPr>
                <w:rFonts w:eastAsia="Calibri"/>
                <w:sz w:val="20"/>
                <w:lang w:val="fr-CA"/>
              </w:rPr>
              <w:t xml:space="preserve">La Cour du Banc de la Reine a conclu que l’Association avait intenté une poursuite malveillante au demandeur </w:t>
            </w:r>
            <w:r w:rsidRPr="008047CE">
              <w:rPr>
                <w:rFonts w:eastAsia="Calibri"/>
                <w:smallCaps/>
                <w:sz w:val="20"/>
                <w:lang w:val="fr-CA"/>
              </w:rPr>
              <w:t xml:space="preserve">— </w:t>
            </w:r>
            <w:r w:rsidRPr="008047CE">
              <w:rPr>
                <w:rFonts w:eastAsia="Calibri"/>
                <w:sz w:val="20"/>
                <w:lang w:val="fr-CA"/>
              </w:rPr>
              <w:t xml:space="preserve">Les juges majoritaires de la Cour d’appel ont annulé cette décision </w:t>
            </w:r>
            <w:r w:rsidRPr="008047CE">
              <w:rPr>
                <w:rFonts w:eastAsia="Calibri"/>
                <w:smallCaps/>
                <w:sz w:val="20"/>
                <w:lang w:val="fr-CA"/>
              </w:rPr>
              <w:t xml:space="preserve">— </w:t>
            </w:r>
            <w:r w:rsidRPr="008047CE">
              <w:rPr>
                <w:rFonts w:eastAsia="Calibri"/>
                <w:sz w:val="20"/>
                <w:lang w:val="fr-CA"/>
              </w:rPr>
              <w:t xml:space="preserve">La jurisprudence des cours d’appel est-elle contradictoire sur la question de savoir si le délit civil de poursuite abusive s’étend au point de protéger les personnes qui ont été victimes d’une poursuite malveillante de la part de l’organe disciplinaire autonome dont elles sont membres? </w:t>
            </w:r>
            <w:r w:rsidRPr="008047CE">
              <w:rPr>
                <w:rFonts w:eastAsia="Calibri"/>
                <w:smallCaps/>
                <w:sz w:val="20"/>
                <w:lang w:val="fr-CA"/>
              </w:rPr>
              <w:t xml:space="preserve">— </w:t>
            </w:r>
            <w:r w:rsidRPr="008047CE">
              <w:rPr>
                <w:rFonts w:eastAsia="Calibri"/>
                <w:sz w:val="20"/>
                <w:lang w:val="fr-CA"/>
              </w:rPr>
              <w:t xml:space="preserve">Les juges majoritaires de la Cour d’appel ont-ils eu tort d’accueillir l’appel de la décision de la juridiction inférieure concluant que l’Association avait intenté une poursuite malveillante au demandeur?  </w:t>
            </w:r>
          </w:p>
        </w:tc>
      </w:tr>
      <w:tr w:rsidR="00106EDB" w:rsidRPr="006A1EFB" w:rsidTr="00EE6F1A">
        <w:tc>
          <w:tcPr>
            <w:tcW w:w="5000" w:type="pct"/>
            <w:gridSpan w:val="3"/>
          </w:tcPr>
          <w:p w:rsidR="00106EDB" w:rsidRPr="008047CE" w:rsidRDefault="00106EDB" w:rsidP="00EE6F1A">
            <w:pPr>
              <w:jc w:val="both"/>
              <w:rPr>
                <w:rFonts w:eastAsia="Calibri"/>
                <w:sz w:val="20"/>
                <w:lang w:val="fr-CA"/>
              </w:rPr>
            </w:pPr>
          </w:p>
        </w:tc>
      </w:tr>
      <w:tr w:rsidR="00106EDB" w:rsidRPr="006A1EFB" w:rsidTr="00EE6F1A">
        <w:tc>
          <w:tcPr>
            <w:tcW w:w="5000" w:type="pct"/>
            <w:gridSpan w:val="3"/>
          </w:tcPr>
          <w:p w:rsidR="00106EDB" w:rsidRDefault="00106EDB" w:rsidP="00EE6F1A">
            <w:pPr>
              <w:jc w:val="both"/>
              <w:rPr>
                <w:rFonts w:eastAsia="Calibri"/>
                <w:sz w:val="20"/>
                <w:lang w:val="fr-CA"/>
              </w:rPr>
            </w:pPr>
            <w:r w:rsidRPr="008047CE">
              <w:rPr>
                <w:rFonts w:eastAsia="Calibri"/>
                <w:sz w:val="20"/>
                <w:lang w:val="fr-CA"/>
              </w:rPr>
              <w:t xml:space="preserve">Le demandeur, M. Estabrooks est membre de l’organisme intimé, l’Association des agents immobiliers du Nouveau-Brunswick (« AAINB »).  Monsieur Estabrooks a occupé le poste de membre du conseil de l’AAINB de 1999 à 2003 et il en a été le président de 2001 à 2003.  En 2002, un membre du conseil a rédigé une lettre de plainte à l’AAINB au sujet de M. Estabrooks.  Cette lettre a été renvoyée au comité des plaintes de l’Association en application de la </w:t>
            </w:r>
            <w:r w:rsidRPr="008047CE">
              <w:rPr>
                <w:rFonts w:eastAsia="Calibri"/>
                <w:i/>
                <w:iCs/>
                <w:sz w:val="20"/>
                <w:lang w:val="fr-CA"/>
              </w:rPr>
              <w:t>Loi constituant l’association des agents immobiliers du Nouveau</w:t>
            </w:r>
            <w:r w:rsidRPr="008047CE">
              <w:rPr>
                <w:rFonts w:eastAsia="Calibri"/>
                <w:i/>
                <w:iCs/>
                <w:sz w:val="20"/>
                <w:lang w:val="fr-CA"/>
              </w:rPr>
              <w:noBreakHyphen/>
              <w:t>Brunswick</w:t>
            </w:r>
            <w:r w:rsidRPr="008047CE">
              <w:rPr>
                <w:rFonts w:eastAsia="Calibri"/>
                <w:i/>
                <w:sz w:val="20"/>
                <w:lang w:val="fr-CA"/>
              </w:rPr>
              <w:t xml:space="preserve">, </w:t>
            </w:r>
            <w:r w:rsidRPr="008047CE">
              <w:rPr>
                <w:rFonts w:eastAsia="Calibri"/>
                <w:sz w:val="20"/>
                <w:lang w:val="fr-CA"/>
              </w:rPr>
              <w:t>L.N.</w:t>
            </w:r>
            <w:r w:rsidRPr="008047CE">
              <w:rPr>
                <w:rFonts w:eastAsia="Calibri"/>
                <w:sz w:val="20"/>
                <w:lang w:val="fr-CA"/>
              </w:rPr>
              <w:noBreakHyphen/>
              <w:t xml:space="preserve">B. 1994, ch. 115.  Le comité de discipline de l’Association a tenu une audience pour traiter de la plainte et a déclaré M. Estabrooks coupable de faute professionnelle.  Monsieur Estabrooks a interjeté appel à la Cour du Banc de la Reine qui a fini par annuler cette décision.   </w:t>
            </w:r>
          </w:p>
          <w:p w:rsidR="00106EDB" w:rsidRPr="008047CE" w:rsidRDefault="00106EDB" w:rsidP="00EE6F1A">
            <w:pPr>
              <w:jc w:val="both"/>
              <w:rPr>
                <w:rFonts w:eastAsia="Calibri"/>
                <w:sz w:val="20"/>
                <w:lang w:val="fr-CA"/>
              </w:rPr>
            </w:pPr>
          </w:p>
          <w:p w:rsidR="00106EDB" w:rsidRPr="008047CE" w:rsidRDefault="00106EDB" w:rsidP="00EE6F1A">
            <w:pPr>
              <w:jc w:val="both"/>
              <w:rPr>
                <w:sz w:val="20"/>
                <w:lang w:val="fr-CA"/>
              </w:rPr>
            </w:pPr>
            <w:r w:rsidRPr="008047CE">
              <w:rPr>
                <w:sz w:val="20"/>
                <w:lang w:val="fr-CA"/>
              </w:rPr>
              <w:t xml:space="preserve">Monsieur Estabrooks a intenté une action en poursuite malveillante contre l’AAINB.  La Cour du Banc de la Reine a conclu que l’AAINB avait intenté une poursuite malveillante à M. Estabrooks.  Les juges majoritaires de la Cour d’appel ont accueilli l’appel.  </w:t>
            </w:r>
          </w:p>
          <w:p w:rsidR="00106EDB" w:rsidRPr="008047CE" w:rsidRDefault="00106EDB" w:rsidP="00EE6F1A">
            <w:pPr>
              <w:jc w:val="both"/>
              <w:rPr>
                <w:rFonts w:eastAsia="Calibri"/>
                <w:sz w:val="20"/>
                <w:lang w:val="fr-CA"/>
              </w:rPr>
            </w:pPr>
          </w:p>
        </w:tc>
      </w:tr>
      <w:tr w:rsidR="00106EDB" w:rsidRPr="006A1EFB" w:rsidTr="00EE6F1A">
        <w:tc>
          <w:tcPr>
            <w:tcW w:w="2427" w:type="pct"/>
          </w:tcPr>
          <w:p w:rsidR="00106EDB" w:rsidRPr="008047CE" w:rsidRDefault="00106EDB" w:rsidP="00EE6F1A">
            <w:pPr>
              <w:jc w:val="both"/>
              <w:rPr>
                <w:rFonts w:eastAsia="Calibri"/>
                <w:sz w:val="20"/>
                <w:lang w:val="fr-CA"/>
              </w:rPr>
            </w:pPr>
            <w:r w:rsidRPr="008047CE">
              <w:rPr>
                <w:rFonts w:eastAsia="Calibri"/>
                <w:sz w:val="20"/>
                <w:lang w:val="fr-CA"/>
              </w:rPr>
              <w:t>18 décembre 2012</w:t>
            </w:r>
          </w:p>
          <w:p w:rsidR="00106EDB" w:rsidRPr="008047CE" w:rsidRDefault="00106EDB" w:rsidP="00EE6F1A">
            <w:pPr>
              <w:jc w:val="both"/>
              <w:rPr>
                <w:rFonts w:eastAsia="Calibri"/>
                <w:sz w:val="20"/>
                <w:lang w:val="fr-CA"/>
              </w:rPr>
            </w:pPr>
            <w:r w:rsidRPr="008047CE">
              <w:rPr>
                <w:rFonts w:eastAsia="Calibri"/>
                <w:sz w:val="20"/>
                <w:lang w:val="fr-CA"/>
              </w:rPr>
              <w:t>Cour du Banc de la Reine du Nouveau-Brunswick</w:t>
            </w:r>
          </w:p>
          <w:p w:rsidR="00106EDB" w:rsidRPr="008047CE" w:rsidRDefault="00106EDB" w:rsidP="00EE6F1A">
            <w:pPr>
              <w:jc w:val="both"/>
              <w:rPr>
                <w:rFonts w:eastAsia="Calibri"/>
                <w:sz w:val="20"/>
                <w:lang w:val="fr-CA"/>
              </w:rPr>
            </w:pPr>
            <w:r w:rsidRPr="008047CE">
              <w:rPr>
                <w:rFonts w:eastAsia="Calibri"/>
                <w:sz w:val="20"/>
                <w:lang w:val="fr-CA"/>
              </w:rPr>
              <w:t>(Juge Dionne)</w:t>
            </w:r>
          </w:p>
          <w:p w:rsidR="00106EDB" w:rsidRPr="008047CE" w:rsidRDefault="00106EDB" w:rsidP="00EE6F1A">
            <w:pPr>
              <w:jc w:val="both"/>
              <w:rPr>
                <w:rFonts w:eastAsia="Calibri"/>
                <w:sz w:val="20"/>
                <w:lang w:val="fr-CA"/>
              </w:rPr>
            </w:pPr>
            <w:r w:rsidRPr="008047CE">
              <w:rPr>
                <w:rFonts w:eastAsia="Calibri"/>
                <w:sz w:val="20"/>
                <w:lang w:val="fr-CA"/>
              </w:rPr>
              <w:t>2012 NBQB 407</w:t>
            </w:r>
          </w:p>
          <w:p w:rsidR="00106EDB" w:rsidRPr="008047CE" w:rsidRDefault="00106EDB" w:rsidP="00EE6F1A">
            <w:pPr>
              <w:jc w:val="both"/>
              <w:rPr>
                <w:rFonts w:eastAsia="Calibri"/>
                <w:sz w:val="20"/>
                <w:lang w:val="fr-CA"/>
              </w:rPr>
            </w:pPr>
          </w:p>
        </w:tc>
        <w:tc>
          <w:tcPr>
            <w:tcW w:w="243" w:type="pct"/>
          </w:tcPr>
          <w:p w:rsidR="00106EDB" w:rsidRPr="008047CE" w:rsidRDefault="00106EDB" w:rsidP="00EE6F1A">
            <w:pPr>
              <w:jc w:val="both"/>
              <w:rPr>
                <w:rFonts w:eastAsia="Calibri"/>
                <w:sz w:val="20"/>
                <w:lang w:val="fr-CA"/>
              </w:rPr>
            </w:pPr>
          </w:p>
        </w:tc>
        <w:tc>
          <w:tcPr>
            <w:tcW w:w="2330" w:type="pct"/>
          </w:tcPr>
          <w:p w:rsidR="00106EDB" w:rsidRPr="008047CE" w:rsidRDefault="00106EDB" w:rsidP="00EE6F1A">
            <w:pPr>
              <w:jc w:val="both"/>
              <w:rPr>
                <w:rFonts w:eastAsia="Calibri"/>
                <w:sz w:val="20"/>
                <w:lang w:val="fr-CA"/>
              </w:rPr>
            </w:pPr>
            <w:r w:rsidRPr="008047CE">
              <w:rPr>
                <w:rFonts w:eastAsia="Calibri"/>
                <w:sz w:val="20"/>
                <w:lang w:val="fr-CA"/>
              </w:rPr>
              <w:t xml:space="preserve">Jugement statuant que l’Association avait intenté une poursuite malveillante au demandeur. </w:t>
            </w:r>
          </w:p>
        </w:tc>
      </w:tr>
      <w:tr w:rsidR="00106EDB" w:rsidRPr="008047CE" w:rsidTr="00EE6F1A">
        <w:tc>
          <w:tcPr>
            <w:tcW w:w="2427" w:type="pct"/>
          </w:tcPr>
          <w:p w:rsidR="00106EDB" w:rsidRPr="008047CE" w:rsidRDefault="00106EDB" w:rsidP="00EE6F1A">
            <w:pPr>
              <w:jc w:val="both"/>
              <w:rPr>
                <w:rFonts w:eastAsia="Calibri"/>
                <w:sz w:val="20"/>
                <w:lang w:val="fr-CA"/>
              </w:rPr>
            </w:pPr>
            <w:r w:rsidRPr="008047CE">
              <w:rPr>
                <w:rFonts w:eastAsia="Calibri"/>
                <w:sz w:val="20"/>
                <w:lang w:val="fr-CA"/>
              </w:rPr>
              <w:t>17 juillet 2014</w:t>
            </w:r>
          </w:p>
          <w:p w:rsidR="00106EDB" w:rsidRPr="008047CE" w:rsidRDefault="00106EDB" w:rsidP="00EE6F1A">
            <w:pPr>
              <w:jc w:val="both"/>
              <w:rPr>
                <w:rFonts w:eastAsia="Calibri"/>
                <w:sz w:val="20"/>
                <w:lang w:val="fr-CA"/>
              </w:rPr>
            </w:pPr>
            <w:r w:rsidRPr="008047CE">
              <w:rPr>
                <w:rFonts w:eastAsia="Calibri"/>
                <w:sz w:val="20"/>
                <w:lang w:val="fr-CA"/>
              </w:rPr>
              <w:t xml:space="preserve">Cour d’appel du Nouveau-Brunswick </w:t>
            </w:r>
          </w:p>
          <w:p w:rsidR="00106EDB" w:rsidRPr="008047CE" w:rsidRDefault="00106EDB" w:rsidP="00EE6F1A">
            <w:pPr>
              <w:jc w:val="both"/>
              <w:rPr>
                <w:rFonts w:eastAsia="Calibri"/>
                <w:sz w:val="20"/>
                <w:lang w:val="fr-CA"/>
              </w:rPr>
            </w:pPr>
            <w:r w:rsidRPr="008047CE">
              <w:rPr>
                <w:rFonts w:eastAsia="Calibri"/>
                <w:sz w:val="20"/>
                <w:lang w:val="fr-CA"/>
              </w:rPr>
              <w:t xml:space="preserve">(Juges Larlee, Robertson et Bell </w:t>
            </w:r>
          </w:p>
          <w:p w:rsidR="00106EDB" w:rsidRPr="008047CE" w:rsidRDefault="00106EDB" w:rsidP="00EE6F1A">
            <w:pPr>
              <w:jc w:val="both"/>
              <w:rPr>
                <w:rFonts w:eastAsia="Calibri"/>
                <w:sz w:val="20"/>
                <w:lang w:val="fr-CA"/>
              </w:rPr>
            </w:pPr>
            <w:r w:rsidRPr="008047CE">
              <w:rPr>
                <w:rFonts w:eastAsia="Calibri"/>
                <w:sz w:val="20"/>
                <w:lang w:val="fr-CA"/>
              </w:rPr>
              <w:t>(dissident))</w:t>
            </w:r>
          </w:p>
          <w:p w:rsidR="00106EDB" w:rsidRPr="008047CE" w:rsidRDefault="008A5B26" w:rsidP="00EE6F1A">
            <w:pPr>
              <w:jc w:val="both"/>
              <w:rPr>
                <w:rFonts w:eastAsia="Calibri"/>
                <w:sz w:val="20"/>
                <w:lang w:val="fr-CA"/>
              </w:rPr>
            </w:pPr>
            <w:hyperlink r:id="rId29" w:history="1">
              <w:r w:rsidR="00106EDB" w:rsidRPr="00F34021">
                <w:rPr>
                  <w:rFonts w:eastAsia="Calibri"/>
                  <w:color w:val="004B91"/>
                  <w:sz w:val="20"/>
                  <w:lang w:val="fr-CA"/>
                </w:rPr>
                <w:t>2014 NBCA 48</w:t>
              </w:r>
            </w:hyperlink>
          </w:p>
          <w:p w:rsidR="00106EDB" w:rsidRPr="008047CE" w:rsidRDefault="00106EDB" w:rsidP="00EE6F1A">
            <w:pPr>
              <w:jc w:val="both"/>
              <w:rPr>
                <w:rFonts w:eastAsia="Calibri"/>
                <w:sz w:val="20"/>
                <w:lang w:val="fr-CA"/>
              </w:rPr>
            </w:pPr>
            <w:r w:rsidRPr="008047CE">
              <w:rPr>
                <w:rFonts w:eastAsia="Calibri"/>
                <w:sz w:val="20"/>
                <w:lang w:val="fr-CA"/>
              </w:rPr>
              <w:t>N</w:t>
            </w:r>
            <w:r w:rsidRPr="008047CE">
              <w:rPr>
                <w:rFonts w:eastAsia="Calibri"/>
                <w:sz w:val="20"/>
                <w:vertAlign w:val="superscript"/>
                <w:lang w:val="fr-CA"/>
              </w:rPr>
              <w:t>o</w:t>
            </w:r>
            <w:r w:rsidRPr="008047CE">
              <w:rPr>
                <w:rFonts w:eastAsia="Calibri"/>
                <w:sz w:val="20"/>
                <w:lang w:val="fr-CA"/>
              </w:rPr>
              <w:t xml:space="preserve"> du greffe : 6-13-CA</w:t>
            </w:r>
          </w:p>
          <w:p w:rsidR="00106EDB" w:rsidRPr="008047CE" w:rsidRDefault="00106EDB" w:rsidP="00EE6F1A">
            <w:pPr>
              <w:jc w:val="both"/>
              <w:rPr>
                <w:rFonts w:eastAsia="Calibri"/>
                <w:sz w:val="20"/>
                <w:lang w:val="fr-CA"/>
              </w:rPr>
            </w:pPr>
          </w:p>
        </w:tc>
        <w:tc>
          <w:tcPr>
            <w:tcW w:w="243" w:type="pct"/>
          </w:tcPr>
          <w:p w:rsidR="00106EDB" w:rsidRPr="008047CE" w:rsidRDefault="00106EDB" w:rsidP="00EE6F1A">
            <w:pPr>
              <w:jc w:val="both"/>
              <w:rPr>
                <w:rFonts w:eastAsia="Calibri"/>
                <w:sz w:val="20"/>
                <w:lang w:val="fr-CA"/>
              </w:rPr>
            </w:pPr>
          </w:p>
        </w:tc>
        <w:tc>
          <w:tcPr>
            <w:tcW w:w="2330" w:type="pct"/>
          </w:tcPr>
          <w:p w:rsidR="00106EDB" w:rsidRPr="008047CE" w:rsidRDefault="00106EDB" w:rsidP="00EE6F1A">
            <w:pPr>
              <w:jc w:val="both"/>
              <w:rPr>
                <w:rFonts w:eastAsia="Calibri"/>
                <w:sz w:val="20"/>
                <w:lang w:val="fr-CA"/>
              </w:rPr>
            </w:pPr>
            <w:r w:rsidRPr="008047CE">
              <w:rPr>
                <w:rFonts w:eastAsia="Calibri"/>
                <w:sz w:val="20"/>
                <w:lang w:val="fr-CA"/>
              </w:rPr>
              <w:t>Jugement accueillant l’appel.</w:t>
            </w:r>
          </w:p>
          <w:p w:rsidR="00106EDB" w:rsidRPr="008047CE" w:rsidRDefault="00106EDB" w:rsidP="00EE6F1A">
            <w:pPr>
              <w:jc w:val="both"/>
              <w:rPr>
                <w:rFonts w:eastAsia="Calibri"/>
                <w:sz w:val="20"/>
                <w:lang w:val="fr-CA"/>
              </w:rPr>
            </w:pPr>
          </w:p>
        </w:tc>
      </w:tr>
      <w:tr w:rsidR="00106EDB" w:rsidRPr="006A1EFB" w:rsidTr="00106EDB">
        <w:trPr>
          <w:cantSplit/>
        </w:trPr>
        <w:tc>
          <w:tcPr>
            <w:tcW w:w="2427" w:type="pct"/>
          </w:tcPr>
          <w:p w:rsidR="00106EDB" w:rsidRPr="008047CE" w:rsidRDefault="00106EDB" w:rsidP="00EE6F1A">
            <w:pPr>
              <w:jc w:val="both"/>
              <w:rPr>
                <w:rFonts w:eastAsia="Calibri"/>
                <w:sz w:val="20"/>
                <w:lang w:val="fr-CA"/>
              </w:rPr>
            </w:pPr>
            <w:r w:rsidRPr="008047CE">
              <w:rPr>
                <w:rFonts w:eastAsia="Calibri"/>
                <w:sz w:val="20"/>
                <w:lang w:val="fr-CA"/>
              </w:rPr>
              <w:t>25 septembre 2014</w:t>
            </w:r>
          </w:p>
          <w:p w:rsidR="00106EDB" w:rsidRPr="008047CE" w:rsidRDefault="00106EDB" w:rsidP="00EE6F1A">
            <w:pPr>
              <w:jc w:val="both"/>
              <w:rPr>
                <w:rFonts w:eastAsia="Calibri"/>
                <w:sz w:val="20"/>
                <w:lang w:val="fr-CA"/>
              </w:rPr>
            </w:pPr>
            <w:r w:rsidRPr="008047CE">
              <w:rPr>
                <w:rFonts w:eastAsia="Calibri"/>
                <w:sz w:val="20"/>
                <w:lang w:val="fr-CA"/>
              </w:rPr>
              <w:t>Cour suprême du Canada</w:t>
            </w:r>
          </w:p>
        </w:tc>
        <w:tc>
          <w:tcPr>
            <w:tcW w:w="243" w:type="pct"/>
          </w:tcPr>
          <w:p w:rsidR="00106EDB" w:rsidRPr="008047CE" w:rsidRDefault="00106EDB" w:rsidP="00EE6F1A">
            <w:pPr>
              <w:jc w:val="both"/>
              <w:rPr>
                <w:rFonts w:eastAsia="Calibri"/>
                <w:sz w:val="20"/>
                <w:lang w:val="fr-CA"/>
              </w:rPr>
            </w:pPr>
          </w:p>
        </w:tc>
        <w:tc>
          <w:tcPr>
            <w:tcW w:w="2330" w:type="pct"/>
          </w:tcPr>
          <w:p w:rsidR="00106EDB" w:rsidRPr="008047CE" w:rsidRDefault="00106EDB" w:rsidP="00EE6F1A">
            <w:pPr>
              <w:jc w:val="both"/>
              <w:rPr>
                <w:rFonts w:eastAsia="Calibri"/>
                <w:sz w:val="20"/>
                <w:lang w:val="fr-CA"/>
              </w:rPr>
            </w:pPr>
            <w:r w:rsidRPr="008047CE">
              <w:rPr>
                <w:rFonts w:eastAsia="Calibri"/>
                <w:sz w:val="20"/>
                <w:lang w:val="fr-CA"/>
              </w:rPr>
              <w:t>Dépôt de la demande d’autorisation d’appel.</w:t>
            </w:r>
          </w:p>
        </w:tc>
      </w:tr>
    </w:tbl>
    <w:p w:rsidR="00611550" w:rsidRPr="00106EDB" w:rsidRDefault="00611550" w:rsidP="00611550">
      <w:pPr>
        <w:rPr>
          <w:sz w:val="20"/>
          <w:szCs w:val="20"/>
          <w:lang w:val="fr-CA"/>
        </w:rPr>
      </w:pPr>
    </w:p>
    <w:p w:rsidR="00611550" w:rsidRDefault="008A5B26" w:rsidP="00611550">
      <w:pPr>
        <w:rPr>
          <w:sz w:val="20"/>
          <w:szCs w:val="20"/>
          <w:lang w:val="fr-CA"/>
        </w:rPr>
      </w:pPr>
      <w:r>
        <w:rPr>
          <w:sz w:val="20"/>
          <w:szCs w:val="20"/>
          <w:lang w:val="fr-CA"/>
        </w:rPr>
        <w:pict>
          <v:rect id="_x0000_i1047" style="width:2in;height:1pt" o:hrpct="0" o:hralign="center" o:hrstd="t" o:hrnoshade="t" o:hr="t" fillcolor="black [3213]" stroked="f"/>
        </w:pict>
      </w:r>
    </w:p>
    <w:p w:rsidR="00611550" w:rsidRDefault="00611550" w:rsidP="0061155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21805" w:rsidRPr="000E19FC" w:rsidTr="00EE6F1A">
        <w:trPr>
          <w:cantSplit/>
        </w:trPr>
        <w:tc>
          <w:tcPr>
            <w:tcW w:w="1458" w:type="dxa"/>
          </w:tcPr>
          <w:p w:rsidR="00021805" w:rsidRPr="000E19FC" w:rsidRDefault="00021805" w:rsidP="00EE6F1A">
            <w:pPr>
              <w:rPr>
                <w:sz w:val="20"/>
                <w:szCs w:val="20"/>
              </w:rPr>
            </w:pPr>
            <w:r w:rsidRPr="000E19FC">
              <w:rPr>
                <w:rStyle w:val="SCCFileNumberChar"/>
                <w:sz w:val="20"/>
                <w:szCs w:val="20"/>
              </w:rPr>
              <w:lastRenderedPageBreak/>
              <w:t>36099</w:t>
            </w:r>
          </w:p>
          <w:p w:rsidR="00021805" w:rsidRPr="000E19FC" w:rsidRDefault="00021805" w:rsidP="00EE6F1A">
            <w:pPr>
              <w:rPr>
                <w:b/>
                <w:sz w:val="20"/>
                <w:szCs w:val="20"/>
                <w:lang w:val="fr-CA"/>
              </w:rPr>
            </w:pPr>
          </w:p>
        </w:tc>
        <w:tc>
          <w:tcPr>
            <w:tcW w:w="8118" w:type="dxa"/>
          </w:tcPr>
          <w:p w:rsidR="00021805" w:rsidRPr="000E19FC" w:rsidRDefault="00021805" w:rsidP="00EE6F1A">
            <w:pPr>
              <w:jc w:val="both"/>
              <w:rPr>
                <w:sz w:val="20"/>
                <w:szCs w:val="20"/>
              </w:rPr>
            </w:pPr>
            <w:r w:rsidRPr="00021805">
              <w:rPr>
                <w:rStyle w:val="SCCLsocChar"/>
                <w:sz w:val="20"/>
                <w:szCs w:val="20"/>
                <w:lang w:val="en-CA"/>
              </w:rPr>
              <w:t>Amira Khalid Mo Elbakhiet, Abdelrhman Elkh Ahmed and Maha Ahmed, a minor, and Niem Ahmed, a minor, by their Litigation Guardian, Abdelrhman Alkh Ahmed v. Derek A. Palmer, Rockie Palmer, Metcalfe Realty Company Limited and Kingsway General Insurance Company</w:t>
            </w:r>
            <w:r w:rsidRPr="000E19FC">
              <w:rPr>
                <w:sz w:val="20"/>
                <w:szCs w:val="20"/>
              </w:rPr>
              <w:t xml:space="preserve"> (Ont.) (Civil) (By Leave)</w:t>
            </w:r>
          </w:p>
          <w:p w:rsidR="00021805" w:rsidRPr="000E19FC" w:rsidRDefault="00021805" w:rsidP="00EE6F1A">
            <w:pPr>
              <w:jc w:val="both"/>
              <w:rPr>
                <w:sz w:val="20"/>
                <w:szCs w:val="20"/>
              </w:rPr>
            </w:pPr>
          </w:p>
        </w:tc>
      </w:tr>
      <w:tr w:rsidR="00021805" w:rsidRPr="000E19FC" w:rsidTr="00EE6F1A">
        <w:trPr>
          <w:cantSplit/>
        </w:trPr>
        <w:tc>
          <w:tcPr>
            <w:tcW w:w="1458" w:type="dxa"/>
          </w:tcPr>
          <w:p w:rsidR="00021805" w:rsidRPr="000E19FC" w:rsidRDefault="00021805" w:rsidP="00EE6F1A">
            <w:pPr>
              <w:rPr>
                <w:sz w:val="20"/>
                <w:szCs w:val="20"/>
              </w:rPr>
            </w:pPr>
            <w:r w:rsidRPr="000E19FC">
              <w:rPr>
                <w:sz w:val="20"/>
                <w:szCs w:val="20"/>
              </w:rPr>
              <w:t>Coram :</w:t>
            </w:r>
          </w:p>
        </w:tc>
        <w:tc>
          <w:tcPr>
            <w:tcW w:w="8118" w:type="dxa"/>
          </w:tcPr>
          <w:p w:rsidR="00021805" w:rsidRPr="000E19FC" w:rsidRDefault="00021805" w:rsidP="00EE6F1A">
            <w:pPr>
              <w:rPr>
                <w:sz w:val="20"/>
                <w:szCs w:val="20"/>
              </w:rPr>
            </w:pPr>
            <w:r w:rsidRPr="00021805">
              <w:rPr>
                <w:rStyle w:val="SCCCoramChar"/>
                <w:sz w:val="20"/>
                <w:szCs w:val="20"/>
                <w:lang w:val="en-CA"/>
              </w:rPr>
              <w:t>Rothstein, Cromwell and Moldaver JJ.</w:t>
            </w:r>
          </w:p>
          <w:p w:rsidR="00021805" w:rsidRPr="000E19FC" w:rsidRDefault="00021805" w:rsidP="00EE6F1A">
            <w:pPr>
              <w:rPr>
                <w:sz w:val="20"/>
                <w:szCs w:val="20"/>
                <w:u w:val="single"/>
              </w:rPr>
            </w:pPr>
          </w:p>
        </w:tc>
      </w:tr>
      <w:tr w:rsidR="00021805" w:rsidRPr="000E19FC" w:rsidTr="00EE6F1A">
        <w:trPr>
          <w:cantSplit/>
        </w:trPr>
        <w:tc>
          <w:tcPr>
            <w:tcW w:w="9576" w:type="dxa"/>
            <w:gridSpan w:val="2"/>
          </w:tcPr>
          <w:p w:rsidR="00021805" w:rsidRPr="000E19FC" w:rsidRDefault="00021805" w:rsidP="00EE6F1A">
            <w:pPr>
              <w:pStyle w:val="SCCShortJudgment"/>
              <w:rPr>
                <w:szCs w:val="20"/>
              </w:rPr>
            </w:pPr>
            <w:r w:rsidRPr="000E19FC">
              <w:rPr>
                <w:szCs w:val="20"/>
              </w:rPr>
              <w:t>The application for leave to appeal from the judgment of the Court of Appeal for Ontario, Number C56143, 2014 ONCA 544, dated July 11, 2014, is dismissed with costs.</w:t>
            </w:r>
          </w:p>
          <w:p w:rsidR="00021805" w:rsidRPr="000E19FC" w:rsidRDefault="00021805" w:rsidP="00EE6F1A">
            <w:pPr>
              <w:pStyle w:val="SCCShortJudgment"/>
              <w:ind w:firstLine="0"/>
              <w:rPr>
                <w:szCs w:val="20"/>
              </w:rPr>
            </w:pPr>
          </w:p>
          <w:p w:rsidR="00021805" w:rsidRPr="000E19FC" w:rsidRDefault="00021805" w:rsidP="00EE6F1A">
            <w:pPr>
              <w:pStyle w:val="SCCShortJudgment"/>
              <w:rPr>
                <w:szCs w:val="20"/>
                <w:lang w:val="fr-CA"/>
              </w:rPr>
            </w:pPr>
            <w:r w:rsidRPr="000E19FC">
              <w:rPr>
                <w:szCs w:val="20"/>
                <w:lang w:val="fr-CA"/>
              </w:rPr>
              <w:t>La demande d’autorisation d’appel de l’arrêt de la Cour d’appel de l’Ontario, numéro C56143, 2014 ONCA 544, daté du 11 juillet 2014, est rejetée avec dépens.</w:t>
            </w:r>
          </w:p>
        </w:tc>
      </w:tr>
    </w:tbl>
    <w:p w:rsidR="00611550" w:rsidRPr="00021805" w:rsidRDefault="00611550" w:rsidP="000E2959">
      <w:pPr>
        <w:rPr>
          <w:sz w:val="20"/>
          <w:szCs w:val="20"/>
          <w:lang w:val="fr-CA"/>
        </w:rPr>
      </w:pPr>
    </w:p>
    <w:p w:rsidR="00611550" w:rsidRPr="001B157C" w:rsidRDefault="00611550" w:rsidP="00611550">
      <w:pPr>
        <w:rPr>
          <w:sz w:val="20"/>
          <w:szCs w:val="20"/>
          <w:u w:val="single"/>
        </w:rPr>
      </w:pPr>
      <w:r w:rsidRPr="001B157C">
        <w:rPr>
          <w:sz w:val="20"/>
          <w:szCs w:val="20"/>
          <w:u w:val="single"/>
        </w:rPr>
        <w:t>CASE SUMMARY</w:t>
      </w:r>
    </w:p>
    <w:p w:rsidR="00611550" w:rsidRDefault="00611550" w:rsidP="0061155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06EDB" w:rsidRPr="008047CE" w:rsidTr="00EE6F1A">
        <w:tc>
          <w:tcPr>
            <w:tcW w:w="5000" w:type="pct"/>
            <w:gridSpan w:val="3"/>
          </w:tcPr>
          <w:p w:rsidR="00106EDB" w:rsidRPr="008047CE" w:rsidRDefault="00106EDB" w:rsidP="00EE6F1A">
            <w:pPr>
              <w:ind w:left="-7" w:firstLine="7"/>
              <w:jc w:val="both"/>
              <w:rPr>
                <w:rFonts w:eastAsia="Calibri"/>
                <w:sz w:val="20"/>
              </w:rPr>
            </w:pPr>
            <w:r w:rsidRPr="008047CE">
              <w:rPr>
                <w:rFonts w:eastAsia="Calibri"/>
                <w:sz w:val="20"/>
              </w:rPr>
              <w:t>Civil procedure – Costs – Applicant awarded damages for personal injury at trial by judge and jury – Defendants’ offer to settle very close to amount awarded for damages – Court of Appeal reducing amount for costs awarded to applicant – Does the “near miss” principle exist in Canada and is it an error of law for a trial judge to fail to adopt it?  Do offers to settle which come close to the eventual judgment attract mandatory costs consequences despite not meeting the requirements of a formal offer to settle? – Why does the “near miss” principle only apply to defendants’ offers? – If such a principle were adopted in Canada, should it not apply equally to plaintiffs and defendants?</w:t>
            </w:r>
          </w:p>
        </w:tc>
      </w:tr>
      <w:tr w:rsidR="00106EDB" w:rsidRPr="008047CE" w:rsidTr="00EE6F1A">
        <w:tc>
          <w:tcPr>
            <w:tcW w:w="5000" w:type="pct"/>
            <w:gridSpan w:val="3"/>
          </w:tcPr>
          <w:p w:rsidR="00106EDB" w:rsidRPr="008047CE" w:rsidRDefault="00106EDB" w:rsidP="00EE6F1A">
            <w:pPr>
              <w:jc w:val="both"/>
              <w:rPr>
                <w:rFonts w:eastAsia="Calibri"/>
                <w:sz w:val="20"/>
              </w:rPr>
            </w:pPr>
          </w:p>
        </w:tc>
      </w:tr>
      <w:tr w:rsidR="00106EDB" w:rsidRPr="008047CE" w:rsidTr="00EE6F1A">
        <w:tc>
          <w:tcPr>
            <w:tcW w:w="5000" w:type="pct"/>
            <w:gridSpan w:val="3"/>
          </w:tcPr>
          <w:p w:rsidR="00106EDB" w:rsidRPr="008047CE" w:rsidRDefault="00106EDB" w:rsidP="00EE6F1A">
            <w:pPr>
              <w:jc w:val="both"/>
              <w:rPr>
                <w:rFonts w:eastAsia="Calibri"/>
                <w:sz w:val="20"/>
              </w:rPr>
            </w:pPr>
            <w:r w:rsidRPr="008047CE">
              <w:rPr>
                <w:rFonts w:eastAsia="Calibri"/>
                <w:sz w:val="20"/>
              </w:rPr>
              <w:t xml:space="preserve">The applicant, Ms. Elbakhiet, was injured in a low speed motor vehicle accident when the vehicle in which she was a passenger was rear-ended in July, 2007.  She suffered from post-traumatic headaches, whiplash-related symptoms, traumatic brain injury leading to post-concussive syndrome and depression.  She sought general damages of $175,000 and special damages in the amount of $1,250,000 for, </w:t>
            </w:r>
            <w:r w:rsidRPr="008047CE">
              <w:rPr>
                <w:rFonts w:eastAsia="Calibri"/>
                <w:i/>
                <w:sz w:val="20"/>
              </w:rPr>
              <w:t>inter alia</w:t>
            </w:r>
            <w:r w:rsidRPr="008047CE">
              <w:rPr>
                <w:rFonts w:eastAsia="Calibri"/>
                <w:sz w:val="20"/>
              </w:rPr>
              <w:t xml:space="preserve">, loss of past and future income and loss of earning capacity.  Her husband and children made claims under the </w:t>
            </w:r>
            <w:r w:rsidRPr="008047CE">
              <w:rPr>
                <w:rFonts w:eastAsia="Calibri"/>
                <w:i/>
                <w:sz w:val="20"/>
              </w:rPr>
              <w:t>Family Law Act</w:t>
            </w:r>
            <w:r w:rsidRPr="008047CE">
              <w:rPr>
                <w:rFonts w:eastAsia="Calibri"/>
                <w:sz w:val="20"/>
              </w:rPr>
              <w:t>, R.S.O. 1990, c. F.3.  Prior to trial, the parties exchanged offers to settle.  The respondents served their second offer on February 10, 2012 for $145,000 plus pre-judgment interest and costs on a partial indemnity basis to the date of the offer.  The applicants served their offer to settle on February 9, 2012 for $600,000 inclusive of damages and prejudgment interest plus costs on a partial indemnity basis.  After a nine week trial, the jury awarded total damages for the applicants in the amount of $144,013.07 plus prejudgment interest.  At the subsequent costs hearing, the applicants claimed costs of $578,742.28 on a partial indemnity basis while the respondents claimed costs of $313,964.61, all inclusive to the date of their second offer.</w:t>
            </w:r>
          </w:p>
          <w:p w:rsidR="00106EDB" w:rsidRPr="008047CE" w:rsidRDefault="00106EDB" w:rsidP="00EE6F1A">
            <w:pPr>
              <w:jc w:val="both"/>
              <w:rPr>
                <w:rFonts w:eastAsia="Calibri"/>
                <w:sz w:val="20"/>
              </w:rPr>
            </w:pPr>
          </w:p>
        </w:tc>
      </w:tr>
      <w:tr w:rsidR="00106EDB" w:rsidRPr="008047CE" w:rsidTr="00EE6F1A">
        <w:tc>
          <w:tcPr>
            <w:tcW w:w="2427" w:type="pct"/>
          </w:tcPr>
          <w:p w:rsidR="00106EDB" w:rsidRPr="008047CE" w:rsidRDefault="00106EDB" w:rsidP="00EE6F1A">
            <w:pPr>
              <w:jc w:val="both"/>
              <w:rPr>
                <w:rFonts w:eastAsia="Calibri"/>
                <w:sz w:val="20"/>
              </w:rPr>
            </w:pPr>
            <w:r w:rsidRPr="008047CE">
              <w:rPr>
                <w:rFonts w:eastAsia="Calibri"/>
                <w:sz w:val="20"/>
              </w:rPr>
              <w:t>June 21, 2012</w:t>
            </w:r>
          </w:p>
          <w:p w:rsidR="00106EDB" w:rsidRPr="008047CE" w:rsidRDefault="00106EDB" w:rsidP="00EE6F1A">
            <w:pPr>
              <w:jc w:val="both"/>
              <w:rPr>
                <w:rFonts w:eastAsia="Calibri"/>
                <w:sz w:val="20"/>
              </w:rPr>
            </w:pPr>
            <w:r w:rsidRPr="008047CE">
              <w:rPr>
                <w:rFonts w:eastAsia="Calibri"/>
                <w:sz w:val="20"/>
              </w:rPr>
              <w:t>Ontario Superior Court of Justice</w:t>
            </w:r>
          </w:p>
          <w:p w:rsidR="00106EDB" w:rsidRPr="008047CE" w:rsidRDefault="00106EDB" w:rsidP="00EE6F1A">
            <w:pPr>
              <w:jc w:val="both"/>
              <w:rPr>
                <w:rFonts w:eastAsia="Calibri"/>
                <w:sz w:val="20"/>
              </w:rPr>
            </w:pPr>
            <w:r w:rsidRPr="008047CE">
              <w:rPr>
                <w:rFonts w:eastAsia="Calibri"/>
                <w:sz w:val="20"/>
              </w:rPr>
              <w:t>(Toscano Roccamo J.)</w:t>
            </w:r>
          </w:p>
          <w:p w:rsidR="00106EDB" w:rsidRPr="008047CE" w:rsidRDefault="008A5B26" w:rsidP="00EE6F1A">
            <w:pPr>
              <w:jc w:val="both"/>
              <w:rPr>
                <w:rFonts w:eastAsia="Calibri"/>
                <w:sz w:val="20"/>
              </w:rPr>
            </w:pPr>
            <w:hyperlink r:id="rId30" w:history="1">
              <w:r w:rsidR="00106EDB" w:rsidRPr="00F34021">
                <w:rPr>
                  <w:rFonts w:eastAsia="Calibri"/>
                  <w:color w:val="0000FF"/>
                  <w:sz w:val="20"/>
                  <w:u w:val="single"/>
                </w:rPr>
                <w:t>2012 ONSC 3666</w:t>
              </w:r>
            </w:hyperlink>
          </w:p>
          <w:p w:rsidR="00106EDB" w:rsidRPr="008047CE" w:rsidRDefault="00106EDB" w:rsidP="00EE6F1A">
            <w:pPr>
              <w:jc w:val="both"/>
              <w:rPr>
                <w:rFonts w:eastAsia="Calibri"/>
                <w:sz w:val="20"/>
              </w:rPr>
            </w:pPr>
          </w:p>
        </w:tc>
        <w:tc>
          <w:tcPr>
            <w:tcW w:w="243" w:type="pct"/>
          </w:tcPr>
          <w:p w:rsidR="00106EDB" w:rsidRPr="008047CE" w:rsidRDefault="00106EDB" w:rsidP="00EE6F1A">
            <w:pPr>
              <w:jc w:val="both"/>
              <w:rPr>
                <w:rFonts w:eastAsia="Calibri"/>
                <w:sz w:val="20"/>
              </w:rPr>
            </w:pPr>
          </w:p>
        </w:tc>
        <w:tc>
          <w:tcPr>
            <w:tcW w:w="2330" w:type="pct"/>
          </w:tcPr>
          <w:p w:rsidR="00106EDB" w:rsidRPr="008047CE" w:rsidRDefault="00106EDB" w:rsidP="00EE6F1A">
            <w:pPr>
              <w:jc w:val="both"/>
              <w:rPr>
                <w:rFonts w:eastAsia="Calibri"/>
                <w:sz w:val="20"/>
              </w:rPr>
            </w:pPr>
            <w:r w:rsidRPr="008047CE">
              <w:rPr>
                <w:rFonts w:eastAsia="Calibri"/>
                <w:sz w:val="20"/>
              </w:rPr>
              <w:t>Applicant awarded partial indemnity costs of $578,742.28 following trial</w:t>
            </w:r>
          </w:p>
          <w:p w:rsidR="00106EDB" w:rsidRPr="008047CE" w:rsidRDefault="00106EDB" w:rsidP="00EE6F1A">
            <w:pPr>
              <w:jc w:val="both"/>
              <w:rPr>
                <w:rFonts w:eastAsia="Calibri"/>
                <w:sz w:val="20"/>
              </w:rPr>
            </w:pPr>
          </w:p>
        </w:tc>
      </w:tr>
      <w:tr w:rsidR="00106EDB" w:rsidRPr="008047CE" w:rsidTr="00EE6F1A">
        <w:tc>
          <w:tcPr>
            <w:tcW w:w="2427" w:type="pct"/>
          </w:tcPr>
          <w:p w:rsidR="00106EDB" w:rsidRPr="008047CE" w:rsidRDefault="00106EDB" w:rsidP="00EE6F1A">
            <w:pPr>
              <w:jc w:val="both"/>
              <w:rPr>
                <w:rFonts w:eastAsia="Calibri"/>
                <w:sz w:val="20"/>
              </w:rPr>
            </w:pPr>
            <w:r w:rsidRPr="008047CE">
              <w:rPr>
                <w:rFonts w:eastAsia="Calibri"/>
                <w:sz w:val="20"/>
              </w:rPr>
              <w:t>July 11, 2014</w:t>
            </w:r>
          </w:p>
          <w:p w:rsidR="00106EDB" w:rsidRPr="008047CE" w:rsidRDefault="00106EDB" w:rsidP="00EE6F1A">
            <w:pPr>
              <w:jc w:val="both"/>
              <w:rPr>
                <w:rFonts w:eastAsia="Calibri"/>
                <w:sz w:val="20"/>
              </w:rPr>
            </w:pPr>
            <w:r w:rsidRPr="008047CE">
              <w:rPr>
                <w:rFonts w:eastAsia="Calibri"/>
                <w:sz w:val="20"/>
              </w:rPr>
              <w:t>Court of Appeal for Ontario</w:t>
            </w:r>
          </w:p>
          <w:p w:rsidR="00106EDB" w:rsidRPr="008047CE" w:rsidRDefault="00106EDB" w:rsidP="00EE6F1A">
            <w:pPr>
              <w:jc w:val="both"/>
              <w:rPr>
                <w:rFonts w:eastAsia="Calibri"/>
                <w:sz w:val="20"/>
              </w:rPr>
            </w:pPr>
            <w:r w:rsidRPr="008047CE">
              <w:rPr>
                <w:rFonts w:eastAsia="Calibri"/>
                <w:sz w:val="20"/>
              </w:rPr>
              <w:t>(Rosenberg, Cronk and Tulloch JJ.A.)</w:t>
            </w:r>
          </w:p>
          <w:p w:rsidR="00106EDB" w:rsidRPr="008047CE" w:rsidRDefault="008A5B26" w:rsidP="00EE6F1A">
            <w:pPr>
              <w:jc w:val="both"/>
              <w:rPr>
                <w:rFonts w:eastAsia="Calibri"/>
                <w:sz w:val="20"/>
              </w:rPr>
            </w:pPr>
            <w:hyperlink r:id="rId31" w:history="1">
              <w:r w:rsidR="00106EDB" w:rsidRPr="00F34021">
                <w:rPr>
                  <w:rFonts w:eastAsia="Calibri"/>
                  <w:color w:val="0000FF"/>
                  <w:sz w:val="20"/>
                  <w:u w:val="single"/>
                </w:rPr>
                <w:t>2014 ONCA 544</w:t>
              </w:r>
            </w:hyperlink>
          </w:p>
          <w:p w:rsidR="00106EDB" w:rsidRPr="008047CE" w:rsidRDefault="00106EDB" w:rsidP="00EE6F1A">
            <w:pPr>
              <w:jc w:val="both"/>
              <w:rPr>
                <w:rFonts w:eastAsia="Calibri"/>
                <w:sz w:val="20"/>
              </w:rPr>
            </w:pPr>
          </w:p>
        </w:tc>
        <w:tc>
          <w:tcPr>
            <w:tcW w:w="243" w:type="pct"/>
          </w:tcPr>
          <w:p w:rsidR="00106EDB" w:rsidRPr="008047CE" w:rsidRDefault="00106EDB" w:rsidP="00EE6F1A">
            <w:pPr>
              <w:jc w:val="both"/>
              <w:rPr>
                <w:rFonts w:eastAsia="Calibri"/>
                <w:sz w:val="20"/>
              </w:rPr>
            </w:pPr>
          </w:p>
        </w:tc>
        <w:tc>
          <w:tcPr>
            <w:tcW w:w="2330" w:type="pct"/>
          </w:tcPr>
          <w:p w:rsidR="00106EDB" w:rsidRPr="008047CE" w:rsidRDefault="00106EDB" w:rsidP="00EE6F1A">
            <w:pPr>
              <w:jc w:val="both"/>
              <w:rPr>
                <w:rFonts w:eastAsia="Calibri"/>
                <w:sz w:val="20"/>
              </w:rPr>
            </w:pPr>
            <w:r w:rsidRPr="008047CE">
              <w:rPr>
                <w:rFonts w:eastAsia="Calibri"/>
                <w:sz w:val="20"/>
              </w:rPr>
              <w:t>Respondents’ appeal of costs award granted; costs payable to applicant reduced to $100,000</w:t>
            </w:r>
          </w:p>
          <w:p w:rsidR="00106EDB" w:rsidRPr="008047CE" w:rsidRDefault="00106EDB" w:rsidP="00EE6F1A">
            <w:pPr>
              <w:jc w:val="both"/>
              <w:rPr>
                <w:rFonts w:eastAsia="Calibri"/>
                <w:sz w:val="20"/>
              </w:rPr>
            </w:pPr>
          </w:p>
          <w:p w:rsidR="00106EDB" w:rsidRPr="008047CE" w:rsidRDefault="00106EDB" w:rsidP="00EE6F1A">
            <w:pPr>
              <w:jc w:val="both"/>
              <w:rPr>
                <w:rFonts w:eastAsia="Calibri"/>
                <w:sz w:val="20"/>
              </w:rPr>
            </w:pPr>
          </w:p>
        </w:tc>
      </w:tr>
      <w:tr w:rsidR="00106EDB" w:rsidRPr="008047CE" w:rsidTr="00EE6F1A">
        <w:tc>
          <w:tcPr>
            <w:tcW w:w="2427" w:type="pct"/>
          </w:tcPr>
          <w:p w:rsidR="00106EDB" w:rsidRPr="008047CE" w:rsidRDefault="00106EDB" w:rsidP="00EE6F1A">
            <w:pPr>
              <w:jc w:val="both"/>
              <w:rPr>
                <w:rFonts w:eastAsia="Calibri"/>
                <w:sz w:val="20"/>
              </w:rPr>
            </w:pPr>
            <w:r w:rsidRPr="008047CE">
              <w:rPr>
                <w:rFonts w:eastAsia="Calibri"/>
                <w:sz w:val="20"/>
              </w:rPr>
              <w:t>September 29, 2014</w:t>
            </w:r>
          </w:p>
          <w:p w:rsidR="00106EDB" w:rsidRPr="008047CE" w:rsidRDefault="00106EDB" w:rsidP="00EE6F1A">
            <w:pPr>
              <w:jc w:val="both"/>
              <w:rPr>
                <w:rFonts w:eastAsia="Calibri"/>
                <w:sz w:val="20"/>
              </w:rPr>
            </w:pPr>
            <w:r w:rsidRPr="008047CE">
              <w:rPr>
                <w:rFonts w:eastAsia="Calibri"/>
                <w:sz w:val="20"/>
              </w:rPr>
              <w:t>Supreme Court of Canada</w:t>
            </w:r>
          </w:p>
        </w:tc>
        <w:tc>
          <w:tcPr>
            <w:tcW w:w="243" w:type="pct"/>
          </w:tcPr>
          <w:p w:rsidR="00106EDB" w:rsidRPr="008047CE" w:rsidRDefault="00106EDB" w:rsidP="00EE6F1A">
            <w:pPr>
              <w:jc w:val="both"/>
              <w:rPr>
                <w:rFonts w:eastAsia="Calibri"/>
                <w:sz w:val="20"/>
              </w:rPr>
            </w:pPr>
          </w:p>
        </w:tc>
        <w:tc>
          <w:tcPr>
            <w:tcW w:w="2330" w:type="pct"/>
          </w:tcPr>
          <w:p w:rsidR="00106EDB" w:rsidRPr="008047CE" w:rsidRDefault="00106EDB" w:rsidP="00EE6F1A">
            <w:pPr>
              <w:jc w:val="both"/>
              <w:rPr>
                <w:rFonts w:eastAsia="Calibri"/>
                <w:sz w:val="20"/>
              </w:rPr>
            </w:pPr>
            <w:r w:rsidRPr="008047CE">
              <w:rPr>
                <w:rFonts w:eastAsia="Calibri"/>
                <w:sz w:val="20"/>
              </w:rPr>
              <w:t>Application for leave to appeal filed</w:t>
            </w:r>
          </w:p>
          <w:p w:rsidR="00106EDB" w:rsidRPr="008047CE" w:rsidRDefault="00106EDB" w:rsidP="00EE6F1A">
            <w:pPr>
              <w:jc w:val="both"/>
              <w:rPr>
                <w:rFonts w:eastAsia="Calibri"/>
                <w:sz w:val="20"/>
              </w:rPr>
            </w:pPr>
          </w:p>
        </w:tc>
      </w:tr>
    </w:tbl>
    <w:p w:rsidR="00611550" w:rsidRDefault="00611550" w:rsidP="00611550">
      <w:pPr>
        <w:rPr>
          <w:sz w:val="20"/>
          <w:szCs w:val="20"/>
        </w:rPr>
      </w:pPr>
    </w:p>
    <w:p w:rsidR="00611550" w:rsidRPr="00C50A5C" w:rsidRDefault="008A5B26" w:rsidP="00611550">
      <w:pPr>
        <w:rPr>
          <w:sz w:val="20"/>
          <w:szCs w:val="20"/>
        </w:rPr>
      </w:pPr>
      <w:r>
        <w:rPr>
          <w:sz w:val="20"/>
          <w:szCs w:val="20"/>
          <w:lang w:val="fr-CA"/>
        </w:rPr>
        <w:pict>
          <v:rect id="_x0000_i1048" style="width:2in;height:1pt" o:hrpct="0" o:hralign="center" o:hrstd="t" o:hrnoshade="t" o:hr="t" fillcolor="black [3213]" stroked="f"/>
        </w:pict>
      </w:r>
    </w:p>
    <w:p w:rsidR="00611550" w:rsidRDefault="00611550" w:rsidP="00611550">
      <w:pPr>
        <w:rPr>
          <w:sz w:val="20"/>
          <w:szCs w:val="20"/>
        </w:rPr>
      </w:pPr>
    </w:p>
    <w:p w:rsidR="00611550" w:rsidRPr="001B157C" w:rsidRDefault="00611550" w:rsidP="00611550">
      <w:pPr>
        <w:rPr>
          <w:sz w:val="20"/>
          <w:szCs w:val="20"/>
          <w:u w:val="single"/>
          <w:lang w:val="fr-CA"/>
        </w:rPr>
      </w:pPr>
      <w:r w:rsidRPr="001B157C">
        <w:rPr>
          <w:sz w:val="20"/>
          <w:szCs w:val="20"/>
          <w:u w:val="single"/>
          <w:lang w:val="fr-CA"/>
        </w:rPr>
        <w:lastRenderedPageBreak/>
        <w:t>RÉSUMÉ DE L’AFFAIRE</w:t>
      </w:r>
    </w:p>
    <w:p w:rsidR="00611550" w:rsidRDefault="00611550" w:rsidP="0061155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06EDB" w:rsidRPr="006A1EFB" w:rsidTr="00EE6F1A">
        <w:tc>
          <w:tcPr>
            <w:tcW w:w="5000" w:type="pct"/>
            <w:gridSpan w:val="3"/>
          </w:tcPr>
          <w:p w:rsidR="00106EDB" w:rsidRPr="008047CE" w:rsidRDefault="00106EDB" w:rsidP="00EE6F1A">
            <w:pPr>
              <w:ind w:left="-7" w:firstLine="7"/>
              <w:jc w:val="both"/>
              <w:rPr>
                <w:rFonts w:eastAsia="Calibri"/>
                <w:sz w:val="20"/>
                <w:lang w:val="fr-CA"/>
              </w:rPr>
            </w:pPr>
            <w:r w:rsidRPr="008047CE">
              <w:rPr>
                <w:rFonts w:eastAsia="Calibri"/>
                <w:sz w:val="20"/>
                <w:lang w:val="fr-CA"/>
              </w:rPr>
              <w:t>Procédure civile – Dépens – La demanderesse s’est vue accorder des dommages-intérêts pour lésions corporelles au terme d’un procès devant juge et jury – L’offre de transaction présentée par le défendeur était très proche de la somme accordée au titre des dommages-intérêts – La Cour d’appel a réduit le montant des dépens accordés à la demanderesse – Le principe dit de la « quasi-correspondance » (« </w:t>
            </w:r>
            <w:r w:rsidRPr="008047CE">
              <w:rPr>
                <w:rFonts w:eastAsia="Calibri"/>
                <w:i/>
                <w:sz w:val="20"/>
                <w:lang w:val="fr-CA"/>
              </w:rPr>
              <w:t>near miss</w:t>
            </w:r>
            <w:r w:rsidRPr="008047CE">
              <w:rPr>
                <w:rFonts w:eastAsia="Calibri"/>
                <w:sz w:val="20"/>
                <w:lang w:val="fr-CA"/>
              </w:rPr>
              <w:t> ») existe-t-il au Canada et le juge du procès commet-il une erreur de droit s’il ne l’adopte pas? – Les offres de transaction qui se rapprochent du jugement intervenu par la suite entraînent-elles des conséquences obligatoires quant aux dépens, même si elles ne remplissent pas les conditions applicables aux offres de transaction en bonne et due forme? – Pourquoi est-ce que le principe de la « quasi-correspondance » ne s’applique qu’aux offres présentées par les défendeurs? – Si un tel principe était adopté au Canada, ne devrait-il pas s’appliquer autant aux demandeurs qu’aux défendeurs?</w:t>
            </w:r>
          </w:p>
        </w:tc>
      </w:tr>
      <w:tr w:rsidR="00106EDB" w:rsidRPr="006A1EFB" w:rsidTr="00EE6F1A">
        <w:tc>
          <w:tcPr>
            <w:tcW w:w="5000" w:type="pct"/>
            <w:gridSpan w:val="3"/>
          </w:tcPr>
          <w:p w:rsidR="00106EDB" w:rsidRPr="008047CE" w:rsidRDefault="00106EDB" w:rsidP="00EE6F1A">
            <w:pPr>
              <w:jc w:val="both"/>
              <w:rPr>
                <w:rFonts w:eastAsia="Calibri"/>
                <w:sz w:val="20"/>
                <w:lang w:val="fr-CA"/>
              </w:rPr>
            </w:pPr>
          </w:p>
        </w:tc>
      </w:tr>
      <w:tr w:rsidR="00106EDB" w:rsidRPr="006A1EFB" w:rsidTr="00EE6F1A">
        <w:tc>
          <w:tcPr>
            <w:tcW w:w="5000" w:type="pct"/>
            <w:gridSpan w:val="3"/>
          </w:tcPr>
          <w:p w:rsidR="00106EDB" w:rsidRPr="008047CE" w:rsidRDefault="00106EDB" w:rsidP="00EE6F1A">
            <w:pPr>
              <w:jc w:val="both"/>
              <w:rPr>
                <w:rFonts w:eastAsia="Calibri"/>
                <w:sz w:val="20"/>
                <w:lang w:val="fr-CA"/>
              </w:rPr>
            </w:pPr>
            <w:r w:rsidRPr="008047CE">
              <w:rPr>
                <w:rFonts w:eastAsia="Calibri"/>
                <w:sz w:val="20"/>
                <w:lang w:val="fr-CA"/>
              </w:rPr>
              <w:t>La demanderesse, M</w:t>
            </w:r>
            <w:r w:rsidRPr="008047CE">
              <w:rPr>
                <w:rFonts w:eastAsia="Calibri"/>
                <w:sz w:val="20"/>
                <w:vertAlign w:val="superscript"/>
                <w:lang w:val="fr-CA"/>
              </w:rPr>
              <w:t>me</w:t>
            </w:r>
            <w:r w:rsidRPr="008047CE">
              <w:rPr>
                <w:rFonts w:eastAsia="Calibri"/>
                <w:sz w:val="20"/>
                <w:lang w:val="fr-CA"/>
              </w:rPr>
              <w:t xml:space="preserve"> Elbakhiet, a été blessée dans un accident de la route survenu à basse vitesse lorsque l’arrière du véhicule dans lequel elle prenait place comme passagère a été embouti en juillet 2007.  Elle a souffert de maux de tête post-traumatiques, de symptômes liés à un coup de fouet cervical, d’un traumatisme cérébral menant au syndrome post-commotion cérébrale et de dépression.  Elle a demandé des dommages-intérêts généraux de 175 000 $ et des dommages-intérêts spéciaux de 1 250 000 $ au titre notamment de la perte de revenus passés et futurs et de la perte de capacité de gains. Son époux et ses enfants ont présenté des demandes en application de la </w:t>
            </w:r>
            <w:r w:rsidRPr="008047CE">
              <w:rPr>
                <w:rFonts w:eastAsia="Calibri"/>
                <w:i/>
                <w:sz w:val="20"/>
                <w:lang w:val="fr-CA"/>
              </w:rPr>
              <w:t>Loi sur le droit de la famille</w:t>
            </w:r>
            <w:r w:rsidRPr="008047CE">
              <w:rPr>
                <w:rFonts w:eastAsia="Calibri"/>
                <w:sz w:val="20"/>
                <w:lang w:val="fr-CA"/>
              </w:rPr>
              <w:t>, L.R.O. 1990, ch. F.3. Avant le procès, les parties ont échangé des offres de transaction.  Le 10 février 2012, les intimés ont signifié leur deuxième offre au montant de 145 000 $, plus les intérêts avant jugement et les dépens sur la base de l’indemnisation partielle à la date de l’offre.  Le 9 février 2012, les demandeurs ont signifié leur offre de transaction au montant de 600 000 $, comprenant les dommages-intérêts et les intérêts avant jugement, plus les dépens sur la base de l’indemnisation partielle.  Au terme d’un procès de neuf semaines, le jury a accordé aux demandeurs des dommages-intérêts totaux de 144 013,07 $, majorés des intérêts avant jugement.  À l’audience sur les dépens qui a suivi, les demandeurs ont sollicité des dépens de 578 742,28 $ sur la base de l’indemnisation partielle, alors que les intimés ont réclamé pour leur part des dépens de 313 964 $, tout compris à la date de leur deuxième offre.</w:t>
            </w:r>
          </w:p>
          <w:p w:rsidR="00106EDB" w:rsidRPr="008047CE" w:rsidRDefault="00106EDB" w:rsidP="00EE6F1A">
            <w:pPr>
              <w:jc w:val="both"/>
              <w:rPr>
                <w:rFonts w:eastAsia="Calibri"/>
                <w:sz w:val="20"/>
                <w:lang w:val="fr-CA"/>
              </w:rPr>
            </w:pPr>
          </w:p>
        </w:tc>
      </w:tr>
      <w:tr w:rsidR="00106EDB" w:rsidRPr="006A1EFB" w:rsidTr="00EE6F1A">
        <w:tc>
          <w:tcPr>
            <w:tcW w:w="2427" w:type="pct"/>
          </w:tcPr>
          <w:p w:rsidR="00106EDB" w:rsidRPr="008047CE" w:rsidRDefault="00106EDB" w:rsidP="00EE6F1A">
            <w:pPr>
              <w:jc w:val="both"/>
              <w:rPr>
                <w:rFonts w:eastAsia="Calibri"/>
                <w:sz w:val="20"/>
                <w:lang w:val="fr-CA"/>
              </w:rPr>
            </w:pPr>
            <w:r w:rsidRPr="008047CE">
              <w:rPr>
                <w:rFonts w:eastAsia="Calibri"/>
                <w:sz w:val="20"/>
                <w:lang w:val="fr-CA"/>
              </w:rPr>
              <w:t>21 juin 2012</w:t>
            </w:r>
          </w:p>
          <w:p w:rsidR="00106EDB" w:rsidRPr="008047CE" w:rsidRDefault="00106EDB" w:rsidP="00EE6F1A">
            <w:pPr>
              <w:jc w:val="both"/>
              <w:rPr>
                <w:rFonts w:eastAsia="Calibri"/>
                <w:sz w:val="20"/>
                <w:lang w:val="fr-CA"/>
              </w:rPr>
            </w:pPr>
            <w:r w:rsidRPr="008047CE">
              <w:rPr>
                <w:rFonts w:eastAsia="Calibri"/>
                <w:sz w:val="20"/>
                <w:lang w:val="fr-CA"/>
              </w:rPr>
              <w:t xml:space="preserve">Cour supérieure de justice de l’Ontario </w:t>
            </w:r>
          </w:p>
          <w:p w:rsidR="00106EDB" w:rsidRPr="008047CE" w:rsidRDefault="00106EDB" w:rsidP="00EE6F1A">
            <w:pPr>
              <w:jc w:val="both"/>
              <w:rPr>
                <w:rFonts w:eastAsia="Calibri"/>
                <w:sz w:val="20"/>
                <w:lang w:val="fr-CA"/>
              </w:rPr>
            </w:pPr>
            <w:r w:rsidRPr="008047CE">
              <w:rPr>
                <w:rFonts w:eastAsia="Calibri"/>
                <w:sz w:val="20"/>
                <w:lang w:val="fr-CA"/>
              </w:rPr>
              <w:t>(Juge Toscano Roccamo)</w:t>
            </w:r>
          </w:p>
          <w:p w:rsidR="00106EDB" w:rsidRPr="008047CE" w:rsidRDefault="008A5B26" w:rsidP="00EE6F1A">
            <w:pPr>
              <w:jc w:val="both"/>
              <w:rPr>
                <w:rFonts w:eastAsia="Calibri"/>
                <w:sz w:val="20"/>
                <w:lang w:val="fr-CA"/>
              </w:rPr>
            </w:pPr>
            <w:hyperlink r:id="rId32" w:history="1">
              <w:r w:rsidR="00106EDB" w:rsidRPr="00F34021">
                <w:rPr>
                  <w:rFonts w:eastAsia="Calibri"/>
                  <w:color w:val="0000FF"/>
                  <w:sz w:val="20"/>
                  <w:u w:val="single"/>
                  <w:lang w:val="fr-CA"/>
                </w:rPr>
                <w:t>2012 ONSC 3666</w:t>
              </w:r>
            </w:hyperlink>
          </w:p>
          <w:p w:rsidR="00106EDB" w:rsidRPr="008047CE" w:rsidRDefault="00106EDB" w:rsidP="00EE6F1A">
            <w:pPr>
              <w:jc w:val="both"/>
              <w:rPr>
                <w:rFonts w:eastAsia="Calibri"/>
                <w:sz w:val="20"/>
                <w:lang w:val="fr-CA"/>
              </w:rPr>
            </w:pPr>
          </w:p>
        </w:tc>
        <w:tc>
          <w:tcPr>
            <w:tcW w:w="243" w:type="pct"/>
          </w:tcPr>
          <w:p w:rsidR="00106EDB" w:rsidRPr="008047CE" w:rsidRDefault="00106EDB" w:rsidP="00EE6F1A">
            <w:pPr>
              <w:jc w:val="both"/>
              <w:rPr>
                <w:rFonts w:eastAsia="Calibri"/>
                <w:sz w:val="20"/>
                <w:lang w:val="fr-CA"/>
              </w:rPr>
            </w:pPr>
          </w:p>
        </w:tc>
        <w:tc>
          <w:tcPr>
            <w:tcW w:w="2330" w:type="pct"/>
          </w:tcPr>
          <w:p w:rsidR="00106EDB" w:rsidRPr="008047CE" w:rsidRDefault="00106EDB" w:rsidP="00EE6F1A">
            <w:pPr>
              <w:jc w:val="both"/>
              <w:rPr>
                <w:rFonts w:eastAsia="Calibri"/>
                <w:sz w:val="20"/>
                <w:lang w:val="fr-CA"/>
              </w:rPr>
            </w:pPr>
            <w:r w:rsidRPr="008047CE">
              <w:rPr>
                <w:rFonts w:eastAsia="Calibri"/>
                <w:sz w:val="20"/>
                <w:lang w:val="fr-CA"/>
              </w:rPr>
              <w:t xml:space="preserve">Adjudication à la demanderesse de dépens d’indemnisation partielle de 578 742 $ au terme du procès </w:t>
            </w:r>
          </w:p>
          <w:p w:rsidR="00106EDB" w:rsidRPr="008047CE" w:rsidRDefault="00106EDB" w:rsidP="00EE6F1A">
            <w:pPr>
              <w:jc w:val="both"/>
              <w:rPr>
                <w:rFonts w:eastAsia="Calibri"/>
                <w:sz w:val="20"/>
                <w:lang w:val="fr-CA"/>
              </w:rPr>
            </w:pPr>
          </w:p>
        </w:tc>
      </w:tr>
      <w:tr w:rsidR="00106EDB" w:rsidRPr="006A1EFB" w:rsidTr="00EE6F1A">
        <w:tc>
          <w:tcPr>
            <w:tcW w:w="2427" w:type="pct"/>
          </w:tcPr>
          <w:p w:rsidR="00106EDB" w:rsidRPr="008047CE" w:rsidRDefault="00106EDB" w:rsidP="00EE6F1A">
            <w:pPr>
              <w:jc w:val="both"/>
              <w:rPr>
                <w:rFonts w:eastAsia="Calibri"/>
                <w:sz w:val="20"/>
                <w:lang w:val="fr-CA"/>
              </w:rPr>
            </w:pPr>
            <w:r w:rsidRPr="008047CE">
              <w:rPr>
                <w:rFonts w:eastAsia="Calibri"/>
                <w:sz w:val="20"/>
                <w:lang w:val="fr-CA"/>
              </w:rPr>
              <w:t>11 juillet 2014</w:t>
            </w:r>
          </w:p>
          <w:p w:rsidR="00106EDB" w:rsidRPr="008047CE" w:rsidRDefault="00106EDB" w:rsidP="00EE6F1A">
            <w:pPr>
              <w:jc w:val="both"/>
              <w:rPr>
                <w:rFonts w:eastAsia="Calibri"/>
                <w:sz w:val="20"/>
                <w:lang w:val="fr-CA"/>
              </w:rPr>
            </w:pPr>
            <w:r w:rsidRPr="008047CE">
              <w:rPr>
                <w:rFonts w:eastAsia="Calibri"/>
                <w:sz w:val="20"/>
                <w:lang w:val="fr-CA"/>
              </w:rPr>
              <w:t>Cour d’appel de l’Ontario</w:t>
            </w:r>
          </w:p>
          <w:p w:rsidR="00106EDB" w:rsidRPr="008047CE" w:rsidRDefault="00106EDB" w:rsidP="00EE6F1A">
            <w:pPr>
              <w:jc w:val="both"/>
              <w:rPr>
                <w:rFonts w:eastAsia="Calibri"/>
                <w:sz w:val="20"/>
                <w:lang w:val="fr-CA"/>
              </w:rPr>
            </w:pPr>
            <w:r w:rsidRPr="008047CE">
              <w:rPr>
                <w:rFonts w:eastAsia="Calibri"/>
                <w:sz w:val="20"/>
                <w:lang w:val="fr-CA"/>
              </w:rPr>
              <w:t>(Jugea Rosenberg, Cronk et Tulloch)</w:t>
            </w:r>
          </w:p>
          <w:p w:rsidR="00106EDB" w:rsidRPr="008047CE" w:rsidRDefault="008A5B26" w:rsidP="00EE6F1A">
            <w:pPr>
              <w:jc w:val="both"/>
              <w:rPr>
                <w:rFonts w:eastAsia="Calibri"/>
                <w:sz w:val="20"/>
                <w:lang w:val="fr-CA"/>
              </w:rPr>
            </w:pPr>
            <w:hyperlink r:id="rId33" w:history="1">
              <w:r w:rsidR="00106EDB" w:rsidRPr="00F34021">
                <w:rPr>
                  <w:rFonts w:eastAsia="Calibri"/>
                  <w:color w:val="0000FF"/>
                  <w:sz w:val="20"/>
                  <w:u w:val="single"/>
                  <w:lang w:val="fr-CA"/>
                </w:rPr>
                <w:t>2014 ONCA 544</w:t>
              </w:r>
            </w:hyperlink>
          </w:p>
          <w:p w:rsidR="00106EDB" w:rsidRPr="008047CE" w:rsidRDefault="00106EDB" w:rsidP="00EE6F1A">
            <w:pPr>
              <w:jc w:val="both"/>
              <w:rPr>
                <w:rFonts w:eastAsia="Calibri"/>
                <w:sz w:val="20"/>
                <w:lang w:val="fr-CA"/>
              </w:rPr>
            </w:pPr>
          </w:p>
        </w:tc>
        <w:tc>
          <w:tcPr>
            <w:tcW w:w="243" w:type="pct"/>
          </w:tcPr>
          <w:p w:rsidR="00106EDB" w:rsidRPr="008047CE" w:rsidRDefault="00106EDB" w:rsidP="00EE6F1A">
            <w:pPr>
              <w:jc w:val="both"/>
              <w:rPr>
                <w:rFonts w:eastAsia="Calibri"/>
                <w:sz w:val="20"/>
                <w:lang w:val="fr-CA"/>
              </w:rPr>
            </w:pPr>
          </w:p>
        </w:tc>
        <w:tc>
          <w:tcPr>
            <w:tcW w:w="2330" w:type="pct"/>
          </w:tcPr>
          <w:p w:rsidR="00106EDB" w:rsidRPr="008047CE" w:rsidRDefault="00106EDB" w:rsidP="00EE6F1A">
            <w:pPr>
              <w:jc w:val="both"/>
              <w:rPr>
                <w:rFonts w:eastAsia="Calibri"/>
                <w:sz w:val="20"/>
                <w:lang w:val="fr-CA"/>
              </w:rPr>
            </w:pPr>
            <w:r w:rsidRPr="008047CE">
              <w:rPr>
                <w:rFonts w:eastAsia="Calibri"/>
                <w:sz w:val="20"/>
                <w:lang w:val="fr-CA"/>
              </w:rPr>
              <w:t xml:space="preserve">Jugement accueillant l’appel des intimés portant sur les dépens; réduction des dépens payables à la demanderesse à 100 000 $; </w:t>
            </w:r>
          </w:p>
          <w:p w:rsidR="00106EDB" w:rsidRPr="008047CE" w:rsidRDefault="00106EDB" w:rsidP="00EE6F1A">
            <w:pPr>
              <w:jc w:val="both"/>
              <w:rPr>
                <w:rFonts w:eastAsia="Calibri"/>
                <w:sz w:val="20"/>
                <w:lang w:val="fr-CA"/>
              </w:rPr>
            </w:pPr>
          </w:p>
          <w:p w:rsidR="00106EDB" w:rsidRPr="008047CE" w:rsidRDefault="00106EDB" w:rsidP="00EE6F1A">
            <w:pPr>
              <w:jc w:val="both"/>
              <w:rPr>
                <w:rFonts w:eastAsia="Calibri"/>
                <w:sz w:val="20"/>
                <w:lang w:val="fr-CA"/>
              </w:rPr>
            </w:pPr>
          </w:p>
        </w:tc>
      </w:tr>
      <w:tr w:rsidR="00106EDB" w:rsidRPr="006A1EFB" w:rsidTr="00EE6F1A">
        <w:tc>
          <w:tcPr>
            <w:tcW w:w="2427" w:type="pct"/>
          </w:tcPr>
          <w:p w:rsidR="00106EDB" w:rsidRPr="008047CE" w:rsidRDefault="00106EDB" w:rsidP="00EE6F1A">
            <w:pPr>
              <w:jc w:val="both"/>
              <w:rPr>
                <w:rFonts w:eastAsia="Calibri"/>
                <w:sz w:val="20"/>
                <w:lang w:val="fr-CA"/>
              </w:rPr>
            </w:pPr>
            <w:r w:rsidRPr="008047CE">
              <w:rPr>
                <w:rFonts w:eastAsia="Calibri"/>
                <w:sz w:val="20"/>
                <w:lang w:val="fr-CA"/>
              </w:rPr>
              <w:t>29 septembre 2014</w:t>
            </w:r>
          </w:p>
          <w:p w:rsidR="00106EDB" w:rsidRPr="008047CE" w:rsidRDefault="00106EDB" w:rsidP="00EE6F1A">
            <w:pPr>
              <w:jc w:val="both"/>
              <w:rPr>
                <w:rFonts w:eastAsia="Calibri"/>
                <w:sz w:val="20"/>
                <w:lang w:val="fr-CA"/>
              </w:rPr>
            </w:pPr>
            <w:r w:rsidRPr="008047CE">
              <w:rPr>
                <w:rFonts w:eastAsia="Calibri"/>
                <w:sz w:val="20"/>
                <w:lang w:val="fr-CA"/>
              </w:rPr>
              <w:t>Cour suprême du Canada</w:t>
            </w:r>
          </w:p>
        </w:tc>
        <w:tc>
          <w:tcPr>
            <w:tcW w:w="243" w:type="pct"/>
          </w:tcPr>
          <w:p w:rsidR="00106EDB" w:rsidRPr="008047CE" w:rsidRDefault="00106EDB" w:rsidP="00EE6F1A">
            <w:pPr>
              <w:jc w:val="both"/>
              <w:rPr>
                <w:rFonts w:eastAsia="Calibri"/>
                <w:sz w:val="20"/>
                <w:lang w:val="fr-CA"/>
              </w:rPr>
            </w:pPr>
          </w:p>
        </w:tc>
        <w:tc>
          <w:tcPr>
            <w:tcW w:w="2330" w:type="pct"/>
          </w:tcPr>
          <w:p w:rsidR="00106EDB" w:rsidRPr="008047CE" w:rsidRDefault="00106EDB" w:rsidP="00EE6F1A">
            <w:pPr>
              <w:jc w:val="both"/>
              <w:rPr>
                <w:rFonts w:eastAsia="Calibri"/>
                <w:sz w:val="20"/>
                <w:lang w:val="fr-CA"/>
              </w:rPr>
            </w:pPr>
            <w:r w:rsidRPr="008047CE">
              <w:rPr>
                <w:rFonts w:eastAsia="Calibri"/>
                <w:sz w:val="20"/>
                <w:lang w:val="fr-CA"/>
              </w:rPr>
              <w:t>Dépôt de la demande d’autorisation d’appel</w:t>
            </w:r>
          </w:p>
          <w:p w:rsidR="00106EDB" w:rsidRPr="008047CE" w:rsidRDefault="00106EDB" w:rsidP="00EE6F1A">
            <w:pPr>
              <w:jc w:val="both"/>
              <w:rPr>
                <w:rFonts w:eastAsia="Calibri"/>
                <w:sz w:val="20"/>
                <w:lang w:val="fr-CA"/>
              </w:rPr>
            </w:pPr>
          </w:p>
        </w:tc>
      </w:tr>
    </w:tbl>
    <w:p w:rsidR="00611550" w:rsidRPr="00106EDB" w:rsidRDefault="00611550" w:rsidP="00611550">
      <w:pPr>
        <w:rPr>
          <w:sz w:val="20"/>
          <w:szCs w:val="20"/>
          <w:lang w:val="fr-CA"/>
        </w:rPr>
      </w:pPr>
    </w:p>
    <w:p w:rsidR="00611550" w:rsidRDefault="008A5B26" w:rsidP="00611550">
      <w:pPr>
        <w:rPr>
          <w:sz w:val="20"/>
          <w:szCs w:val="20"/>
          <w:lang w:val="fr-CA"/>
        </w:rPr>
      </w:pPr>
      <w:r>
        <w:rPr>
          <w:sz w:val="20"/>
          <w:szCs w:val="20"/>
          <w:lang w:val="fr-CA"/>
        </w:rPr>
        <w:pict>
          <v:rect id="_x0000_i1049" style="width:2in;height:1pt" o:hrpct="0" o:hralign="center" o:hrstd="t" o:hrnoshade="t" o:hr="t" fillcolor="black [3213]" stroked="f"/>
        </w:pict>
      </w:r>
    </w:p>
    <w:p w:rsidR="00106EDB" w:rsidRDefault="00106EDB">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21805" w:rsidRPr="000E19FC" w:rsidTr="00263E08">
        <w:tc>
          <w:tcPr>
            <w:tcW w:w="1458" w:type="dxa"/>
          </w:tcPr>
          <w:p w:rsidR="00021805" w:rsidRPr="000E19FC" w:rsidRDefault="00021805" w:rsidP="00EE6F1A">
            <w:pPr>
              <w:rPr>
                <w:sz w:val="20"/>
                <w:szCs w:val="20"/>
              </w:rPr>
            </w:pPr>
            <w:r w:rsidRPr="000E19FC">
              <w:rPr>
                <w:rStyle w:val="SCCFileNumberChar"/>
                <w:sz w:val="20"/>
                <w:szCs w:val="20"/>
              </w:rPr>
              <w:t>36131</w:t>
            </w:r>
          </w:p>
          <w:p w:rsidR="00021805" w:rsidRPr="000E19FC" w:rsidRDefault="00021805" w:rsidP="00EE6F1A">
            <w:pPr>
              <w:rPr>
                <w:b/>
                <w:sz w:val="20"/>
                <w:szCs w:val="20"/>
                <w:lang w:val="fr-CA"/>
              </w:rPr>
            </w:pPr>
          </w:p>
        </w:tc>
        <w:tc>
          <w:tcPr>
            <w:tcW w:w="8118" w:type="dxa"/>
          </w:tcPr>
          <w:p w:rsidR="00021805" w:rsidRPr="000E19FC" w:rsidRDefault="00021805" w:rsidP="00EE6F1A">
            <w:pPr>
              <w:rPr>
                <w:sz w:val="20"/>
                <w:szCs w:val="20"/>
              </w:rPr>
            </w:pPr>
            <w:r w:rsidRPr="00021805">
              <w:rPr>
                <w:rStyle w:val="SCCLsocChar"/>
                <w:sz w:val="20"/>
                <w:szCs w:val="20"/>
                <w:lang w:val="en-CA"/>
              </w:rPr>
              <w:t>Patrick Striker Holloway v. Her Majesty the Queen</w:t>
            </w:r>
            <w:r w:rsidRPr="000E19FC">
              <w:rPr>
                <w:sz w:val="20"/>
                <w:szCs w:val="20"/>
              </w:rPr>
              <w:t xml:space="preserve"> (Alta.) (Criminal) (By Leave)</w:t>
            </w:r>
          </w:p>
          <w:p w:rsidR="00021805" w:rsidRPr="000E19FC" w:rsidRDefault="00021805" w:rsidP="00EE6F1A">
            <w:pPr>
              <w:rPr>
                <w:sz w:val="20"/>
                <w:szCs w:val="20"/>
              </w:rPr>
            </w:pPr>
          </w:p>
        </w:tc>
      </w:tr>
      <w:tr w:rsidR="00021805" w:rsidRPr="000E19FC" w:rsidTr="00263E08">
        <w:tc>
          <w:tcPr>
            <w:tcW w:w="1458" w:type="dxa"/>
          </w:tcPr>
          <w:p w:rsidR="00021805" w:rsidRPr="000E19FC" w:rsidRDefault="00021805" w:rsidP="00EE6F1A">
            <w:pPr>
              <w:rPr>
                <w:sz w:val="20"/>
                <w:szCs w:val="20"/>
              </w:rPr>
            </w:pPr>
            <w:r w:rsidRPr="000E19FC">
              <w:rPr>
                <w:sz w:val="20"/>
                <w:szCs w:val="20"/>
              </w:rPr>
              <w:t>Coram :</w:t>
            </w:r>
          </w:p>
        </w:tc>
        <w:tc>
          <w:tcPr>
            <w:tcW w:w="8118" w:type="dxa"/>
          </w:tcPr>
          <w:p w:rsidR="00021805" w:rsidRPr="000E19FC" w:rsidRDefault="00021805" w:rsidP="00EE6F1A">
            <w:pPr>
              <w:rPr>
                <w:sz w:val="20"/>
                <w:szCs w:val="20"/>
              </w:rPr>
            </w:pPr>
            <w:r w:rsidRPr="00021805">
              <w:rPr>
                <w:rStyle w:val="SCCCoramChar"/>
                <w:sz w:val="20"/>
                <w:szCs w:val="20"/>
                <w:lang w:val="en-CA"/>
              </w:rPr>
              <w:t>Rothstein, Cromwell and Moldaver JJ.</w:t>
            </w:r>
          </w:p>
          <w:p w:rsidR="00021805" w:rsidRPr="000E19FC" w:rsidRDefault="00021805" w:rsidP="00EE6F1A">
            <w:pPr>
              <w:rPr>
                <w:sz w:val="20"/>
                <w:szCs w:val="20"/>
                <w:u w:val="single"/>
              </w:rPr>
            </w:pPr>
          </w:p>
        </w:tc>
      </w:tr>
      <w:tr w:rsidR="00021805" w:rsidRPr="000E19FC" w:rsidTr="00263E08">
        <w:tc>
          <w:tcPr>
            <w:tcW w:w="9576" w:type="dxa"/>
            <w:gridSpan w:val="2"/>
          </w:tcPr>
          <w:p w:rsidR="00021805" w:rsidRPr="000E19FC" w:rsidRDefault="00021805" w:rsidP="00EE6F1A">
            <w:pPr>
              <w:pStyle w:val="SCCShortJudgment"/>
              <w:rPr>
                <w:szCs w:val="20"/>
              </w:rPr>
            </w:pPr>
            <w:r w:rsidRPr="000E19FC">
              <w:rPr>
                <w:szCs w:val="20"/>
              </w:rPr>
              <w:t>The motion for an extension of time to serve and file the application for leave to appeal is granted. The application for leave to appeal from the judgment of the Court of Appeal of Alberta (Calgary), Number 1301-0092-A, 2014 ABCA 87, dated March 6, 2014, is dismissed without costs.</w:t>
            </w:r>
          </w:p>
          <w:p w:rsidR="00021805" w:rsidRPr="000E19FC" w:rsidRDefault="00021805" w:rsidP="00EE6F1A">
            <w:pPr>
              <w:pStyle w:val="SCCShortJudgment"/>
              <w:ind w:firstLine="0"/>
              <w:rPr>
                <w:szCs w:val="20"/>
              </w:rPr>
            </w:pPr>
          </w:p>
          <w:p w:rsidR="00021805" w:rsidRPr="000E19FC" w:rsidRDefault="00021805" w:rsidP="00EE6F1A">
            <w:pPr>
              <w:pStyle w:val="SCCShortJudgment"/>
              <w:rPr>
                <w:szCs w:val="20"/>
                <w:lang w:val="fr-CA"/>
              </w:rPr>
            </w:pPr>
            <w:r w:rsidRPr="000E19FC">
              <w:rPr>
                <w:szCs w:val="20"/>
                <w:lang w:val="fr-CA"/>
              </w:rPr>
              <w:lastRenderedPageBreak/>
              <w:t>La requête en prorogation du délai de signification et de dépôt de la demande d’autorisation d’appel est accueillie. La demande d’autorisation d’appel de l’arrêt de la Cour d’appel de l’Alberta (Calgary), numéro 1301-0092-A, 2014 ABCA 87, daté du 6 mars 2014, est rejetée sans dépens.</w:t>
            </w:r>
          </w:p>
        </w:tc>
      </w:tr>
    </w:tbl>
    <w:p w:rsidR="00611550" w:rsidRPr="00021805" w:rsidRDefault="00611550" w:rsidP="000E2959">
      <w:pPr>
        <w:rPr>
          <w:sz w:val="20"/>
          <w:szCs w:val="20"/>
          <w:lang w:val="fr-CA"/>
        </w:rPr>
      </w:pPr>
    </w:p>
    <w:p w:rsidR="00611550" w:rsidRPr="001B157C" w:rsidRDefault="00611550" w:rsidP="00611550">
      <w:pPr>
        <w:rPr>
          <w:sz w:val="20"/>
          <w:szCs w:val="20"/>
          <w:u w:val="single"/>
        </w:rPr>
      </w:pPr>
      <w:r w:rsidRPr="001B157C">
        <w:rPr>
          <w:sz w:val="20"/>
          <w:szCs w:val="20"/>
          <w:u w:val="single"/>
        </w:rPr>
        <w:t>CASE SUMMARY</w:t>
      </w:r>
    </w:p>
    <w:p w:rsidR="00611550" w:rsidRDefault="00611550" w:rsidP="0061155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06EDB" w:rsidRPr="008047CE" w:rsidTr="00EE6F1A">
        <w:tc>
          <w:tcPr>
            <w:tcW w:w="5000" w:type="pct"/>
            <w:gridSpan w:val="3"/>
          </w:tcPr>
          <w:p w:rsidR="00106EDB" w:rsidRPr="008047CE" w:rsidRDefault="00106EDB" w:rsidP="00EE6F1A">
            <w:pPr>
              <w:jc w:val="both"/>
              <w:rPr>
                <w:rFonts w:eastAsia="Calibri"/>
                <w:sz w:val="20"/>
              </w:rPr>
            </w:pPr>
            <w:r w:rsidRPr="008047CE">
              <w:rPr>
                <w:rFonts w:eastAsia="Calibri"/>
                <w:sz w:val="20"/>
              </w:rPr>
              <w:t>Criminal law – Manslaughter – Sentencing – Principles governing sentencing – Enhanced credit for pre-trial custody – Whether the Court of Appeal erred by creating sub-categories within the offence of manslaughter and by applying jurisprudence which supports that categorization at the expense of properly balancing the statutory sentencing factors set out in s. 718.2(</w:t>
            </w:r>
            <w:r w:rsidRPr="008047CE">
              <w:rPr>
                <w:rFonts w:eastAsia="Calibri"/>
                <w:i/>
                <w:sz w:val="20"/>
              </w:rPr>
              <w:t>e</w:t>
            </w:r>
            <w:r w:rsidRPr="008047CE">
              <w:rPr>
                <w:rFonts w:eastAsia="Calibri"/>
                <w:sz w:val="20"/>
              </w:rPr>
              <w:t xml:space="preserve">) of the </w:t>
            </w:r>
            <w:r w:rsidRPr="008047CE">
              <w:rPr>
                <w:rFonts w:eastAsia="Calibri"/>
                <w:i/>
                <w:sz w:val="20"/>
              </w:rPr>
              <w:t>Criminal Code</w:t>
            </w:r>
            <w:r w:rsidRPr="008047CE">
              <w:rPr>
                <w:rFonts w:eastAsia="Calibri"/>
                <w:sz w:val="20"/>
              </w:rPr>
              <w:t>, R.S.C. 1985, c. C-46 – Whether the courts below erred in denying the applicant enhanced credit for pre-trial custody.</w:t>
            </w:r>
          </w:p>
        </w:tc>
      </w:tr>
      <w:tr w:rsidR="00106EDB" w:rsidRPr="008047CE" w:rsidTr="00EE6F1A">
        <w:tc>
          <w:tcPr>
            <w:tcW w:w="5000" w:type="pct"/>
            <w:gridSpan w:val="3"/>
          </w:tcPr>
          <w:p w:rsidR="00106EDB" w:rsidRPr="008047CE" w:rsidRDefault="00106EDB" w:rsidP="00EE6F1A">
            <w:pPr>
              <w:jc w:val="both"/>
              <w:rPr>
                <w:rFonts w:eastAsia="Calibri"/>
                <w:sz w:val="20"/>
              </w:rPr>
            </w:pPr>
          </w:p>
        </w:tc>
      </w:tr>
      <w:tr w:rsidR="00106EDB" w:rsidRPr="008047CE" w:rsidTr="00EE6F1A">
        <w:tc>
          <w:tcPr>
            <w:tcW w:w="5000" w:type="pct"/>
            <w:gridSpan w:val="3"/>
          </w:tcPr>
          <w:p w:rsidR="00106EDB" w:rsidRPr="008047CE" w:rsidRDefault="00106EDB" w:rsidP="00EE6F1A">
            <w:pPr>
              <w:jc w:val="both"/>
              <w:rPr>
                <w:rFonts w:eastAsia="Calibri"/>
                <w:sz w:val="20"/>
              </w:rPr>
            </w:pPr>
            <w:r w:rsidRPr="008047CE">
              <w:rPr>
                <w:rFonts w:eastAsia="Calibri"/>
                <w:sz w:val="20"/>
              </w:rPr>
              <w:t xml:space="preserve">The applicant, Mr. Holloway, was convicted of manslaughter and sentenced to a period of 96 months (8 years) of incarceration.  He admitted to police that he and two others had hit and kicked the victim four to five times, and that he eventually stabbed the victim in the chest with a butter knife.  Mr. Holloway appealed his sentence, as did the Crown.  A majority of the Court of Appeal dismissed the appeal, finding, among other things, that the sentencing judge did not err in denying Mr. Holloway enhanced credit for the 27 months he spent in pre-trial custody.  The majority also concluded that the sentencing judge sufficiently considered Mr. Holloway’s aboriginal heritage in imposing a sentence which the Court of Appeal found to be fit and in keeping with the methodology for the coherent and open ratiocination of sentencing set out </w:t>
            </w:r>
            <w:r w:rsidRPr="008047CE">
              <w:rPr>
                <w:rFonts w:eastAsia="Calibri"/>
                <w:i/>
                <w:sz w:val="20"/>
              </w:rPr>
              <w:t>R. v. Laberge</w:t>
            </w:r>
            <w:r w:rsidRPr="008047CE">
              <w:rPr>
                <w:rFonts w:eastAsia="Calibri"/>
                <w:sz w:val="20"/>
              </w:rPr>
              <w:t xml:space="preserve"> (1995), 165 A.R. 375. Berger J.A., dissenting, would have allowed the appeal, imposed a sentence of 78 months’ incarceration and credited Mr. Holloway on a 1.5:1 basis for his 27 months in pre-trial custody.</w:t>
            </w:r>
          </w:p>
          <w:p w:rsidR="00106EDB" w:rsidRPr="008047CE" w:rsidRDefault="00106EDB" w:rsidP="00EE6F1A">
            <w:pPr>
              <w:jc w:val="both"/>
              <w:rPr>
                <w:rFonts w:eastAsia="Calibri"/>
                <w:sz w:val="20"/>
              </w:rPr>
            </w:pPr>
          </w:p>
        </w:tc>
      </w:tr>
      <w:tr w:rsidR="00106EDB" w:rsidRPr="008047CE" w:rsidTr="00EE6F1A">
        <w:tc>
          <w:tcPr>
            <w:tcW w:w="2427" w:type="pct"/>
          </w:tcPr>
          <w:p w:rsidR="00106EDB" w:rsidRPr="008047CE" w:rsidRDefault="00106EDB" w:rsidP="00EE6F1A">
            <w:pPr>
              <w:jc w:val="both"/>
              <w:rPr>
                <w:rFonts w:eastAsia="Calibri"/>
                <w:sz w:val="20"/>
              </w:rPr>
            </w:pPr>
            <w:r w:rsidRPr="008047CE">
              <w:rPr>
                <w:rFonts w:eastAsia="Calibri"/>
                <w:sz w:val="20"/>
              </w:rPr>
              <w:t>April 3, 2013</w:t>
            </w:r>
          </w:p>
          <w:p w:rsidR="00106EDB" w:rsidRPr="008047CE" w:rsidRDefault="00106EDB" w:rsidP="00EE6F1A">
            <w:pPr>
              <w:jc w:val="both"/>
              <w:rPr>
                <w:rFonts w:eastAsia="Calibri"/>
                <w:sz w:val="20"/>
              </w:rPr>
            </w:pPr>
            <w:r w:rsidRPr="008047CE">
              <w:rPr>
                <w:rFonts w:eastAsia="Calibri"/>
                <w:sz w:val="20"/>
              </w:rPr>
              <w:t>Court of Queen’s Bench of Alberta</w:t>
            </w:r>
          </w:p>
          <w:p w:rsidR="00106EDB" w:rsidRPr="008047CE" w:rsidRDefault="00106EDB" w:rsidP="00EE6F1A">
            <w:pPr>
              <w:jc w:val="both"/>
              <w:rPr>
                <w:rFonts w:eastAsia="Calibri"/>
                <w:sz w:val="20"/>
              </w:rPr>
            </w:pPr>
            <w:r w:rsidRPr="008047CE">
              <w:rPr>
                <w:rFonts w:eastAsia="Calibri"/>
                <w:sz w:val="20"/>
              </w:rPr>
              <w:t>(Bensler J.)</w:t>
            </w:r>
          </w:p>
          <w:p w:rsidR="00106EDB" w:rsidRPr="008047CE" w:rsidRDefault="00106EDB" w:rsidP="00EE6F1A">
            <w:pPr>
              <w:jc w:val="both"/>
              <w:rPr>
                <w:rFonts w:eastAsia="Calibri"/>
                <w:sz w:val="20"/>
              </w:rPr>
            </w:pPr>
          </w:p>
        </w:tc>
        <w:tc>
          <w:tcPr>
            <w:tcW w:w="243" w:type="pct"/>
          </w:tcPr>
          <w:p w:rsidR="00106EDB" w:rsidRPr="008047CE" w:rsidRDefault="00106EDB" w:rsidP="00EE6F1A">
            <w:pPr>
              <w:jc w:val="both"/>
              <w:rPr>
                <w:rFonts w:eastAsia="Calibri"/>
                <w:sz w:val="20"/>
              </w:rPr>
            </w:pPr>
          </w:p>
        </w:tc>
        <w:tc>
          <w:tcPr>
            <w:tcW w:w="2330" w:type="pct"/>
          </w:tcPr>
          <w:p w:rsidR="00106EDB" w:rsidRPr="008047CE" w:rsidRDefault="00106EDB" w:rsidP="00EE6F1A">
            <w:pPr>
              <w:jc w:val="both"/>
              <w:rPr>
                <w:rFonts w:eastAsia="Calibri"/>
                <w:sz w:val="20"/>
              </w:rPr>
            </w:pPr>
            <w:r w:rsidRPr="008047CE">
              <w:rPr>
                <w:rFonts w:eastAsia="Calibri"/>
                <w:sz w:val="20"/>
              </w:rPr>
              <w:t xml:space="preserve">Applicant sentenced to a period of 8 years of incarceration for manslaughter conviction </w:t>
            </w:r>
          </w:p>
        </w:tc>
      </w:tr>
      <w:tr w:rsidR="00106EDB" w:rsidRPr="008047CE" w:rsidTr="00EE6F1A">
        <w:tc>
          <w:tcPr>
            <w:tcW w:w="2427" w:type="pct"/>
          </w:tcPr>
          <w:p w:rsidR="00106EDB" w:rsidRPr="008047CE" w:rsidRDefault="00106EDB" w:rsidP="00EE6F1A">
            <w:pPr>
              <w:jc w:val="both"/>
              <w:rPr>
                <w:rFonts w:eastAsia="Calibri"/>
                <w:sz w:val="20"/>
              </w:rPr>
            </w:pPr>
            <w:r w:rsidRPr="008047CE">
              <w:rPr>
                <w:rFonts w:eastAsia="Calibri"/>
                <w:sz w:val="20"/>
              </w:rPr>
              <w:t>March 6, 2014</w:t>
            </w:r>
          </w:p>
          <w:p w:rsidR="00106EDB" w:rsidRPr="008047CE" w:rsidRDefault="00106EDB" w:rsidP="00EE6F1A">
            <w:pPr>
              <w:jc w:val="both"/>
              <w:rPr>
                <w:rFonts w:eastAsia="Calibri"/>
                <w:sz w:val="20"/>
              </w:rPr>
            </w:pPr>
            <w:r w:rsidRPr="008047CE">
              <w:rPr>
                <w:rFonts w:eastAsia="Calibri"/>
                <w:sz w:val="20"/>
              </w:rPr>
              <w:t>Court of Appeal of Alberta (Calgary)</w:t>
            </w:r>
          </w:p>
          <w:p w:rsidR="00106EDB" w:rsidRPr="008047CE" w:rsidRDefault="00106EDB" w:rsidP="00EE6F1A">
            <w:pPr>
              <w:jc w:val="both"/>
              <w:rPr>
                <w:rFonts w:eastAsia="Calibri"/>
                <w:sz w:val="20"/>
              </w:rPr>
            </w:pPr>
            <w:r w:rsidRPr="008047CE">
              <w:rPr>
                <w:rFonts w:eastAsia="Calibri"/>
                <w:sz w:val="20"/>
              </w:rPr>
              <w:t xml:space="preserve">(Berger [dissenting], Watson and McDonald </w:t>
            </w:r>
          </w:p>
          <w:p w:rsidR="00106EDB" w:rsidRPr="008047CE" w:rsidRDefault="00106EDB" w:rsidP="00EE6F1A">
            <w:pPr>
              <w:jc w:val="both"/>
              <w:rPr>
                <w:rFonts w:eastAsia="Calibri"/>
                <w:sz w:val="20"/>
              </w:rPr>
            </w:pPr>
            <w:r w:rsidRPr="008047CE">
              <w:rPr>
                <w:rFonts w:eastAsia="Calibri"/>
                <w:sz w:val="20"/>
              </w:rPr>
              <w:t>JJ.A.)</w:t>
            </w:r>
          </w:p>
          <w:p w:rsidR="00106EDB" w:rsidRPr="008047CE" w:rsidRDefault="008A5B26" w:rsidP="00EE6F1A">
            <w:pPr>
              <w:jc w:val="both"/>
              <w:rPr>
                <w:rFonts w:eastAsia="Calibri"/>
                <w:sz w:val="20"/>
              </w:rPr>
            </w:pPr>
            <w:hyperlink r:id="rId34" w:history="1">
              <w:r w:rsidR="00106EDB" w:rsidRPr="00F34021">
                <w:rPr>
                  <w:rFonts w:eastAsia="Calibri"/>
                  <w:color w:val="0000FF"/>
                  <w:sz w:val="20"/>
                  <w:u w:val="single"/>
                </w:rPr>
                <w:t>2014 ABCA 87</w:t>
              </w:r>
            </w:hyperlink>
          </w:p>
          <w:p w:rsidR="00106EDB" w:rsidRPr="008047CE" w:rsidRDefault="00106EDB" w:rsidP="00EE6F1A">
            <w:pPr>
              <w:jc w:val="both"/>
              <w:rPr>
                <w:rFonts w:eastAsia="Calibri"/>
                <w:sz w:val="20"/>
              </w:rPr>
            </w:pPr>
          </w:p>
        </w:tc>
        <w:tc>
          <w:tcPr>
            <w:tcW w:w="243" w:type="pct"/>
          </w:tcPr>
          <w:p w:rsidR="00106EDB" w:rsidRPr="008047CE" w:rsidRDefault="00106EDB" w:rsidP="00EE6F1A">
            <w:pPr>
              <w:jc w:val="both"/>
              <w:rPr>
                <w:rFonts w:eastAsia="Calibri"/>
                <w:sz w:val="20"/>
              </w:rPr>
            </w:pPr>
          </w:p>
        </w:tc>
        <w:tc>
          <w:tcPr>
            <w:tcW w:w="2330" w:type="pct"/>
          </w:tcPr>
          <w:p w:rsidR="00106EDB" w:rsidRPr="008047CE" w:rsidRDefault="00106EDB" w:rsidP="00EE6F1A">
            <w:pPr>
              <w:jc w:val="both"/>
              <w:rPr>
                <w:rFonts w:eastAsia="Calibri"/>
                <w:sz w:val="20"/>
              </w:rPr>
            </w:pPr>
            <w:r w:rsidRPr="008047CE">
              <w:rPr>
                <w:rFonts w:eastAsia="Calibri"/>
                <w:sz w:val="20"/>
              </w:rPr>
              <w:t xml:space="preserve">Sentence appeal dismissed </w:t>
            </w:r>
          </w:p>
        </w:tc>
      </w:tr>
      <w:tr w:rsidR="00106EDB" w:rsidRPr="008047CE" w:rsidTr="00EE6F1A">
        <w:tc>
          <w:tcPr>
            <w:tcW w:w="2427" w:type="pct"/>
          </w:tcPr>
          <w:p w:rsidR="00106EDB" w:rsidRPr="008047CE" w:rsidRDefault="00106EDB" w:rsidP="00EE6F1A">
            <w:pPr>
              <w:jc w:val="both"/>
              <w:rPr>
                <w:rFonts w:eastAsia="Calibri"/>
                <w:sz w:val="20"/>
              </w:rPr>
            </w:pPr>
            <w:r w:rsidRPr="008047CE">
              <w:rPr>
                <w:rFonts w:eastAsia="Calibri"/>
                <w:sz w:val="20"/>
              </w:rPr>
              <w:t>October 20, 2014</w:t>
            </w:r>
          </w:p>
          <w:p w:rsidR="00106EDB" w:rsidRPr="008047CE" w:rsidRDefault="00106EDB" w:rsidP="00EE6F1A">
            <w:pPr>
              <w:jc w:val="both"/>
              <w:rPr>
                <w:rFonts w:eastAsia="Calibri"/>
                <w:sz w:val="20"/>
              </w:rPr>
            </w:pPr>
            <w:r w:rsidRPr="008047CE">
              <w:rPr>
                <w:rFonts w:eastAsia="Calibri"/>
                <w:sz w:val="20"/>
              </w:rPr>
              <w:t>Supreme Court of Canada</w:t>
            </w:r>
          </w:p>
        </w:tc>
        <w:tc>
          <w:tcPr>
            <w:tcW w:w="243" w:type="pct"/>
          </w:tcPr>
          <w:p w:rsidR="00106EDB" w:rsidRPr="008047CE" w:rsidRDefault="00106EDB" w:rsidP="00EE6F1A">
            <w:pPr>
              <w:jc w:val="both"/>
              <w:rPr>
                <w:rFonts w:eastAsia="Calibri"/>
                <w:sz w:val="20"/>
              </w:rPr>
            </w:pPr>
          </w:p>
        </w:tc>
        <w:tc>
          <w:tcPr>
            <w:tcW w:w="2330" w:type="pct"/>
          </w:tcPr>
          <w:p w:rsidR="00106EDB" w:rsidRPr="008047CE" w:rsidRDefault="00106EDB" w:rsidP="00EE6F1A">
            <w:pPr>
              <w:jc w:val="both"/>
              <w:rPr>
                <w:rFonts w:eastAsia="Calibri"/>
                <w:sz w:val="20"/>
              </w:rPr>
            </w:pPr>
            <w:r w:rsidRPr="008047CE">
              <w:rPr>
                <w:rFonts w:eastAsia="Calibri"/>
                <w:sz w:val="20"/>
              </w:rPr>
              <w:t>Motion for extension of time and application for leave to appeal filed</w:t>
            </w:r>
          </w:p>
        </w:tc>
      </w:tr>
    </w:tbl>
    <w:p w:rsidR="00611550" w:rsidRDefault="00611550" w:rsidP="00611550">
      <w:pPr>
        <w:rPr>
          <w:sz w:val="20"/>
          <w:szCs w:val="20"/>
        </w:rPr>
      </w:pPr>
    </w:p>
    <w:p w:rsidR="00611550" w:rsidRPr="00C50A5C" w:rsidRDefault="008A5B26" w:rsidP="00611550">
      <w:pPr>
        <w:rPr>
          <w:sz w:val="20"/>
          <w:szCs w:val="20"/>
        </w:rPr>
      </w:pPr>
      <w:r>
        <w:rPr>
          <w:sz w:val="20"/>
          <w:szCs w:val="20"/>
          <w:lang w:val="fr-CA"/>
        </w:rPr>
        <w:pict>
          <v:rect id="_x0000_i1050" style="width:2in;height:1pt" o:hrpct="0" o:hralign="center" o:hrstd="t" o:hrnoshade="t" o:hr="t" fillcolor="black [3213]" stroked="f"/>
        </w:pict>
      </w:r>
    </w:p>
    <w:p w:rsidR="00611550" w:rsidRDefault="00611550" w:rsidP="00611550">
      <w:pPr>
        <w:rPr>
          <w:sz w:val="20"/>
          <w:szCs w:val="20"/>
        </w:rPr>
      </w:pPr>
    </w:p>
    <w:p w:rsidR="00611550" w:rsidRPr="001B157C" w:rsidRDefault="00611550" w:rsidP="00611550">
      <w:pPr>
        <w:rPr>
          <w:sz w:val="20"/>
          <w:szCs w:val="20"/>
          <w:u w:val="single"/>
          <w:lang w:val="fr-CA"/>
        </w:rPr>
      </w:pPr>
      <w:r w:rsidRPr="001B157C">
        <w:rPr>
          <w:sz w:val="20"/>
          <w:szCs w:val="20"/>
          <w:u w:val="single"/>
          <w:lang w:val="fr-CA"/>
        </w:rPr>
        <w:t>RÉSUMÉ DE L’AFFAIRE</w:t>
      </w:r>
    </w:p>
    <w:p w:rsidR="00611550" w:rsidRDefault="00611550" w:rsidP="0061155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06EDB" w:rsidRPr="006A1EFB" w:rsidTr="00EE6F1A">
        <w:tc>
          <w:tcPr>
            <w:tcW w:w="5000" w:type="pct"/>
            <w:gridSpan w:val="3"/>
          </w:tcPr>
          <w:p w:rsidR="00106EDB" w:rsidRPr="008047CE" w:rsidRDefault="00106EDB" w:rsidP="00EE6F1A">
            <w:pPr>
              <w:jc w:val="both"/>
              <w:rPr>
                <w:rFonts w:eastAsia="Calibri"/>
                <w:sz w:val="20"/>
                <w:lang w:val="fr-CA"/>
              </w:rPr>
            </w:pPr>
            <w:r w:rsidRPr="008047CE">
              <w:rPr>
                <w:rFonts w:eastAsia="Calibri"/>
                <w:sz w:val="20"/>
                <w:lang w:val="fr-CA"/>
              </w:rPr>
              <w:t>Droit criminel – Homicide involontaire coupable – Détermination de la peine – Principes régissant la détermination de la peine – Crédit majoré pour détention présentencielle – La Cour d’appel a-t-elle eu tort de créer des sous-catégories de l’infraction d’homicide involontaire coupable et d’appliquer de la jurisprudence qui appuie cette catégorisation au détriment d’une pondération adéquate des facteurs de détermination de la peine énoncés à l’al. 718.2</w:t>
            </w:r>
            <w:r w:rsidRPr="008047CE">
              <w:rPr>
                <w:rFonts w:eastAsia="Calibri"/>
                <w:i/>
                <w:sz w:val="20"/>
                <w:lang w:val="fr-CA"/>
              </w:rPr>
              <w:t>e</w:t>
            </w:r>
            <w:r w:rsidRPr="008047CE">
              <w:rPr>
                <w:rFonts w:eastAsia="Calibri"/>
                <w:sz w:val="20"/>
                <w:lang w:val="fr-CA"/>
              </w:rPr>
              <w:t xml:space="preserve">) du </w:t>
            </w:r>
            <w:r w:rsidRPr="008047CE">
              <w:rPr>
                <w:rFonts w:eastAsia="Calibri"/>
                <w:i/>
                <w:sz w:val="20"/>
                <w:lang w:val="fr-CA"/>
              </w:rPr>
              <w:t>Code criminel</w:t>
            </w:r>
            <w:r w:rsidRPr="008047CE">
              <w:rPr>
                <w:rFonts w:eastAsia="Calibri"/>
                <w:sz w:val="20"/>
                <w:lang w:val="fr-CA"/>
              </w:rPr>
              <w:t>, L.R.C. 1985, ch. C-46? – Les juridictions inférieures ont-elles eu tort de refuser au demandeur un crédit majoré pour détention présentencielle?</w:t>
            </w:r>
          </w:p>
        </w:tc>
      </w:tr>
      <w:tr w:rsidR="00106EDB" w:rsidRPr="006A1EFB" w:rsidTr="00EE6F1A">
        <w:tc>
          <w:tcPr>
            <w:tcW w:w="5000" w:type="pct"/>
            <w:gridSpan w:val="3"/>
          </w:tcPr>
          <w:p w:rsidR="00106EDB" w:rsidRPr="008047CE" w:rsidRDefault="00106EDB" w:rsidP="00EE6F1A">
            <w:pPr>
              <w:jc w:val="both"/>
              <w:rPr>
                <w:rFonts w:eastAsia="Calibri"/>
                <w:sz w:val="20"/>
                <w:lang w:val="fr-CA"/>
              </w:rPr>
            </w:pPr>
          </w:p>
        </w:tc>
      </w:tr>
      <w:tr w:rsidR="00106EDB" w:rsidRPr="006A1EFB" w:rsidTr="00EE6F1A">
        <w:tc>
          <w:tcPr>
            <w:tcW w:w="5000" w:type="pct"/>
            <w:gridSpan w:val="3"/>
          </w:tcPr>
          <w:p w:rsidR="00106EDB" w:rsidRPr="008047CE" w:rsidRDefault="00106EDB" w:rsidP="00EE6F1A">
            <w:pPr>
              <w:jc w:val="both"/>
              <w:rPr>
                <w:rFonts w:eastAsia="Calibri"/>
                <w:sz w:val="20"/>
                <w:lang w:val="fr-CA"/>
              </w:rPr>
            </w:pPr>
            <w:r w:rsidRPr="008047CE">
              <w:rPr>
                <w:rFonts w:eastAsia="Calibri"/>
                <w:sz w:val="20"/>
                <w:lang w:val="fr-CA"/>
              </w:rPr>
              <w:t xml:space="preserve">Le demandeur, M. Holloway, a été déclaré coupable d’homicide involontaire coupable et condamné à une peine d’emprisonnement de 96 mois (8 ans).  Il avait avoué à la police que lui et deux autres personnes avaient frappé la victime et lui avaient donné des coups de pied à quatre ou cinq reprises et qu’il avait fini par poignarder la victime </w:t>
            </w:r>
            <w:r w:rsidRPr="008047CE">
              <w:rPr>
                <w:rFonts w:eastAsia="Calibri"/>
                <w:sz w:val="20"/>
                <w:lang w:val="fr-CA"/>
              </w:rPr>
              <w:lastRenderedPageBreak/>
              <w:t xml:space="preserve">dans la poitrine avec un couteau à beurre.  Monsieur Holloway et le ministère public ont tous les deux interjeté appel de sa peine.  Les juges majoritaires de la Cour d’appel ont rejeté l’appel, concluant notamment que le juge qui avait prononcé la peine n’avait pas eu tort de refuser à M. Holloway un crédit majoré pour tenir compte de sa période de détention présentencielle de 27 mois.  Les juges majoritaires ont également conclu que le juge qui avait prononcé la peine avait suffisamment considéré l’origine autochtone de M. Holloway en imposant la peine que la Cour d’appel jugeait appropriée et conforme à la méthode de raisonnement cohérente et transparente de détermination de la peine énoncée dans </w:t>
            </w:r>
            <w:r w:rsidRPr="008047CE">
              <w:rPr>
                <w:rFonts w:eastAsia="Calibri"/>
                <w:i/>
                <w:sz w:val="20"/>
                <w:lang w:val="fr-CA"/>
              </w:rPr>
              <w:t>R. c. Laberge</w:t>
            </w:r>
            <w:r w:rsidRPr="008047CE">
              <w:rPr>
                <w:rFonts w:eastAsia="Calibri"/>
                <w:sz w:val="20"/>
                <w:lang w:val="fr-CA"/>
              </w:rPr>
              <w:t xml:space="preserve"> (1995), 165 A.R. 375.  Le juge Berger, dissident, aurait imposé une peine d’emprisonnement de 78 mois et accordé à M. Holloway un crédit</w:t>
            </w:r>
            <w:r w:rsidRPr="008047CE">
              <w:rPr>
                <w:rFonts w:eastAsia="Calibri"/>
                <w:color w:val="000000"/>
                <w:sz w:val="20"/>
                <w:lang w:val="fr-CA"/>
              </w:rPr>
              <w:t xml:space="preserve"> </w:t>
            </w:r>
            <w:r w:rsidRPr="008047CE">
              <w:rPr>
                <w:rFonts w:eastAsia="Calibri"/>
                <w:sz w:val="20"/>
                <w:lang w:val="fr-CA"/>
              </w:rPr>
              <w:t>à raison d’un jour et demi par jour passé sous garde pour tenir compte de sa période de détention présentencielle de 27 mois.</w:t>
            </w:r>
          </w:p>
          <w:p w:rsidR="00106EDB" w:rsidRPr="008047CE" w:rsidRDefault="00106EDB" w:rsidP="00EE6F1A">
            <w:pPr>
              <w:jc w:val="both"/>
              <w:rPr>
                <w:rFonts w:eastAsia="Calibri"/>
                <w:sz w:val="20"/>
                <w:lang w:val="fr-CA"/>
              </w:rPr>
            </w:pPr>
          </w:p>
        </w:tc>
      </w:tr>
      <w:tr w:rsidR="00106EDB" w:rsidRPr="006A1EFB" w:rsidTr="00EE6F1A">
        <w:tc>
          <w:tcPr>
            <w:tcW w:w="2427" w:type="pct"/>
          </w:tcPr>
          <w:p w:rsidR="00106EDB" w:rsidRPr="008047CE" w:rsidRDefault="00106EDB" w:rsidP="00EE6F1A">
            <w:pPr>
              <w:jc w:val="both"/>
              <w:rPr>
                <w:rFonts w:eastAsia="Calibri"/>
                <w:sz w:val="20"/>
                <w:lang w:val="fr-CA"/>
              </w:rPr>
            </w:pPr>
            <w:r w:rsidRPr="008047CE">
              <w:rPr>
                <w:rFonts w:eastAsia="Calibri"/>
                <w:sz w:val="20"/>
                <w:lang w:val="fr-CA"/>
              </w:rPr>
              <w:lastRenderedPageBreak/>
              <w:t>3 avril 2013</w:t>
            </w:r>
          </w:p>
          <w:p w:rsidR="00106EDB" w:rsidRPr="008047CE" w:rsidRDefault="00106EDB" w:rsidP="00EE6F1A">
            <w:pPr>
              <w:jc w:val="both"/>
              <w:rPr>
                <w:rFonts w:eastAsia="Calibri"/>
                <w:sz w:val="20"/>
                <w:lang w:val="fr-CA"/>
              </w:rPr>
            </w:pPr>
            <w:r w:rsidRPr="008047CE">
              <w:rPr>
                <w:rFonts w:eastAsia="Calibri"/>
                <w:sz w:val="20"/>
                <w:lang w:val="fr-CA"/>
              </w:rPr>
              <w:t>Cour du Banc de la Reine de l’Alberta</w:t>
            </w:r>
          </w:p>
          <w:p w:rsidR="00106EDB" w:rsidRPr="008047CE" w:rsidRDefault="00106EDB" w:rsidP="00EE6F1A">
            <w:pPr>
              <w:jc w:val="both"/>
              <w:rPr>
                <w:rFonts w:eastAsia="Calibri"/>
                <w:sz w:val="20"/>
                <w:lang w:val="fr-CA"/>
              </w:rPr>
            </w:pPr>
            <w:r w:rsidRPr="008047CE">
              <w:rPr>
                <w:rFonts w:eastAsia="Calibri"/>
                <w:sz w:val="20"/>
                <w:lang w:val="fr-CA"/>
              </w:rPr>
              <w:t>(Juge Bensler)</w:t>
            </w:r>
          </w:p>
          <w:p w:rsidR="00106EDB" w:rsidRPr="008047CE" w:rsidRDefault="00106EDB" w:rsidP="00EE6F1A">
            <w:pPr>
              <w:jc w:val="both"/>
              <w:rPr>
                <w:rFonts w:eastAsia="Calibri"/>
                <w:sz w:val="20"/>
                <w:lang w:val="fr-CA"/>
              </w:rPr>
            </w:pPr>
          </w:p>
        </w:tc>
        <w:tc>
          <w:tcPr>
            <w:tcW w:w="243" w:type="pct"/>
          </w:tcPr>
          <w:p w:rsidR="00106EDB" w:rsidRPr="008047CE" w:rsidRDefault="00106EDB" w:rsidP="00EE6F1A">
            <w:pPr>
              <w:jc w:val="both"/>
              <w:rPr>
                <w:rFonts w:eastAsia="Calibri"/>
                <w:sz w:val="20"/>
                <w:lang w:val="fr-CA"/>
              </w:rPr>
            </w:pPr>
          </w:p>
        </w:tc>
        <w:tc>
          <w:tcPr>
            <w:tcW w:w="2330" w:type="pct"/>
          </w:tcPr>
          <w:p w:rsidR="00106EDB" w:rsidRPr="008047CE" w:rsidRDefault="00106EDB" w:rsidP="00EE6F1A">
            <w:pPr>
              <w:jc w:val="both"/>
              <w:rPr>
                <w:rFonts w:eastAsia="Calibri"/>
                <w:sz w:val="20"/>
                <w:lang w:val="fr-CA"/>
              </w:rPr>
            </w:pPr>
            <w:r w:rsidRPr="008047CE">
              <w:rPr>
                <w:rFonts w:eastAsia="Calibri"/>
                <w:sz w:val="20"/>
                <w:lang w:val="fr-CA"/>
              </w:rPr>
              <w:t>Peine d’emprisonnement de huit ans imposée au demandeur, déclaré coupable d’homicide involontaire coupable</w:t>
            </w:r>
          </w:p>
        </w:tc>
      </w:tr>
      <w:tr w:rsidR="00106EDB" w:rsidRPr="006A1EFB" w:rsidTr="00EE6F1A">
        <w:tc>
          <w:tcPr>
            <w:tcW w:w="2427" w:type="pct"/>
          </w:tcPr>
          <w:p w:rsidR="00106EDB" w:rsidRPr="008047CE" w:rsidRDefault="00106EDB" w:rsidP="00EE6F1A">
            <w:pPr>
              <w:jc w:val="both"/>
              <w:rPr>
                <w:rFonts w:eastAsia="Calibri"/>
                <w:sz w:val="20"/>
                <w:lang w:val="fr-CA"/>
              </w:rPr>
            </w:pPr>
            <w:r w:rsidRPr="008047CE">
              <w:rPr>
                <w:rFonts w:eastAsia="Calibri"/>
                <w:sz w:val="20"/>
                <w:lang w:val="fr-CA"/>
              </w:rPr>
              <w:t>6 mars 2014</w:t>
            </w:r>
          </w:p>
          <w:p w:rsidR="00106EDB" w:rsidRPr="008047CE" w:rsidRDefault="00106EDB" w:rsidP="00EE6F1A">
            <w:pPr>
              <w:jc w:val="both"/>
              <w:rPr>
                <w:rFonts w:eastAsia="Calibri"/>
                <w:sz w:val="20"/>
                <w:lang w:val="fr-CA"/>
              </w:rPr>
            </w:pPr>
            <w:r w:rsidRPr="008047CE">
              <w:rPr>
                <w:rFonts w:eastAsia="Calibri"/>
                <w:sz w:val="20"/>
                <w:lang w:val="fr-CA"/>
              </w:rPr>
              <w:t>Cour d’appel de l’Alberta (Calgary)</w:t>
            </w:r>
          </w:p>
          <w:p w:rsidR="00106EDB" w:rsidRPr="008047CE" w:rsidRDefault="00106EDB" w:rsidP="00EE6F1A">
            <w:pPr>
              <w:jc w:val="both"/>
              <w:rPr>
                <w:rFonts w:eastAsia="Calibri"/>
                <w:sz w:val="20"/>
                <w:lang w:val="fr-CA"/>
              </w:rPr>
            </w:pPr>
            <w:r w:rsidRPr="008047CE">
              <w:rPr>
                <w:rFonts w:eastAsia="Calibri"/>
                <w:sz w:val="20"/>
                <w:lang w:val="fr-CA"/>
              </w:rPr>
              <w:t>(Juges Berger [dissident], Watson et McDonald)</w:t>
            </w:r>
          </w:p>
          <w:p w:rsidR="00106EDB" w:rsidRPr="008047CE" w:rsidRDefault="008A5B26" w:rsidP="00EE6F1A">
            <w:pPr>
              <w:jc w:val="both"/>
              <w:rPr>
                <w:rFonts w:eastAsia="Calibri"/>
                <w:sz w:val="20"/>
                <w:lang w:val="fr-CA"/>
              </w:rPr>
            </w:pPr>
            <w:hyperlink r:id="rId35" w:history="1">
              <w:r w:rsidR="00106EDB" w:rsidRPr="00F34021">
                <w:rPr>
                  <w:rFonts w:eastAsia="Calibri"/>
                  <w:color w:val="0000FF"/>
                  <w:sz w:val="20"/>
                  <w:u w:val="single"/>
                  <w:lang w:val="fr-CA"/>
                </w:rPr>
                <w:t>2014 ABCA 87</w:t>
              </w:r>
            </w:hyperlink>
          </w:p>
          <w:p w:rsidR="00106EDB" w:rsidRPr="008047CE" w:rsidRDefault="00106EDB" w:rsidP="00EE6F1A">
            <w:pPr>
              <w:jc w:val="both"/>
              <w:rPr>
                <w:rFonts w:eastAsia="Calibri"/>
                <w:sz w:val="20"/>
                <w:lang w:val="fr-CA"/>
              </w:rPr>
            </w:pPr>
          </w:p>
        </w:tc>
        <w:tc>
          <w:tcPr>
            <w:tcW w:w="243" w:type="pct"/>
          </w:tcPr>
          <w:p w:rsidR="00106EDB" w:rsidRPr="008047CE" w:rsidRDefault="00106EDB" w:rsidP="00EE6F1A">
            <w:pPr>
              <w:jc w:val="both"/>
              <w:rPr>
                <w:rFonts w:eastAsia="Calibri"/>
                <w:sz w:val="20"/>
                <w:lang w:val="fr-CA"/>
              </w:rPr>
            </w:pPr>
          </w:p>
        </w:tc>
        <w:tc>
          <w:tcPr>
            <w:tcW w:w="2330" w:type="pct"/>
          </w:tcPr>
          <w:p w:rsidR="00106EDB" w:rsidRPr="008047CE" w:rsidRDefault="00106EDB" w:rsidP="00EE6F1A">
            <w:pPr>
              <w:jc w:val="both"/>
              <w:rPr>
                <w:rFonts w:eastAsia="Calibri"/>
                <w:sz w:val="20"/>
                <w:lang w:val="fr-CA"/>
              </w:rPr>
            </w:pPr>
            <w:r w:rsidRPr="008047CE">
              <w:rPr>
                <w:rFonts w:eastAsia="Calibri"/>
                <w:sz w:val="20"/>
                <w:lang w:val="fr-CA"/>
              </w:rPr>
              <w:t>Rejet de l’appel de la peine</w:t>
            </w:r>
          </w:p>
        </w:tc>
      </w:tr>
      <w:tr w:rsidR="00106EDB" w:rsidRPr="006A1EFB" w:rsidTr="00EE6F1A">
        <w:tc>
          <w:tcPr>
            <w:tcW w:w="2427" w:type="pct"/>
          </w:tcPr>
          <w:p w:rsidR="00106EDB" w:rsidRPr="008047CE" w:rsidRDefault="00106EDB" w:rsidP="00EE6F1A">
            <w:pPr>
              <w:jc w:val="both"/>
              <w:rPr>
                <w:rFonts w:eastAsia="Calibri"/>
                <w:sz w:val="20"/>
                <w:lang w:val="fr-CA"/>
              </w:rPr>
            </w:pPr>
            <w:r w:rsidRPr="008047CE">
              <w:rPr>
                <w:rFonts w:eastAsia="Calibri"/>
                <w:sz w:val="20"/>
                <w:lang w:val="fr-CA"/>
              </w:rPr>
              <w:t>20 octobre 2014</w:t>
            </w:r>
          </w:p>
          <w:p w:rsidR="00106EDB" w:rsidRPr="008047CE" w:rsidRDefault="00106EDB" w:rsidP="00EE6F1A">
            <w:pPr>
              <w:jc w:val="both"/>
              <w:rPr>
                <w:rFonts w:eastAsia="Calibri"/>
                <w:sz w:val="20"/>
                <w:lang w:val="fr-CA"/>
              </w:rPr>
            </w:pPr>
            <w:r w:rsidRPr="008047CE">
              <w:rPr>
                <w:rFonts w:eastAsia="Calibri"/>
                <w:sz w:val="20"/>
                <w:lang w:val="fr-CA"/>
              </w:rPr>
              <w:t>Cour suprême du Canada</w:t>
            </w:r>
          </w:p>
        </w:tc>
        <w:tc>
          <w:tcPr>
            <w:tcW w:w="243" w:type="pct"/>
          </w:tcPr>
          <w:p w:rsidR="00106EDB" w:rsidRPr="008047CE" w:rsidRDefault="00106EDB" w:rsidP="00EE6F1A">
            <w:pPr>
              <w:jc w:val="both"/>
              <w:rPr>
                <w:rFonts w:eastAsia="Calibri"/>
                <w:sz w:val="20"/>
                <w:lang w:val="fr-CA"/>
              </w:rPr>
            </w:pPr>
          </w:p>
        </w:tc>
        <w:tc>
          <w:tcPr>
            <w:tcW w:w="2330" w:type="pct"/>
          </w:tcPr>
          <w:p w:rsidR="00106EDB" w:rsidRPr="008047CE" w:rsidRDefault="00106EDB" w:rsidP="00EE6F1A">
            <w:pPr>
              <w:jc w:val="both"/>
              <w:rPr>
                <w:rFonts w:eastAsia="Calibri"/>
                <w:sz w:val="20"/>
                <w:lang w:val="fr-CA"/>
              </w:rPr>
            </w:pPr>
            <w:r w:rsidRPr="008047CE">
              <w:rPr>
                <w:rFonts w:eastAsia="Calibri"/>
                <w:sz w:val="20"/>
                <w:lang w:val="fr-CA"/>
              </w:rPr>
              <w:t>Dépôt de la requête en prorogation de délai et de la demande d’autorisation d’appel</w:t>
            </w:r>
          </w:p>
        </w:tc>
      </w:tr>
    </w:tbl>
    <w:p w:rsidR="00611550" w:rsidRPr="00106EDB" w:rsidRDefault="00611550" w:rsidP="00611550">
      <w:pPr>
        <w:rPr>
          <w:sz w:val="20"/>
          <w:szCs w:val="20"/>
          <w:lang w:val="fr-CA"/>
        </w:rPr>
      </w:pPr>
    </w:p>
    <w:p w:rsidR="00611550" w:rsidRDefault="008A5B26" w:rsidP="00611550">
      <w:pPr>
        <w:rPr>
          <w:sz w:val="20"/>
          <w:szCs w:val="20"/>
          <w:lang w:val="fr-CA"/>
        </w:rPr>
      </w:pPr>
      <w:r>
        <w:rPr>
          <w:sz w:val="20"/>
          <w:szCs w:val="20"/>
          <w:lang w:val="fr-CA"/>
        </w:rPr>
        <w:pict>
          <v:rect id="_x0000_i1051" style="width:2in;height:1pt" o:hrpct="0" o:hralign="center" o:hrstd="t" o:hrnoshade="t" o:hr="t" fillcolor="black [3213]" stroked="f"/>
        </w:pict>
      </w:r>
    </w:p>
    <w:p w:rsidR="00611550" w:rsidRDefault="00611550" w:rsidP="00611550">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08.01.2015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CROMWELL J. / LE JUGE CROMWELL</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DD21F1" w:rsidRPr="00021805" w:rsidTr="00DD21F1">
        <w:tc>
          <w:tcPr>
            <w:tcW w:w="4338" w:type="dxa"/>
            <w:gridSpan w:val="2"/>
          </w:tcPr>
          <w:p w:rsidR="00DD21F1" w:rsidRPr="00DD21F1" w:rsidRDefault="00DD21F1" w:rsidP="00DD21F1">
            <w:pPr>
              <w:jc w:val="both"/>
              <w:rPr>
                <w:b/>
              </w:rPr>
            </w:pPr>
            <w:r w:rsidRPr="00DD21F1">
              <w:rPr>
                <w:b/>
                <w:lang w:val="en-US"/>
              </w:rPr>
              <w:t xml:space="preserve">Order on intervention with respect to oral argument </w:t>
            </w:r>
            <w:r w:rsidR="00D5130B" w:rsidRPr="00DD21F1">
              <w:rPr>
                <w:b/>
                <w:lang w:val="en-US"/>
              </w:rPr>
              <w:fldChar w:fldCharType="begin"/>
            </w:r>
            <w:r w:rsidRPr="00DD21F1">
              <w:rPr>
                <w:b/>
              </w:rPr>
              <w:instrText xml:space="preserve"> SEQ CHAPTER \h \r 1</w:instrText>
            </w:r>
            <w:r w:rsidR="00D5130B" w:rsidRPr="00DD21F1">
              <w:rPr>
                <w:b/>
                <w:lang w:val="en-US"/>
              </w:rPr>
              <w:fldChar w:fldCharType="end"/>
            </w:r>
          </w:p>
        </w:tc>
        <w:tc>
          <w:tcPr>
            <w:tcW w:w="1170" w:type="dxa"/>
          </w:tcPr>
          <w:p w:rsidR="00DD21F1" w:rsidRPr="00DD21F1" w:rsidRDefault="00DD21F1" w:rsidP="00DD21F1"/>
          <w:p w:rsidR="00DD21F1" w:rsidRPr="00DD21F1" w:rsidRDefault="00DD21F1" w:rsidP="00DD21F1"/>
          <w:p w:rsidR="00DD21F1" w:rsidRPr="00DD21F1" w:rsidRDefault="00DD21F1" w:rsidP="00DD21F1"/>
        </w:tc>
        <w:tc>
          <w:tcPr>
            <w:tcW w:w="4327" w:type="dxa"/>
          </w:tcPr>
          <w:p w:rsidR="00DD21F1" w:rsidRPr="00DD21F1" w:rsidRDefault="00DD21F1" w:rsidP="00DD21F1">
            <w:pPr>
              <w:jc w:val="both"/>
              <w:rPr>
                <w:b/>
                <w:lang w:val="fr-CA"/>
              </w:rPr>
            </w:pPr>
            <w:r w:rsidRPr="00DD21F1">
              <w:rPr>
                <w:b/>
                <w:lang w:val="fr-CA"/>
              </w:rPr>
              <w:t>Ordonnance relative à la présentation d’une plaidoirie orale par l’intervenante</w:t>
            </w:r>
            <w:r w:rsidR="00D5130B" w:rsidRPr="00DD21F1">
              <w:rPr>
                <w:b/>
                <w:lang w:val="en-US"/>
              </w:rPr>
              <w:fldChar w:fldCharType="begin"/>
            </w:r>
            <w:r w:rsidRPr="00DD21F1">
              <w:rPr>
                <w:b/>
                <w:lang w:val="fr-CA"/>
              </w:rPr>
              <w:instrText xml:space="preserve"> SEQ CHAPTER \h \r 1</w:instrText>
            </w:r>
            <w:r w:rsidR="00D5130B" w:rsidRPr="00DD21F1">
              <w:rPr>
                <w:b/>
                <w:lang w:val="en-US"/>
              </w:rPr>
              <w:fldChar w:fldCharType="end"/>
            </w:r>
          </w:p>
        </w:tc>
      </w:tr>
      <w:tr w:rsidR="00DD21F1" w:rsidRPr="00DD21F1" w:rsidTr="00DD21F1">
        <w:trPr>
          <w:trHeight w:hRule="exact" w:val="360"/>
        </w:trPr>
        <w:tc>
          <w:tcPr>
            <w:tcW w:w="1368" w:type="dxa"/>
          </w:tcPr>
          <w:p w:rsidR="00DD21F1" w:rsidRPr="00DD21F1" w:rsidRDefault="00DD21F1" w:rsidP="00DD21F1">
            <w:r w:rsidRPr="00DD21F1">
              <w:t>RE:</w:t>
            </w:r>
          </w:p>
        </w:tc>
        <w:tc>
          <w:tcPr>
            <w:tcW w:w="2970" w:type="dxa"/>
          </w:tcPr>
          <w:p w:rsidR="00DD21F1" w:rsidRPr="00DD21F1" w:rsidRDefault="00DD21F1" w:rsidP="00DD21F1">
            <w:r w:rsidRPr="00DD21F1">
              <w:t>City of Montreal</w:t>
            </w:r>
          </w:p>
        </w:tc>
        <w:tc>
          <w:tcPr>
            <w:tcW w:w="1170" w:type="dxa"/>
          </w:tcPr>
          <w:p w:rsidR="00DD21F1" w:rsidRPr="00DD21F1" w:rsidRDefault="00DD21F1" w:rsidP="00DD21F1"/>
        </w:tc>
        <w:tc>
          <w:tcPr>
            <w:tcW w:w="4327" w:type="dxa"/>
          </w:tcPr>
          <w:p w:rsidR="00DD21F1" w:rsidRPr="00DD21F1" w:rsidRDefault="00DD21F1" w:rsidP="00DD21F1"/>
        </w:tc>
      </w:tr>
      <w:tr w:rsidR="00DD21F1" w:rsidRPr="00DD21F1" w:rsidTr="00DD21F1">
        <w:tc>
          <w:tcPr>
            <w:tcW w:w="1368" w:type="dxa"/>
          </w:tcPr>
          <w:p w:rsidR="00DD21F1" w:rsidRPr="00DD21F1" w:rsidRDefault="00DD21F1" w:rsidP="00DD21F1"/>
        </w:tc>
        <w:tc>
          <w:tcPr>
            <w:tcW w:w="2970" w:type="dxa"/>
          </w:tcPr>
          <w:p w:rsidR="00DD21F1" w:rsidRPr="00DD21F1" w:rsidRDefault="00DD21F1" w:rsidP="00DD21F1"/>
        </w:tc>
        <w:tc>
          <w:tcPr>
            <w:tcW w:w="1170" w:type="dxa"/>
          </w:tcPr>
          <w:p w:rsidR="00DD21F1" w:rsidRPr="00DD21F1" w:rsidRDefault="00DD21F1" w:rsidP="00DD21F1"/>
        </w:tc>
        <w:tc>
          <w:tcPr>
            <w:tcW w:w="4327" w:type="dxa"/>
          </w:tcPr>
          <w:p w:rsidR="00DD21F1" w:rsidRPr="00DD21F1" w:rsidRDefault="00DD21F1" w:rsidP="00DD21F1"/>
        </w:tc>
      </w:tr>
      <w:tr w:rsidR="00DD21F1" w:rsidRPr="00DD21F1" w:rsidTr="00DD21F1">
        <w:tc>
          <w:tcPr>
            <w:tcW w:w="1368" w:type="dxa"/>
          </w:tcPr>
          <w:p w:rsidR="00DD21F1" w:rsidRPr="00DD21F1" w:rsidRDefault="00DD21F1" w:rsidP="00DD21F1">
            <w:r w:rsidRPr="00DD21F1">
              <w:t>IN / DANS :</w:t>
            </w:r>
          </w:p>
        </w:tc>
        <w:tc>
          <w:tcPr>
            <w:tcW w:w="2970" w:type="dxa"/>
          </w:tcPr>
          <w:p w:rsidR="00DD21F1" w:rsidRPr="00DD21F1" w:rsidRDefault="00DD21F1" w:rsidP="00DD21F1">
            <w:r w:rsidRPr="00DD21F1">
              <w:t>Her Majesty the Queen</w:t>
            </w:r>
          </w:p>
          <w:p w:rsidR="00DD21F1" w:rsidRPr="00DD21F1" w:rsidRDefault="00DD21F1" w:rsidP="00DD21F1"/>
          <w:p w:rsidR="00DD21F1" w:rsidRPr="00DD21F1" w:rsidRDefault="00DD21F1" w:rsidP="00DD21F1">
            <w:r w:rsidRPr="00DD21F1">
              <w:tab/>
              <w:t>v. (35971)</w:t>
            </w:r>
          </w:p>
          <w:p w:rsidR="00DD21F1" w:rsidRPr="00DD21F1" w:rsidRDefault="00DD21F1" w:rsidP="00DD21F1"/>
          <w:p w:rsidR="00DD21F1" w:rsidRPr="00DD21F1" w:rsidRDefault="00DD21F1" w:rsidP="00DD21F1">
            <w:pPr>
              <w:rPr>
                <w:lang w:val="fr-CA"/>
              </w:rPr>
            </w:pPr>
            <w:r w:rsidRPr="00DD21F1">
              <w:rPr>
                <w:lang w:val="fr-CA"/>
              </w:rPr>
              <w:t>Andrew Simpson et al. (Crim.) (Que.)</w:t>
            </w:r>
          </w:p>
        </w:tc>
        <w:tc>
          <w:tcPr>
            <w:tcW w:w="1170" w:type="dxa"/>
          </w:tcPr>
          <w:p w:rsidR="00DD21F1" w:rsidRPr="00DD21F1" w:rsidRDefault="00DD21F1" w:rsidP="00DD21F1">
            <w:pPr>
              <w:rPr>
                <w:lang w:val="fr-CA"/>
              </w:rPr>
            </w:pPr>
          </w:p>
        </w:tc>
        <w:tc>
          <w:tcPr>
            <w:tcW w:w="4327" w:type="dxa"/>
          </w:tcPr>
          <w:p w:rsidR="00DD21F1" w:rsidRPr="00DD21F1" w:rsidRDefault="00DD21F1" w:rsidP="00DD21F1">
            <w:pPr>
              <w:rPr>
                <w:lang w:val="fr-CA"/>
              </w:rPr>
            </w:pPr>
          </w:p>
        </w:tc>
      </w:tr>
    </w:tbl>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en-US" w:eastAsia="en-CA"/>
        </w:rPr>
      </w:pPr>
      <w:r w:rsidRPr="00DD21F1">
        <w:rPr>
          <w:rFonts w:eastAsia="Times New Roman" w:cs="Times New Roman"/>
          <w:b/>
          <w:sz w:val="20"/>
          <w:szCs w:val="20"/>
          <w:lang w:val="en-US" w:eastAsia="en-CA"/>
        </w:rPr>
        <w:t>FURTHER TO THE ORDER</w:t>
      </w:r>
      <w:r w:rsidRPr="00DD21F1">
        <w:rPr>
          <w:rFonts w:eastAsia="Times New Roman" w:cs="Times New Roman"/>
          <w:sz w:val="20"/>
          <w:szCs w:val="20"/>
          <w:lang w:val="en-US" w:eastAsia="en-CA"/>
        </w:rPr>
        <w:t xml:space="preserve"> dated November 7, 2014, granting leave to intervene to the </w:t>
      </w:r>
      <w:r w:rsidRPr="00DD21F1">
        <w:rPr>
          <w:rFonts w:eastAsia="Times New Roman" w:cs="Times New Roman"/>
          <w:sz w:val="20"/>
          <w:szCs w:val="20"/>
          <w:lang w:eastAsia="en-CA"/>
        </w:rPr>
        <w:t>City of Montreal</w:t>
      </w:r>
      <w:r w:rsidRPr="00DD21F1">
        <w:rPr>
          <w:rFonts w:eastAsia="Times New Roman" w:cs="Times New Roman"/>
          <w:sz w:val="20"/>
          <w:szCs w:val="20"/>
          <w:lang w:val="en-US" w:eastAsia="en-CA"/>
        </w:rPr>
        <w:t>;</w:t>
      </w:r>
    </w:p>
    <w:p w:rsidR="00DD21F1" w:rsidRPr="00DD21F1" w:rsidRDefault="00DD21F1" w:rsidP="00DD21F1">
      <w:pPr>
        <w:spacing w:line="233" w:lineRule="auto"/>
        <w:jc w:val="both"/>
        <w:rPr>
          <w:rFonts w:eastAsia="Times New Roman" w:cs="Times New Roman"/>
          <w:sz w:val="20"/>
          <w:szCs w:val="20"/>
          <w:lang w:val="en-US" w:eastAsia="en-CA"/>
        </w:rPr>
      </w:pPr>
    </w:p>
    <w:p w:rsidR="00DD21F1" w:rsidRPr="00DD21F1" w:rsidRDefault="00DD21F1" w:rsidP="00DD21F1">
      <w:pPr>
        <w:spacing w:line="233" w:lineRule="auto"/>
        <w:jc w:val="both"/>
        <w:rPr>
          <w:rFonts w:eastAsia="Times New Roman" w:cs="Times New Roman"/>
          <w:sz w:val="20"/>
          <w:szCs w:val="20"/>
          <w:lang w:val="en-US" w:eastAsia="en-CA"/>
        </w:rPr>
      </w:pPr>
      <w:r w:rsidRPr="00DD21F1">
        <w:rPr>
          <w:rFonts w:eastAsia="Times New Roman" w:cs="Times New Roman"/>
          <w:b/>
          <w:bCs/>
          <w:sz w:val="20"/>
          <w:szCs w:val="20"/>
          <w:lang w:val="en-US" w:eastAsia="en-CA"/>
        </w:rPr>
        <w:t xml:space="preserve">IT IS HEREBY FURTHER ORDERED THAT </w:t>
      </w:r>
      <w:r w:rsidRPr="00DD21F1">
        <w:rPr>
          <w:rFonts w:eastAsia="Times New Roman" w:cs="Times New Roman"/>
          <w:bCs/>
          <w:sz w:val="20"/>
          <w:szCs w:val="20"/>
          <w:lang w:val="en-US" w:eastAsia="en-CA"/>
        </w:rPr>
        <w:t>t</w:t>
      </w:r>
      <w:r w:rsidRPr="00DD21F1">
        <w:rPr>
          <w:rFonts w:eastAsia="Times New Roman" w:cs="Times New Roman"/>
          <w:sz w:val="20"/>
          <w:szCs w:val="20"/>
          <w:lang w:val="en-US" w:eastAsia="en-CA"/>
        </w:rPr>
        <w:t>he said intervener is granted permission to present oral argument not exceeding ten (10) minutes at the hearing of the appeal.</w:t>
      </w:r>
    </w:p>
    <w:p w:rsidR="00DD21F1" w:rsidRPr="00DD21F1" w:rsidRDefault="00DD21F1" w:rsidP="00DD21F1">
      <w:pPr>
        <w:spacing w:line="233" w:lineRule="auto"/>
        <w:jc w:val="both"/>
        <w:rPr>
          <w:rFonts w:eastAsia="Times New Roman" w:cs="Times New Roman"/>
          <w:sz w:val="20"/>
          <w:szCs w:val="20"/>
          <w:lang w:val="en-US" w:eastAsia="en-CA"/>
        </w:rPr>
      </w:pPr>
    </w:p>
    <w:p w:rsidR="00DD21F1" w:rsidRPr="00DD21F1" w:rsidRDefault="00DD21F1" w:rsidP="00DD21F1">
      <w:pPr>
        <w:spacing w:line="233" w:lineRule="auto"/>
        <w:jc w:val="both"/>
        <w:rPr>
          <w:rFonts w:eastAsia="Times New Roman" w:cs="Times New Roman"/>
          <w:bCs/>
          <w:sz w:val="20"/>
          <w:szCs w:val="20"/>
          <w:lang w:val="en-US" w:eastAsia="en-CA"/>
        </w:rPr>
      </w:pPr>
    </w:p>
    <w:p w:rsidR="00DD21F1" w:rsidRPr="00DD21F1" w:rsidRDefault="00DD21F1" w:rsidP="00DD21F1">
      <w:pPr>
        <w:spacing w:line="233" w:lineRule="auto"/>
        <w:jc w:val="both"/>
        <w:rPr>
          <w:rFonts w:eastAsia="Times New Roman" w:cs="Times New Roman"/>
          <w:bCs/>
          <w:sz w:val="20"/>
          <w:szCs w:val="20"/>
          <w:lang w:val="en-US" w:eastAsia="en-CA"/>
        </w:rPr>
      </w:pPr>
    </w:p>
    <w:p w:rsidR="00DD21F1" w:rsidRPr="00DD21F1" w:rsidRDefault="00DD21F1" w:rsidP="00DD21F1">
      <w:pPr>
        <w:spacing w:line="233" w:lineRule="auto"/>
        <w:jc w:val="both"/>
        <w:rPr>
          <w:rFonts w:eastAsia="Times New Roman" w:cs="Times New Roman"/>
          <w:sz w:val="20"/>
          <w:szCs w:val="20"/>
          <w:lang w:val="fr-FR" w:eastAsia="en-CA"/>
        </w:rPr>
      </w:pPr>
      <w:r w:rsidRPr="00DD21F1">
        <w:rPr>
          <w:rFonts w:eastAsia="Times New Roman" w:cs="Times New Roman"/>
          <w:b/>
          <w:sz w:val="20"/>
          <w:szCs w:val="20"/>
          <w:lang w:val="fr-CA" w:eastAsia="en-CA"/>
        </w:rPr>
        <w:t>À LA SUITE DE L’ORDONNANCE</w:t>
      </w:r>
      <w:r w:rsidRPr="00DD21F1">
        <w:rPr>
          <w:rFonts w:eastAsia="Times New Roman" w:cs="Times New Roman"/>
          <w:sz w:val="20"/>
          <w:szCs w:val="20"/>
          <w:lang w:val="fr-CA" w:eastAsia="en-CA"/>
        </w:rPr>
        <w:t xml:space="preserve"> datée du 7 novembre</w:t>
      </w:r>
      <w:r w:rsidRPr="00DD21F1">
        <w:rPr>
          <w:rFonts w:eastAsia="Times New Roman" w:cs="Times New Roman"/>
          <w:sz w:val="20"/>
          <w:szCs w:val="20"/>
          <w:lang w:val="fr-FR" w:eastAsia="en-CA"/>
        </w:rPr>
        <w:t xml:space="preserve"> 2014, autorisant la </w:t>
      </w:r>
      <w:r w:rsidRPr="00DD21F1">
        <w:rPr>
          <w:rFonts w:eastAsia="Times New Roman" w:cs="Times New Roman"/>
          <w:sz w:val="20"/>
          <w:szCs w:val="20"/>
          <w:lang w:val="fr-CA" w:eastAsia="en-CA"/>
        </w:rPr>
        <w:t>Ville de Montréal</w:t>
      </w:r>
      <w:r w:rsidRPr="00DD21F1">
        <w:rPr>
          <w:rFonts w:eastAsia="Times New Roman" w:cs="Times New Roman"/>
          <w:sz w:val="20"/>
          <w:szCs w:val="20"/>
          <w:lang w:val="fr-FR" w:eastAsia="en-CA"/>
        </w:rPr>
        <w:t xml:space="preserve"> à intervenir;</w:t>
      </w:r>
    </w:p>
    <w:p w:rsidR="00DD21F1" w:rsidRPr="00DD21F1" w:rsidRDefault="00DD21F1" w:rsidP="00DD21F1">
      <w:pPr>
        <w:spacing w:line="233" w:lineRule="auto"/>
        <w:jc w:val="both"/>
        <w:rPr>
          <w:rFonts w:eastAsia="Times New Roman" w:cs="Times New Roman"/>
          <w:sz w:val="20"/>
          <w:szCs w:val="20"/>
          <w:lang w:val="fr-FR"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 xml:space="preserve">IL EST EN OUTRE ORDONNÉ QUE </w:t>
      </w:r>
      <w:r w:rsidRPr="00DD21F1">
        <w:rPr>
          <w:rFonts w:eastAsia="Times New Roman" w:cs="Times New Roman"/>
          <w:sz w:val="20"/>
          <w:szCs w:val="20"/>
          <w:lang w:val="fr-CA" w:eastAsia="en-CA"/>
        </w:rPr>
        <w:t>cette intervenante aura le droit de présenter une plaidoirie orale d’au plus dix (10) minutes lors de l’audition de l’appel.</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8A5B26" w:rsidP="00DD21F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09.01.2015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CROMWELL J. / LE JUGE CROMWELL</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D21F1" w:rsidRPr="00021805" w:rsidTr="00DD21F1">
        <w:trPr>
          <w:trHeight w:val="151"/>
        </w:trPr>
        <w:tc>
          <w:tcPr>
            <w:tcW w:w="4338" w:type="dxa"/>
          </w:tcPr>
          <w:p w:rsidR="00DD21F1" w:rsidRPr="00DD21F1" w:rsidRDefault="00DD21F1" w:rsidP="00DD21F1">
            <w:pPr>
              <w:jc w:val="both"/>
              <w:rPr>
                <w:lang w:val="en-US"/>
              </w:rPr>
            </w:pPr>
            <w:r w:rsidRPr="00DD21F1">
              <w:rPr>
                <w:b/>
                <w:bCs/>
                <w:lang w:val="en-GB"/>
              </w:rPr>
              <w:t>Motion to adjourn the hearing of the appeal</w:t>
            </w:r>
          </w:p>
          <w:p w:rsidR="00DD21F1" w:rsidRPr="00DD21F1" w:rsidRDefault="00DD21F1" w:rsidP="00DD21F1">
            <w:pPr>
              <w:tabs>
                <w:tab w:val="left" w:pos="-1440"/>
                <w:tab w:val="left" w:pos="-720"/>
              </w:tabs>
              <w:jc w:val="both"/>
              <w:rPr>
                <w:lang w:val="en-US"/>
              </w:rPr>
            </w:pPr>
          </w:p>
        </w:tc>
        <w:tc>
          <w:tcPr>
            <w:tcW w:w="1170" w:type="dxa"/>
          </w:tcPr>
          <w:p w:rsidR="00DD21F1" w:rsidRPr="00DD21F1" w:rsidRDefault="00DD21F1" w:rsidP="00DD21F1">
            <w:pPr>
              <w:jc w:val="both"/>
            </w:pPr>
          </w:p>
          <w:p w:rsidR="00DD21F1" w:rsidRPr="00DD21F1" w:rsidRDefault="00DD21F1" w:rsidP="00DD21F1">
            <w:pPr>
              <w:jc w:val="both"/>
            </w:pPr>
          </w:p>
          <w:p w:rsidR="00DD21F1" w:rsidRPr="00DD21F1" w:rsidRDefault="00DD21F1" w:rsidP="00DD21F1">
            <w:pPr>
              <w:jc w:val="both"/>
            </w:pPr>
          </w:p>
        </w:tc>
        <w:tc>
          <w:tcPr>
            <w:tcW w:w="4327" w:type="dxa"/>
          </w:tcPr>
          <w:p w:rsidR="00DD21F1" w:rsidRPr="00DD21F1" w:rsidRDefault="00DD21F1" w:rsidP="00DD21F1">
            <w:pPr>
              <w:jc w:val="both"/>
              <w:rPr>
                <w:b/>
                <w:lang w:val="fr-CA"/>
              </w:rPr>
            </w:pPr>
            <w:r w:rsidRPr="00DD21F1">
              <w:rPr>
                <w:b/>
                <w:bCs/>
                <w:lang w:val="fr-CA"/>
              </w:rPr>
              <w:t>Requête en ajournement de l’audition de l’appel</w:t>
            </w:r>
            <w:r w:rsidRPr="00DD21F1">
              <w:rPr>
                <w:b/>
                <w:lang w:val="fr-CA"/>
              </w:rPr>
              <w:t xml:space="preserve"> </w:t>
            </w:r>
            <w:r w:rsidR="00D5130B" w:rsidRPr="00DD21F1">
              <w:rPr>
                <w:b/>
                <w:lang w:val="en-US"/>
              </w:rPr>
              <w:fldChar w:fldCharType="begin"/>
            </w:r>
            <w:r w:rsidRPr="00DD21F1">
              <w:rPr>
                <w:b/>
                <w:lang w:val="fr-CA"/>
              </w:rPr>
              <w:instrText xml:space="preserve"> SEQ CHAPTER \h \r 1</w:instrText>
            </w:r>
            <w:r w:rsidR="00D5130B" w:rsidRPr="00DD21F1">
              <w:rPr>
                <w:b/>
                <w:lang w:val="en-US"/>
              </w:rPr>
              <w:fldChar w:fldCharType="end"/>
            </w:r>
          </w:p>
        </w:tc>
      </w:tr>
      <w:tr w:rsidR="00DD21F1" w:rsidRPr="00DD21F1" w:rsidTr="00DD21F1">
        <w:trPr>
          <w:trHeight w:val="150"/>
        </w:trPr>
        <w:tc>
          <w:tcPr>
            <w:tcW w:w="4338" w:type="dxa"/>
          </w:tcPr>
          <w:p w:rsidR="00DD21F1" w:rsidRPr="00DD21F1" w:rsidRDefault="00DD21F1" w:rsidP="00DD21F1">
            <w:pPr>
              <w:tabs>
                <w:tab w:val="left" w:pos="-1440"/>
                <w:tab w:val="left" w:pos="-720"/>
              </w:tabs>
              <w:jc w:val="both"/>
            </w:pPr>
            <w:r w:rsidRPr="00DD21F1">
              <w:t>Attorney General of Canada</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ab/>
              <w:t>v. (35548)</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Anthony Barnaby (Crim.) (Que.)</w:t>
            </w:r>
          </w:p>
        </w:tc>
        <w:tc>
          <w:tcPr>
            <w:tcW w:w="1170" w:type="dxa"/>
          </w:tcPr>
          <w:p w:rsidR="00DD21F1" w:rsidRPr="00DD21F1" w:rsidRDefault="00DD21F1" w:rsidP="00DD21F1">
            <w:pPr>
              <w:jc w:val="both"/>
            </w:pPr>
          </w:p>
        </w:tc>
        <w:tc>
          <w:tcPr>
            <w:tcW w:w="4327" w:type="dxa"/>
          </w:tcPr>
          <w:p w:rsidR="00DD21F1" w:rsidRPr="00DD21F1" w:rsidRDefault="00DD21F1" w:rsidP="00DD21F1">
            <w:pPr>
              <w:jc w:val="both"/>
            </w:pPr>
          </w:p>
        </w:tc>
      </w:tr>
    </w:tbl>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tabs>
          <w:tab w:val="left" w:pos="-1440"/>
          <w:tab w:val="left" w:pos="-720"/>
        </w:tabs>
        <w:jc w:val="both"/>
        <w:rPr>
          <w:rFonts w:eastAsia="Times New Roman" w:cs="Times New Roman"/>
          <w:b/>
          <w:sz w:val="20"/>
          <w:szCs w:val="20"/>
          <w:lang w:val="fr-CA" w:eastAsia="en-CA"/>
        </w:rPr>
      </w:pPr>
      <w:r w:rsidRPr="00DD21F1">
        <w:rPr>
          <w:rFonts w:eastAsia="Times New Roman" w:cs="Times New Roman"/>
          <w:b/>
          <w:sz w:val="20"/>
          <w:szCs w:val="20"/>
          <w:lang w:val="fr-CA" w:eastAsia="en-CA"/>
        </w:rPr>
        <w:t>GRANTED / ACCORDÉE</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bCs/>
          <w:sz w:val="20"/>
          <w:szCs w:val="20"/>
          <w:lang w:val="en-US" w:eastAsia="en-CA"/>
        </w:rPr>
      </w:pPr>
      <w:r w:rsidRPr="00DD21F1">
        <w:rPr>
          <w:rFonts w:eastAsia="Times New Roman" w:cs="Times New Roman"/>
          <w:b/>
          <w:bCs/>
          <w:sz w:val="20"/>
          <w:szCs w:val="20"/>
          <w:lang w:val="en-US" w:eastAsia="en-CA"/>
        </w:rPr>
        <w:t xml:space="preserve">UPON APPLICATION </w:t>
      </w:r>
      <w:r w:rsidRPr="00DD21F1">
        <w:rPr>
          <w:rFonts w:eastAsia="Times New Roman" w:cs="Times New Roman"/>
          <w:bCs/>
          <w:sz w:val="20"/>
          <w:szCs w:val="20"/>
          <w:lang w:val="en-US" w:eastAsia="en-CA"/>
        </w:rPr>
        <w:t>on behalf of the appellant, David Caplin, for an adjournment of the hearing scheduled for January 13, 2015;</w:t>
      </w:r>
    </w:p>
    <w:p w:rsidR="00DD21F1" w:rsidRPr="00DD21F1" w:rsidRDefault="00DD21F1" w:rsidP="00DD21F1">
      <w:pPr>
        <w:spacing w:line="233" w:lineRule="auto"/>
        <w:jc w:val="both"/>
        <w:rPr>
          <w:rFonts w:eastAsia="Times New Roman" w:cs="Times New Roman"/>
          <w:b/>
          <w:bCs/>
          <w:sz w:val="20"/>
          <w:szCs w:val="20"/>
          <w:lang w:val="en-US" w:eastAsia="en-CA"/>
        </w:rPr>
      </w:pPr>
    </w:p>
    <w:p w:rsidR="00DD21F1" w:rsidRPr="00DD21F1" w:rsidRDefault="00DD21F1" w:rsidP="00DD21F1">
      <w:pPr>
        <w:spacing w:line="233" w:lineRule="auto"/>
        <w:jc w:val="both"/>
        <w:rPr>
          <w:rFonts w:eastAsia="Times New Roman" w:cs="Times New Roman"/>
          <w:bCs/>
          <w:sz w:val="20"/>
          <w:szCs w:val="20"/>
          <w:lang w:val="en-US" w:eastAsia="en-CA"/>
        </w:rPr>
      </w:pPr>
      <w:r w:rsidRPr="00DD21F1">
        <w:rPr>
          <w:rFonts w:eastAsia="Times New Roman" w:cs="Times New Roman"/>
          <w:b/>
          <w:bCs/>
          <w:sz w:val="20"/>
          <w:szCs w:val="20"/>
          <w:lang w:val="en-US" w:eastAsia="en-CA"/>
        </w:rPr>
        <w:t xml:space="preserve">AND THE MATERIAL FILED </w:t>
      </w:r>
      <w:r w:rsidRPr="00DD21F1">
        <w:rPr>
          <w:rFonts w:eastAsia="Times New Roman" w:cs="Times New Roman"/>
          <w:bCs/>
          <w:sz w:val="20"/>
          <w:szCs w:val="20"/>
          <w:lang w:val="en-US" w:eastAsia="en-CA"/>
        </w:rPr>
        <w:t>having been read;</w:t>
      </w:r>
    </w:p>
    <w:p w:rsidR="00DD21F1" w:rsidRPr="00DD21F1" w:rsidRDefault="00DD21F1" w:rsidP="00DD21F1">
      <w:pPr>
        <w:spacing w:line="233" w:lineRule="auto"/>
        <w:jc w:val="both"/>
        <w:rPr>
          <w:rFonts w:eastAsia="Times New Roman" w:cs="Times New Roman"/>
          <w:bCs/>
          <w:sz w:val="20"/>
          <w:szCs w:val="20"/>
          <w:lang w:val="en-US" w:eastAsia="en-CA"/>
        </w:rPr>
      </w:pPr>
    </w:p>
    <w:p w:rsidR="00DD21F1" w:rsidRPr="00DD21F1" w:rsidRDefault="00DD21F1" w:rsidP="00DD21F1">
      <w:pPr>
        <w:jc w:val="both"/>
        <w:rPr>
          <w:rFonts w:eastAsia="Times New Roman" w:cs="Times New Roman"/>
          <w:b/>
          <w:sz w:val="20"/>
          <w:szCs w:val="20"/>
          <w:lang w:eastAsia="en-CA"/>
        </w:rPr>
      </w:pPr>
      <w:r w:rsidRPr="00DD21F1">
        <w:rPr>
          <w:rFonts w:eastAsia="Times New Roman" w:cs="Times New Roman"/>
          <w:b/>
          <w:bCs/>
          <w:sz w:val="20"/>
          <w:szCs w:val="20"/>
          <w:lang w:val="en-US" w:eastAsia="en-CA"/>
        </w:rPr>
        <w:t xml:space="preserve">AND NOTING THAT </w:t>
      </w:r>
      <w:r w:rsidRPr="00DD21F1">
        <w:rPr>
          <w:rFonts w:eastAsia="Times New Roman" w:cs="Times New Roman"/>
          <w:bCs/>
          <w:sz w:val="20"/>
          <w:szCs w:val="20"/>
          <w:lang w:val="en-US" w:eastAsia="en-CA"/>
        </w:rPr>
        <w:t xml:space="preserve">the within appeal is to be heard at the same time as the appeal  </w:t>
      </w:r>
    </w:p>
    <w:p w:rsidR="00DD21F1" w:rsidRPr="00DD21F1" w:rsidRDefault="00DD21F1" w:rsidP="00DD21F1">
      <w:pPr>
        <w:jc w:val="both"/>
        <w:rPr>
          <w:rFonts w:eastAsia="Times New Roman" w:cs="Times New Roman"/>
          <w:i/>
          <w:sz w:val="20"/>
          <w:szCs w:val="20"/>
          <w:lang w:val="en-US" w:eastAsia="en-CA"/>
        </w:rPr>
      </w:pPr>
      <w:r w:rsidRPr="00DD21F1">
        <w:rPr>
          <w:rFonts w:eastAsia="Times New Roman" w:cs="Times New Roman"/>
          <w:i/>
          <w:sz w:val="20"/>
          <w:szCs w:val="20"/>
          <w:lang w:val="en-US" w:eastAsia="en-CA"/>
        </w:rPr>
        <w:t xml:space="preserve">Attorney General of Canada v. Anthony Barnaby, </w:t>
      </w:r>
      <w:r w:rsidRPr="00DD21F1">
        <w:rPr>
          <w:rFonts w:eastAsia="Times New Roman" w:cs="Times New Roman"/>
          <w:sz w:val="20"/>
          <w:szCs w:val="20"/>
          <w:lang w:val="en-US" w:eastAsia="en-CA"/>
        </w:rPr>
        <w:t>file no. 35548;</w:t>
      </w:r>
    </w:p>
    <w:p w:rsidR="00A766ED" w:rsidRDefault="00A766ED" w:rsidP="00DD21F1">
      <w:pPr>
        <w:rPr>
          <w:rFonts w:eastAsia="Times New Roman" w:cs="Times New Roman"/>
          <w:b/>
          <w:bCs/>
          <w:sz w:val="20"/>
          <w:szCs w:val="20"/>
          <w:lang w:val="en-US" w:eastAsia="en-CA"/>
        </w:rPr>
      </w:pPr>
    </w:p>
    <w:p w:rsidR="00DD21F1" w:rsidRPr="00DD21F1" w:rsidRDefault="00DD21F1" w:rsidP="00DD21F1">
      <w:pPr>
        <w:rPr>
          <w:rFonts w:eastAsia="Times New Roman" w:cs="Times New Roman"/>
          <w:b/>
          <w:bCs/>
          <w:sz w:val="20"/>
          <w:szCs w:val="20"/>
          <w:lang w:val="en-US" w:eastAsia="en-CA"/>
        </w:rPr>
      </w:pPr>
      <w:r w:rsidRPr="00DD21F1">
        <w:rPr>
          <w:rFonts w:eastAsia="Times New Roman" w:cs="Times New Roman"/>
          <w:b/>
          <w:bCs/>
          <w:sz w:val="20"/>
          <w:szCs w:val="20"/>
          <w:lang w:val="en-US" w:eastAsia="en-CA"/>
        </w:rPr>
        <w:br w:type="page"/>
      </w:r>
    </w:p>
    <w:p w:rsidR="00DD21F1" w:rsidRPr="00DD21F1" w:rsidRDefault="00DD21F1" w:rsidP="00DD21F1">
      <w:pPr>
        <w:spacing w:line="233" w:lineRule="auto"/>
        <w:jc w:val="both"/>
        <w:rPr>
          <w:rFonts w:eastAsia="Times New Roman" w:cs="Times New Roman"/>
          <w:b/>
          <w:bCs/>
          <w:sz w:val="20"/>
          <w:szCs w:val="20"/>
          <w:lang w:val="en-US" w:eastAsia="en-CA"/>
        </w:rPr>
      </w:pPr>
      <w:r w:rsidRPr="00DD21F1">
        <w:rPr>
          <w:rFonts w:eastAsia="Times New Roman" w:cs="Times New Roman"/>
          <w:b/>
          <w:bCs/>
          <w:sz w:val="20"/>
          <w:szCs w:val="20"/>
          <w:lang w:val="en-US" w:eastAsia="en-CA"/>
        </w:rPr>
        <w:lastRenderedPageBreak/>
        <w:t>IT IS HEREBY ORDERED THAT:</w:t>
      </w:r>
    </w:p>
    <w:p w:rsidR="00DD21F1" w:rsidRPr="00DD21F1" w:rsidRDefault="00DD21F1" w:rsidP="00DD21F1">
      <w:pPr>
        <w:spacing w:line="233" w:lineRule="auto"/>
        <w:jc w:val="both"/>
        <w:rPr>
          <w:rFonts w:eastAsia="Times New Roman" w:cs="Times New Roman"/>
          <w:b/>
          <w:bCs/>
          <w:sz w:val="20"/>
          <w:szCs w:val="20"/>
          <w:lang w:val="en-US" w:eastAsia="en-CA"/>
        </w:rPr>
      </w:pPr>
    </w:p>
    <w:p w:rsidR="00DD21F1" w:rsidRPr="00DD21F1" w:rsidRDefault="00DD21F1" w:rsidP="00DD21F1">
      <w:pPr>
        <w:spacing w:line="233" w:lineRule="auto"/>
        <w:jc w:val="both"/>
        <w:rPr>
          <w:rFonts w:eastAsia="Times New Roman" w:cs="Times New Roman"/>
          <w:bCs/>
          <w:sz w:val="20"/>
          <w:szCs w:val="20"/>
          <w:lang w:val="en-US" w:eastAsia="en-CA"/>
        </w:rPr>
      </w:pPr>
      <w:r w:rsidRPr="00DD21F1">
        <w:rPr>
          <w:rFonts w:eastAsia="Times New Roman" w:cs="Times New Roman"/>
          <w:bCs/>
          <w:sz w:val="20"/>
          <w:szCs w:val="20"/>
          <w:lang w:val="en-US" w:eastAsia="en-CA"/>
        </w:rPr>
        <w:t>The motion is granted and the appeals in this file and in file no. 35548 are adjourned. The Registrar shall fix a new hearing date for these two appeals. A copy of this order shall be placed in file no. 35548 and shall be provided to the parties in that appeal.</w:t>
      </w:r>
    </w:p>
    <w:p w:rsidR="00DD21F1" w:rsidRPr="00DD21F1" w:rsidRDefault="00DD21F1" w:rsidP="00DD21F1">
      <w:pPr>
        <w:tabs>
          <w:tab w:val="left" w:pos="-1440"/>
          <w:tab w:val="left" w:pos="-720"/>
        </w:tabs>
        <w:jc w:val="both"/>
        <w:rPr>
          <w:rFonts w:eastAsia="Times New Roman" w:cs="Times New Roman"/>
          <w:sz w:val="20"/>
          <w:szCs w:val="20"/>
          <w:lang w:val="en-US" w:eastAsia="en-CA"/>
        </w:rPr>
      </w:pPr>
    </w:p>
    <w:p w:rsidR="00DD21F1" w:rsidRPr="00DD21F1" w:rsidRDefault="00DD21F1" w:rsidP="00DD21F1">
      <w:pPr>
        <w:tabs>
          <w:tab w:val="left" w:pos="-1440"/>
          <w:tab w:val="left" w:pos="-720"/>
        </w:tabs>
        <w:jc w:val="both"/>
        <w:rPr>
          <w:rFonts w:eastAsia="Times New Roman" w:cs="Times New Roman"/>
          <w:sz w:val="20"/>
          <w:szCs w:val="20"/>
          <w:lang w:val="en-US" w:eastAsia="en-CA"/>
        </w:rPr>
      </w:pP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 xml:space="preserve">À LA SUITE DE LA DEMANDE </w:t>
      </w:r>
      <w:r w:rsidRPr="00DD21F1">
        <w:rPr>
          <w:rFonts w:eastAsia="Times New Roman" w:cs="Times New Roman"/>
          <w:sz w:val="20"/>
          <w:szCs w:val="20"/>
          <w:lang w:val="fr-CA" w:eastAsia="en-CA"/>
        </w:rPr>
        <w:t>présentée par l’appelant, David Caplin, pour un ajournement de l’audition prévue au 13 janvier 2015;</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 xml:space="preserve">ET APRÈS EXAMEN </w:t>
      </w:r>
      <w:r w:rsidRPr="00DD21F1">
        <w:rPr>
          <w:rFonts w:eastAsia="Times New Roman" w:cs="Times New Roman"/>
          <w:sz w:val="20"/>
          <w:szCs w:val="20"/>
          <w:lang w:val="fr-CA" w:eastAsia="en-CA"/>
        </w:rPr>
        <w:t xml:space="preserve">des documents déposés; </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sz w:val="20"/>
          <w:szCs w:val="20"/>
          <w:lang w:val="fr-CA" w:eastAsia="en-CA"/>
        </w:rPr>
        <w:t>ET NOTANT QUE</w:t>
      </w:r>
      <w:r w:rsidRPr="00DD21F1">
        <w:rPr>
          <w:rFonts w:eastAsia="Times New Roman" w:cs="Times New Roman"/>
          <w:sz w:val="20"/>
          <w:szCs w:val="20"/>
          <w:lang w:val="fr-CA" w:eastAsia="en-CA"/>
        </w:rPr>
        <w:t xml:space="preserve"> cet appel sera entendu en même temps que l’appel </w:t>
      </w:r>
      <w:r w:rsidRPr="00DD21F1">
        <w:rPr>
          <w:rFonts w:eastAsia="Times New Roman" w:cs="Times New Roman"/>
          <w:i/>
          <w:sz w:val="20"/>
          <w:szCs w:val="20"/>
          <w:lang w:val="fr-CA" w:eastAsia="en-CA"/>
        </w:rPr>
        <w:t>Procureur général du Canada c. Anthony Barnaby</w:t>
      </w:r>
      <w:r w:rsidRPr="00DD21F1">
        <w:rPr>
          <w:rFonts w:eastAsia="Times New Roman" w:cs="Times New Roman"/>
          <w:sz w:val="20"/>
          <w:szCs w:val="20"/>
          <w:lang w:val="fr-CA" w:eastAsia="en-CA"/>
        </w:rPr>
        <w:t>, dossier n° 35548;</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 xml:space="preserve">IL EST ORDONNÉ CE QUI SUIT : </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sz w:val="20"/>
          <w:szCs w:val="20"/>
          <w:lang w:val="fr-CA" w:eastAsia="en-CA"/>
        </w:rPr>
        <w:t>La requête est accueillie et les appels dans ce dossier et dans le dossier n° 35548 sont ajournés. Le registraire fixera une nouvelle date d’audition pour ces deux appels. Une copie de cette ordonnance sera placée dans le dossier n° 35548 et sera fournie aux parties de celui-ci.</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8A5B26" w:rsidP="00DD21F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09.01.2015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CROMWELL J. / LE JUGE CROMWELL</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D21F1" w:rsidRPr="00021805" w:rsidTr="00DD21F1">
        <w:trPr>
          <w:trHeight w:val="151"/>
        </w:trPr>
        <w:tc>
          <w:tcPr>
            <w:tcW w:w="4338" w:type="dxa"/>
          </w:tcPr>
          <w:p w:rsidR="00DD21F1" w:rsidRPr="00DD21F1" w:rsidRDefault="00DD21F1" w:rsidP="00DD21F1">
            <w:pPr>
              <w:jc w:val="both"/>
              <w:rPr>
                <w:lang w:val="en-US"/>
              </w:rPr>
            </w:pPr>
            <w:r w:rsidRPr="00DD21F1">
              <w:rPr>
                <w:b/>
                <w:bCs/>
                <w:lang w:val="en-GB"/>
              </w:rPr>
              <w:t>Motion to adjourn the hearing of the appeal</w:t>
            </w:r>
          </w:p>
          <w:p w:rsidR="00DD21F1" w:rsidRPr="00DD21F1" w:rsidRDefault="00DD21F1" w:rsidP="00DD21F1">
            <w:pPr>
              <w:tabs>
                <w:tab w:val="left" w:pos="-1440"/>
                <w:tab w:val="left" w:pos="-720"/>
              </w:tabs>
              <w:jc w:val="both"/>
              <w:rPr>
                <w:lang w:val="en-US"/>
              </w:rPr>
            </w:pPr>
          </w:p>
        </w:tc>
        <w:tc>
          <w:tcPr>
            <w:tcW w:w="1170" w:type="dxa"/>
          </w:tcPr>
          <w:p w:rsidR="00DD21F1" w:rsidRPr="00DD21F1" w:rsidRDefault="00DD21F1" w:rsidP="00DD21F1">
            <w:pPr>
              <w:jc w:val="both"/>
            </w:pPr>
          </w:p>
          <w:p w:rsidR="00DD21F1" w:rsidRPr="00DD21F1" w:rsidRDefault="00DD21F1" w:rsidP="00DD21F1">
            <w:pPr>
              <w:jc w:val="both"/>
            </w:pPr>
          </w:p>
          <w:p w:rsidR="00DD21F1" w:rsidRPr="00DD21F1" w:rsidRDefault="00DD21F1" w:rsidP="00DD21F1">
            <w:pPr>
              <w:jc w:val="both"/>
            </w:pPr>
          </w:p>
        </w:tc>
        <w:tc>
          <w:tcPr>
            <w:tcW w:w="4327" w:type="dxa"/>
          </w:tcPr>
          <w:p w:rsidR="00DD21F1" w:rsidRPr="00DD21F1" w:rsidRDefault="00DD21F1" w:rsidP="00DD21F1">
            <w:pPr>
              <w:jc w:val="both"/>
              <w:rPr>
                <w:b/>
                <w:lang w:val="fr-CA"/>
              </w:rPr>
            </w:pPr>
            <w:r w:rsidRPr="00DD21F1">
              <w:rPr>
                <w:b/>
                <w:bCs/>
                <w:lang w:val="fr-CA"/>
              </w:rPr>
              <w:t>Requête en ajournement de l’audition de l’appel</w:t>
            </w:r>
            <w:r w:rsidRPr="00DD21F1">
              <w:rPr>
                <w:b/>
                <w:lang w:val="fr-CA"/>
              </w:rPr>
              <w:t xml:space="preserve"> </w:t>
            </w:r>
            <w:r w:rsidR="00D5130B" w:rsidRPr="00DD21F1">
              <w:rPr>
                <w:b/>
                <w:lang w:val="en-US"/>
              </w:rPr>
              <w:fldChar w:fldCharType="begin"/>
            </w:r>
            <w:r w:rsidRPr="00DD21F1">
              <w:rPr>
                <w:b/>
                <w:lang w:val="fr-CA"/>
              </w:rPr>
              <w:instrText xml:space="preserve"> SEQ CHAPTER \h \r 1</w:instrText>
            </w:r>
            <w:r w:rsidR="00D5130B" w:rsidRPr="00DD21F1">
              <w:rPr>
                <w:b/>
                <w:lang w:val="en-US"/>
              </w:rPr>
              <w:fldChar w:fldCharType="end"/>
            </w:r>
          </w:p>
        </w:tc>
      </w:tr>
      <w:tr w:rsidR="00DD21F1" w:rsidRPr="00DD21F1" w:rsidTr="00DD21F1">
        <w:trPr>
          <w:trHeight w:val="150"/>
        </w:trPr>
        <w:tc>
          <w:tcPr>
            <w:tcW w:w="4338" w:type="dxa"/>
          </w:tcPr>
          <w:p w:rsidR="00DD21F1" w:rsidRPr="00DD21F1" w:rsidRDefault="00DD21F1" w:rsidP="00DD21F1">
            <w:pPr>
              <w:tabs>
                <w:tab w:val="left" w:pos="-1440"/>
                <w:tab w:val="left" w:pos="-720"/>
              </w:tabs>
              <w:jc w:val="both"/>
              <w:rPr>
                <w:lang w:val="fr-CA"/>
              </w:rPr>
            </w:pPr>
            <w:r w:rsidRPr="00DD21F1">
              <w:rPr>
                <w:lang w:val="fr-CA"/>
              </w:rPr>
              <w:t xml:space="preserve">David Caplin </w:t>
            </w:r>
          </w:p>
          <w:p w:rsidR="00DD21F1" w:rsidRPr="00DD21F1" w:rsidRDefault="00DD21F1" w:rsidP="00DD21F1">
            <w:pPr>
              <w:tabs>
                <w:tab w:val="left" w:pos="-1440"/>
                <w:tab w:val="left" w:pos="-720"/>
              </w:tabs>
              <w:jc w:val="both"/>
              <w:rPr>
                <w:lang w:val="fr-CA"/>
              </w:rPr>
            </w:pPr>
          </w:p>
          <w:p w:rsidR="00DD21F1" w:rsidRPr="00DD21F1" w:rsidRDefault="00DD21F1" w:rsidP="00DD21F1">
            <w:pPr>
              <w:tabs>
                <w:tab w:val="left" w:pos="-1440"/>
                <w:tab w:val="left" w:pos="-720"/>
              </w:tabs>
              <w:jc w:val="both"/>
              <w:rPr>
                <w:lang w:val="fr-CA"/>
              </w:rPr>
            </w:pPr>
            <w:r w:rsidRPr="00DD21F1">
              <w:rPr>
                <w:lang w:val="fr-CA"/>
              </w:rPr>
              <w:tab/>
              <w:t>c. (35527)</w:t>
            </w:r>
          </w:p>
          <w:p w:rsidR="00DD21F1" w:rsidRPr="00DD21F1" w:rsidRDefault="00DD21F1" w:rsidP="00DD21F1">
            <w:pPr>
              <w:tabs>
                <w:tab w:val="left" w:pos="-1440"/>
                <w:tab w:val="left" w:pos="-720"/>
              </w:tabs>
              <w:jc w:val="both"/>
              <w:rPr>
                <w:lang w:val="fr-CA"/>
              </w:rPr>
            </w:pPr>
          </w:p>
          <w:p w:rsidR="00DD21F1" w:rsidRPr="00DD21F1" w:rsidRDefault="00DD21F1" w:rsidP="00DD21F1">
            <w:pPr>
              <w:tabs>
                <w:tab w:val="left" w:pos="-1440"/>
                <w:tab w:val="left" w:pos="-720"/>
              </w:tabs>
              <w:jc w:val="both"/>
              <w:rPr>
                <w:lang w:val="fr-CA"/>
              </w:rPr>
            </w:pPr>
            <w:r w:rsidRPr="00DD21F1">
              <w:rPr>
                <w:lang w:val="fr-CA"/>
              </w:rPr>
              <w:t>Ministre de la justice du Canada (Crim.) (Qc)</w:t>
            </w:r>
          </w:p>
        </w:tc>
        <w:tc>
          <w:tcPr>
            <w:tcW w:w="1170" w:type="dxa"/>
          </w:tcPr>
          <w:p w:rsidR="00DD21F1" w:rsidRPr="00DD21F1" w:rsidRDefault="00DD21F1" w:rsidP="00DD21F1">
            <w:pPr>
              <w:jc w:val="both"/>
              <w:rPr>
                <w:lang w:val="fr-CA"/>
              </w:rPr>
            </w:pPr>
          </w:p>
        </w:tc>
        <w:tc>
          <w:tcPr>
            <w:tcW w:w="4327" w:type="dxa"/>
          </w:tcPr>
          <w:p w:rsidR="00DD21F1" w:rsidRPr="00DD21F1" w:rsidRDefault="00DD21F1" w:rsidP="00DD21F1">
            <w:pPr>
              <w:jc w:val="both"/>
              <w:rPr>
                <w:lang w:val="fr-CA"/>
              </w:rPr>
            </w:pPr>
          </w:p>
        </w:tc>
      </w:tr>
    </w:tbl>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b/>
          <w:sz w:val="20"/>
          <w:szCs w:val="20"/>
          <w:lang w:val="fr-CA" w:eastAsia="en-CA"/>
        </w:rPr>
      </w:pPr>
      <w:r w:rsidRPr="00DD21F1">
        <w:rPr>
          <w:rFonts w:eastAsia="Times New Roman" w:cs="Times New Roman"/>
          <w:b/>
          <w:sz w:val="20"/>
          <w:szCs w:val="20"/>
          <w:lang w:val="fr-CA" w:eastAsia="en-CA"/>
        </w:rPr>
        <w:t>GRANTED / ACCORDÉE</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 xml:space="preserve">À LA SUITE DE LA DEMANDE </w:t>
      </w:r>
      <w:r w:rsidRPr="00DD21F1">
        <w:rPr>
          <w:rFonts w:eastAsia="Times New Roman" w:cs="Times New Roman"/>
          <w:sz w:val="20"/>
          <w:szCs w:val="20"/>
          <w:lang w:val="fr-CA" w:eastAsia="en-CA"/>
        </w:rPr>
        <w:t>présentée par l’appelant, David Caplin, pour un ajournement de l’audition prévue au 13 janvier 2015;</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 xml:space="preserve">ET APRÈS EXAMEN </w:t>
      </w:r>
      <w:r w:rsidRPr="00DD21F1">
        <w:rPr>
          <w:rFonts w:eastAsia="Times New Roman" w:cs="Times New Roman"/>
          <w:sz w:val="20"/>
          <w:szCs w:val="20"/>
          <w:lang w:val="fr-CA" w:eastAsia="en-CA"/>
        </w:rPr>
        <w:t xml:space="preserve">des documents déposés; </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sz w:val="20"/>
          <w:szCs w:val="20"/>
          <w:lang w:val="fr-CA" w:eastAsia="en-CA"/>
        </w:rPr>
        <w:t>ET NOTANT QUE</w:t>
      </w:r>
      <w:r w:rsidRPr="00DD21F1">
        <w:rPr>
          <w:rFonts w:eastAsia="Times New Roman" w:cs="Times New Roman"/>
          <w:sz w:val="20"/>
          <w:szCs w:val="20"/>
          <w:lang w:val="fr-CA" w:eastAsia="en-CA"/>
        </w:rPr>
        <w:t xml:space="preserve"> cet appel sera entendu en même temps que l’appel </w:t>
      </w:r>
      <w:r w:rsidRPr="00DD21F1">
        <w:rPr>
          <w:rFonts w:eastAsia="Times New Roman" w:cs="Times New Roman"/>
          <w:i/>
          <w:sz w:val="20"/>
          <w:szCs w:val="20"/>
          <w:lang w:val="fr-CA" w:eastAsia="en-CA"/>
        </w:rPr>
        <w:t>Procureur général du Canada c. Anthony Barnaby</w:t>
      </w:r>
      <w:r w:rsidRPr="00DD21F1">
        <w:rPr>
          <w:rFonts w:eastAsia="Times New Roman" w:cs="Times New Roman"/>
          <w:sz w:val="20"/>
          <w:szCs w:val="20"/>
          <w:lang w:val="fr-CA" w:eastAsia="en-CA"/>
        </w:rPr>
        <w:t>, dossier n° 35548;</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 xml:space="preserve">IL EST ORDONNÉ CE QUI SUIT : </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sz w:val="20"/>
          <w:szCs w:val="20"/>
          <w:lang w:val="fr-CA" w:eastAsia="en-CA"/>
        </w:rPr>
        <w:t>La requête est accueillie et les appels dans ce dossier et dans le dossier n° 35548 sont ajournés. Le registraire fixera une nouvelle date d’audition pour ces deux appels. Une copie de cette ordonnance sera placée dans le dossier n° 35548 et sera fournie aux parties de celui-ci.</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bCs/>
          <w:sz w:val="20"/>
          <w:szCs w:val="20"/>
          <w:lang w:val="en-US" w:eastAsia="en-CA"/>
        </w:rPr>
      </w:pPr>
      <w:r w:rsidRPr="00DD21F1">
        <w:rPr>
          <w:rFonts w:eastAsia="Times New Roman" w:cs="Times New Roman"/>
          <w:b/>
          <w:bCs/>
          <w:sz w:val="20"/>
          <w:szCs w:val="20"/>
          <w:lang w:val="en-US" w:eastAsia="en-CA"/>
        </w:rPr>
        <w:lastRenderedPageBreak/>
        <w:t xml:space="preserve">UPON APPLICATION </w:t>
      </w:r>
      <w:r w:rsidRPr="00DD21F1">
        <w:rPr>
          <w:rFonts w:eastAsia="Times New Roman" w:cs="Times New Roman"/>
          <w:bCs/>
          <w:sz w:val="20"/>
          <w:szCs w:val="20"/>
          <w:lang w:val="en-US" w:eastAsia="en-CA"/>
        </w:rPr>
        <w:t>on behalf of the appellant, David Caplin, for an adjournment of the hearing scheduled for January 13, 2015;</w:t>
      </w:r>
    </w:p>
    <w:p w:rsidR="00DD21F1" w:rsidRPr="00DD21F1" w:rsidRDefault="00DD21F1" w:rsidP="00DD21F1">
      <w:pPr>
        <w:spacing w:line="233" w:lineRule="auto"/>
        <w:jc w:val="both"/>
        <w:rPr>
          <w:rFonts w:eastAsia="Times New Roman" w:cs="Times New Roman"/>
          <w:b/>
          <w:bCs/>
          <w:sz w:val="20"/>
          <w:szCs w:val="20"/>
          <w:lang w:val="en-US" w:eastAsia="en-CA"/>
        </w:rPr>
      </w:pPr>
    </w:p>
    <w:p w:rsidR="00DD21F1" w:rsidRPr="00DD21F1" w:rsidRDefault="00DD21F1" w:rsidP="00DD21F1">
      <w:pPr>
        <w:spacing w:line="233" w:lineRule="auto"/>
        <w:jc w:val="both"/>
        <w:rPr>
          <w:rFonts w:eastAsia="Times New Roman" w:cs="Times New Roman"/>
          <w:bCs/>
          <w:sz w:val="20"/>
          <w:szCs w:val="20"/>
          <w:lang w:val="en-US" w:eastAsia="en-CA"/>
        </w:rPr>
      </w:pPr>
      <w:r w:rsidRPr="00DD21F1">
        <w:rPr>
          <w:rFonts w:eastAsia="Times New Roman" w:cs="Times New Roman"/>
          <w:b/>
          <w:bCs/>
          <w:sz w:val="20"/>
          <w:szCs w:val="20"/>
          <w:lang w:val="en-US" w:eastAsia="en-CA"/>
        </w:rPr>
        <w:t xml:space="preserve">AND THE MATERIAL FILED </w:t>
      </w:r>
      <w:r w:rsidRPr="00DD21F1">
        <w:rPr>
          <w:rFonts w:eastAsia="Times New Roman" w:cs="Times New Roman"/>
          <w:bCs/>
          <w:sz w:val="20"/>
          <w:szCs w:val="20"/>
          <w:lang w:val="en-US" w:eastAsia="en-CA"/>
        </w:rPr>
        <w:t>having been read;</w:t>
      </w:r>
    </w:p>
    <w:p w:rsidR="00DD21F1" w:rsidRPr="00DD21F1" w:rsidRDefault="00DD21F1" w:rsidP="00DD21F1">
      <w:pPr>
        <w:spacing w:line="233" w:lineRule="auto"/>
        <w:jc w:val="both"/>
        <w:rPr>
          <w:rFonts w:eastAsia="Times New Roman" w:cs="Times New Roman"/>
          <w:bCs/>
          <w:sz w:val="20"/>
          <w:szCs w:val="20"/>
          <w:lang w:val="en-US" w:eastAsia="en-CA"/>
        </w:rPr>
      </w:pPr>
    </w:p>
    <w:p w:rsidR="00DD21F1" w:rsidRPr="00DD21F1" w:rsidRDefault="00DD21F1" w:rsidP="00DD21F1">
      <w:pPr>
        <w:jc w:val="both"/>
        <w:rPr>
          <w:rFonts w:eastAsia="Times New Roman" w:cs="Times New Roman"/>
          <w:b/>
          <w:sz w:val="20"/>
          <w:szCs w:val="20"/>
          <w:lang w:eastAsia="en-CA"/>
        </w:rPr>
      </w:pPr>
      <w:r w:rsidRPr="00DD21F1">
        <w:rPr>
          <w:rFonts w:eastAsia="Times New Roman" w:cs="Times New Roman"/>
          <w:b/>
          <w:bCs/>
          <w:sz w:val="20"/>
          <w:szCs w:val="20"/>
          <w:lang w:val="en-US" w:eastAsia="en-CA"/>
        </w:rPr>
        <w:t xml:space="preserve">AND NOTING THAT </w:t>
      </w:r>
      <w:r w:rsidRPr="00DD21F1">
        <w:rPr>
          <w:rFonts w:eastAsia="Times New Roman" w:cs="Times New Roman"/>
          <w:bCs/>
          <w:sz w:val="20"/>
          <w:szCs w:val="20"/>
          <w:lang w:val="en-US" w:eastAsia="en-CA"/>
        </w:rPr>
        <w:t xml:space="preserve">the within appeal is to be heard at the same time as the appeal  </w:t>
      </w:r>
    </w:p>
    <w:p w:rsidR="00DD21F1" w:rsidRPr="00DD21F1" w:rsidRDefault="00DD21F1" w:rsidP="00DD21F1">
      <w:pPr>
        <w:jc w:val="both"/>
        <w:rPr>
          <w:rFonts w:eastAsia="Times New Roman" w:cs="Times New Roman"/>
          <w:i/>
          <w:sz w:val="20"/>
          <w:szCs w:val="20"/>
          <w:lang w:val="en-US" w:eastAsia="en-CA"/>
        </w:rPr>
      </w:pPr>
      <w:r w:rsidRPr="00DD21F1">
        <w:rPr>
          <w:rFonts w:eastAsia="Times New Roman" w:cs="Times New Roman"/>
          <w:i/>
          <w:sz w:val="20"/>
          <w:szCs w:val="20"/>
          <w:lang w:val="en-US" w:eastAsia="en-CA"/>
        </w:rPr>
        <w:t xml:space="preserve">Attorney General of Canada v. Anthony Barnaby, </w:t>
      </w:r>
      <w:r w:rsidRPr="00DD21F1">
        <w:rPr>
          <w:rFonts w:eastAsia="Times New Roman" w:cs="Times New Roman"/>
          <w:sz w:val="20"/>
          <w:szCs w:val="20"/>
          <w:lang w:val="en-US" w:eastAsia="en-CA"/>
        </w:rPr>
        <w:t>file no. 35548;</w:t>
      </w:r>
    </w:p>
    <w:p w:rsidR="00DD21F1" w:rsidRPr="00DD21F1" w:rsidRDefault="00DD21F1" w:rsidP="00DD21F1">
      <w:pPr>
        <w:spacing w:line="233" w:lineRule="auto"/>
        <w:jc w:val="both"/>
        <w:rPr>
          <w:rFonts w:eastAsia="Times New Roman" w:cs="Times New Roman"/>
          <w:b/>
          <w:bCs/>
          <w:sz w:val="20"/>
          <w:szCs w:val="20"/>
          <w:lang w:val="en-US" w:eastAsia="en-CA"/>
        </w:rPr>
      </w:pPr>
    </w:p>
    <w:p w:rsidR="00DD21F1" w:rsidRPr="00DD21F1" w:rsidRDefault="00DD21F1" w:rsidP="00DD21F1">
      <w:pPr>
        <w:spacing w:line="233" w:lineRule="auto"/>
        <w:jc w:val="both"/>
        <w:rPr>
          <w:rFonts w:eastAsia="Times New Roman" w:cs="Times New Roman"/>
          <w:b/>
          <w:bCs/>
          <w:sz w:val="20"/>
          <w:szCs w:val="20"/>
          <w:lang w:val="en-US" w:eastAsia="en-CA"/>
        </w:rPr>
      </w:pPr>
      <w:r w:rsidRPr="00DD21F1">
        <w:rPr>
          <w:rFonts w:eastAsia="Times New Roman" w:cs="Times New Roman"/>
          <w:b/>
          <w:bCs/>
          <w:sz w:val="20"/>
          <w:szCs w:val="20"/>
          <w:lang w:val="en-US" w:eastAsia="en-CA"/>
        </w:rPr>
        <w:t>IT IS HEREBY ORDERED THAT:</w:t>
      </w:r>
    </w:p>
    <w:p w:rsidR="00DD21F1" w:rsidRPr="00DD21F1" w:rsidRDefault="00DD21F1" w:rsidP="00DD21F1">
      <w:pPr>
        <w:spacing w:line="233" w:lineRule="auto"/>
        <w:jc w:val="both"/>
        <w:rPr>
          <w:rFonts w:eastAsia="Times New Roman" w:cs="Times New Roman"/>
          <w:b/>
          <w:bCs/>
          <w:sz w:val="20"/>
          <w:szCs w:val="20"/>
          <w:lang w:val="en-US" w:eastAsia="en-CA"/>
        </w:rPr>
      </w:pPr>
    </w:p>
    <w:p w:rsidR="00DD21F1" w:rsidRPr="00DD21F1" w:rsidRDefault="00DD21F1" w:rsidP="00DD21F1">
      <w:pPr>
        <w:spacing w:line="233" w:lineRule="auto"/>
        <w:jc w:val="both"/>
        <w:rPr>
          <w:rFonts w:eastAsia="Times New Roman" w:cs="Times New Roman"/>
          <w:bCs/>
          <w:sz w:val="20"/>
          <w:szCs w:val="20"/>
          <w:lang w:val="en-US" w:eastAsia="en-CA"/>
        </w:rPr>
      </w:pPr>
      <w:r w:rsidRPr="00DD21F1">
        <w:rPr>
          <w:rFonts w:eastAsia="Times New Roman" w:cs="Times New Roman"/>
          <w:bCs/>
          <w:sz w:val="20"/>
          <w:szCs w:val="20"/>
          <w:lang w:val="en-US" w:eastAsia="en-CA"/>
        </w:rPr>
        <w:t>The motion is granted and the appeals in this file and in file no. 35548 are adjourned. The Registrar shall fix a new hearing date for these two appeals. A copy of this order shall be placed in file no. 35548 and shall be provided to the parties in that appeal.</w:t>
      </w:r>
    </w:p>
    <w:p w:rsidR="00DD21F1" w:rsidRPr="00DD21F1" w:rsidRDefault="00DD21F1" w:rsidP="00DD21F1">
      <w:pPr>
        <w:tabs>
          <w:tab w:val="left" w:pos="-1440"/>
          <w:tab w:val="left" w:pos="-720"/>
        </w:tabs>
        <w:jc w:val="both"/>
        <w:rPr>
          <w:rFonts w:eastAsia="Times New Roman" w:cs="Times New Roman"/>
          <w:sz w:val="20"/>
          <w:szCs w:val="20"/>
          <w:lang w:val="en-US" w:eastAsia="en-CA"/>
        </w:rPr>
      </w:pPr>
    </w:p>
    <w:p w:rsidR="00DD21F1" w:rsidRPr="00DD21F1" w:rsidRDefault="008A5B26" w:rsidP="00DD21F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12.01.2015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THE CHIEF JUSTICE / LA JUGE EN CHEF</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D21F1" w:rsidRPr="00DD21F1" w:rsidTr="00DD21F1">
        <w:trPr>
          <w:trHeight w:val="151"/>
        </w:trPr>
        <w:tc>
          <w:tcPr>
            <w:tcW w:w="4338" w:type="dxa"/>
          </w:tcPr>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r w:rsidR="00DD21F1" w:rsidRPr="00DD21F1">
              <w:rPr>
                <w:b/>
                <w:bCs/>
                <w:lang w:val="fr-CA"/>
              </w:rPr>
              <w:t>Order</w:t>
            </w:r>
          </w:p>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p>
        </w:tc>
        <w:tc>
          <w:tcPr>
            <w:tcW w:w="1170" w:type="dxa"/>
          </w:tcPr>
          <w:p w:rsidR="00DD21F1" w:rsidRPr="00DD21F1" w:rsidRDefault="00DD21F1" w:rsidP="00DD21F1">
            <w:pPr>
              <w:jc w:val="both"/>
              <w:rPr>
                <w:lang w:val="fr-CA"/>
              </w:rPr>
            </w:pPr>
          </w:p>
          <w:p w:rsidR="00DD21F1" w:rsidRPr="00DD21F1" w:rsidRDefault="00DD21F1" w:rsidP="00DD21F1">
            <w:pPr>
              <w:jc w:val="both"/>
              <w:rPr>
                <w:lang w:val="fr-CA"/>
              </w:rPr>
            </w:pPr>
          </w:p>
        </w:tc>
        <w:tc>
          <w:tcPr>
            <w:tcW w:w="4327" w:type="dxa"/>
          </w:tcPr>
          <w:p w:rsidR="00DD21F1" w:rsidRPr="00DD21F1" w:rsidRDefault="00D5130B" w:rsidP="00DD21F1">
            <w:pPr>
              <w:jc w:val="both"/>
              <w:rPr>
                <w:b/>
                <w:lang w:val="fr-CA"/>
              </w:rPr>
            </w:pPr>
            <w:r w:rsidRPr="00DD21F1">
              <w:rPr>
                <w:szCs w:val="24"/>
                <w:lang w:val="en-US"/>
              </w:rPr>
              <w:fldChar w:fldCharType="begin"/>
            </w:r>
            <w:r w:rsidR="00DD21F1" w:rsidRPr="00DD21F1">
              <w:rPr>
                <w:szCs w:val="24"/>
                <w:lang w:val="fr-CA"/>
              </w:rPr>
              <w:instrText xml:space="preserve"> SEQ CHAPTER \h \r 1</w:instrText>
            </w:r>
            <w:r w:rsidRPr="00DD21F1">
              <w:rPr>
                <w:szCs w:val="24"/>
                <w:lang w:val="en-US"/>
              </w:rPr>
              <w:fldChar w:fldCharType="end"/>
            </w:r>
            <w:r w:rsidR="00DD21F1" w:rsidRPr="00DD21F1">
              <w:rPr>
                <w:b/>
                <w:bCs/>
                <w:lang w:val="fr-CA"/>
              </w:rPr>
              <w:t>Ordonnance</w:t>
            </w:r>
          </w:p>
          <w:p w:rsidR="00DD21F1" w:rsidRPr="00DD21F1" w:rsidRDefault="00D5130B" w:rsidP="00DD21F1">
            <w:pPr>
              <w:jc w:val="both"/>
              <w:rPr>
                <w:b/>
                <w:lang w:val="fr-CA"/>
              </w:rPr>
            </w:pPr>
            <w:r w:rsidRPr="00DD21F1">
              <w:rPr>
                <w:b/>
                <w:lang w:val="en-US"/>
              </w:rPr>
              <w:fldChar w:fldCharType="begin"/>
            </w:r>
            <w:r w:rsidR="00DD21F1" w:rsidRPr="00DD21F1">
              <w:rPr>
                <w:b/>
                <w:lang w:val="fr-CA"/>
              </w:rPr>
              <w:instrText xml:space="preserve"> SEQ CHAPTER \h \r 1</w:instrText>
            </w:r>
            <w:r w:rsidRPr="00DD21F1">
              <w:rPr>
                <w:b/>
                <w:lang w:val="en-US"/>
              </w:rPr>
              <w:fldChar w:fldCharType="end"/>
            </w:r>
            <w:r w:rsidRPr="00DD21F1">
              <w:rPr>
                <w:b/>
                <w:lang w:val="en-US"/>
              </w:rPr>
              <w:fldChar w:fldCharType="begin"/>
            </w:r>
            <w:r w:rsidR="00DD21F1" w:rsidRPr="00DD21F1">
              <w:rPr>
                <w:b/>
                <w:lang w:val="fr-CA"/>
              </w:rPr>
              <w:instrText xml:space="preserve"> SEQ CHAPTER \h \r 1</w:instrText>
            </w:r>
            <w:r w:rsidRPr="00DD21F1">
              <w:rPr>
                <w:b/>
                <w:lang w:val="en-US"/>
              </w:rPr>
              <w:fldChar w:fldCharType="end"/>
            </w:r>
          </w:p>
        </w:tc>
      </w:tr>
      <w:tr w:rsidR="00DD21F1" w:rsidRPr="00DD21F1" w:rsidTr="00DD21F1">
        <w:trPr>
          <w:trHeight w:val="150"/>
        </w:trPr>
        <w:tc>
          <w:tcPr>
            <w:tcW w:w="4338" w:type="dxa"/>
          </w:tcPr>
          <w:p w:rsidR="00DD21F1" w:rsidRPr="00DD21F1" w:rsidRDefault="00DD21F1" w:rsidP="00DD21F1">
            <w:pPr>
              <w:tabs>
                <w:tab w:val="left" w:pos="-1440"/>
                <w:tab w:val="left" w:pos="-720"/>
              </w:tabs>
              <w:jc w:val="both"/>
              <w:rPr>
                <w:lang w:val="fr-CA"/>
              </w:rPr>
            </w:pPr>
            <w:r w:rsidRPr="00DD21F1">
              <w:rPr>
                <w:lang w:val="fr-CA"/>
              </w:rPr>
              <w:t>Richard James Goodwin et al.</w:t>
            </w:r>
          </w:p>
          <w:p w:rsidR="00DD21F1" w:rsidRPr="00DD21F1" w:rsidRDefault="00DD21F1" w:rsidP="00DD21F1">
            <w:pPr>
              <w:tabs>
                <w:tab w:val="left" w:pos="-1440"/>
                <w:tab w:val="left" w:pos="-720"/>
              </w:tabs>
              <w:jc w:val="both"/>
              <w:rPr>
                <w:lang w:val="fr-CA"/>
              </w:rPr>
            </w:pPr>
          </w:p>
          <w:p w:rsidR="00DD21F1" w:rsidRPr="00DD21F1" w:rsidRDefault="00DD21F1" w:rsidP="00DD21F1">
            <w:pPr>
              <w:tabs>
                <w:tab w:val="left" w:pos="-1440"/>
                <w:tab w:val="left" w:pos="-720"/>
              </w:tabs>
              <w:jc w:val="both"/>
            </w:pPr>
            <w:r w:rsidRPr="00DD21F1">
              <w:rPr>
                <w:lang w:val="fr-CA"/>
              </w:rPr>
              <w:tab/>
            </w:r>
            <w:r w:rsidRPr="00DD21F1">
              <w:t>v. (35864)</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British Columbia (Superintendent of Motor Vehicles) et al. (B.C.)</w:t>
            </w:r>
          </w:p>
        </w:tc>
        <w:tc>
          <w:tcPr>
            <w:tcW w:w="1170" w:type="dxa"/>
          </w:tcPr>
          <w:p w:rsidR="00DD21F1" w:rsidRPr="00DD21F1" w:rsidRDefault="00DD21F1" w:rsidP="00DD21F1">
            <w:pPr>
              <w:jc w:val="both"/>
            </w:pPr>
          </w:p>
        </w:tc>
        <w:tc>
          <w:tcPr>
            <w:tcW w:w="4327" w:type="dxa"/>
          </w:tcPr>
          <w:p w:rsidR="00DD21F1" w:rsidRPr="00DD21F1" w:rsidRDefault="00DD21F1" w:rsidP="00DD21F1">
            <w:pPr>
              <w:jc w:val="both"/>
            </w:pPr>
          </w:p>
        </w:tc>
      </w:tr>
    </w:tbl>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jc w:val="both"/>
        <w:rPr>
          <w:rFonts w:eastAsia="Times New Roman" w:cs="Times New Roman"/>
          <w:sz w:val="20"/>
          <w:szCs w:val="20"/>
          <w:lang w:val="en-US" w:eastAsia="en-CA"/>
        </w:rPr>
      </w:pPr>
      <w:r w:rsidRPr="00DD21F1">
        <w:rPr>
          <w:rFonts w:eastAsia="Times New Roman" w:cs="Times New Roman"/>
          <w:b/>
          <w:sz w:val="20"/>
          <w:szCs w:val="20"/>
          <w:lang w:val="en-US" w:eastAsia="en-CA"/>
        </w:rPr>
        <w:t>IT IS HEREBY ORDERED THAT:</w:t>
      </w:r>
    </w:p>
    <w:p w:rsidR="00DD21F1" w:rsidRPr="00DD21F1" w:rsidRDefault="00DD21F1" w:rsidP="00DD21F1">
      <w:pPr>
        <w:jc w:val="both"/>
        <w:rPr>
          <w:rFonts w:eastAsia="Times New Roman" w:cs="Times New Roman"/>
          <w:sz w:val="20"/>
          <w:szCs w:val="20"/>
          <w:lang w:val="en-US" w:eastAsia="en-CA"/>
        </w:rPr>
      </w:pPr>
    </w:p>
    <w:p w:rsidR="00DD21F1" w:rsidRPr="00DD21F1" w:rsidRDefault="00DD21F1" w:rsidP="00A766ED">
      <w:pPr>
        <w:widowControl w:val="0"/>
        <w:numPr>
          <w:ilvl w:val="0"/>
          <w:numId w:val="7"/>
        </w:numPr>
        <w:autoSpaceDE w:val="0"/>
        <w:autoSpaceDN w:val="0"/>
        <w:adjustRightInd w:val="0"/>
        <w:contextualSpacing/>
        <w:jc w:val="both"/>
        <w:rPr>
          <w:rFonts w:cs="Times New Roman"/>
          <w:sz w:val="20"/>
          <w:szCs w:val="20"/>
        </w:rPr>
      </w:pPr>
      <w:r w:rsidRPr="00DD21F1">
        <w:rPr>
          <w:rFonts w:cs="Times New Roman"/>
          <w:sz w:val="20"/>
          <w:szCs w:val="20"/>
        </w:rPr>
        <w:t>The appellants’ records, factums and books of authorities shall be served and filed on or before March 11, 2015.</w:t>
      </w:r>
    </w:p>
    <w:p w:rsidR="00DD21F1" w:rsidRPr="00DD21F1" w:rsidRDefault="00DD21F1" w:rsidP="00DD21F1">
      <w:pPr>
        <w:ind w:left="1440" w:hanging="1440"/>
        <w:jc w:val="both"/>
        <w:rPr>
          <w:rFonts w:eastAsia="Times New Roman" w:cs="Times New Roman"/>
          <w:sz w:val="20"/>
          <w:szCs w:val="20"/>
          <w:lang w:val="en-US" w:eastAsia="en-CA"/>
        </w:rPr>
      </w:pPr>
    </w:p>
    <w:p w:rsidR="00DD21F1" w:rsidRPr="00DD21F1" w:rsidRDefault="00DD21F1" w:rsidP="00A766ED">
      <w:pPr>
        <w:widowControl w:val="0"/>
        <w:numPr>
          <w:ilvl w:val="0"/>
          <w:numId w:val="7"/>
        </w:numPr>
        <w:autoSpaceDE w:val="0"/>
        <w:autoSpaceDN w:val="0"/>
        <w:adjustRightInd w:val="0"/>
        <w:contextualSpacing/>
        <w:jc w:val="both"/>
        <w:rPr>
          <w:rFonts w:cs="Times New Roman"/>
          <w:sz w:val="20"/>
          <w:szCs w:val="20"/>
        </w:rPr>
      </w:pPr>
      <w:r w:rsidRPr="00DD21F1">
        <w:rPr>
          <w:rFonts w:cs="Times New Roman"/>
          <w:sz w:val="20"/>
          <w:szCs w:val="20"/>
        </w:rPr>
        <w:t xml:space="preserve">Any person wishing to intervene in this appeal under Rule 55 of the </w:t>
      </w:r>
      <w:r w:rsidRPr="00DD21F1">
        <w:rPr>
          <w:rFonts w:cs="Times New Roman"/>
          <w:i/>
          <w:sz w:val="20"/>
          <w:szCs w:val="20"/>
        </w:rPr>
        <w:t>Rules of the Supreme Court of Canada</w:t>
      </w:r>
      <w:r w:rsidRPr="00DD21F1">
        <w:rPr>
          <w:rFonts w:cs="Times New Roman"/>
          <w:sz w:val="20"/>
          <w:szCs w:val="20"/>
        </w:rPr>
        <w:t xml:space="preserve"> shall serve and file a motion for leave to intervene on or before April 1, 2015. </w:t>
      </w:r>
    </w:p>
    <w:p w:rsidR="00DD21F1" w:rsidRPr="00DD21F1" w:rsidRDefault="00DD21F1" w:rsidP="00DD21F1">
      <w:pPr>
        <w:ind w:left="720"/>
        <w:contextualSpacing/>
        <w:jc w:val="both"/>
        <w:rPr>
          <w:rFonts w:cs="Times New Roman"/>
          <w:sz w:val="20"/>
          <w:szCs w:val="20"/>
        </w:rPr>
      </w:pPr>
    </w:p>
    <w:p w:rsidR="00DD21F1" w:rsidRPr="00DD21F1" w:rsidRDefault="00DD21F1" w:rsidP="00A766ED">
      <w:pPr>
        <w:widowControl w:val="0"/>
        <w:numPr>
          <w:ilvl w:val="0"/>
          <w:numId w:val="7"/>
        </w:numPr>
        <w:autoSpaceDE w:val="0"/>
        <w:autoSpaceDN w:val="0"/>
        <w:adjustRightInd w:val="0"/>
        <w:contextualSpacing/>
        <w:jc w:val="both"/>
        <w:rPr>
          <w:rFonts w:cs="Times New Roman"/>
          <w:sz w:val="20"/>
          <w:szCs w:val="20"/>
        </w:rPr>
      </w:pPr>
      <w:r w:rsidRPr="00DD21F1">
        <w:rPr>
          <w:rFonts w:cs="Times New Roman"/>
          <w:sz w:val="20"/>
          <w:szCs w:val="20"/>
        </w:rPr>
        <w:t xml:space="preserve">The appellants and respondents shall serve and file their responses, if any, to the motions for leave to intervene on or before April 8, 2015. </w:t>
      </w:r>
    </w:p>
    <w:p w:rsidR="00DD21F1" w:rsidRPr="00DD21F1" w:rsidRDefault="00DD21F1" w:rsidP="00DD21F1">
      <w:pPr>
        <w:ind w:left="720"/>
        <w:contextualSpacing/>
        <w:jc w:val="both"/>
        <w:rPr>
          <w:rFonts w:cs="Times New Roman"/>
          <w:sz w:val="20"/>
          <w:szCs w:val="20"/>
        </w:rPr>
      </w:pPr>
    </w:p>
    <w:p w:rsidR="00DD21F1" w:rsidRPr="00DD21F1" w:rsidRDefault="00DD21F1" w:rsidP="00A766ED">
      <w:pPr>
        <w:widowControl w:val="0"/>
        <w:numPr>
          <w:ilvl w:val="0"/>
          <w:numId w:val="7"/>
        </w:numPr>
        <w:autoSpaceDE w:val="0"/>
        <w:autoSpaceDN w:val="0"/>
        <w:adjustRightInd w:val="0"/>
        <w:contextualSpacing/>
        <w:jc w:val="both"/>
        <w:rPr>
          <w:rFonts w:cs="Times New Roman"/>
          <w:sz w:val="20"/>
          <w:szCs w:val="20"/>
        </w:rPr>
      </w:pPr>
      <w:r w:rsidRPr="00DD21F1">
        <w:rPr>
          <w:rFonts w:cs="Times New Roman"/>
          <w:sz w:val="20"/>
          <w:szCs w:val="20"/>
        </w:rPr>
        <w:t>Replies to any responses to the motions for leave to intervene shall be served and filed on or before April 10, 2015.</w:t>
      </w:r>
    </w:p>
    <w:p w:rsidR="00DD21F1" w:rsidRPr="00DD21F1" w:rsidRDefault="00DD21F1" w:rsidP="00DD21F1">
      <w:pPr>
        <w:ind w:left="1065"/>
        <w:contextualSpacing/>
        <w:jc w:val="both"/>
        <w:rPr>
          <w:rFonts w:cs="Times New Roman"/>
          <w:sz w:val="20"/>
          <w:szCs w:val="20"/>
        </w:rPr>
      </w:pPr>
    </w:p>
    <w:p w:rsidR="00DD21F1" w:rsidRPr="00DD21F1" w:rsidRDefault="00DD21F1" w:rsidP="00A766ED">
      <w:pPr>
        <w:widowControl w:val="0"/>
        <w:numPr>
          <w:ilvl w:val="0"/>
          <w:numId w:val="7"/>
        </w:numPr>
        <w:autoSpaceDE w:val="0"/>
        <w:autoSpaceDN w:val="0"/>
        <w:adjustRightInd w:val="0"/>
        <w:contextualSpacing/>
        <w:jc w:val="both"/>
        <w:rPr>
          <w:rFonts w:cs="Times New Roman"/>
          <w:sz w:val="20"/>
          <w:szCs w:val="20"/>
        </w:rPr>
      </w:pPr>
      <w:r w:rsidRPr="00DD21F1">
        <w:rPr>
          <w:rFonts w:cs="Times New Roman"/>
          <w:sz w:val="20"/>
          <w:szCs w:val="20"/>
        </w:rPr>
        <w:t>The respondents’ records, factums and books of authorities shall be served and filed on or before April 22, 2015.</w:t>
      </w:r>
    </w:p>
    <w:p w:rsidR="00DD21F1" w:rsidRPr="00DD21F1" w:rsidRDefault="00DD21F1" w:rsidP="00DD21F1">
      <w:pPr>
        <w:ind w:left="720"/>
        <w:contextualSpacing/>
        <w:jc w:val="both"/>
        <w:rPr>
          <w:rFonts w:cs="Times New Roman"/>
          <w:sz w:val="20"/>
          <w:szCs w:val="20"/>
        </w:rPr>
      </w:pPr>
    </w:p>
    <w:p w:rsidR="00DD21F1" w:rsidRPr="00DD21F1" w:rsidRDefault="00DD21F1" w:rsidP="00A766ED">
      <w:pPr>
        <w:widowControl w:val="0"/>
        <w:numPr>
          <w:ilvl w:val="0"/>
          <w:numId w:val="7"/>
        </w:numPr>
        <w:autoSpaceDE w:val="0"/>
        <w:autoSpaceDN w:val="0"/>
        <w:adjustRightInd w:val="0"/>
        <w:contextualSpacing/>
        <w:jc w:val="both"/>
        <w:rPr>
          <w:rFonts w:cs="Times New Roman"/>
          <w:bCs/>
          <w:sz w:val="20"/>
          <w:szCs w:val="20"/>
        </w:rPr>
      </w:pPr>
      <w:r w:rsidRPr="00DD21F1">
        <w:rPr>
          <w:rFonts w:cs="Times New Roman"/>
          <w:bCs/>
          <w:sz w:val="20"/>
          <w:szCs w:val="20"/>
        </w:rPr>
        <w:t xml:space="preserve">Any interveners granted leave to intervene under Rule 59 of the </w:t>
      </w:r>
      <w:r w:rsidRPr="00DD21F1">
        <w:rPr>
          <w:rFonts w:cs="Times New Roman"/>
          <w:bCs/>
          <w:i/>
          <w:sz w:val="20"/>
          <w:szCs w:val="20"/>
        </w:rPr>
        <w:t>Rules of the Supreme Court of Canada</w:t>
      </w:r>
      <w:r w:rsidRPr="00DD21F1">
        <w:rPr>
          <w:rFonts w:cs="Times New Roman"/>
          <w:bCs/>
          <w:sz w:val="20"/>
          <w:szCs w:val="20"/>
        </w:rPr>
        <w:t xml:space="preserve"> shall serve and file their factum and book of authorities on or before May 5, 2015.</w:t>
      </w:r>
    </w:p>
    <w:p w:rsidR="00DD21F1" w:rsidRPr="00DD21F1" w:rsidRDefault="00DD21F1" w:rsidP="00DD21F1">
      <w:pPr>
        <w:ind w:left="720"/>
        <w:contextualSpacing/>
        <w:jc w:val="both"/>
        <w:rPr>
          <w:rFonts w:cs="Times New Roman"/>
          <w:bCs/>
          <w:sz w:val="20"/>
          <w:szCs w:val="20"/>
        </w:rPr>
      </w:pPr>
    </w:p>
    <w:p w:rsidR="00DD21F1" w:rsidRPr="00DD21F1" w:rsidRDefault="00DD21F1" w:rsidP="00A766ED">
      <w:pPr>
        <w:numPr>
          <w:ilvl w:val="0"/>
          <w:numId w:val="7"/>
        </w:numPr>
        <w:autoSpaceDE w:val="0"/>
        <w:autoSpaceDN w:val="0"/>
        <w:adjustRightInd w:val="0"/>
        <w:contextualSpacing/>
        <w:jc w:val="both"/>
        <w:rPr>
          <w:rFonts w:cs="Times New Roman"/>
          <w:sz w:val="20"/>
          <w:szCs w:val="20"/>
        </w:rPr>
      </w:pPr>
      <w:r w:rsidRPr="00DD21F1">
        <w:rPr>
          <w:rFonts w:cs="Times New Roman"/>
          <w:bCs/>
          <w:sz w:val="20"/>
          <w:szCs w:val="20"/>
        </w:rPr>
        <w:t>In the event that constitutional questions are stated in this appeal, a</w:t>
      </w:r>
      <w:r w:rsidRPr="00DD21F1">
        <w:rPr>
          <w:rFonts w:cs="Times New Roman"/>
          <w:sz w:val="20"/>
          <w:szCs w:val="20"/>
        </w:rPr>
        <w:t xml:space="preserve">ny attorney general wishing to intervene pursuant to par. 61(4) of the </w:t>
      </w:r>
      <w:r w:rsidRPr="00DD21F1">
        <w:rPr>
          <w:rFonts w:cs="Times New Roman"/>
          <w:i/>
          <w:sz w:val="20"/>
          <w:szCs w:val="20"/>
        </w:rPr>
        <w:t>Rules of the Supreme Court of Canada</w:t>
      </w:r>
      <w:r w:rsidRPr="00DD21F1">
        <w:rPr>
          <w:rFonts w:cs="Times New Roman"/>
          <w:sz w:val="20"/>
          <w:szCs w:val="20"/>
        </w:rPr>
        <w:t xml:space="preserve"> shall serve and file their factum and book of authorities on or before May 5, 2015.</w:t>
      </w:r>
    </w:p>
    <w:p w:rsidR="00DD21F1" w:rsidRPr="00DD21F1" w:rsidRDefault="00DD21F1" w:rsidP="00DD21F1">
      <w:pPr>
        <w:contextualSpacing/>
        <w:rPr>
          <w:rFonts w:cs="Times New Roman"/>
          <w:sz w:val="20"/>
          <w:szCs w:val="20"/>
        </w:rPr>
      </w:pPr>
    </w:p>
    <w:p w:rsidR="00DD21F1" w:rsidRPr="00DD21F1" w:rsidRDefault="00DD21F1" w:rsidP="00DD21F1">
      <w:pPr>
        <w:contextualSpacing/>
        <w:rPr>
          <w:rFonts w:cs="Times New Roman"/>
          <w:sz w:val="20"/>
          <w:szCs w:val="20"/>
        </w:rPr>
      </w:pPr>
    </w:p>
    <w:p w:rsidR="00A766ED" w:rsidRDefault="00A766ED">
      <w:pPr>
        <w:rPr>
          <w:rFonts w:cs="Times New Roman"/>
          <w:sz w:val="20"/>
          <w:szCs w:val="20"/>
        </w:rPr>
      </w:pPr>
      <w:r>
        <w:rPr>
          <w:rFonts w:cs="Times New Roman"/>
          <w:sz w:val="20"/>
          <w:szCs w:val="20"/>
        </w:rPr>
        <w:br w:type="page"/>
      </w:r>
    </w:p>
    <w:p w:rsidR="00DD21F1" w:rsidRPr="00DD21F1" w:rsidRDefault="00DD21F1" w:rsidP="00DD21F1">
      <w:pPr>
        <w:jc w:val="both"/>
        <w:rPr>
          <w:rFonts w:eastAsia="Times New Roman" w:cs="Times New Roman"/>
          <w:b/>
          <w:bCs/>
          <w:sz w:val="20"/>
          <w:szCs w:val="20"/>
          <w:lang w:val="fr-CA" w:eastAsia="en-CA"/>
        </w:rPr>
      </w:pPr>
      <w:r w:rsidRPr="00DD21F1">
        <w:rPr>
          <w:rFonts w:eastAsia="Times New Roman" w:cs="Times New Roman"/>
          <w:b/>
          <w:bCs/>
          <w:sz w:val="20"/>
          <w:szCs w:val="20"/>
          <w:lang w:val="fr-CA" w:eastAsia="en-CA"/>
        </w:rPr>
        <w:lastRenderedPageBreak/>
        <w:t>IL EST ORDONNÉ CE QUI SUIT :</w:t>
      </w:r>
    </w:p>
    <w:p w:rsidR="00DD21F1" w:rsidRPr="00DD21F1" w:rsidRDefault="00DD21F1" w:rsidP="00DD21F1">
      <w:pPr>
        <w:jc w:val="both"/>
        <w:rPr>
          <w:rFonts w:eastAsia="Times New Roman" w:cs="Times New Roman"/>
          <w:b/>
          <w:bCs/>
          <w:sz w:val="20"/>
          <w:szCs w:val="20"/>
          <w:lang w:val="fr-CA" w:eastAsia="en-CA"/>
        </w:rPr>
      </w:pPr>
    </w:p>
    <w:p w:rsidR="00DD21F1" w:rsidRPr="00DD21F1" w:rsidRDefault="00DD21F1" w:rsidP="00A766ED">
      <w:pPr>
        <w:widowControl w:val="0"/>
        <w:numPr>
          <w:ilvl w:val="0"/>
          <w:numId w:val="12"/>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Les dossier, mémoire et recueil de sources des appelants devront être signifiés et déposés au plus tard le 11 mars 2015.</w:t>
      </w:r>
    </w:p>
    <w:p w:rsidR="00DD21F1" w:rsidRPr="00DD21F1" w:rsidRDefault="00DD21F1" w:rsidP="00DD21F1">
      <w:pPr>
        <w:ind w:left="1440" w:hanging="1440"/>
        <w:jc w:val="both"/>
        <w:rPr>
          <w:rFonts w:eastAsia="Times New Roman" w:cs="Times New Roman"/>
          <w:sz w:val="20"/>
          <w:szCs w:val="20"/>
          <w:lang w:val="fr-CA" w:eastAsia="en-CA"/>
        </w:rPr>
      </w:pPr>
    </w:p>
    <w:p w:rsidR="00DD21F1" w:rsidRPr="00DD21F1" w:rsidRDefault="00DD21F1" w:rsidP="00A766ED">
      <w:pPr>
        <w:widowControl w:val="0"/>
        <w:numPr>
          <w:ilvl w:val="0"/>
          <w:numId w:val="12"/>
        </w:numPr>
        <w:autoSpaceDE w:val="0"/>
        <w:autoSpaceDN w:val="0"/>
        <w:adjustRightInd w:val="0"/>
        <w:contextualSpacing/>
        <w:jc w:val="both"/>
        <w:rPr>
          <w:rFonts w:cs="Times New Roman"/>
          <w:sz w:val="20"/>
          <w:szCs w:val="20"/>
          <w:lang w:val="fr-CA"/>
        </w:rPr>
      </w:pPr>
      <w:r w:rsidRPr="00DD21F1">
        <w:rPr>
          <w:rFonts w:cs="Times New Roman"/>
          <w:sz w:val="20"/>
          <w:szCs w:val="20"/>
          <w:lang w:val="fr-CA"/>
        </w:rPr>
        <w:t xml:space="preserve">Quiconque souhaite intervenir dans le présent pourvoi en vertu de l’art. 55 des </w:t>
      </w:r>
      <w:r w:rsidRPr="00DD21F1">
        <w:rPr>
          <w:rFonts w:cs="Times New Roman"/>
          <w:i/>
          <w:sz w:val="20"/>
          <w:szCs w:val="20"/>
          <w:lang w:val="fr-CA"/>
        </w:rPr>
        <w:t>Règles de la Cour suprême du Canada</w:t>
      </w:r>
      <w:r w:rsidRPr="00DD21F1">
        <w:rPr>
          <w:rFonts w:cs="Times New Roman"/>
          <w:sz w:val="20"/>
          <w:szCs w:val="20"/>
          <w:lang w:val="fr-CA"/>
        </w:rPr>
        <w:t xml:space="preserve"> signifiera et déposera une requête en autorisation d’intervenir au plus tard le 1</w:t>
      </w:r>
      <w:r w:rsidRPr="00DD21F1">
        <w:rPr>
          <w:rFonts w:cs="Times New Roman"/>
          <w:sz w:val="20"/>
          <w:szCs w:val="20"/>
          <w:vertAlign w:val="superscript"/>
          <w:lang w:val="fr-CA"/>
        </w:rPr>
        <w:t>er</w:t>
      </w:r>
      <w:r w:rsidRPr="00DD21F1">
        <w:rPr>
          <w:rFonts w:cs="Times New Roman"/>
          <w:sz w:val="20"/>
          <w:szCs w:val="20"/>
          <w:lang w:val="fr-CA"/>
        </w:rPr>
        <w:t xml:space="preserve"> avril 2015. </w:t>
      </w:r>
    </w:p>
    <w:p w:rsidR="00DD21F1" w:rsidRPr="00DD21F1" w:rsidRDefault="00DD21F1" w:rsidP="00DD21F1">
      <w:pPr>
        <w:ind w:left="720"/>
        <w:contextualSpacing/>
        <w:jc w:val="both"/>
        <w:rPr>
          <w:rFonts w:cs="Times New Roman"/>
          <w:sz w:val="20"/>
          <w:szCs w:val="20"/>
          <w:lang w:val="fr-CA"/>
        </w:rPr>
      </w:pPr>
    </w:p>
    <w:p w:rsidR="00DD21F1" w:rsidRPr="00DD21F1" w:rsidRDefault="00DD21F1" w:rsidP="00A766ED">
      <w:pPr>
        <w:widowControl w:val="0"/>
        <w:numPr>
          <w:ilvl w:val="0"/>
          <w:numId w:val="12"/>
        </w:numPr>
        <w:autoSpaceDE w:val="0"/>
        <w:autoSpaceDN w:val="0"/>
        <w:adjustRightInd w:val="0"/>
        <w:contextualSpacing/>
        <w:jc w:val="both"/>
        <w:rPr>
          <w:rFonts w:cs="Times New Roman"/>
          <w:sz w:val="20"/>
          <w:szCs w:val="20"/>
          <w:lang w:val="fr-CA"/>
        </w:rPr>
      </w:pPr>
      <w:r w:rsidRPr="00DD21F1">
        <w:rPr>
          <w:rFonts w:cs="Times New Roman"/>
          <w:sz w:val="20"/>
          <w:szCs w:val="20"/>
          <w:lang w:val="fr-CA"/>
        </w:rPr>
        <w:t xml:space="preserve">Les appelants et les intimés devront, le cas échéant, déposer et signifier leur réponse aux requêtes en autorisation d’intervenir au plus tard le 8 avril 2015. </w:t>
      </w:r>
    </w:p>
    <w:p w:rsidR="00DD21F1" w:rsidRPr="00DD21F1" w:rsidRDefault="00DD21F1" w:rsidP="00DD21F1">
      <w:pPr>
        <w:ind w:left="720"/>
        <w:contextualSpacing/>
        <w:jc w:val="both"/>
        <w:rPr>
          <w:rFonts w:cs="Times New Roman"/>
          <w:sz w:val="20"/>
          <w:szCs w:val="20"/>
          <w:lang w:val="fr-CA"/>
        </w:rPr>
      </w:pPr>
    </w:p>
    <w:p w:rsidR="00DD21F1" w:rsidRPr="00DD21F1" w:rsidRDefault="00DD21F1" w:rsidP="00A766ED">
      <w:pPr>
        <w:widowControl w:val="0"/>
        <w:numPr>
          <w:ilvl w:val="0"/>
          <w:numId w:val="12"/>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Les répliques à toute réponse aux requêtes en autorisation d’intervenir devront être signifiées et déposées au plus tard le 10 avril 2015.</w:t>
      </w:r>
    </w:p>
    <w:p w:rsidR="00DD21F1" w:rsidRPr="00DD21F1" w:rsidRDefault="00DD21F1" w:rsidP="00DD21F1">
      <w:pPr>
        <w:ind w:left="1065"/>
        <w:contextualSpacing/>
        <w:jc w:val="both"/>
        <w:rPr>
          <w:rFonts w:cs="Times New Roman"/>
          <w:sz w:val="20"/>
          <w:szCs w:val="20"/>
          <w:lang w:val="fr-CA"/>
        </w:rPr>
      </w:pPr>
    </w:p>
    <w:p w:rsidR="00DD21F1" w:rsidRPr="00DD21F1" w:rsidRDefault="00DD21F1" w:rsidP="00A766ED">
      <w:pPr>
        <w:widowControl w:val="0"/>
        <w:numPr>
          <w:ilvl w:val="0"/>
          <w:numId w:val="12"/>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Les dossier, mémoire et recueil de sources de l’intimé devront être signifiés et déposés au plus tard le 22 avril 2015.</w:t>
      </w:r>
    </w:p>
    <w:p w:rsidR="00DD21F1" w:rsidRPr="00DD21F1" w:rsidRDefault="00DD21F1" w:rsidP="00DD21F1">
      <w:pPr>
        <w:ind w:left="720"/>
        <w:contextualSpacing/>
        <w:jc w:val="both"/>
        <w:rPr>
          <w:rFonts w:cs="Times New Roman"/>
          <w:sz w:val="20"/>
          <w:szCs w:val="20"/>
          <w:lang w:val="fr-CA"/>
        </w:rPr>
      </w:pPr>
    </w:p>
    <w:p w:rsidR="00DD21F1" w:rsidRPr="00DD21F1" w:rsidRDefault="00DD21F1" w:rsidP="00A766ED">
      <w:pPr>
        <w:widowControl w:val="0"/>
        <w:numPr>
          <w:ilvl w:val="0"/>
          <w:numId w:val="12"/>
        </w:numPr>
        <w:autoSpaceDE w:val="0"/>
        <w:autoSpaceDN w:val="0"/>
        <w:adjustRightInd w:val="0"/>
        <w:contextualSpacing/>
        <w:jc w:val="both"/>
        <w:rPr>
          <w:rFonts w:cs="Times New Roman"/>
          <w:sz w:val="20"/>
          <w:szCs w:val="20"/>
          <w:lang w:val="fr-CA"/>
        </w:rPr>
      </w:pPr>
      <w:r w:rsidRPr="00DD21F1">
        <w:rPr>
          <w:rFonts w:cs="Times New Roman"/>
          <w:bCs/>
          <w:sz w:val="20"/>
          <w:szCs w:val="20"/>
          <w:lang w:val="fr-CA"/>
        </w:rPr>
        <w:t xml:space="preserve">Tout intervenant autorisé à intervenir en application de l’art. 59 des </w:t>
      </w:r>
      <w:r w:rsidRPr="00DD21F1">
        <w:rPr>
          <w:rFonts w:cs="Times New Roman"/>
          <w:i/>
          <w:sz w:val="20"/>
          <w:szCs w:val="20"/>
          <w:lang w:val="fr-CA"/>
        </w:rPr>
        <w:t>Règles de la Cour suprême du Canada</w:t>
      </w:r>
      <w:r w:rsidRPr="00DD21F1">
        <w:rPr>
          <w:rFonts w:cs="Times New Roman"/>
          <w:sz w:val="20"/>
          <w:szCs w:val="20"/>
          <w:lang w:val="fr-CA"/>
        </w:rPr>
        <w:t xml:space="preserve"> signifiera et déposera son mémoire et son recueil de sources au plus tard le 5 mai 2015.</w:t>
      </w: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A766ED">
      <w:pPr>
        <w:widowControl w:val="0"/>
        <w:numPr>
          <w:ilvl w:val="0"/>
          <w:numId w:val="12"/>
        </w:numPr>
        <w:autoSpaceDE w:val="0"/>
        <w:autoSpaceDN w:val="0"/>
        <w:adjustRightInd w:val="0"/>
        <w:contextualSpacing/>
        <w:jc w:val="both"/>
        <w:rPr>
          <w:rFonts w:cs="Times New Roman"/>
          <w:sz w:val="20"/>
          <w:szCs w:val="20"/>
          <w:lang w:val="fr-CA"/>
        </w:rPr>
      </w:pPr>
      <w:r w:rsidRPr="00DD21F1">
        <w:rPr>
          <w:rFonts w:cs="Times New Roman"/>
          <w:sz w:val="20"/>
          <w:szCs w:val="20"/>
          <w:lang w:val="fr-CA"/>
        </w:rPr>
        <w:t xml:space="preserve">Advenant le cas où des questions constitutionnelles étaient formulées dans le présent pourvoi, tout procureur général qui souhaite intervenir en application du par. 61(4) des </w:t>
      </w:r>
      <w:r w:rsidRPr="00DD21F1">
        <w:rPr>
          <w:rFonts w:cs="Times New Roman"/>
          <w:i/>
          <w:sz w:val="20"/>
          <w:szCs w:val="20"/>
          <w:lang w:val="fr-CA"/>
        </w:rPr>
        <w:t>Règles de la Cour suprême du Canada</w:t>
      </w:r>
      <w:r w:rsidRPr="00DD21F1">
        <w:rPr>
          <w:rFonts w:cs="Times New Roman"/>
          <w:sz w:val="20"/>
          <w:szCs w:val="20"/>
          <w:lang w:val="fr-CA"/>
        </w:rPr>
        <w:t xml:space="preserve"> signifiera et déposera son mémoire et son recueil de sources au plus tard le 5 mai 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8A5B26" w:rsidP="00DD21F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12.01.2015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THE CHIEF JUSTICE / LA JUGE EN CHEF</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D21F1" w:rsidRPr="00DD21F1" w:rsidTr="00DD21F1">
        <w:trPr>
          <w:trHeight w:val="151"/>
        </w:trPr>
        <w:tc>
          <w:tcPr>
            <w:tcW w:w="4338" w:type="dxa"/>
          </w:tcPr>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r w:rsidR="00DD21F1" w:rsidRPr="00DD21F1">
              <w:rPr>
                <w:b/>
                <w:bCs/>
                <w:lang w:val="fr-CA"/>
              </w:rPr>
              <w:t>Order</w:t>
            </w:r>
          </w:p>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p>
        </w:tc>
        <w:tc>
          <w:tcPr>
            <w:tcW w:w="1170" w:type="dxa"/>
          </w:tcPr>
          <w:p w:rsidR="00DD21F1" w:rsidRPr="00DD21F1" w:rsidRDefault="00DD21F1" w:rsidP="00DD21F1">
            <w:pPr>
              <w:jc w:val="both"/>
              <w:rPr>
                <w:lang w:val="fr-CA"/>
              </w:rPr>
            </w:pPr>
          </w:p>
          <w:p w:rsidR="00DD21F1" w:rsidRPr="00DD21F1" w:rsidRDefault="00DD21F1" w:rsidP="00DD21F1">
            <w:pPr>
              <w:jc w:val="both"/>
              <w:rPr>
                <w:lang w:val="fr-CA"/>
              </w:rPr>
            </w:pPr>
          </w:p>
        </w:tc>
        <w:tc>
          <w:tcPr>
            <w:tcW w:w="4327" w:type="dxa"/>
          </w:tcPr>
          <w:p w:rsidR="00DD21F1" w:rsidRPr="00DD21F1" w:rsidRDefault="00D5130B" w:rsidP="00DD21F1">
            <w:pPr>
              <w:jc w:val="both"/>
              <w:rPr>
                <w:b/>
                <w:lang w:val="fr-CA"/>
              </w:rPr>
            </w:pPr>
            <w:r w:rsidRPr="00DD21F1">
              <w:rPr>
                <w:szCs w:val="24"/>
                <w:lang w:val="en-US"/>
              </w:rPr>
              <w:fldChar w:fldCharType="begin"/>
            </w:r>
            <w:r w:rsidR="00DD21F1" w:rsidRPr="00DD21F1">
              <w:rPr>
                <w:szCs w:val="24"/>
                <w:lang w:val="fr-CA"/>
              </w:rPr>
              <w:instrText xml:space="preserve"> SEQ CHAPTER \h \r 1</w:instrText>
            </w:r>
            <w:r w:rsidRPr="00DD21F1">
              <w:rPr>
                <w:szCs w:val="24"/>
                <w:lang w:val="en-US"/>
              </w:rPr>
              <w:fldChar w:fldCharType="end"/>
            </w:r>
            <w:r w:rsidR="00DD21F1" w:rsidRPr="00DD21F1">
              <w:rPr>
                <w:b/>
                <w:bCs/>
                <w:lang w:val="fr-CA"/>
              </w:rPr>
              <w:t>Ordonnance</w:t>
            </w:r>
          </w:p>
          <w:p w:rsidR="00DD21F1" w:rsidRPr="00DD21F1" w:rsidRDefault="00D5130B" w:rsidP="00DD21F1">
            <w:pPr>
              <w:jc w:val="both"/>
              <w:rPr>
                <w:b/>
                <w:lang w:val="fr-CA"/>
              </w:rPr>
            </w:pPr>
            <w:r w:rsidRPr="00DD21F1">
              <w:rPr>
                <w:b/>
                <w:lang w:val="en-US"/>
              </w:rPr>
              <w:fldChar w:fldCharType="begin"/>
            </w:r>
            <w:r w:rsidR="00DD21F1" w:rsidRPr="00DD21F1">
              <w:rPr>
                <w:b/>
                <w:lang w:val="fr-CA"/>
              </w:rPr>
              <w:instrText xml:space="preserve"> SEQ CHAPTER \h \r 1</w:instrText>
            </w:r>
            <w:r w:rsidRPr="00DD21F1">
              <w:rPr>
                <w:b/>
                <w:lang w:val="en-US"/>
              </w:rPr>
              <w:fldChar w:fldCharType="end"/>
            </w:r>
            <w:r w:rsidRPr="00DD21F1">
              <w:rPr>
                <w:b/>
                <w:lang w:val="en-US"/>
              </w:rPr>
              <w:fldChar w:fldCharType="begin"/>
            </w:r>
            <w:r w:rsidR="00DD21F1" w:rsidRPr="00DD21F1">
              <w:rPr>
                <w:b/>
                <w:lang w:val="fr-CA"/>
              </w:rPr>
              <w:instrText xml:space="preserve"> SEQ CHAPTER \h \r 1</w:instrText>
            </w:r>
            <w:r w:rsidRPr="00DD21F1">
              <w:rPr>
                <w:b/>
                <w:lang w:val="en-US"/>
              </w:rPr>
              <w:fldChar w:fldCharType="end"/>
            </w:r>
          </w:p>
        </w:tc>
      </w:tr>
      <w:tr w:rsidR="00DD21F1" w:rsidRPr="00DD21F1" w:rsidTr="00DD21F1">
        <w:trPr>
          <w:trHeight w:val="150"/>
        </w:trPr>
        <w:tc>
          <w:tcPr>
            <w:tcW w:w="4338" w:type="dxa"/>
          </w:tcPr>
          <w:p w:rsidR="00DD21F1" w:rsidRPr="00DD21F1" w:rsidRDefault="00DD21F1" w:rsidP="00DD21F1">
            <w:pPr>
              <w:tabs>
                <w:tab w:val="left" w:pos="-1440"/>
                <w:tab w:val="left" w:pos="-720"/>
              </w:tabs>
              <w:jc w:val="both"/>
            </w:pPr>
            <w:r w:rsidRPr="00DD21F1">
              <w:t>Lee Michael Wilson</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ab/>
              <w:t>v. (35959)</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Superintendent of Motor Vehicles et al. (B.C.)</w:t>
            </w:r>
          </w:p>
        </w:tc>
        <w:tc>
          <w:tcPr>
            <w:tcW w:w="1170" w:type="dxa"/>
          </w:tcPr>
          <w:p w:rsidR="00DD21F1" w:rsidRPr="00DD21F1" w:rsidRDefault="00DD21F1" w:rsidP="00DD21F1">
            <w:pPr>
              <w:jc w:val="both"/>
            </w:pPr>
          </w:p>
        </w:tc>
        <w:tc>
          <w:tcPr>
            <w:tcW w:w="4327" w:type="dxa"/>
          </w:tcPr>
          <w:p w:rsidR="00DD21F1" w:rsidRPr="00DD21F1" w:rsidRDefault="00DD21F1" w:rsidP="00DD21F1">
            <w:pPr>
              <w:jc w:val="both"/>
            </w:pPr>
          </w:p>
        </w:tc>
      </w:tr>
    </w:tbl>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rPr>
          <w:rFonts w:eastAsia="Times New Roman" w:cs="Times New Roman"/>
          <w:sz w:val="20"/>
          <w:szCs w:val="20"/>
          <w:lang w:val="en-US" w:eastAsia="en-CA"/>
        </w:rPr>
      </w:pPr>
      <w:r w:rsidRPr="00DD21F1">
        <w:rPr>
          <w:rFonts w:eastAsia="Times New Roman" w:cs="Times New Roman"/>
          <w:b/>
          <w:sz w:val="20"/>
          <w:szCs w:val="20"/>
          <w:lang w:val="en-US" w:eastAsia="en-CA"/>
        </w:rPr>
        <w:t>IT IS HEREBY ORDERED THAT:</w:t>
      </w:r>
    </w:p>
    <w:p w:rsidR="00DD21F1" w:rsidRPr="00DD21F1" w:rsidRDefault="00DD21F1" w:rsidP="00DD21F1">
      <w:pPr>
        <w:rPr>
          <w:rFonts w:eastAsia="Times New Roman" w:cs="Times New Roman"/>
          <w:sz w:val="20"/>
          <w:szCs w:val="20"/>
          <w:lang w:val="en-US" w:eastAsia="en-CA"/>
        </w:rPr>
      </w:pPr>
    </w:p>
    <w:p w:rsidR="00DD21F1" w:rsidRPr="00DD21F1" w:rsidRDefault="00DD21F1" w:rsidP="00A766ED">
      <w:pPr>
        <w:widowControl w:val="0"/>
        <w:numPr>
          <w:ilvl w:val="0"/>
          <w:numId w:val="13"/>
        </w:numPr>
        <w:autoSpaceDE w:val="0"/>
        <w:autoSpaceDN w:val="0"/>
        <w:adjustRightInd w:val="0"/>
        <w:contextualSpacing/>
        <w:jc w:val="both"/>
        <w:rPr>
          <w:rFonts w:cs="Times New Roman"/>
          <w:sz w:val="20"/>
          <w:szCs w:val="20"/>
        </w:rPr>
      </w:pPr>
      <w:r w:rsidRPr="00DD21F1">
        <w:rPr>
          <w:rFonts w:cs="Times New Roman"/>
          <w:sz w:val="20"/>
          <w:szCs w:val="20"/>
        </w:rPr>
        <w:t>The appellant’s record, factum and book of authorities shall be served and filed on or before March 11, 2015.</w:t>
      </w:r>
    </w:p>
    <w:p w:rsidR="00DD21F1" w:rsidRPr="00DD21F1" w:rsidRDefault="00DD21F1" w:rsidP="00DD21F1">
      <w:pPr>
        <w:ind w:left="1440" w:hanging="1440"/>
        <w:rPr>
          <w:rFonts w:eastAsia="Times New Roman" w:cs="Times New Roman"/>
          <w:sz w:val="20"/>
          <w:szCs w:val="20"/>
          <w:lang w:val="en-US" w:eastAsia="en-CA"/>
        </w:rPr>
      </w:pPr>
    </w:p>
    <w:p w:rsidR="00DD21F1" w:rsidRPr="00DD21F1" w:rsidRDefault="00DD21F1" w:rsidP="00A766ED">
      <w:pPr>
        <w:widowControl w:val="0"/>
        <w:numPr>
          <w:ilvl w:val="0"/>
          <w:numId w:val="13"/>
        </w:numPr>
        <w:autoSpaceDE w:val="0"/>
        <w:autoSpaceDN w:val="0"/>
        <w:adjustRightInd w:val="0"/>
        <w:contextualSpacing/>
        <w:jc w:val="both"/>
        <w:rPr>
          <w:rFonts w:cs="Times New Roman"/>
          <w:sz w:val="20"/>
          <w:szCs w:val="20"/>
        </w:rPr>
      </w:pPr>
      <w:r w:rsidRPr="00DD21F1">
        <w:rPr>
          <w:rFonts w:cs="Times New Roman"/>
          <w:sz w:val="20"/>
          <w:szCs w:val="20"/>
        </w:rPr>
        <w:t xml:space="preserve">Any person wishing to intervene in this appeal under Rule 55 of the </w:t>
      </w:r>
      <w:r w:rsidRPr="00DD21F1">
        <w:rPr>
          <w:rFonts w:cs="Times New Roman"/>
          <w:i/>
          <w:sz w:val="20"/>
          <w:szCs w:val="20"/>
        </w:rPr>
        <w:t>Rules of the Supreme Court of Canada</w:t>
      </w:r>
      <w:r w:rsidRPr="00DD21F1">
        <w:rPr>
          <w:rFonts w:cs="Times New Roman"/>
          <w:sz w:val="20"/>
          <w:szCs w:val="20"/>
        </w:rPr>
        <w:t xml:space="preserve"> shall serve and file a motion for leave to intervene on or before April 1, 2015. </w:t>
      </w:r>
    </w:p>
    <w:p w:rsidR="00DD21F1" w:rsidRPr="00DD21F1" w:rsidRDefault="00DD21F1" w:rsidP="00DD21F1">
      <w:pPr>
        <w:ind w:left="720"/>
        <w:contextualSpacing/>
        <w:rPr>
          <w:rFonts w:cs="Times New Roman"/>
          <w:sz w:val="20"/>
          <w:szCs w:val="20"/>
        </w:rPr>
      </w:pPr>
    </w:p>
    <w:p w:rsidR="00DD21F1" w:rsidRPr="00DD21F1" w:rsidRDefault="00DD21F1" w:rsidP="00A766ED">
      <w:pPr>
        <w:widowControl w:val="0"/>
        <w:numPr>
          <w:ilvl w:val="0"/>
          <w:numId w:val="13"/>
        </w:numPr>
        <w:autoSpaceDE w:val="0"/>
        <w:autoSpaceDN w:val="0"/>
        <w:adjustRightInd w:val="0"/>
        <w:contextualSpacing/>
        <w:jc w:val="both"/>
        <w:rPr>
          <w:rFonts w:cs="Times New Roman"/>
          <w:sz w:val="20"/>
          <w:szCs w:val="20"/>
        </w:rPr>
      </w:pPr>
      <w:r w:rsidRPr="00DD21F1">
        <w:rPr>
          <w:rFonts w:cs="Times New Roman"/>
          <w:sz w:val="20"/>
          <w:szCs w:val="20"/>
        </w:rPr>
        <w:t xml:space="preserve">The appellant and respondents shall serve and file their responses, if any, to the motions for leave to intervene on or before April 8, 2015. </w:t>
      </w:r>
    </w:p>
    <w:p w:rsidR="00DD21F1" w:rsidRPr="00DD21F1" w:rsidRDefault="00DD21F1" w:rsidP="00DD21F1">
      <w:pPr>
        <w:ind w:left="720"/>
        <w:contextualSpacing/>
        <w:rPr>
          <w:rFonts w:cs="Times New Roman"/>
          <w:sz w:val="20"/>
          <w:szCs w:val="20"/>
        </w:rPr>
      </w:pPr>
    </w:p>
    <w:p w:rsidR="00DD21F1" w:rsidRPr="00DD21F1" w:rsidRDefault="00DD21F1" w:rsidP="00A766ED">
      <w:pPr>
        <w:widowControl w:val="0"/>
        <w:numPr>
          <w:ilvl w:val="0"/>
          <w:numId w:val="13"/>
        </w:numPr>
        <w:autoSpaceDE w:val="0"/>
        <w:autoSpaceDN w:val="0"/>
        <w:adjustRightInd w:val="0"/>
        <w:contextualSpacing/>
        <w:jc w:val="both"/>
        <w:rPr>
          <w:rFonts w:cs="Times New Roman"/>
          <w:sz w:val="20"/>
          <w:szCs w:val="20"/>
        </w:rPr>
      </w:pPr>
      <w:r w:rsidRPr="00DD21F1">
        <w:rPr>
          <w:rFonts w:cs="Times New Roman"/>
          <w:sz w:val="20"/>
          <w:szCs w:val="20"/>
        </w:rPr>
        <w:t>Replies to any responses to the motions for leave to intervene shall be served and filed on or before April 10, 2015.</w:t>
      </w:r>
    </w:p>
    <w:p w:rsidR="00DD21F1" w:rsidRPr="00DD21F1" w:rsidRDefault="00DD21F1" w:rsidP="00DD21F1">
      <w:pPr>
        <w:ind w:left="1065"/>
        <w:contextualSpacing/>
        <w:rPr>
          <w:rFonts w:cs="Times New Roman"/>
          <w:sz w:val="20"/>
          <w:szCs w:val="20"/>
        </w:rPr>
      </w:pPr>
    </w:p>
    <w:p w:rsidR="00DD21F1" w:rsidRPr="00DD21F1" w:rsidRDefault="00DD21F1" w:rsidP="00A766ED">
      <w:pPr>
        <w:widowControl w:val="0"/>
        <w:numPr>
          <w:ilvl w:val="0"/>
          <w:numId w:val="13"/>
        </w:numPr>
        <w:autoSpaceDE w:val="0"/>
        <w:autoSpaceDN w:val="0"/>
        <w:adjustRightInd w:val="0"/>
        <w:contextualSpacing/>
        <w:jc w:val="both"/>
        <w:rPr>
          <w:rFonts w:cs="Times New Roman"/>
          <w:sz w:val="20"/>
          <w:szCs w:val="20"/>
        </w:rPr>
      </w:pPr>
      <w:r w:rsidRPr="00DD21F1">
        <w:rPr>
          <w:rFonts w:cs="Times New Roman"/>
          <w:sz w:val="20"/>
          <w:szCs w:val="20"/>
        </w:rPr>
        <w:t>The respondents’ record, factum and book of authorities shall be served and filed on or before April 22, 2015.</w:t>
      </w:r>
    </w:p>
    <w:p w:rsidR="00DD21F1" w:rsidRPr="00DD21F1" w:rsidRDefault="00DD21F1" w:rsidP="00DD21F1">
      <w:pPr>
        <w:ind w:left="720"/>
        <w:contextualSpacing/>
        <w:rPr>
          <w:rFonts w:cs="Times New Roman"/>
          <w:sz w:val="20"/>
          <w:szCs w:val="20"/>
        </w:rPr>
      </w:pPr>
    </w:p>
    <w:p w:rsidR="00DD21F1" w:rsidRPr="00DD21F1" w:rsidRDefault="00DD21F1" w:rsidP="00A766ED">
      <w:pPr>
        <w:widowControl w:val="0"/>
        <w:numPr>
          <w:ilvl w:val="0"/>
          <w:numId w:val="13"/>
        </w:numPr>
        <w:autoSpaceDE w:val="0"/>
        <w:autoSpaceDN w:val="0"/>
        <w:adjustRightInd w:val="0"/>
        <w:contextualSpacing/>
        <w:jc w:val="both"/>
        <w:rPr>
          <w:rFonts w:cs="Times New Roman"/>
          <w:bCs/>
          <w:sz w:val="20"/>
          <w:szCs w:val="20"/>
        </w:rPr>
      </w:pPr>
      <w:r w:rsidRPr="00DD21F1">
        <w:rPr>
          <w:rFonts w:cs="Times New Roman"/>
          <w:bCs/>
          <w:sz w:val="20"/>
          <w:szCs w:val="20"/>
        </w:rPr>
        <w:lastRenderedPageBreak/>
        <w:t xml:space="preserve">Any interveners granted leave to intervene under Rule 59 of the </w:t>
      </w:r>
      <w:r w:rsidRPr="00DD21F1">
        <w:rPr>
          <w:rFonts w:cs="Times New Roman"/>
          <w:bCs/>
          <w:i/>
          <w:sz w:val="20"/>
          <w:szCs w:val="20"/>
        </w:rPr>
        <w:t>Rules of the Supreme Court of Canada</w:t>
      </w:r>
      <w:r w:rsidRPr="00DD21F1">
        <w:rPr>
          <w:rFonts w:cs="Times New Roman"/>
          <w:bCs/>
          <w:sz w:val="20"/>
          <w:szCs w:val="20"/>
        </w:rPr>
        <w:t xml:space="preserve"> shall serve and file their factum and book of authorities on or before May 5, 2015.</w:t>
      </w:r>
    </w:p>
    <w:p w:rsidR="00DD21F1" w:rsidRPr="00DD21F1" w:rsidRDefault="00DD21F1" w:rsidP="00DD21F1">
      <w:pPr>
        <w:rPr>
          <w:rFonts w:eastAsia="Times New Roman" w:cs="Times New Roman"/>
          <w:b/>
          <w:bCs/>
          <w:sz w:val="20"/>
          <w:szCs w:val="20"/>
          <w:lang w:eastAsia="en-CA"/>
        </w:rPr>
      </w:pPr>
    </w:p>
    <w:p w:rsidR="00DD21F1" w:rsidRPr="00DD21F1" w:rsidRDefault="00DD21F1" w:rsidP="00DD21F1">
      <w:pPr>
        <w:rPr>
          <w:rFonts w:eastAsia="Times New Roman" w:cs="Times New Roman"/>
          <w:b/>
          <w:bCs/>
          <w:sz w:val="20"/>
          <w:szCs w:val="20"/>
          <w:lang w:eastAsia="en-CA"/>
        </w:rPr>
      </w:pPr>
    </w:p>
    <w:p w:rsidR="00DD21F1" w:rsidRPr="00DD21F1" w:rsidRDefault="00DD21F1" w:rsidP="00DD21F1">
      <w:pPr>
        <w:rPr>
          <w:rFonts w:eastAsia="Times New Roman" w:cs="Times New Roman"/>
          <w:b/>
          <w:bCs/>
          <w:sz w:val="20"/>
          <w:szCs w:val="20"/>
          <w:lang w:eastAsia="en-CA"/>
        </w:rPr>
      </w:pPr>
    </w:p>
    <w:p w:rsidR="00DD21F1" w:rsidRPr="00DD21F1" w:rsidRDefault="00DD21F1" w:rsidP="00DD21F1">
      <w:pPr>
        <w:rPr>
          <w:rFonts w:eastAsia="Times New Roman" w:cs="Times New Roman"/>
          <w:b/>
          <w:bCs/>
          <w:sz w:val="20"/>
          <w:szCs w:val="20"/>
          <w:lang w:val="fr-CA" w:eastAsia="en-CA"/>
        </w:rPr>
      </w:pPr>
      <w:r w:rsidRPr="00DD21F1">
        <w:rPr>
          <w:rFonts w:eastAsia="Times New Roman" w:cs="Times New Roman"/>
          <w:b/>
          <w:bCs/>
          <w:sz w:val="20"/>
          <w:szCs w:val="20"/>
          <w:lang w:val="fr-CA" w:eastAsia="en-CA"/>
        </w:rPr>
        <w:t>IL EST ORDONNÉ CE QUI SUIT :</w:t>
      </w:r>
    </w:p>
    <w:p w:rsidR="00DD21F1" w:rsidRPr="00DD21F1" w:rsidRDefault="00DD21F1" w:rsidP="00DD21F1">
      <w:pPr>
        <w:rPr>
          <w:rFonts w:eastAsia="Times New Roman" w:cs="Times New Roman"/>
          <w:b/>
          <w:bCs/>
          <w:sz w:val="20"/>
          <w:szCs w:val="20"/>
          <w:lang w:val="fr-CA" w:eastAsia="en-CA"/>
        </w:rPr>
      </w:pPr>
    </w:p>
    <w:p w:rsidR="00DD21F1" w:rsidRPr="00DD21F1" w:rsidRDefault="00DD21F1" w:rsidP="00A766ED">
      <w:pPr>
        <w:widowControl w:val="0"/>
        <w:numPr>
          <w:ilvl w:val="0"/>
          <w:numId w:val="14"/>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Les dossier, mémoire et recueil de sources de l’appelant devront être signifiés et déposés au plus tard le 11 mars 2015.</w:t>
      </w:r>
    </w:p>
    <w:p w:rsidR="00DD21F1" w:rsidRPr="00DD21F1" w:rsidRDefault="00DD21F1" w:rsidP="00DD21F1">
      <w:pPr>
        <w:ind w:left="1440" w:hanging="1440"/>
        <w:rPr>
          <w:rFonts w:eastAsia="Times New Roman" w:cs="Times New Roman"/>
          <w:sz w:val="20"/>
          <w:szCs w:val="20"/>
          <w:lang w:val="fr-CA" w:eastAsia="en-CA"/>
        </w:rPr>
      </w:pPr>
    </w:p>
    <w:p w:rsidR="00DD21F1" w:rsidRPr="00DD21F1" w:rsidRDefault="00DD21F1" w:rsidP="00A766ED">
      <w:pPr>
        <w:widowControl w:val="0"/>
        <w:numPr>
          <w:ilvl w:val="0"/>
          <w:numId w:val="14"/>
        </w:numPr>
        <w:autoSpaceDE w:val="0"/>
        <w:autoSpaceDN w:val="0"/>
        <w:adjustRightInd w:val="0"/>
        <w:contextualSpacing/>
        <w:jc w:val="both"/>
        <w:rPr>
          <w:rFonts w:cs="Times New Roman"/>
          <w:sz w:val="20"/>
          <w:szCs w:val="20"/>
          <w:lang w:val="fr-CA"/>
        </w:rPr>
      </w:pPr>
      <w:r w:rsidRPr="00DD21F1">
        <w:rPr>
          <w:rFonts w:cs="Times New Roman"/>
          <w:sz w:val="20"/>
          <w:szCs w:val="20"/>
          <w:lang w:val="fr-CA"/>
        </w:rPr>
        <w:t xml:space="preserve">Quiconque souhaite intervenir dans le présent pourvoi en vertu de l’art. 55 des </w:t>
      </w:r>
      <w:r w:rsidRPr="00DD21F1">
        <w:rPr>
          <w:rFonts w:cs="Times New Roman"/>
          <w:i/>
          <w:sz w:val="20"/>
          <w:szCs w:val="20"/>
          <w:lang w:val="fr-CA"/>
        </w:rPr>
        <w:t>Règles de la Cour suprême du Canada</w:t>
      </w:r>
      <w:r w:rsidRPr="00DD21F1">
        <w:rPr>
          <w:rFonts w:cs="Times New Roman"/>
          <w:sz w:val="20"/>
          <w:szCs w:val="20"/>
          <w:lang w:val="fr-CA"/>
        </w:rPr>
        <w:t xml:space="preserve"> signifiera et déposera une requête en autorisation d’intervenir au plus tard le 1</w:t>
      </w:r>
      <w:r w:rsidRPr="00DD21F1">
        <w:rPr>
          <w:rFonts w:cs="Times New Roman"/>
          <w:sz w:val="20"/>
          <w:szCs w:val="20"/>
          <w:vertAlign w:val="superscript"/>
          <w:lang w:val="fr-CA"/>
        </w:rPr>
        <w:t>er</w:t>
      </w:r>
      <w:r w:rsidRPr="00DD21F1">
        <w:rPr>
          <w:rFonts w:cs="Times New Roman"/>
          <w:sz w:val="20"/>
          <w:szCs w:val="20"/>
          <w:lang w:val="fr-CA"/>
        </w:rPr>
        <w:t xml:space="preserve"> avril 2015. </w:t>
      </w:r>
    </w:p>
    <w:p w:rsidR="00DD21F1" w:rsidRPr="00DD21F1" w:rsidRDefault="00DD21F1" w:rsidP="00DD21F1">
      <w:pPr>
        <w:ind w:left="720"/>
        <w:contextualSpacing/>
        <w:rPr>
          <w:rFonts w:cs="Times New Roman"/>
          <w:sz w:val="20"/>
          <w:szCs w:val="20"/>
          <w:lang w:val="fr-CA"/>
        </w:rPr>
      </w:pPr>
    </w:p>
    <w:p w:rsidR="00DD21F1" w:rsidRPr="00DD21F1" w:rsidRDefault="00DD21F1" w:rsidP="00A766ED">
      <w:pPr>
        <w:widowControl w:val="0"/>
        <w:numPr>
          <w:ilvl w:val="0"/>
          <w:numId w:val="14"/>
        </w:numPr>
        <w:autoSpaceDE w:val="0"/>
        <w:autoSpaceDN w:val="0"/>
        <w:adjustRightInd w:val="0"/>
        <w:contextualSpacing/>
        <w:jc w:val="both"/>
        <w:rPr>
          <w:rFonts w:cs="Times New Roman"/>
          <w:sz w:val="20"/>
          <w:szCs w:val="20"/>
          <w:lang w:val="fr-CA"/>
        </w:rPr>
      </w:pPr>
      <w:r w:rsidRPr="00DD21F1">
        <w:rPr>
          <w:rFonts w:cs="Times New Roman"/>
          <w:sz w:val="20"/>
          <w:szCs w:val="20"/>
          <w:lang w:val="fr-CA"/>
        </w:rPr>
        <w:t xml:space="preserve">Les appelant et intimés devront, le cas échéant, déposer et signifier leur réponse aux requêtes en autorisation d’intervenir au plus tard le 8 avril 2015. </w:t>
      </w:r>
    </w:p>
    <w:p w:rsidR="00DD21F1" w:rsidRPr="00DD21F1" w:rsidRDefault="00DD21F1" w:rsidP="00DD21F1">
      <w:pPr>
        <w:ind w:left="720"/>
        <w:contextualSpacing/>
        <w:rPr>
          <w:rFonts w:cs="Times New Roman"/>
          <w:sz w:val="20"/>
          <w:szCs w:val="20"/>
          <w:lang w:val="fr-CA"/>
        </w:rPr>
      </w:pPr>
    </w:p>
    <w:p w:rsidR="00DD21F1" w:rsidRPr="00DD21F1" w:rsidRDefault="00DD21F1" w:rsidP="00A766ED">
      <w:pPr>
        <w:widowControl w:val="0"/>
        <w:numPr>
          <w:ilvl w:val="0"/>
          <w:numId w:val="14"/>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Les répliques à toute réponse aux requêtes en autorisation d’intervenir devront être signifiées et déposées au plus tard le 10 avril 2015.</w:t>
      </w:r>
    </w:p>
    <w:p w:rsidR="00DD21F1" w:rsidRPr="00DD21F1" w:rsidRDefault="00DD21F1" w:rsidP="00DD21F1">
      <w:pPr>
        <w:ind w:left="1065"/>
        <w:contextualSpacing/>
        <w:rPr>
          <w:rFonts w:cs="Times New Roman"/>
          <w:sz w:val="20"/>
          <w:szCs w:val="20"/>
          <w:lang w:val="fr-CA"/>
        </w:rPr>
      </w:pPr>
    </w:p>
    <w:p w:rsidR="00DD21F1" w:rsidRPr="00DD21F1" w:rsidRDefault="00DD21F1" w:rsidP="00A766ED">
      <w:pPr>
        <w:widowControl w:val="0"/>
        <w:numPr>
          <w:ilvl w:val="0"/>
          <w:numId w:val="14"/>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Les dossier, mémoire et recueil de sources des intimées devront être signifiés et déposés au plus tard le 22 avril 2015.</w:t>
      </w:r>
    </w:p>
    <w:p w:rsidR="00DD21F1" w:rsidRPr="00DD21F1" w:rsidRDefault="00DD21F1" w:rsidP="00DD21F1">
      <w:pPr>
        <w:ind w:left="720"/>
        <w:contextualSpacing/>
        <w:rPr>
          <w:rFonts w:cs="Times New Roman"/>
          <w:sz w:val="20"/>
          <w:szCs w:val="20"/>
          <w:lang w:val="fr-CA"/>
        </w:rPr>
      </w:pPr>
    </w:p>
    <w:p w:rsidR="00DD21F1" w:rsidRPr="00DD21F1" w:rsidRDefault="00DD21F1" w:rsidP="00A766ED">
      <w:pPr>
        <w:widowControl w:val="0"/>
        <w:numPr>
          <w:ilvl w:val="0"/>
          <w:numId w:val="14"/>
        </w:numPr>
        <w:autoSpaceDE w:val="0"/>
        <w:autoSpaceDN w:val="0"/>
        <w:adjustRightInd w:val="0"/>
        <w:contextualSpacing/>
        <w:jc w:val="both"/>
        <w:rPr>
          <w:rFonts w:cs="Times New Roman"/>
          <w:bCs/>
          <w:sz w:val="20"/>
          <w:szCs w:val="20"/>
          <w:lang w:val="fr-CA"/>
        </w:rPr>
      </w:pPr>
      <w:r w:rsidRPr="00DD21F1">
        <w:rPr>
          <w:rFonts w:cs="Times New Roman"/>
          <w:bCs/>
          <w:sz w:val="20"/>
          <w:szCs w:val="20"/>
          <w:lang w:val="fr-CA"/>
        </w:rPr>
        <w:t xml:space="preserve">Tout intervenant autorisé à intervenir en application de l’art. 59 des </w:t>
      </w:r>
      <w:r w:rsidRPr="00DD21F1">
        <w:rPr>
          <w:rFonts w:cs="Times New Roman"/>
          <w:i/>
          <w:sz w:val="20"/>
          <w:szCs w:val="20"/>
          <w:lang w:val="fr-CA"/>
        </w:rPr>
        <w:t>Règles de la Cour suprême du Canada</w:t>
      </w:r>
      <w:r w:rsidRPr="00DD21F1">
        <w:rPr>
          <w:rFonts w:cs="Times New Roman"/>
          <w:sz w:val="20"/>
          <w:szCs w:val="20"/>
          <w:lang w:val="fr-CA"/>
        </w:rPr>
        <w:t xml:space="preserve"> signifiera et déposera son mémoire et son recueil de sources au plus tard le 5 mai 2015. </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8A5B26" w:rsidP="00DD21F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12.01.2015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THE CHIEF JUSTICE / LA JUGE EN CHEF</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D21F1" w:rsidRPr="00DD21F1" w:rsidTr="00DD21F1">
        <w:trPr>
          <w:trHeight w:val="151"/>
        </w:trPr>
        <w:tc>
          <w:tcPr>
            <w:tcW w:w="4338" w:type="dxa"/>
          </w:tcPr>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r w:rsidR="00DD21F1" w:rsidRPr="00DD21F1">
              <w:rPr>
                <w:b/>
                <w:bCs/>
                <w:lang w:val="fr-CA"/>
              </w:rPr>
              <w:t>Order</w:t>
            </w:r>
          </w:p>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p>
        </w:tc>
        <w:tc>
          <w:tcPr>
            <w:tcW w:w="1170" w:type="dxa"/>
          </w:tcPr>
          <w:p w:rsidR="00DD21F1" w:rsidRPr="00DD21F1" w:rsidRDefault="00DD21F1" w:rsidP="00DD21F1">
            <w:pPr>
              <w:jc w:val="both"/>
              <w:rPr>
                <w:lang w:val="fr-CA"/>
              </w:rPr>
            </w:pPr>
          </w:p>
          <w:p w:rsidR="00DD21F1" w:rsidRPr="00DD21F1" w:rsidRDefault="00DD21F1" w:rsidP="00DD21F1">
            <w:pPr>
              <w:jc w:val="both"/>
              <w:rPr>
                <w:lang w:val="fr-CA"/>
              </w:rPr>
            </w:pPr>
          </w:p>
        </w:tc>
        <w:tc>
          <w:tcPr>
            <w:tcW w:w="4327" w:type="dxa"/>
          </w:tcPr>
          <w:p w:rsidR="00DD21F1" w:rsidRPr="00DD21F1" w:rsidRDefault="00D5130B" w:rsidP="00DD21F1">
            <w:pPr>
              <w:jc w:val="both"/>
              <w:rPr>
                <w:b/>
                <w:lang w:val="fr-CA"/>
              </w:rPr>
            </w:pPr>
            <w:r w:rsidRPr="00DD21F1">
              <w:rPr>
                <w:szCs w:val="24"/>
                <w:lang w:val="en-US"/>
              </w:rPr>
              <w:fldChar w:fldCharType="begin"/>
            </w:r>
            <w:r w:rsidR="00DD21F1" w:rsidRPr="00DD21F1">
              <w:rPr>
                <w:szCs w:val="24"/>
                <w:lang w:val="fr-CA"/>
              </w:rPr>
              <w:instrText xml:space="preserve"> SEQ CHAPTER \h \r 1</w:instrText>
            </w:r>
            <w:r w:rsidRPr="00DD21F1">
              <w:rPr>
                <w:szCs w:val="24"/>
                <w:lang w:val="en-US"/>
              </w:rPr>
              <w:fldChar w:fldCharType="end"/>
            </w:r>
            <w:r w:rsidR="00DD21F1" w:rsidRPr="00DD21F1">
              <w:rPr>
                <w:b/>
                <w:bCs/>
                <w:lang w:val="fr-CA"/>
              </w:rPr>
              <w:t>Ordonnance</w:t>
            </w:r>
          </w:p>
          <w:p w:rsidR="00DD21F1" w:rsidRPr="00DD21F1" w:rsidRDefault="00D5130B" w:rsidP="00DD21F1">
            <w:pPr>
              <w:jc w:val="both"/>
              <w:rPr>
                <w:b/>
                <w:lang w:val="fr-CA"/>
              </w:rPr>
            </w:pPr>
            <w:r w:rsidRPr="00DD21F1">
              <w:rPr>
                <w:b/>
                <w:lang w:val="en-US"/>
              </w:rPr>
              <w:fldChar w:fldCharType="begin"/>
            </w:r>
            <w:r w:rsidR="00DD21F1" w:rsidRPr="00DD21F1">
              <w:rPr>
                <w:b/>
                <w:lang w:val="fr-CA"/>
              </w:rPr>
              <w:instrText xml:space="preserve"> SEQ CHAPTER \h \r 1</w:instrText>
            </w:r>
            <w:r w:rsidRPr="00DD21F1">
              <w:rPr>
                <w:b/>
                <w:lang w:val="en-US"/>
              </w:rPr>
              <w:fldChar w:fldCharType="end"/>
            </w:r>
            <w:r w:rsidRPr="00DD21F1">
              <w:rPr>
                <w:b/>
                <w:lang w:val="en-US"/>
              </w:rPr>
              <w:fldChar w:fldCharType="begin"/>
            </w:r>
            <w:r w:rsidR="00DD21F1" w:rsidRPr="00DD21F1">
              <w:rPr>
                <w:b/>
                <w:lang w:val="fr-CA"/>
              </w:rPr>
              <w:instrText xml:space="preserve"> SEQ CHAPTER \h \r 1</w:instrText>
            </w:r>
            <w:r w:rsidRPr="00DD21F1">
              <w:rPr>
                <w:b/>
                <w:lang w:val="en-US"/>
              </w:rPr>
              <w:fldChar w:fldCharType="end"/>
            </w:r>
          </w:p>
        </w:tc>
      </w:tr>
      <w:tr w:rsidR="00DD21F1" w:rsidRPr="00DD21F1" w:rsidTr="00DD21F1">
        <w:trPr>
          <w:trHeight w:val="150"/>
        </w:trPr>
        <w:tc>
          <w:tcPr>
            <w:tcW w:w="4338" w:type="dxa"/>
          </w:tcPr>
          <w:p w:rsidR="00DD21F1" w:rsidRPr="00DD21F1" w:rsidRDefault="00DD21F1" w:rsidP="00DD21F1">
            <w:pPr>
              <w:tabs>
                <w:tab w:val="left" w:pos="-1440"/>
                <w:tab w:val="left" w:pos="-720"/>
              </w:tabs>
              <w:jc w:val="both"/>
              <w:rPr>
                <w:lang w:val="fr-CA"/>
              </w:rPr>
            </w:pPr>
            <w:r w:rsidRPr="00DD21F1">
              <w:rPr>
                <w:lang w:val="fr-CA"/>
              </w:rPr>
              <w:t>Sa Majesté la Reine</w:t>
            </w:r>
          </w:p>
          <w:p w:rsidR="00DD21F1" w:rsidRPr="00DD21F1" w:rsidRDefault="00DD21F1" w:rsidP="00DD21F1">
            <w:pPr>
              <w:tabs>
                <w:tab w:val="left" w:pos="-1440"/>
                <w:tab w:val="left" w:pos="-720"/>
              </w:tabs>
              <w:jc w:val="both"/>
              <w:rPr>
                <w:lang w:val="fr-CA"/>
              </w:rPr>
            </w:pPr>
          </w:p>
          <w:p w:rsidR="00DD21F1" w:rsidRPr="00DD21F1" w:rsidRDefault="00DD21F1" w:rsidP="00DD21F1">
            <w:pPr>
              <w:tabs>
                <w:tab w:val="left" w:pos="-1440"/>
                <w:tab w:val="left" w:pos="-720"/>
              </w:tabs>
              <w:jc w:val="both"/>
              <w:rPr>
                <w:lang w:val="fr-CA"/>
              </w:rPr>
            </w:pPr>
            <w:r w:rsidRPr="00DD21F1">
              <w:rPr>
                <w:lang w:val="fr-CA"/>
              </w:rPr>
              <w:tab/>
              <w:t>c. (36001)</w:t>
            </w:r>
          </w:p>
          <w:p w:rsidR="00DD21F1" w:rsidRPr="00DD21F1" w:rsidRDefault="00DD21F1" w:rsidP="00DD21F1">
            <w:pPr>
              <w:tabs>
                <w:tab w:val="left" w:pos="-1440"/>
                <w:tab w:val="left" w:pos="-720"/>
              </w:tabs>
              <w:jc w:val="both"/>
              <w:rPr>
                <w:lang w:val="fr-CA"/>
              </w:rPr>
            </w:pPr>
          </w:p>
          <w:p w:rsidR="00DD21F1" w:rsidRPr="00DD21F1" w:rsidRDefault="00DD21F1" w:rsidP="00DD21F1">
            <w:pPr>
              <w:tabs>
                <w:tab w:val="left" w:pos="-1440"/>
                <w:tab w:val="left" w:pos="-720"/>
              </w:tabs>
              <w:jc w:val="both"/>
              <w:rPr>
                <w:lang w:val="fr-CA"/>
              </w:rPr>
            </w:pPr>
            <w:r w:rsidRPr="00DD21F1">
              <w:rPr>
                <w:lang w:val="fr-CA"/>
              </w:rPr>
              <w:t>Tommy Lacasse (Crim.) (Qc)</w:t>
            </w:r>
          </w:p>
        </w:tc>
        <w:tc>
          <w:tcPr>
            <w:tcW w:w="1170" w:type="dxa"/>
          </w:tcPr>
          <w:p w:rsidR="00DD21F1" w:rsidRPr="00DD21F1" w:rsidRDefault="00DD21F1" w:rsidP="00DD21F1">
            <w:pPr>
              <w:jc w:val="both"/>
              <w:rPr>
                <w:lang w:val="fr-CA"/>
              </w:rPr>
            </w:pPr>
          </w:p>
        </w:tc>
        <w:tc>
          <w:tcPr>
            <w:tcW w:w="4327" w:type="dxa"/>
          </w:tcPr>
          <w:p w:rsidR="00DD21F1" w:rsidRPr="00DD21F1" w:rsidRDefault="00DD21F1" w:rsidP="00DD21F1">
            <w:pPr>
              <w:jc w:val="both"/>
              <w:rPr>
                <w:lang w:val="fr-CA"/>
              </w:rPr>
            </w:pPr>
          </w:p>
        </w:tc>
      </w:tr>
    </w:tbl>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b/>
          <w:sz w:val="20"/>
          <w:szCs w:val="20"/>
          <w:lang w:val="fr-CA" w:eastAsia="en-CA"/>
        </w:rPr>
      </w:pPr>
      <w:r w:rsidRPr="00DD21F1">
        <w:rPr>
          <w:rFonts w:eastAsia="Times New Roman" w:cs="Times New Roman"/>
          <w:b/>
          <w:sz w:val="20"/>
          <w:szCs w:val="20"/>
          <w:lang w:val="fr-CA" w:eastAsia="en-CA"/>
        </w:rPr>
        <w:t>IL EST ORDONNÉ CE QUI SUIT :</w:t>
      </w: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A766ED">
      <w:pPr>
        <w:widowControl w:val="0"/>
        <w:numPr>
          <w:ilvl w:val="0"/>
          <w:numId w:val="8"/>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L’appelante devra signifier et déposer ses dossier, mémoire et recueil de sources au plus tard le 9 mars 2015.</w:t>
      </w:r>
    </w:p>
    <w:p w:rsidR="00DD21F1" w:rsidRPr="00DD21F1" w:rsidRDefault="00DD21F1" w:rsidP="00DD21F1">
      <w:pPr>
        <w:ind w:left="720"/>
        <w:contextualSpacing/>
        <w:jc w:val="both"/>
        <w:rPr>
          <w:rFonts w:cs="Times New Roman"/>
          <w:sz w:val="20"/>
          <w:szCs w:val="20"/>
          <w:lang w:val="fr-CA"/>
        </w:rPr>
      </w:pPr>
    </w:p>
    <w:p w:rsidR="00DD21F1" w:rsidRPr="00DD21F1" w:rsidRDefault="00DD21F1" w:rsidP="00A766ED">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DD21F1">
        <w:rPr>
          <w:rFonts w:cs="Times New Roman"/>
          <w:sz w:val="20"/>
          <w:szCs w:val="20"/>
          <w:lang w:val="fr-CA"/>
        </w:rPr>
        <w:t xml:space="preserve">Toute personne souhaitant intervenir dans le présent pourvoi en application de l’art. 55 des </w:t>
      </w:r>
      <w:r w:rsidRPr="00DD21F1">
        <w:rPr>
          <w:rFonts w:cs="Times New Roman"/>
          <w:i/>
          <w:sz w:val="20"/>
          <w:szCs w:val="20"/>
          <w:lang w:val="fr-CA"/>
        </w:rPr>
        <w:t>Règles de la Cour suprême du Canada</w:t>
      </w:r>
      <w:r w:rsidRPr="00DD21F1">
        <w:rPr>
          <w:rFonts w:cs="Times New Roman"/>
          <w:sz w:val="20"/>
          <w:szCs w:val="20"/>
          <w:lang w:val="fr-CA"/>
        </w:rPr>
        <w:t xml:space="preserve"> devra signifier et déposer une requête en autorisation d’intervenir au plus tard le 30 mars 2015. </w:t>
      </w:r>
    </w:p>
    <w:p w:rsidR="00DD21F1" w:rsidRPr="00DD21F1" w:rsidRDefault="00DD21F1" w:rsidP="00DD21F1">
      <w:pPr>
        <w:ind w:left="720"/>
        <w:contextualSpacing/>
        <w:jc w:val="both"/>
        <w:rPr>
          <w:rFonts w:cs="Times New Roman"/>
          <w:sz w:val="20"/>
          <w:szCs w:val="20"/>
          <w:lang w:val="fr-CA"/>
        </w:rPr>
      </w:pPr>
    </w:p>
    <w:p w:rsidR="00DD21F1" w:rsidRPr="00DD21F1" w:rsidRDefault="00DD21F1" w:rsidP="00A766ED">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DD21F1">
        <w:rPr>
          <w:rFonts w:cs="Times New Roman"/>
          <w:sz w:val="20"/>
          <w:szCs w:val="20"/>
          <w:lang w:val="fr-CA"/>
        </w:rPr>
        <w:t xml:space="preserve">L’appelante et l’intimé devront, le cas échéant, signifier et déposer leurs réponses aux requêtes en autorisation d’intervenir au plus tard le 7 avril 2015. </w:t>
      </w: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A766ED">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DD21F1">
        <w:rPr>
          <w:rFonts w:cs="Times New Roman"/>
          <w:sz w:val="20"/>
          <w:szCs w:val="20"/>
          <w:lang w:val="fr-CA"/>
        </w:rPr>
        <w:t>Les répliques aux réponses éventuelles aux requêtes en autorisation d’intervenir devront être signifiées et déposées au plus tard le 9 avril 2015.</w:t>
      </w:r>
    </w:p>
    <w:p w:rsidR="00DD21F1" w:rsidRPr="00DD21F1" w:rsidRDefault="00DD21F1" w:rsidP="00DD21F1">
      <w:pPr>
        <w:ind w:left="720"/>
        <w:contextualSpacing/>
        <w:jc w:val="both"/>
        <w:rPr>
          <w:rFonts w:cs="Times New Roman"/>
          <w:sz w:val="20"/>
          <w:szCs w:val="20"/>
          <w:lang w:val="fr-CA"/>
        </w:rPr>
      </w:pPr>
    </w:p>
    <w:p w:rsidR="00DD21F1" w:rsidRPr="00DD21F1" w:rsidRDefault="00DD21F1" w:rsidP="00A766ED">
      <w:pPr>
        <w:widowControl w:val="0"/>
        <w:numPr>
          <w:ilvl w:val="0"/>
          <w:numId w:val="8"/>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L’intimé devra signifier et déposer ses dossier, mémoire et recueil de sources au plus tard le 20 avril 2015.</w:t>
      </w:r>
    </w:p>
    <w:p w:rsidR="00DD21F1" w:rsidRPr="00DD21F1" w:rsidRDefault="00DD21F1" w:rsidP="00DD21F1">
      <w:pPr>
        <w:ind w:left="720"/>
        <w:contextualSpacing/>
        <w:jc w:val="both"/>
        <w:rPr>
          <w:rFonts w:cs="Times New Roman"/>
          <w:bCs/>
          <w:sz w:val="20"/>
          <w:szCs w:val="20"/>
          <w:lang w:val="fr-CA"/>
        </w:rPr>
      </w:pPr>
    </w:p>
    <w:p w:rsidR="00DD21F1" w:rsidRPr="00DD21F1" w:rsidRDefault="00DD21F1" w:rsidP="00A766ED">
      <w:pPr>
        <w:numPr>
          <w:ilvl w:val="0"/>
          <w:numId w:val="8"/>
        </w:numPr>
        <w:autoSpaceDE w:val="0"/>
        <w:autoSpaceDN w:val="0"/>
        <w:adjustRightInd w:val="0"/>
        <w:contextualSpacing/>
        <w:jc w:val="both"/>
        <w:rPr>
          <w:rFonts w:cs="Times New Roman"/>
          <w:bCs/>
          <w:sz w:val="20"/>
          <w:szCs w:val="20"/>
          <w:lang w:val="fr-CA"/>
        </w:rPr>
      </w:pPr>
      <w:r w:rsidRPr="00DD21F1">
        <w:rPr>
          <w:rFonts w:cs="Times New Roman"/>
          <w:bCs/>
          <w:sz w:val="20"/>
          <w:szCs w:val="20"/>
          <w:lang w:val="fr-CA"/>
        </w:rPr>
        <w:lastRenderedPageBreak/>
        <w:t xml:space="preserve">Les intervenants qui seront autorisés à intervenir en application de l’art. 59 des </w:t>
      </w:r>
      <w:r w:rsidRPr="00DD21F1">
        <w:rPr>
          <w:rFonts w:cs="Times New Roman"/>
          <w:bCs/>
          <w:i/>
          <w:sz w:val="20"/>
          <w:szCs w:val="20"/>
          <w:lang w:val="fr-CA"/>
        </w:rPr>
        <w:t>Règles de la Cour suprême du Canada</w:t>
      </w:r>
      <w:r w:rsidRPr="00DD21F1">
        <w:rPr>
          <w:rFonts w:cs="Times New Roman"/>
          <w:bCs/>
          <w:sz w:val="20"/>
          <w:szCs w:val="20"/>
          <w:lang w:val="fr-CA"/>
        </w:rPr>
        <w:t xml:space="preserve"> devront signifier et déposer leur mémoire et recueil de sources au plus tard le 1</w:t>
      </w:r>
      <w:r w:rsidRPr="00DD21F1">
        <w:rPr>
          <w:rFonts w:cs="Times New Roman"/>
          <w:bCs/>
          <w:sz w:val="20"/>
          <w:szCs w:val="20"/>
          <w:vertAlign w:val="superscript"/>
          <w:lang w:val="fr-CA"/>
        </w:rPr>
        <w:t>er</w:t>
      </w:r>
      <w:r w:rsidRPr="00DD21F1">
        <w:rPr>
          <w:rFonts w:cs="Times New Roman"/>
          <w:bCs/>
          <w:sz w:val="20"/>
          <w:szCs w:val="20"/>
          <w:lang w:val="fr-CA"/>
        </w:rPr>
        <w:t xml:space="preserve"> mai 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b/>
          <w:sz w:val="20"/>
          <w:szCs w:val="20"/>
          <w:lang w:eastAsia="en-CA"/>
        </w:rPr>
      </w:pPr>
      <w:r w:rsidRPr="00DD21F1">
        <w:rPr>
          <w:rFonts w:eastAsia="Times New Roman" w:cs="Times New Roman"/>
          <w:b/>
          <w:sz w:val="20"/>
          <w:szCs w:val="20"/>
          <w:lang w:eastAsia="en-CA"/>
        </w:rPr>
        <w:t>IT IS HEREBY ORDERED THAT:</w:t>
      </w:r>
    </w:p>
    <w:p w:rsidR="00DD21F1" w:rsidRPr="00DD21F1" w:rsidRDefault="00DD21F1" w:rsidP="00DD21F1">
      <w:pPr>
        <w:jc w:val="both"/>
        <w:rPr>
          <w:rFonts w:eastAsia="Times New Roman" w:cs="Times New Roman"/>
          <w:sz w:val="20"/>
          <w:szCs w:val="20"/>
          <w:lang w:eastAsia="en-CA"/>
        </w:rPr>
      </w:pPr>
    </w:p>
    <w:p w:rsidR="00DD21F1" w:rsidRPr="00DD21F1" w:rsidRDefault="00DD21F1" w:rsidP="00A766ED">
      <w:pPr>
        <w:widowControl w:val="0"/>
        <w:numPr>
          <w:ilvl w:val="0"/>
          <w:numId w:val="11"/>
        </w:numPr>
        <w:autoSpaceDE w:val="0"/>
        <w:autoSpaceDN w:val="0"/>
        <w:adjustRightInd w:val="0"/>
        <w:contextualSpacing/>
        <w:jc w:val="both"/>
        <w:rPr>
          <w:rFonts w:cs="Times New Roman"/>
          <w:sz w:val="20"/>
          <w:szCs w:val="20"/>
        </w:rPr>
      </w:pPr>
      <w:r w:rsidRPr="00DD21F1">
        <w:rPr>
          <w:rFonts w:cs="Times New Roman"/>
          <w:sz w:val="20"/>
          <w:szCs w:val="20"/>
        </w:rPr>
        <w:t>The appellant shall serve and file her record, factum and book of authorities on or before March 9, 2015.</w:t>
      </w:r>
    </w:p>
    <w:p w:rsidR="00DD21F1" w:rsidRPr="00DD21F1" w:rsidRDefault="00DD21F1" w:rsidP="00DD21F1">
      <w:pPr>
        <w:ind w:left="720"/>
        <w:contextualSpacing/>
        <w:jc w:val="both"/>
        <w:rPr>
          <w:rFonts w:cs="Times New Roman"/>
          <w:sz w:val="20"/>
          <w:szCs w:val="20"/>
        </w:rPr>
      </w:pPr>
    </w:p>
    <w:p w:rsidR="00DD21F1" w:rsidRPr="00DD21F1" w:rsidRDefault="00DD21F1" w:rsidP="00A766ED">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DD21F1">
        <w:rPr>
          <w:rFonts w:cs="Times New Roman"/>
          <w:sz w:val="20"/>
          <w:szCs w:val="20"/>
        </w:rPr>
        <w:t xml:space="preserve">Any person wishing to intervene in this appeal under Rule 55 of the </w:t>
      </w:r>
      <w:r w:rsidRPr="00DD21F1">
        <w:rPr>
          <w:rFonts w:cs="Times New Roman"/>
          <w:i/>
          <w:sz w:val="20"/>
          <w:szCs w:val="20"/>
        </w:rPr>
        <w:t>Rules of the Supreme Court of Canada</w:t>
      </w:r>
      <w:r w:rsidRPr="00DD21F1">
        <w:rPr>
          <w:rFonts w:cs="Times New Roman"/>
          <w:sz w:val="20"/>
          <w:szCs w:val="20"/>
        </w:rPr>
        <w:t xml:space="preserve"> shall serve and file a motion for leave to intervene on or before March 30, 2015. </w:t>
      </w:r>
    </w:p>
    <w:p w:rsidR="00DD21F1" w:rsidRPr="00DD21F1" w:rsidRDefault="00DD21F1" w:rsidP="00DD21F1">
      <w:pPr>
        <w:ind w:left="720"/>
        <w:contextualSpacing/>
        <w:jc w:val="both"/>
        <w:rPr>
          <w:rFonts w:cs="Times New Roman"/>
          <w:sz w:val="20"/>
          <w:szCs w:val="20"/>
        </w:rPr>
      </w:pPr>
    </w:p>
    <w:p w:rsidR="00DD21F1" w:rsidRPr="00DD21F1" w:rsidRDefault="00DD21F1" w:rsidP="00A766ED">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DD21F1">
        <w:rPr>
          <w:rFonts w:cs="Times New Roman"/>
          <w:sz w:val="20"/>
          <w:szCs w:val="20"/>
        </w:rPr>
        <w:t xml:space="preserve">The appellant and the respondent shall serve and file any responses to the motions for leave to intervene on or before April 7, 2015. </w:t>
      </w:r>
    </w:p>
    <w:p w:rsidR="00DD21F1" w:rsidRPr="00DD21F1" w:rsidRDefault="00DD21F1" w:rsidP="00DD21F1">
      <w:pPr>
        <w:jc w:val="both"/>
        <w:rPr>
          <w:rFonts w:eastAsia="Times New Roman" w:cs="Times New Roman"/>
          <w:sz w:val="20"/>
          <w:szCs w:val="20"/>
          <w:lang w:eastAsia="en-CA"/>
        </w:rPr>
      </w:pPr>
    </w:p>
    <w:p w:rsidR="00DD21F1" w:rsidRPr="00DD21F1" w:rsidRDefault="00DD21F1" w:rsidP="00A766ED">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DD21F1">
        <w:rPr>
          <w:rFonts w:cs="Times New Roman"/>
          <w:sz w:val="20"/>
          <w:szCs w:val="20"/>
        </w:rPr>
        <w:t>Replies to any responses to the motions for leave to intervene shall be served and filed on or before April 9, 2015.</w:t>
      </w:r>
    </w:p>
    <w:p w:rsidR="00DD21F1" w:rsidRPr="00DD21F1" w:rsidRDefault="00DD21F1" w:rsidP="00DD21F1">
      <w:pPr>
        <w:ind w:left="720"/>
        <w:contextualSpacing/>
        <w:jc w:val="both"/>
        <w:rPr>
          <w:rFonts w:cs="Times New Roman"/>
          <w:sz w:val="20"/>
          <w:szCs w:val="20"/>
        </w:rPr>
      </w:pPr>
    </w:p>
    <w:p w:rsidR="00DD21F1" w:rsidRPr="00DD21F1" w:rsidRDefault="00DD21F1" w:rsidP="00A766ED">
      <w:pPr>
        <w:widowControl w:val="0"/>
        <w:numPr>
          <w:ilvl w:val="0"/>
          <w:numId w:val="11"/>
        </w:numPr>
        <w:autoSpaceDE w:val="0"/>
        <w:autoSpaceDN w:val="0"/>
        <w:adjustRightInd w:val="0"/>
        <w:contextualSpacing/>
        <w:jc w:val="both"/>
        <w:rPr>
          <w:rFonts w:cs="Times New Roman"/>
          <w:sz w:val="20"/>
          <w:szCs w:val="20"/>
        </w:rPr>
      </w:pPr>
      <w:r w:rsidRPr="00DD21F1">
        <w:rPr>
          <w:rFonts w:cs="Times New Roman"/>
          <w:sz w:val="20"/>
          <w:szCs w:val="20"/>
        </w:rPr>
        <w:t>The respondent shall serve and file his record, factum and book of authorities on or before April 20, 2015.</w:t>
      </w:r>
    </w:p>
    <w:p w:rsidR="00DD21F1" w:rsidRPr="00DD21F1" w:rsidRDefault="00DD21F1" w:rsidP="00DD21F1">
      <w:pPr>
        <w:ind w:left="720"/>
        <w:contextualSpacing/>
        <w:jc w:val="both"/>
        <w:rPr>
          <w:rFonts w:cs="Times New Roman"/>
          <w:bCs/>
          <w:sz w:val="20"/>
          <w:szCs w:val="20"/>
        </w:rPr>
      </w:pPr>
    </w:p>
    <w:p w:rsidR="00DD21F1" w:rsidRPr="00DD21F1" w:rsidRDefault="00DD21F1" w:rsidP="00A766ED">
      <w:pPr>
        <w:numPr>
          <w:ilvl w:val="0"/>
          <w:numId w:val="11"/>
        </w:numPr>
        <w:autoSpaceDE w:val="0"/>
        <w:autoSpaceDN w:val="0"/>
        <w:adjustRightInd w:val="0"/>
        <w:contextualSpacing/>
        <w:jc w:val="both"/>
        <w:rPr>
          <w:rFonts w:cs="Times New Roman"/>
          <w:bCs/>
          <w:sz w:val="20"/>
          <w:szCs w:val="20"/>
        </w:rPr>
      </w:pPr>
      <w:r w:rsidRPr="00DD21F1">
        <w:rPr>
          <w:rFonts w:cs="Times New Roman"/>
          <w:bCs/>
          <w:sz w:val="20"/>
          <w:szCs w:val="20"/>
        </w:rPr>
        <w:t xml:space="preserve">Any interveners who are granted leave to intervene under Rule 59 </w:t>
      </w:r>
      <w:r w:rsidRPr="00DD21F1">
        <w:rPr>
          <w:rFonts w:cs="Times New Roman"/>
          <w:sz w:val="20"/>
          <w:szCs w:val="20"/>
        </w:rPr>
        <w:t xml:space="preserve">of the </w:t>
      </w:r>
      <w:r w:rsidRPr="00DD21F1">
        <w:rPr>
          <w:rFonts w:cs="Times New Roman"/>
          <w:i/>
          <w:sz w:val="20"/>
          <w:szCs w:val="20"/>
        </w:rPr>
        <w:t>Rules of the Supreme Court of Canada</w:t>
      </w:r>
      <w:r w:rsidRPr="00DD21F1">
        <w:rPr>
          <w:rFonts w:cs="Times New Roman"/>
          <w:sz w:val="20"/>
          <w:szCs w:val="20"/>
        </w:rPr>
        <w:t xml:space="preserve"> shall serve and file their factums and books of authorities on or before May 1, </w:t>
      </w:r>
      <w:r w:rsidRPr="00DD21F1">
        <w:rPr>
          <w:rFonts w:cs="Times New Roman"/>
          <w:bCs/>
          <w:sz w:val="20"/>
          <w:szCs w:val="20"/>
        </w:rPr>
        <w:t>2015.</w: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8A5B26" w:rsidP="00DD21F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12.01.2015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THE CHIEF JUSTICE / LA JUGE EN CHEF</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D21F1" w:rsidRPr="00DD21F1" w:rsidTr="00DD21F1">
        <w:trPr>
          <w:trHeight w:val="151"/>
        </w:trPr>
        <w:tc>
          <w:tcPr>
            <w:tcW w:w="4338" w:type="dxa"/>
          </w:tcPr>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r w:rsidR="00DD21F1" w:rsidRPr="00DD21F1">
              <w:rPr>
                <w:b/>
                <w:bCs/>
                <w:lang w:val="fr-CA"/>
              </w:rPr>
              <w:t>Order</w:t>
            </w:r>
          </w:p>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p>
        </w:tc>
        <w:tc>
          <w:tcPr>
            <w:tcW w:w="1170" w:type="dxa"/>
          </w:tcPr>
          <w:p w:rsidR="00DD21F1" w:rsidRPr="00DD21F1" w:rsidRDefault="00DD21F1" w:rsidP="00DD21F1">
            <w:pPr>
              <w:jc w:val="both"/>
              <w:rPr>
                <w:lang w:val="fr-CA"/>
              </w:rPr>
            </w:pPr>
          </w:p>
          <w:p w:rsidR="00DD21F1" w:rsidRPr="00DD21F1" w:rsidRDefault="00DD21F1" w:rsidP="00DD21F1">
            <w:pPr>
              <w:jc w:val="both"/>
              <w:rPr>
                <w:lang w:val="fr-CA"/>
              </w:rPr>
            </w:pPr>
          </w:p>
        </w:tc>
        <w:tc>
          <w:tcPr>
            <w:tcW w:w="4327" w:type="dxa"/>
          </w:tcPr>
          <w:p w:rsidR="00DD21F1" w:rsidRPr="00DD21F1" w:rsidRDefault="00D5130B" w:rsidP="00DD21F1">
            <w:pPr>
              <w:jc w:val="both"/>
              <w:rPr>
                <w:b/>
                <w:lang w:val="fr-CA"/>
              </w:rPr>
            </w:pPr>
            <w:r w:rsidRPr="00DD21F1">
              <w:rPr>
                <w:szCs w:val="24"/>
                <w:lang w:val="en-US"/>
              </w:rPr>
              <w:fldChar w:fldCharType="begin"/>
            </w:r>
            <w:r w:rsidR="00DD21F1" w:rsidRPr="00DD21F1">
              <w:rPr>
                <w:szCs w:val="24"/>
                <w:lang w:val="fr-CA"/>
              </w:rPr>
              <w:instrText xml:space="preserve"> SEQ CHAPTER \h \r 1</w:instrText>
            </w:r>
            <w:r w:rsidRPr="00DD21F1">
              <w:rPr>
                <w:szCs w:val="24"/>
                <w:lang w:val="en-US"/>
              </w:rPr>
              <w:fldChar w:fldCharType="end"/>
            </w:r>
            <w:r w:rsidR="00DD21F1" w:rsidRPr="00DD21F1">
              <w:rPr>
                <w:b/>
                <w:bCs/>
                <w:lang w:val="fr-CA"/>
              </w:rPr>
              <w:t>Ordonnance</w:t>
            </w:r>
          </w:p>
          <w:p w:rsidR="00DD21F1" w:rsidRPr="00DD21F1" w:rsidRDefault="00D5130B" w:rsidP="00DD21F1">
            <w:pPr>
              <w:jc w:val="both"/>
              <w:rPr>
                <w:b/>
                <w:lang w:val="fr-CA"/>
              </w:rPr>
            </w:pPr>
            <w:r w:rsidRPr="00DD21F1">
              <w:rPr>
                <w:b/>
                <w:lang w:val="en-US"/>
              </w:rPr>
              <w:fldChar w:fldCharType="begin"/>
            </w:r>
            <w:r w:rsidR="00DD21F1" w:rsidRPr="00DD21F1">
              <w:rPr>
                <w:b/>
                <w:lang w:val="fr-CA"/>
              </w:rPr>
              <w:instrText xml:space="preserve"> SEQ CHAPTER \h \r 1</w:instrText>
            </w:r>
            <w:r w:rsidRPr="00DD21F1">
              <w:rPr>
                <w:b/>
                <w:lang w:val="en-US"/>
              </w:rPr>
              <w:fldChar w:fldCharType="end"/>
            </w:r>
            <w:r w:rsidRPr="00DD21F1">
              <w:rPr>
                <w:b/>
                <w:lang w:val="en-US"/>
              </w:rPr>
              <w:fldChar w:fldCharType="begin"/>
            </w:r>
            <w:r w:rsidR="00DD21F1" w:rsidRPr="00DD21F1">
              <w:rPr>
                <w:b/>
                <w:lang w:val="fr-CA"/>
              </w:rPr>
              <w:instrText xml:space="preserve"> SEQ CHAPTER \h \r 1</w:instrText>
            </w:r>
            <w:r w:rsidRPr="00DD21F1">
              <w:rPr>
                <w:b/>
                <w:lang w:val="en-US"/>
              </w:rPr>
              <w:fldChar w:fldCharType="end"/>
            </w:r>
          </w:p>
        </w:tc>
      </w:tr>
      <w:tr w:rsidR="00DD21F1" w:rsidRPr="00DD21F1" w:rsidTr="00DD21F1">
        <w:trPr>
          <w:trHeight w:val="150"/>
        </w:trPr>
        <w:tc>
          <w:tcPr>
            <w:tcW w:w="4338" w:type="dxa"/>
          </w:tcPr>
          <w:p w:rsidR="00DD21F1" w:rsidRPr="00DD21F1" w:rsidRDefault="00DD21F1" w:rsidP="00DD21F1">
            <w:pPr>
              <w:tabs>
                <w:tab w:val="left" w:pos="-1440"/>
                <w:tab w:val="left" w:pos="-720"/>
              </w:tabs>
              <w:jc w:val="both"/>
            </w:pPr>
            <w:r w:rsidRPr="00DD21F1">
              <w:t>Kelly Hartle, Warden of the Edmonton Institution et al.</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ab/>
              <w:t>v. (36081)</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Omar Ahmed Khadr (Crim.) (Alta.)</w:t>
            </w:r>
          </w:p>
        </w:tc>
        <w:tc>
          <w:tcPr>
            <w:tcW w:w="1170" w:type="dxa"/>
          </w:tcPr>
          <w:p w:rsidR="00DD21F1" w:rsidRPr="00DD21F1" w:rsidRDefault="00DD21F1" w:rsidP="00DD21F1">
            <w:pPr>
              <w:jc w:val="both"/>
            </w:pPr>
          </w:p>
        </w:tc>
        <w:tc>
          <w:tcPr>
            <w:tcW w:w="4327" w:type="dxa"/>
          </w:tcPr>
          <w:p w:rsidR="00DD21F1" w:rsidRPr="00DD21F1" w:rsidRDefault="00DD21F1" w:rsidP="00DD21F1">
            <w:pPr>
              <w:jc w:val="both"/>
            </w:pPr>
          </w:p>
        </w:tc>
      </w:tr>
    </w:tbl>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rPr>
          <w:rFonts w:eastAsia="Times New Roman" w:cs="Times New Roman"/>
          <w:sz w:val="20"/>
          <w:szCs w:val="20"/>
          <w:lang w:val="en-US" w:eastAsia="en-CA"/>
        </w:rPr>
      </w:pPr>
      <w:r w:rsidRPr="00DD21F1">
        <w:rPr>
          <w:rFonts w:eastAsia="Times New Roman" w:cs="Times New Roman"/>
          <w:b/>
          <w:sz w:val="20"/>
          <w:szCs w:val="20"/>
          <w:lang w:val="en-US" w:eastAsia="en-CA"/>
        </w:rPr>
        <w:t>IT IS HEREBY ORDERED THAT:</w:t>
      </w:r>
    </w:p>
    <w:p w:rsidR="00DD21F1" w:rsidRPr="00DD21F1" w:rsidRDefault="00DD21F1" w:rsidP="00DD21F1">
      <w:pPr>
        <w:rPr>
          <w:rFonts w:eastAsia="Times New Roman" w:cs="Times New Roman"/>
          <w:sz w:val="20"/>
          <w:szCs w:val="20"/>
          <w:lang w:val="en-US" w:eastAsia="en-CA"/>
        </w:rPr>
      </w:pPr>
    </w:p>
    <w:p w:rsidR="00DD21F1" w:rsidRPr="00DD21F1" w:rsidRDefault="00DD21F1" w:rsidP="00A766ED">
      <w:pPr>
        <w:widowControl w:val="0"/>
        <w:numPr>
          <w:ilvl w:val="0"/>
          <w:numId w:val="20"/>
        </w:numPr>
        <w:autoSpaceDE w:val="0"/>
        <w:autoSpaceDN w:val="0"/>
        <w:adjustRightInd w:val="0"/>
        <w:contextualSpacing/>
        <w:jc w:val="both"/>
        <w:rPr>
          <w:rFonts w:cs="Times New Roman"/>
          <w:sz w:val="20"/>
          <w:szCs w:val="20"/>
        </w:rPr>
      </w:pPr>
      <w:r w:rsidRPr="00DD21F1">
        <w:rPr>
          <w:rFonts w:cs="Times New Roman"/>
          <w:sz w:val="20"/>
          <w:szCs w:val="20"/>
        </w:rPr>
        <w:t>The appellants’ record, factum and book of authorities shall be served and filed on or before March 6, 2015.</w:t>
      </w:r>
    </w:p>
    <w:p w:rsidR="00DD21F1" w:rsidRPr="00DD21F1" w:rsidRDefault="00DD21F1" w:rsidP="00DD21F1">
      <w:pPr>
        <w:ind w:left="1440" w:hanging="1440"/>
        <w:rPr>
          <w:rFonts w:eastAsia="Times New Roman" w:cs="Times New Roman"/>
          <w:sz w:val="20"/>
          <w:szCs w:val="20"/>
          <w:lang w:val="en-US" w:eastAsia="en-CA"/>
        </w:rPr>
      </w:pPr>
    </w:p>
    <w:p w:rsidR="00DD21F1" w:rsidRPr="00DD21F1" w:rsidRDefault="00DD21F1" w:rsidP="00A766ED">
      <w:pPr>
        <w:widowControl w:val="0"/>
        <w:numPr>
          <w:ilvl w:val="0"/>
          <w:numId w:val="20"/>
        </w:numPr>
        <w:autoSpaceDE w:val="0"/>
        <w:autoSpaceDN w:val="0"/>
        <w:adjustRightInd w:val="0"/>
        <w:contextualSpacing/>
        <w:jc w:val="both"/>
        <w:rPr>
          <w:rFonts w:cs="Times New Roman"/>
          <w:sz w:val="20"/>
          <w:szCs w:val="20"/>
        </w:rPr>
      </w:pPr>
      <w:r w:rsidRPr="00DD21F1">
        <w:rPr>
          <w:rFonts w:cs="Times New Roman"/>
          <w:sz w:val="20"/>
          <w:szCs w:val="20"/>
        </w:rPr>
        <w:t xml:space="preserve">Any person wishing to intervene in this appeal under Rule 55 of the </w:t>
      </w:r>
      <w:r w:rsidRPr="00DD21F1">
        <w:rPr>
          <w:rFonts w:cs="Times New Roman"/>
          <w:i/>
          <w:sz w:val="20"/>
          <w:szCs w:val="20"/>
        </w:rPr>
        <w:t>Rules of the Supreme Court of Canada</w:t>
      </w:r>
      <w:r w:rsidRPr="00DD21F1">
        <w:rPr>
          <w:rFonts w:cs="Times New Roman"/>
          <w:sz w:val="20"/>
          <w:szCs w:val="20"/>
        </w:rPr>
        <w:t xml:space="preserve"> shall serve and file a motion for leave to intervene on or before March 27, 2015. </w:t>
      </w:r>
    </w:p>
    <w:p w:rsidR="00DD21F1" w:rsidRPr="00DD21F1" w:rsidRDefault="00DD21F1" w:rsidP="00DD21F1">
      <w:pPr>
        <w:ind w:left="720"/>
        <w:contextualSpacing/>
        <w:rPr>
          <w:rFonts w:cs="Times New Roman"/>
          <w:sz w:val="20"/>
          <w:szCs w:val="20"/>
        </w:rPr>
      </w:pPr>
    </w:p>
    <w:p w:rsidR="00DD21F1" w:rsidRPr="00DD21F1" w:rsidRDefault="00DD21F1" w:rsidP="00A766ED">
      <w:pPr>
        <w:widowControl w:val="0"/>
        <w:numPr>
          <w:ilvl w:val="0"/>
          <w:numId w:val="20"/>
        </w:numPr>
        <w:autoSpaceDE w:val="0"/>
        <w:autoSpaceDN w:val="0"/>
        <w:adjustRightInd w:val="0"/>
        <w:contextualSpacing/>
        <w:jc w:val="both"/>
        <w:rPr>
          <w:rFonts w:cs="Times New Roman"/>
          <w:sz w:val="20"/>
          <w:szCs w:val="20"/>
        </w:rPr>
      </w:pPr>
      <w:r w:rsidRPr="00DD21F1">
        <w:rPr>
          <w:rFonts w:cs="Times New Roman"/>
          <w:sz w:val="20"/>
          <w:szCs w:val="20"/>
        </w:rPr>
        <w:t xml:space="preserve">The appellants and respondent shall serve and file their responses, if any, to the motions for leave to intervene on or before April 2, 2015. </w:t>
      </w:r>
    </w:p>
    <w:p w:rsidR="00DD21F1" w:rsidRPr="00DD21F1" w:rsidRDefault="00DD21F1" w:rsidP="00DD21F1">
      <w:pPr>
        <w:ind w:left="720"/>
        <w:contextualSpacing/>
        <w:rPr>
          <w:rFonts w:cs="Times New Roman"/>
          <w:sz w:val="20"/>
          <w:szCs w:val="20"/>
        </w:rPr>
      </w:pPr>
    </w:p>
    <w:p w:rsidR="00DD21F1" w:rsidRPr="00DD21F1" w:rsidRDefault="00DD21F1" w:rsidP="00A766ED">
      <w:pPr>
        <w:widowControl w:val="0"/>
        <w:numPr>
          <w:ilvl w:val="0"/>
          <w:numId w:val="20"/>
        </w:numPr>
        <w:autoSpaceDE w:val="0"/>
        <w:autoSpaceDN w:val="0"/>
        <w:adjustRightInd w:val="0"/>
        <w:contextualSpacing/>
        <w:jc w:val="both"/>
        <w:rPr>
          <w:rFonts w:cs="Times New Roman"/>
          <w:sz w:val="20"/>
          <w:szCs w:val="20"/>
        </w:rPr>
      </w:pPr>
      <w:r w:rsidRPr="00DD21F1">
        <w:rPr>
          <w:rFonts w:cs="Times New Roman"/>
          <w:sz w:val="20"/>
          <w:szCs w:val="20"/>
        </w:rPr>
        <w:t>Replies to any responses to the motions for leave to intervene shall be served and filed on or before April 8, 2015.</w:t>
      </w:r>
    </w:p>
    <w:p w:rsidR="00DD21F1" w:rsidRPr="00DD21F1" w:rsidRDefault="00DD21F1" w:rsidP="00DD21F1">
      <w:pPr>
        <w:ind w:left="1065"/>
        <w:contextualSpacing/>
        <w:rPr>
          <w:rFonts w:cs="Times New Roman"/>
          <w:sz w:val="20"/>
          <w:szCs w:val="20"/>
        </w:rPr>
      </w:pPr>
    </w:p>
    <w:p w:rsidR="00DD21F1" w:rsidRPr="00DD21F1" w:rsidRDefault="00DD21F1" w:rsidP="00A766ED">
      <w:pPr>
        <w:widowControl w:val="0"/>
        <w:numPr>
          <w:ilvl w:val="0"/>
          <w:numId w:val="20"/>
        </w:numPr>
        <w:autoSpaceDE w:val="0"/>
        <w:autoSpaceDN w:val="0"/>
        <w:adjustRightInd w:val="0"/>
        <w:contextualSpacing/>
        <w:jc w:val="both"/>
        <w:rPr>
          <w:rFonts w:cs="Times New Roman"/>
          <w:sz w:val="20"/>
          <w:szCs w:val="20"/>
        </w:rPr>
      </w:pPr>
      <w:r w:rsidRPr="00DD21F1">
        <w:rPr>
          <w:rFonts w:cs="Times New Roman"/>
          <w:sz w:val="20"/>
          <w:szCs w:val="20"/>
        </w:rPr>
        <w:t>The respondent’s record, factum and book of authorities shall be served and filed on or before April 17, 2015.</w:t>
      </w:r>
    </w:p>
    <w:p w:rsidR="00DD21F1" w:rsidRPr="00DD21F1" w:rsidRDefault="00DD21F1" w:rsidP="00DD21F1">
      <w:pPr>
        <w:ind w:left="720"/>
        <w:contextualSpacing/>
        <w:rPr>
          <w:rFonts w:cs="Times New Roman"/>
          <w:sz w:val="20"/>
          <w:szCs w:val="20"/>
        </w:rPr>
      </w:pPr>
    </w:p>
    <w:p w:rsidR="00DD21F1" w:rsidRPr="00DD21F1" w:rsidRDefault="00DD21F1" w:rsidP="00A766ED">
      <w:pPr>
        <w:widowControl w:val="0"/>
        <w:numPr>
          <w:ilvl w:val="0"/>
          <w:numId w:val="20"/>
        </w:numPr>
        <w:autoSpaceDE w:val="0"/>
        <w:autoSpaceDN w:val="0"/>
        <w:adjustRightInd w:val="0"/>
        <w:contextualSpacing/>
        <w:jc w:val="both"/>
        <w:rPr>
          <w:rFonts w:cs="Times New Roman"/>
          <w:bCs/>
          <w:sz w:val="20"/>
          <w:szCs w:val="20"/>
        </w:rPr>
      </w:pPr>
      <w:r w:rsidRPr="00DD21F1">
        <w:rPr>
          <w:rFonts w:cs="Times New Roman"/>
          <w:bCs/>
          <w:sz w:val="20"/>
          <w:szCs w:val="20"/>
        </w:rPr>
        <w:lastRenderedPageBreak/>
        <w:t xml:space="preserve">Any interveners granted leave to intervene under Rule 59 of the </w:t>
      </w:r>
      <w:r w:rsidRPr="00DD21F1">
        <w:rPr>
          <w:rFonts w:cs="Times New Roman"/>
          <w:bCs/>
          <w:i/>
          <w:sz w:val="20"/>
          <w:szCs w:val="20"/>
        </w:rPr>
        <w:t>Rules of the Supreme Court of Canada</w:t>
      </w:r>
      <w:r w:rsidRPr="00DD21F1">
        <w:rPr>
          <w:rFonts w:cs="Times New Roman"/>
          <w:bCs/>
          <w:sz w:val="20"/>
          <w:szCs w:val="20"/>
        </w:rPr>
        <w:t xml:space="preserve"> shall serve and file their factum and book of authorities on or before April 30, 2015.</w:t>
      </w:r>
    </w:p>
    <w:p w:rsidR="00DD21F1" w:rsidRPr="00DD21F1" w:rsidRDefault="00DD21F1" w:rsidP="00DD21F1">
      <w:pPr>
        <w:rPr>
          <w:rFonts w:eastAsia="Times New Roman" w:cs="Times New Roman"/>
          <w:bCs/>
          <w:sz w:val="20"/>
          <w:szCs w:val="20"/>
          <w:lang w:eastAsia="en-CA"/>
        </w:rPr>
      </w:pPr>
    </w:p>
    <w:p w:rsidR="00DD21F1" w:rsidRPr="00DD21F1" w:rsidRDefault="00DD21F1" w:rsidP="00DD21F1">
      <w:pPr>
        <w:rPr>
          <w:rFonts w:eastAsia="Times New Roman" w:cs="Times New Roman"/>
          <w:bCs/>
          <w:sz w:val="20"/>
          <w:szCs w:val="20"/>
          <w:lang w:eastAsia="en-CA"/>
        </w:rPr>
      </w:pPr>
    </w:p>
    <w:p w:rsidR="00DD21F1" w:rsidRPr="00DD21F1" w:rsidRDefault="00DD21F1" w:rsidP="00DD21F1">
      <w:pPr>
        <w:rPr>
          <w:rFonts w:eastAsia="Times New Roman" w:cs="Times New Roman"/>
          <w:bCs/>
          <w:sz w:val="20"/>
          <w:szCs w:val="20"/>
          <w:lang w:eastAsia="en-CA"/>
        </w:rPr>
      </w:pPr>
    </w:p>
    <w:p w:rsidR="00DD21F1" w:rsidRPr="00DD21F1" w:rsidRDefault="00DD21F1" w:rsidP="00DD21F1">
      <w:pPr>
        <w:rPr>
          <w:rFonts w:eastAsia="Times New Roman" w:cs="Times New Roman"/>
          <w:b/>
          <w:bCs/>
          <w:sz w:val="20"/>
          <w:szCs w:val="20"/>
          <w:lang w:val="fr-CA" w:eastAsia="en-CA"/>
        </w:rPr>
      </w:pPr>
      <w:r w:rsidRPr="00DD21F1">
        <w:rPr>
          <w:rFonts w:eastAsia="Times New Roman" w:cs="Times New Roman"/>
          <w:b/>
          <w:bCs/>
          <w:sz w:val="20"/>
          <w:szCs w:val="20"/>
          <w:lang w:val="fr-CA" w:eastAsia="en-CA"/>
        </w:rPr>
        <w:t>IL EST ORDONNÉ CE QUI SUIT :</w:t>
      </w:r>
    </w:p>
    <w:p w:rsidR="00DD21F1" w:rsidRPr="00DD21F1" w:rsidRDefault="00DD21F1" w:rsidP="00DD21F1">
      <w:pPr>
        <w:rPr>
          <w:rFonts w:eastAsia="Times New Roman" w:cs="Times New Roman"/>
          <w:b/>
          <w:bCs/>
          <w:sz w:val="20"/>
          <w:szCs w:val="20"/>
          <w:lang w:val="fr-CA" w:eastAsia="en-CA"/>
        </w:rPr>
      </w:pPr>
    </w:p>
    <w:p w:rsidR="00DD21F1" w:rsidRPr="00DD21F1" w:rsidRDefault="00DD21F1" w:rsidP="00A766ED">
      <w:pPr>
        <w:widowControl w:val="0"/>
        <w:numPr>
          <w:ilvl w:val="0"/>
          <w:numId w:val="19"/>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Les dossier, mémoire et recueil de sources des appelants devront être signifiés et déposés au plus tard le 6 mars 2015.</w:t>
      </w:r>
    </w:p>
    <w:p w:rsidR="00DD21F1" w:rsidRPr="00DD21F1" w:rsidRDefault="00DD21F1" w:rsidP="00DD21F1">
      <w:pPr>
        <w:ind w:left="1440" w:hanging="1440"/>
        <w:rPr>
          <w:rFonts w:eastAsia="Times New Roman" w:cs="Times New Roman"/>
          <w:sz w:val="20"/>
          <w:szCs w:val="20"/>
          <w:lang w:val="fr-CA" w:eastAsia="en-CA"/>
        </w:rPr>
      </w:pPr>
    </w:p>
    <w:p w:rsidR="00DD21F1" w:rsidRPr="00DD21F1" w:rsidRDefault="00DD21F1" w:rsidP="00A766ED">
      <w:pPr>
        <w:widowControl w:val="0"/>
        <w:numPr>
          <w:ilvl w:val="0"/>
          <w:numId w:val="19"/>
        </w:numPr>
        <w:autoSpaceDE w:val="0"/>
        <w:autoSpaceDN w:val="0"/>
        <w:adjustRightInd w:val="0"/>
        <w:contextualSpacing/>
        <w:jc w:val="both"/>
        <w:rPr>
          <w:rFonts w:cs="Times New Roman"/>
          <w:sz w:val="20"/>
          <w:szCs w:val="20"/>
          <w:lang w:val="fr-CA"/>
        </w:rPr>
      </w:pPr>
      <w:r w:rsidRPr="00DD21F1">
        <w:rPr>
          <w:rFonts w:cs="Times New Roman"/>
          <w:sz w:val="20"/>
          <w:szCs w:val="20"/>
          <w:lang w:val="fr-CA"/>
        </w:rPr>
        <w:t xml:space="preserve">Quiconque souhaite intervenir dans le présent pourvoi en vertu de l’art. 55 des </w:t>
      </w:r>
      <w:r w:rsidRPr="00DD21F1">
        <w:rPr>
          <w:rFonts w:cs="Times New Roman"/>
          <w:i/>
          <w:sz w:val="20"/>
          <w:szCs w:val="20"/>
          <w:lang w:val="fr-CA"/>
        </w:rPr>
        <w:t>Règles de la Cour suprême du Canada</w:t>
      </w:r>
      <w:r w:rsidRPr="00DD21F1">
        <w:rPr>
          <w:rFonts w:cs="Times New Roman"/>
          <w:sz w:val="20"/>
          <w:szCs w:val="20"/>
          <w:lang w:val="fr-CA"/>
        </w:rPr>
        <w:t xml:space="preserve"> signifiera et déposera une requête en autorisation d’intervenir au plus tard le 27 mars 2015. </w:t>
      </w:r>
    </w:p>
    <w:p w:rsidR="00DD21F1" w:rsidRPr="00DD21F1" w:rsidRDefault="00DD21F1" w:rsidP="00DD21F1">
      <w:pPr>
        <w:ind w:left="720"/>
        <w:contextualSpacing/>
        <w:rPr>
          <w:rFonts w:cs="Times New Roman"/>
          <w:sz w:val="20"/>
          <w:szCs w:val="20"/>
          <w:lang w:val="fr-CA"/>
        </w:rPr>
      </w:pPr>
    </w:p>
    <w:p w:rsidR="00DD21F1" w:rsidRPr="00DD21F1" w:rsidRDefault="00DD21F1" w:rsidP="00A766ED">
      <w:pPr>
        <w:widowControl w:val="0"/>
        <w:numPr>
          <w:ilvl w:val="0"/>
          <w:numId w:val="19"/>
        </w:numPr>
        <w:autoSpaceDE w:val="0"/>
        <w:autoSpaceDN w:val="0"/>
        <w:adjustRightInd w:val="0"/>
        <w:contextualSpacing/>
        <w:jc w:val="both"/>
        <w:rPr>
          <w:rFonts w:cs="Times New Roman"/>
          <w:sz w:val="20"/>
          <w:szCs w:val="20"/>
          <w:lang w:val="fr-CA"/>
        </w:rPr>
      </w:pPr>
      <w:r w:rsidRPr="00DD21F1">
        <w:rPr>
          <w:rFonts w:cs="Times New Roman"/>
          <w:sz w:val="20"/>
          <w:szCs w:val="20"/>
          <w:lang w:val="fr-CA"/>
        </w:rPr>
        <w:t xml:space="preserve">Les appelants et intimé devront, le cas échéant, déposer et signifier leur réponse aux requêtes en autorisation d’intervenir au plus tard le 2 avril 2015. </w:t>
      </w:r>
    </w:p>
    <w:p w:rsidR="00DD21F1" w:rsidRPr="00DD21F1" w:rsidRDefault="00DD21F1" w:rsidP="00DD21F1">
      <w:pPr>
        <w:ind w:left="720"/>
        <w:contextualSpacing/>
        <w:rPr>
          <w:rFonts w:cs="Times New Roman"/>
          <w:sz w:val="20"/>
          <w:szCs w:val="20"/>
          <w:lang w:val="fr-CA"/>
        </w:rPr>
      </w:pPr>
    </w:p>
    <w:p w:rsidR="00DD21F1" w:rsidRPr="00DD21F1" w:rsidRDefault="00DD21F1" w:rsidP="00A766ED">
      <w:pPr>
        <w:widowControl w:val="0"/>
        <w:numPr>
          <w:ilvl w:val="0"/>
          <w:numId w:val="19"/>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Les répliques à toute réponse aux requêtes en autorisation d’intervenir devront être signifiées et déposées au plus tard le 8 avril 2015.</w:t>
      </w:r>
    </w:p>
    <w:p w:rsidR="00DD21F1" w:rsidRPr="00DD21F1" w:rsidRDefault="00DD21F1" w:rsidP="00DD21F1">
      <w:pPr>
        <w:ind w:left="1065"/>
        <w:contextualSpacing/>
        <w:rPr>
          <w:rFonts w:cs="Times New Roman"/>
          <w:sz w:val="20"/>
          <w:szCs w:val="20"/>
          <w:lang w:val="fr-CA"/>
        </w:rPr>
      </w:pPr>
    </w:p>
    <w:p w:rsidR="00DD21F1" w:rsidRPr="00DD21F1" w:rsidRDefault="00DD21F1" w:rsidP="00A766ED">
      <w:pPr>
        <w:widowControl w:val="0"/>
        <w:numPr>
          <w:ilvl w:val="0"/>
          <w:numId w:val="19"/>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Les dossier, mémoire et recueil de sources de l’intimé devront être signifiés et déposés au plus tard le 17 avril 2015.</w:t>
      </w:r>
    </w:p>
    <w:p w:rsidR="00DD21F1" w:rsidRPr="00DD21F1" w:rsidRDefault="00DD21F1" w:rsidP="00DD21F1">
      <w:pPr>
        <w:ind w:left="720"/>
        <w:contextualSpacing/>
        <w:rPr>
          <w:rFonts w:cs="Times New Roman"/>
          <w:sz w:val="20"/>
          <w:szCs w:val="20"/>
          <w:lang w:val="fr-CA"/>
        </w:rPr>
      </w:pPr>
    </w:p>
    <w:p w:rsidR="00DD21F1" w:rsidRPr="00DD21F1" w:rsidRDefault="00DD21F1" w:rsidP="00A766ED">
      <w:pPr>
        <w:widowControl w:val="0"/>
        <w:numPr>
          <w:ilvl w:val="0"/>
          <w:numId w:val="19"/>
        </w:numPr>
        <w:autoSpaceDE w:val="0"/>
        <w:autoSpaceDN w:val="0"/>
        <w:adjustRightInd w:val="0"/>
        <w:contextualSpacing/>
        <w:jc w:val="both"/>
        <w:rPr>
          <w:rFonts w:cs="Times New Roman"/>
          <w:bCs/>
          <w:sz w:val="20"/>
          <w:szCs w:val="20"/>
          <w:lang w:val="fr-CA"/>
        </w:rPr>
      </w:pPr>
      <w:r w:rsidRPr="00DD21F1">
        <w:rPr>
          <w:rFonts w:cs="Times New Roman"/>
          <w:bCs/>
          <w:sz w:val="20"/>
          <w:szCs w:val="20"/>
          <w:lang w:val="fr-CA"/>
        </w:rPr>
        <w:t xml:space="preserve">Tout intervenant autorisé à intervenir en application de l’art. 59 des </w:t>
      </w:r>
      <w:r w:rsidRPr="00DD21F1">
        <w:rPr>
          <w:rFonts w:cs="Times New Roman"/>
          <w:i/>
          <w:sz w:val="20"/>
          <w:szCs w:val="20"/>
          <w:lang w:val="fr-CA"/>
        </w:rPr>
        <w:t>Règles de la Cour suprême du Canada</w:t>
      </w:r>
      <w:r w:rsidRPr="00DD21F1">
        <w:rPr>
          <w:rFonts w:cs="Times New Roman"/>
          <w:sz w:val="20"/>
          <w:szCs w:val="20"/>
          <w:lang w:val="fr-CA"/>
        </w:rPr>
        <w:t xml:space="preserve"> signifiera et déposera son mémoire et son recueil de sources au plus tard le 30 avril 2015. </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8A5B26" w:rsidP="00DD21F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12.01.2015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THE CHIEF JUSTICE / LA JUGE EN CHEF</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D21F1" w:rsidRPr="00DD21F1" w:rsidTr="00DD21F1">
        <w:trPr>
          <w:trHeight w:val="151"/>
        </w:trPr>
        <w:tc>
          <w:tcPr>
            <w:tcW w:w="4338" w:type="dxa"/>
          </w:tcPr>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r w:rsidR="00DD21F1" w:rsidRPr="00DD21F1">
              <w:rPr>
                <w:b/>
                <w:bCs/>
                <w:lang w:val="fr-CA"/>
              </w:rPr>
              <w:t>Order</w:t>
            </w:r>
          </w:p>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p>
        </w:tc>
        <w:tc>
          <w:tcPr>
            <w:tcW w:w="1170" w:type="dxa"/>
          </w:tcPr>
          <w:p w:rsidR="00DD21F1" w:rsidRPr="00DD21F1" w:rsidRDefault="00DD21F1" w:rsidP="00DD21F1">
            <w:pPr>
              <w:jc w:val="both"/>
              <w:rPr>
                <w:lang w:val="fr-CA"/>
              </w:rPr>
            </w:pPr>
          </w:p>
          <w:p w:rsidR="00DD21F1" w:rsidRPr="00DD21F1" w:rsidRDefault="00DD21F1" w:rsidP="00DD21F1">
            <w:pPr>
              <w:jc w:val="both"/>
              <w:rPr>
                <w:lang w:val="fr-CA"/>
              </w:rPr>
            </w:pPr>
          </w:p>
        </w:tc>
        <w:tc>
          <w:tcPr>
            <w:tcW w:w="4327" w:type="dxa"/>
          </w:tcPr>
          <w:p w:rsidR="00DD21F1" w:rsidRPr="00DD21F1" w:rsidRDefault="00D5130B" w:rsidP="00DD21F1">
            <w:pPr>
              <w:jc w:val="both"/>
              <w:rPr>
                <w:b/>
                <w:lang w:val="fr-CA"/>
              </w:rPr>
            </w:pPr>
            <w:r w:rsidRPr="00DD21F1">
              <w:rPr>
                <w:szCs w:val="24"/>
                <w:lang w:val="en-US"/>
              </w:rPr>
              <w:fldChar w:fldCharType="begin"/>
            </w:r>
            <w:r w:rsidR="00DD21F1" w:rsidRPr="00DD21F1">
              <w:rPr>
                <w:szCs w:val="24"/>
                <w:lang w:val="fr-CA"/>
              </w:rPr>
              <w:instrText xml:space="preserve"> SEQ CHAPTER \h \r 1</w:instrText>
            </w:r>
            <w:r w:rsidRPr="00DD21F1">
              <w:rPr>
                <w:szCs w:val="24"/>
                <w:lang w:val="en-US"/>
              </w:rPr>
              <w:fldChar w:fldCharType="end"/>
            </w:r>
            <w:r w:rsidR="00DD21F1" w:rsidRPr="00DD21F1">
              <w:rPr>
                <w:b/>
                <w:bCs/>
                <w:lang w:val="fr-CA"/>
              </w:rPr>
              <w:t>Ordonnance</w:t>
            </w:r>
          </w:p>
          <w:p w:rsidR="00DD21F1" w:rsidRPr="00DD21F1" w:rsidRDefault="00D5130B" w:rsidP="00DD21F1">
            <w:pPr>
              <w:jc w:val="both"/>
              <w:rPr>
                <w:b/>
                <w:lang w:val="fr-CA"/>
              </w:rPr>
            </w:pPr>
            <w:r w:rsidRPr="00DD21F1">
              <w:rPr>
                <w:b/>
                <w:lang w:val="en-US"/>
              </w:rPr>
              <w:fldChar w:fldCharType="begin"/>
            </w:r>
            <w:r w:rsidR="00DD21F1" w:rsidRPr="00DD21F1">
              <w:rPr>
                <w:b/>
                <w:lang w:val="fr-CA"/>
              </w:rPr>
              <w:instrText xml:space="preserve"> SEQ CHAPTER \h \r 1</w:instrText>
            </w:r>
            <w:r w:rsidRPr="00DD21F1">
              <w:rPr>
                <w:b/>
                <w:lang w:val="en-US"/>
              </w:rPr>
              <w:fldChar w:fldCharType="end"/>
            </w:r>
            <w:r w:rsidRPr="00DD21F1">
              <w:rPr>
                <w:b/>
                <w:lang w:val="en-US"/>
              </w:rPr>
              <w:fldChar w:fldCharType="begin"/>
            </w:r>
            <w:r w:rsidR="00DD21F1" w:rsidRPr="00DD21F1">
              <w:rPr>
                <w:b/>
                <w:lang w:val="fr-CA"/>
              </w:rPr>
              <w:instrText xml:space="preserve"> SEQ CHAPTER \h \r 1</w:instrText>
            </w:r>
            <w:r w:rsidRPr="00DD21F1">
              <w:rPr>
                <w:b/>
                <w:lang w:val="en-US"/>
              </w:rPr>
              <w:fldChar w:fldCharType="end"/>
            </w:r>
          </w:p>
        </w:tc>
      </w:tr>
      <w:tr w:rsidR="00DD21F1" w:rsidRPr="00DD21F1" w:rsidTr="00DD21F1">
        <w:trPr>
          <w:trHeight w:val="150"/>
        </w:trPr>
        <w:tc>
          <w:tcPr>
            <w:tcW w:w="4338" w:type="dxa"/>
          </w:tcPr>
          <w:p w:rsidR="00DD21F1" w:rsidRPr="00DD21F1" w:rsidRDefault="00DD21F1" w:rsidP="00DD21F1">
            <w:pPr>
              <w:tabs>
                <w:tab w:val="left" w:pos="-1440"/>
                <w:tab w:val="left" w:pos="-720"/>
              </w:tabs>
              <w:jc w:val="both"/>
            </w:pPr>
            <w:r w:rsidRPr="00DD21F1">
              <w:t>Zurich Insurance Company</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ab/>
              <w:t>v. (36002)</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Chubb Insurance Company of Canada (Ont.)</w:t>
            </w:r>
          </w:p>
        </w:tc>
        <w:tc>
          <w:tcPr>
            <w:tcW w:w="1170" w:type="dxa"/>
          </w:tcPr>
          <w:p w:rsidR="00DD21F1" w:rsidRPr="00DD21F1" w:rsidRDefault="00DD21F1" w:rsidP="00DD21F1">
            <w:pPr>
              <w:jc w:val="both"/>
            </w:pPr>
          </w:p>
        </w:tc>
        <w:tc>
          <w:tcPr>
            <w:tcW w:w="4327" w:type="dxa"/>
          </w:tcPr>
          <w:p w:rsidR="00DD21F1" w:rsidRPr="00DD21F1" w:rsidRDefault="00DD21F1" w:rsidP="00DD21F1">
            <w:pPr>
              <w:jc w:val="both"/>
            </w:pPr>
          </w:p>
        </w:tc>
      </w:tr>
    </w:tbl>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rPr>
          <w:rFonts w:eastAsia="Times New Roman" w:cs="Times New Roman"/>
          <w:sz w:val="20"/>
          <w:szCs w:val="20"/>
          <w:lang w:val="en-US" w:eastAsia="en-CA"/>
        </w:rPr>
      </w:pPr>
      <w:r w:rsidRPr="00DD21F1">
        <w:rPr>
          <w:rFonts w:eastAsia="Times New Roman" w:cs="Times New Roman"/>
          <w:b/>
          <w:sz w:val="20"/>
          <w:szCs w:val="20"/>
          <w:lang w:val="en-US" w:eastAsia="en-CA"/>
        </w:rPr>
        <w:t>IT IS HEREBY ORDERED THAT:</w:t>
      </w:r>
    </w:p>
    <w:p w:rsidR="00DD21F1" w:rsidRPr="00DD21F1" w:rsidRDefault="00DD21F1" w:rsidP="00DD21F1">
      <w:pPr>
        <w:rPr>
          <w:rFonts w:eastAsia="Times New Roman" w:cs="Times New Roman"/>
          <w:sz w:val="20"/>
          <w:szCs w:val="20"/>
          <w:lang w:val="en-US" w:eastAsia="en-CA"/>
        </w:rPr>
      </w:pPr>
    </w:p>
    <w:p w:rsidR="00DD21F1" w:rsidRPr="00DD21F1" w:rsidRDefault="00DD21F1" w:rsidP="00A766ED">
      <w:pPr>
        <w:widowControl w:val="0"/>
        <w:numPr>
          <w:ilvl w:val="0"/>
          <w:numId w:val="17"/>
        </w:numPr>
        <w:autoSpaceDE w:val="0"/>
        <w:autoSpaceDN w:val="0"/>
        <w:adjustRightInd w:val="0"/>
        <w:contextualSpacing/>
        <w:jc w:val="both"/>
        <w:rPr>
          <w:rFonts w:cs="Times New Roman"/>
          <w:sz w:val="20"/>
          <w:szCs w:val="20"/>
        </w:rPr>
      </w:pPr>
      <w:r w:rsidRPr="00DD21F1">
        <w:rPr>
          <w:rFonts w:cs="Times New Roman"/>
          <w:sz w:val="20"/>
          <w:szCs w:val="20"/>
        </w:rPr>
        <w:t>The appellant’s record, factum and book of authorities The appellant’s record, factum and book of authorities shall be served and filed on or before February 12, 2015.</w:t>
      </w:r>
    </w:p>
    <w:p w:rsidR="00DD21F1" w:rsidRPr="00DD21F1" w:rsidRDefault="00DD21F1" w:rsidP="00DD21F1">
      <w:pPr>
        <w:ind w:left="1440" w:hanging="1440"/>
        <w:rPr>
          <w:rFonts w:eastAsia="Times New Roman" w:cs="Times New Roman"/>
          <w:sz w:val="20"/>
          <w:szCs w:val="20"/>
          <w:lang w:val="en-US" w:eastAsia="en-CA"/>
        </w:rPr>
      </w:pPr>
    </w:p>
    <w:p w:rsidR="00DD21F1" w:rsidRPr="00DD21F1" w:rsidRDefault="00DD21F1" w:rsidP="00A766ED">
      <w:pPr>
        <w:widowControl w:val="0"/>
        <w:numPr>
          <w:ilvl w:val="0"/>
          <w:numId w:val="17"/>
        </w:numPr>
        <w:autoSpaceDE w:val="0"/>
        <w:autoSpaceDN w:val="0"/>
        <w:adjustRightInd w:val="0"/>
        <w:contextualSpacing/>
        <w:jc w:val="both"/>
        <w:rPr>
          <w:rFonts w:cs="Times New Roman"/>
          <w:sz w:val="20"/>
          <w:szCs w:val="20"/>
        </w:rPr>
      </w:pPr>
      <w:r w:rsidRPr="00DD21F1">
        <w:rPr>
          <w:rFonts w:cs="Times New Roman"/>
          <w:sz w:val="20"/>
          <w:szCs w:val="20"/>
        </w:rPr>
        <w:t xml:space="preserve">Any person wishing to intervene in this appeal under Rule 55 of the </w:t>
      </w:r>
      <w:r w:rsidRPr="00DD21F1">
        <w:rPr>
          <w:rFonts w:cs="Times New Roman"/>
          <w:i/>
          <w:sz w:val="20"/>
          <w:szCs w:val="20"/>
        </w:rPr>
        <w:t>Rules of the Supreme Court of Canada</w:t>
      </w:r>
      <w:r w:rsidRPr="00DD21F1">
        <w:rPr>
          <w:rFonts w:cs="Times New Roman"/>
          <w:sz w:val="20"/>
          <w:szCs w:val="20"/>
        </w:rPr>
        <w:t xml:space="preserve"> shall serve and file a motion for leave to intervene on or before March 5, 2015. </w:t>
      </w:r>
    </w:p>
    <w:p w:rsidR="00DD21F1" w:rsidRPr="00DD21F1" w:rsidRDefault="00DD21F1" w:rsidP="00DD21F1">
      <w:pPr>
        <w:ind w:left="720"/>
        <w:contextualSpacing/>
        <w:rPr>
          <w:rFonts w:cs="Times New Roman"/>
          <w:sz w:val="20"/>
          <w:szCs w:val="20"/>
        </w:rPr>
      </w:pPr>
    </w:p>
    <w:p w:rsidR="00DD21F1" w:rsidRPr="00DD21F1" w:rsidRDefault="00DD21F1" w:rsidP="00A766ED">
      <w:pPr>
        <w:widowControl w:val="0"/>
        <w:numPr>
          <w:ilvl w:val="0"/>
          <w:numId w:val="17"/>
        </w:numPr>
        <w:autoSpaceDE w:val="0"/>
        <w:autoSpaceDN w:val="0"/>
        <w:adjustRightInd w:val="0"/>
        <w:contextualSpacing/>
        <w:jc w:val="both"/>
        <w:rPr>
          <w:rFonts w:cs="Times New Roman"/>
          <w:sz w:val="20"/>
          <w:szCs w:val="20"/>
        </w:rPr>
      </w:pPr>
      <w:r w:rsidRPr="00DD21F1">
        <w:rPr>
          <w:rFonts w:cs="Times New Roman"/>
          <w:sz w:val="20"/>
          <w:szCs w:val="20"/>
        </w:rPr>
        <w:t xml:space="preserve">The appellant and respondent shall serve and file their responses, if any, to the motions for leave to intervene on or before March 9, 2015. </w:t>
      </w:r>
    </w:p>
    <w:p w:rsidR="00DD21F1" w:rsidRPr="00DD21F1" w:rsidRDefault="00DD21F1" w:rsidP="00DD21F1">
      <w:pPr>
        <w:ind w:left="720"/>
        <w:contextualSpacing/>
        <w:rPr>
          <w:rFonts w:cs="Times New Roman"/>
          <w:sz w:val="20"/>
          <w:szCs w:val="20"/>
        </w:rPr>
      </w:pPr>
    </w:p>
    <w:p w:rsidR="00DD21F1" w:rsidRPr="00DD21F1" w:rsidRDefault="00DD21F1" w:rsidP="00A766ED">
      <w:pPr>
        <w:widowControl w:val="0"/>
        <w:numPr>
          <w:ilvl w:val="0"/>
          <w:numId w:val="17"/>
        </w:numPr>
        <w:autoSpaceDE w:val="0"/>
        <w:autoSpaceDN w:val="0"/>
        <w:adjustRightInd w:val="0"/>
        <w:contextualSpacing/>
        <w:jc w:val="both"/>
        <w:rPr>
          <w:rFonts w:cs="Times New Roman"/>
          <w:sz w:val="20"/>
          <w:szCs w:val="20"/>
        </w:rPr>
      </w:pPr>
      <w:r w:rsidRPr="00DD21F1">
        <w:rPr>
          <w:rFonts w:cs="Times New Roman"/>
          <w:sz w:val="20"/>
          <w:szCs w:val="20"/>
        </w:rPr>
        <w:t>Replies to any responses to the motions for leave to intervene shall be served and filed on or before March 11, 2015.</w:t>
      </w:r>
    </w:p>
    <w:p w:rsidR="00A766ED" w:rsidRDefault="00A766ED">
      <w:pPr>
        <w:rPr>
          <w:rFonts w:cs="Times New Roman"/>
          <w:sz w:val="20"/>
          <w:szCs w:val="20"/>
        </w:rPr>
      </w:pPr>
    </w:p>
    <w:p w:rsidR="00A766ED" w:rsidRDefault="00A766ED">
      <w:pPr>
        <w:rPr>
          <w:rFonts w:cs="Times New Roman"/>
          <w:sz w:val="20"/>
          <w:szCs w:val="20"/>
        </w:rPr>
      </w:pPr>
      <w:r>
        <w:rPr>
          <w:rFonts w:cs="Times New Roman"/>
          <w:sz w:val="20"/>
          <w:szCs w:val="20"/>
        </w:rPr>
        <w:br w:type="page"/>
      </w:r>
    </w:p>
    <w:p w:rsidR="00DD21F1" w:rsidRPr="00DD21F1" w:rsidRDefault="00DD21F1" w:rsidP="00A766ED">
      <w:pPr>
        <w:widowControl w:val="0"/>
        <w:numPr>
          <w:ilvl w:val="0"/>
          <w:numId w:val="17"/>
        </w:numPr>
        <w:autoSpaceDE w:val="0"/>
        <w:autoSpaceDN w:val="0"/>
        <w:adjustRightInd w:val="0"/>
        <w:contextualSpacing/>
        <w:jc w:val="both"/>
        <w:rPr>
          <w:rFonts w:cs="Times New Roman"/>
          <w:sz w:val="20"/>
          <w:szCs w:val="20"/>
        </w:rPr>
      </w:pPr>
      <w:r w:rsidRPr="00DD21F1">
        <w:rPr>
          <w:rFonts w:cs="Times New Roman"/>
          <w:sz w:val="20"/>
          <w:szCs w:val="20"/>
        </w:rPr>
        <w:lastRenderedPageBreak/>
        <w:t>The respondent’s record, factum and book of authorities shall be served and filed on or before March 31, 2015.</w:t>
      </w:r>
    </w:p>
    <w:p w:rsidR="00DD21F1" w:rsidRPr="00DD21F1" w:rsidRDefault="00DD21F1" w:rsidP="00DD21F1">
      <w:pPr>
        <w:ind w:left="720"/>
        <w:contextualSpacing/>
        <w:rPr>
          <w:rFonts w:cs="Times New Roman"/>
          <w:sz w:val="20"/>
          <w:szCs w:val="20"/>
        </w:rPr>
      </w:pPr>
    </w:p>
    <w:p w:rsidR="00DD21F1" w:rsidRPr="00DD21F1" w:rsidRDefault="00DD21F1" w:rsidP="00A766ED">
      <w:pPr>
        <w:widowControl w:val="0"/>
        <w:numPr>
          <w:ilvl w:val="0"/>
          <w:numId w:val="17"/>
        </w:numPr>
        <w:autoSpaceDE w:val="0"/>
        <w:autoSpaceDN w:val="0"/>
        <w:adjustRightInd w:val="0"/>
        <w:contextualSpacing/>
        <w:jc w:val="both"/>
        <w:rPr>
          <w:rFonts w:cs="Times New Roman"/>
          <w:bCs/>
          <w:sz w:val="20"/>
          <w:szCs w:val="20"/>
        </w:rPr>
      </w:pPr>
      <w:r w:rsidRPr="00DD21F1">
        <w:rPr>
          <w:rFonts w:cs="Times New Roman"/>
          <w:bCs/>
          <w:sz w:val="20"/>
          <w:szCs w:val="20"/>
        </w:rPr>
        <w:t xml:space="preserve">Any interveners granted leave to intervene under Rule 59 of the </w:t>
      </w:r>
      <w:r w:rsidRPr="00DD21F1">
        <w:rPr>
          <w:rFonts w:cs="Times New Roman"/>
          <w:bCs/>
          <w:i/>
          <w:sz w:val="20"/>
          <w:szCs w:val="20"/>
        </w:rPr>
        <w:t>Rules of the Supreme Court of Canada</w:t>
      </w:r>
      <w:r w:rsidRPr="00DD21F1">
        <w:rPr>
          <w:rFonts w:cs="Times New Roman"/>
          <w:bCs/>
          <w:sz w:val="20"/>
          <w:szCs w:val="20"/>
        </w:rPr>
        <w:t xml:space="preserve"> shall serve and file their factum and book of authorities on or before April 2, 2015.</w:t>
      </w:r>
    </w:p>
    <w:p w:rsidR="00DD21F1" w:rsidRPr="00DD21F1" w:rsidRDefault="00DD21F1" w:rsidP="00DD21F1">
      <w:pPr>
        <w:rPr>
          <w:rFonts w:eastAsia="Times New Roman" w:cs="Times New Roman"/>
          <w:bCs/>
          <w:sz w:val="20"/>
          <w:szCs w:val="20"/>
          <w:lang w:val="en-US" w:eastAsia="en-CA"/>
        </w:rPr>
      </w:pPr>
    </w:p>
    <w:p w:rsidR="00DD21F1" w:rsidRDefault="00DD21F1" w:rsidP="00DD21F1">
      <w:pPr>
        <w:rPr>
          <w:rFonts w:eastAsia="Times New Roman" w:cs="Times New Roman"/>
          <w:bCs/>
          <w:sz w:val="20"/>
          <w:szCs w:val="20"/>
          <w:lang w:val="en-US" w:eastAsia="en-CA"/>
        </w:rPr>
      </w:pPr>
    </w:p>
    <w:p w:rsidR="00A766ED" w:rsidRPr="00DD21F1" w:rsidRDefault="00A766ED" w:rsidP="00DD21F1">
      <w:pPr>
        <w:rPr>
          <w:rFonts w:eastAsia="Times New Roman" w:cs="Times New Roman"/>
          <w:bCs/>
          <w:sz w:val="20"/>
          <w:szCs w:val="20"/>
          <w:lang w:val="en-US" w:eastAsia="en-CA"/>
        </w:rPr>
      </w:pPr>
    </w:p>
    <w:p w:rsidR="00DD21F1" w:rsidRPr="00DD21F1" w:rsidRDefault="00DD21F1" w:rsidP="00DD21F1">
      <w:pPr>
        <w:rPr>
          <w:rFonts w:eastAsia="Times New Roman" w:cs="Times New Roman"/>
          <w:b/>
          <w:bCs/>
          <w:sz w:val="20"/>
          <w:szCs w:val="20"/>
          <w:lang w:val="fr-CA" w:eastAsia="en-CA"/>
        </w:rPr>
      </w:pPr>
      <w:r w:rsidRPr="00DD21F1">
        <w:rPr>
          <w:rFonts w:eastAsia="Times New Roman" w:cs="Times New Roman"/>
          <w:b/>
          <w:bCs/>
          <w:sz w:val="20"/>
          <w:szCs w:val="20"/>
          <w:lang w:val="fr-CA" w:eastAsia="en-CA"/>
        </w:rPr>
        <w:t>IL EST ORDONNÉ CE QUI SUIT :</w:t>
      </w:r>
    </w:p>
    <w:p w:rsidR="00DD21F1" w:rsidRPr="00DD21F1" w:rsidRDefault="00DD21F1" w:rsidP="00DD21F1">
      <w:pPr>
        <w:rPr>
          <w:rFonts w:eastAsia="Times New Roman" w:cs="Times New Roman"/>
          <w:b/>
          <w:bCs/>
          <w:sz w:val="20"/>
          <w:szCs w:val="20"/>
          <w:lang w:val="fr-CA" w:eastAsia="en-CA"/>
        </w:rPr>
      </w:pPr>
    </w:p>
    <w:p w:rsidR="00DD21F1" w:rsidRPr="00DD21F1" w:rsidRDefault="00DD21F1" w:rsidP="00A766ED">
      <w:pPr>
        <w:widowControl w:val="0"/>
        <w:numPr>
          <w:ilvl w:val="0"/>
          <w:numId w:val="18"/>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Les dossier, mémoire et recueil de sources de l’appelante devront être signifiés et déposés au plus tard le 12 février 2015.</w:t>
      </w:r>
    </w:p>
    <w:p w:rsidR="00DD21F1" w:rsidRPr="00DD21F1" w:rsidRDefault="00DD21F1" w:rsidP="00DD21F1">
      <w:pPr>
        <w:ind w:left="1440" w:hanging="1440"/>
        <w:rPr>
          <w:rFonts w:eastAsia="Times New Roman" w:cs="Times New Roman"/>
          <w:sz w:val="20"/>
          <w:szCs w:val="20"/>
          <w:lang w:val="fr-CA" w:eastAsia="en-CA"/>
        </w:rPr>
      </w:pPr>
    </w:p>
    <w:p w:rsidR="00DD21F1" w:rsidRPr="00DD21F1" w:rsidRDefault="00DD21F1" w:rsidP="00A766ED">
      <w:pPr>
        <w:widowControl w:val="0"/>
        <w:numPr>
          <w:ilvl w:val="0"/>
          <w:numId w:val="18"/>
        </w:numPr>
        <w:autoSpaceDE w:val="0"/>
        <w:autoSpaceDN w:val="0"/>
        <w:adjustRightInd w:val="0"/>
        <w:contextualSpacing/>
        <w:jc w:val="both"/>
        <w:rPr>
          <w:rFonts w:cs="Times New Roman"/>
          <w:sz w:val="20"/>
          <w:szCs w:val="20"/>
          <w:lang w:val="fr-CA"/>
        </w:rPr>
      </w:pPr>
      <w:r w:rsidRPr="00DD21F1">
        <w:rPr>
          <w:rFonts w:cs="Times New Roman"/>
          <w:sz w:val="20"/>
          <w:szCs w:val="20"/>
          <w:lang w:val="fr-CA"/>
        </w:rPr>
        <w:t xml:space="preserve">Quiconque souhaite intervenir dans le présent pourvoi en vertu de l’art. 55 des </w:t>
      </w:r>
      <w:r w:rsidRPr="00DD21F1">
        <w:rPr>
          <w:rFonts w:cs="Times New Roman"/>
          <w:i/>
          <w:sz w:val="20"/>
          <w:szCs w:val="20"/>
          <w:lang w:val="fr-CA"/>
        </w:rPr>
        <w:t>Règles de la Cour suprême du Canada</w:t>
      </w:r>
      <w:r w:rsidRPr="00DD21F1">
        <w:rPr>
          <w:rFonts w:cs="Times New Roman"/>
          <w:sz w:val="20"/>
          <w:szCs w:val="20"/>
          <w:lang w:val="fr-CA"/>
        </w:rPr>
        <w:t xml:space="preserve"> signifiera et déposera une requête en autorisation d’intervenir au plus tard le 5 mars 2015. </w:t>
      </w:r>
    </w:p>
    <w:p w:rsidR="00DD21F1" w:rsidRPr="00DD21F1" w:rsidRDefault="00DD21F1" w:rsidP="00DD21F1">
      <w:pPr>
        <w:ind w:left="720"/>
        <w:contextualSpacing/>
        <w:rPr>
          <w:rFonts w:cs="Times New Roman"/>
          <w:sz w:val="20"/>
          <w:szCs w:val="20"/>
          <w:lang w:val="fr-CA"/>
        </w:rPr>
      </w:pPr>
    </w:p>
    <w:p w:rsidR="00DD21F1" w:rsidRPr="00DD21F1" w:rsidRDefault="00DD21F1" w:rsidP="00A766ED">
      <w:pPr>
        <w:widowControl w:val="0"/>
        <w:numPr>
          <w:ilvl w:val="0"/>
          <w:numId w:val="18"/>
        </w:numPr>
        <w:autoSpaceDE w:val="0"/>
        <w:autoSpaceDN w:val="0"/>
        <w:adjustRightInd w:val="0"/>
        <w:contextualSpacing/>
        <w:jc w:val="both"/>
        <w:rPr>
          <w:rFonts w:cs="Times New Roman"/>
          <w:sz w:val="20"/>
          <w:szCs w:val="20"/>
          <w:lang w:val="fr-CA"/>
        </w:rPr>
      </w:pPr>
      <w:r w:rsidRPr="00DD21F1">
        <w:rPr>
          <w:rFonts w:cs="Times New Roman"/>
          <w:sz w:val="20"/>
          <w:szCs w:val="20"/>
          <w:lang w:val="fr-CA"/>
        </w:rPr>
        <w:t xml:space="preserve">Les appelante et intimée devront, le cas échéant, déposer et signifier leur réponse aux requêtes en autorisation d’intervenir au plus tard le 9 mars 2015. </w:t>
      </w:r>
    </w:p>
    <w:p w:rsidR="00DD21F1" w:rsidRPr="00DD21F1" w:rsidRDefault="00DD21F1" w:rsidP="00DD21F1">
      <w:pPr>
        <w:ind w:left="720"/>
        <w:contextualSpacing/>
        <w:rPr>
          <w:rFonts w:cs="Times New Roman"/>
          <w:sz w:val="20"/>
          <w:szCs w:val="20"/>
          <w:lang w:val="fr-CA"/>
        </w:rPr>
      </w:pPr>
    </w:p>
    <w:p w:rsidR="00DD21F1" w:rsidRPr="00DD21F1" w:rsidRDefault="00DD21F1" w:rsidP="00A766ED">
      <w:pPr>
        <w:widowControl w:val="0"/>
        <w:numPr>
          <w:ilvl w:val="0"/>
          <w:numId w:val="18"/>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Les répliques à toute réponse aux requêtes en autorisation d’intervenir devront être signifiées et déposées au plus tard le 11 mars 2015.</w:t>
      </w:r>
    </w:p>
    <w:p w:rsidR="00DD21F1" w:rsidRPr="00DD21F1" w:rsidRDefault="00DD21F1" w:rsidP="00DD21F1">
      <w:pPr>
        <w:ind w:left="1065"/>
        <w:contextualSpacing/>
        <w:rPr>
          <w:rFonts w:cs="Times New Roman"/>
          <w:sz w:val="20"/>
          <w:szCs w:val="20"/>
          <w:lang w:val="fr-CA"/>
        </w:rPr>
      </w:pPr>
    </w:p>
    <w:p w:rsidR="00DD21F1" w:rsidRPr="00DD21F1" w:rsidRDefault="00DD21F1" w:rsidP="00A766ED">
      <w:pPr>
        <w:widowControl w:val="0"/>
        <w:numPr>
          <w:ilvl w:val="0"/>
          <w:numId w:val="18"/>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Les dossier, mémoire et recueil de sources de l’intimée devront être signifiés et déposés au plus tard le 31 mars 2015.</w:t>
      </w:r>
    </w:p>
    <w:p w:rsidR="00DD21F1" w:rsidRPr="00DD21F1" w:rsidRDefault="00DD21F1" w:rsidP="00DD21F1">
      <w:pPr>
        <w:ind w:left="720"/>
        <w:contextualSpacing/>
        <w:rPr>
          <w:rFonts w:cs="Times New Roman"/>
          <w:sz w:val="20"/>
          <w:szCs w:val="20"/>
          <w:lang w:val="fr-CA"/>
        </w:rPr>
      </w:pPr>
    </w:p>
    <w:p w:rsidR="00DD21F1" w:rsidRPr="00DD21F1" w:rsidRDefault="00DD21F1" w:rsidP="00A766ED">
      <w:pPr>
        <w:widowControl w:val="0"/>
        <w:numPr>
          <w:ilvl w:val="0"/>
          <w:numId w:val="18"/>
        </w:numPr>
        <w:autoSpaceDE w:val="0"/>
        <w:autoSpaceDN w:val="0"/>
        <w:adjustRightInd w:val="0"/>
        <w:contextualSpacing/>
        <w:jc w:val="both"/>
        <w:rPr>
          <w:rFonts w:cs="Times New Roman"/>
          <w:bCs/>
          <w:sz w:val="20"/>
          <w:szCs w:val="20"/>
          <w:lang w:val="fr-CA"/>
        </w:rPr>
      </w:pPr>
      <w:r w:rsidRPr="00DD21F1">
        <w:rPr>
          <w:rFonts w:cs="Times New Roman"/>
          <w:bCs/>
          <w:sz w:val="20"/>
          <w:szCs w:val="20"/>
          <w:lang w:val="fr-CA"/>
        </w:rPr>
        <w:t xml:space="preserve">Tout intervenant autorisé à intervenir en application de l’art. 59 des </w:t>
      </w:r>
      <w:r w:rsidRPr="00DD21F1">
        <w:rPr>
          <w:rFonts w:cs="Times New Roman"/>
          <w:i/>
          <w:sz w:val="20"/>
          <w:szCs w:val="20"/>
          <w:lang w:val="fr-CA"/>
        </w:rPr>
        <w:t>Règles de la Cour suprême du Canada</w:t>
      </w:r>
      <w:r w:rsidRPr="00DD21F1">
        <w:rPr>
          <w:rFonts w:cs="Times New Roman"/>
          <w:sz w:val="20"/>
          <w:szCs w:val="20"/>
          <w:lang w:val="fr-CA"/>
        </w:rPr>
        <w:t xml:space="preserve"> signifiera et déposera son mémoire et son recueil de sources au plus tard le 2 avril 2015. </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8A5B26" w:rsidP="00DD21F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12.01.2015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GASCON J. / LE JUGE GASCON</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DD21F1" w:rsidRPr="00021805" w:rsidTr="00DD21F1">
        <w:tc>
          <w:tcPr>
            <w:tcW w:w="4338" w:type="dxa"/>
            <w:gridSpan w:val="2"/>
          </w:tcPr>
          <w:p w:rsidR="00DD21F1" w:rsidRPr="00DD21F1" w:rsidRDefault="00DD21F1" w:rsidP="00DD21F1">
            <w:pPr>
              <w:jc w:val="both"/>
              <w:rPr>
                <w:b/>
              </w:rPr>
            </w:pPr>
            <w:r w:rsidRPr="00DD21F1">
              <w:rPr>
                <w:b/>
                <w:lang w:val="en-US"/>
              </w:rPr>
              <w:t xml:space="preserve">Order on interventions with respect to oral argument </w:t>
            </w:r>
            <w:r w:rsidR="00D5130B" w:rsidRPr="00DD21F1">
              <w:rPr>
                <w:b/>
                <w:lang w:val="en-US"/>
              </w:rPr>
              <w:fldChar w:fldCharType="begin"/>
            </w:r>
            <w:r w:rsidRPr="00DD21F1">
              <w:rPr>
                <w:b/>
              </w:rPr>
              <w:instrText xml:space="preserve"> SEQ CHAPTER \h \r 1</w:instrText>
            </w:r>
            <w:r w:rsidR="00D5130B" w:rsidRPr="00DD21F1">
              <w:rPr>
                <w:b/>
                <w:lang w:val="en-US"/>
              </w:rPr>
              <w:fldChar w:fldCharType="end"/>
            </w:r>
          </w:p>
        </w:tc>
        <w:tc>
          <w:tcPr>
            <w:tcW w:w="1170" w:type="dxa"/>
          </w:tcPr>
          <w:p w:rsidR="00DD21F1" w:rsidRPr="00DD21F1" w:rsidRDefault="00DD21F1" w:rsidP="00DD21F1"/>
          <w:p w:rsidR="00DD21F1" w:rsidRPr="00DD21F1" w:rsidRDefault="00DD21F1" w:rsidP="00DD21F1"/>
          <w:p w:rsidR="00DD21F1" w:rsidRPr="00DD21F1" w:rsidRDefault="00DD21F1" w:rsidP="00DD21F1"/>
        </w:tc>
        <w:tc>
          <w:tcPr>
            <w:tcW w:w="4327" w:type="dxa"/>
          </w:tcPr>
          <w:p w:rsidR="00DD21F1" w:rsidRPr="00DD21F1" w:rsidRDefault="00DD21F1" w:rsidP="00DD21F1">
            <w:pPr>
              <w:jc w:val="both"/>
              <w:rPr>
                <w:b/>
                <w:lang w:val="fr-CA"/>
              </w:rPr>
            </w:pPr>
            <w:r w:rsidRPr="00DD21F1">
              <w:rPr>
                <w:b/>
                <w:lang w:val="fr-CA"/>
              </w:rPr>
              <w:t>Ordonnance relative à la présentation d’une plaidoirie orale par les intervenants</w:t>
            </w:r>
            <w:r w:rsidR="00D5130B" w:rsidRPr="00DD21F1">
              <w:rPr>
                <w:b/>
                <w:lang w:val="en-US"/>
              </w:rPr>
              <w:fldChar w:fldCharType="begin"/>
            </w:r>
            <w:r w:rsidRPr="00DD21F1">
              <w:rPr>
                <w:b/>
                <w:lang w:val="fr-CA"/>
              </w:rPr>
              <w:instrText xml:space="preserve"> SEQ CHAPTER \h \r 1</w:instrText>
            </w:r>
            <w:r w:rsidR="00D5130B" w:rsidRPr="00DD21F1">
              <w:rPr>
                <w:b/>
                <w:lang w:val="en-US"/>
              </w:rPr>
              <w:fldChar w:fldCharType="end"/>
            </w:r>
          </w:p>
        </w:tc>
      </w:tr>
      <w:tr w:rsidR="00DD21F1" w:rsidRPr="00DD21F1" w:rsidTr="00DD21F1">
        <w:trPr>
          <w:trHeight w:hRule="exact" w:val="576"/>
        </w:trPr>
        <w:tc>
          <w:tcPr>
            <w:tcW w:w="1368" w:type="dxa"/>
          </w:tcPr>
          <w:p w:rsidR="00DD21F1" w:rsidRPr="00DD21F1" w:rsidRDefault="00DD21F1" w:rsidP="00DD21F1">
            <w:r w:rsidRPr="00DD21F1">
              <w:t>RE:</w:t>
            </w:r>
          </w:p>
        </w:tc>
        <w:tc>
          <w:tcPr>
            <w:tcW w:w="2970" w:type="dxa"/>
          </w:tcPr>
          <w:p w:rsidR="00DD21F1" w:rsidRPr="00DD21F1" w:rsidRDefault="00DD21F1" w:rsidP="00DD21F1">
            <w:r w:rsidRPr="00DD21F1">
              <w:rPr>
                <w:lang w:val="en-US"/>
              </w:rPr>
              <w:t>Michael Dow, Gwendolyn Miron and Peter Teolis;</w:t>
            </w:r>
          </w:p>
        </w:tc>
        <w:tc>
          <w:tcPr>
            <w:tcW w:w="1170" w:type="dxa"/>
          </w:tcPr>
          <w:p w:rsidR="00DD21F1" w:rsidRPr="00DD21F1" w:rsidRDefault="00DD21F1" w:rsidP="00DD21F1"/>
        </w:tc>
        <w:tc>
          <w:tcPr>
            <w:tcW w:w="4327" w:type="dxa"/>
          </w:tcPr>
          <w:p w:rsidR="00DD21F1" w:rsidRPr="00DD21F1" w:rsidRDefault="00DD21F1" w:rsidP="00DD21F1"/>
        </w:tc>
      </w:tr>
      <w:tr w:rsidR="00DD21F1" w:rsidRPr="00DD21F1" w:rsidTr="00DD21F1">
        <w:tc>
          <w:tcPr>
            <w:tcW w:w="1368" w:type="dxa"/>
          </w:tcPr>
          <w:p w:rsidR="00DD21F1" w:rsidRPr="00DD21F1" w:rsidRDefault="00DD21F1" w:rsidP="00DD21F1"/>
        </w:tc>
        <w:tc>
          <w:tcPr>
            <w:tcW w:w="2970" w:type="dxa"/>
          </w:tcPr>
          <w:p w:rsidR="00DD21F1" w:rsidRPr="00DD21F1" w:rsidRDefault="00DD21F1" w:rsidP="00DD21F1"/>
        </w:tc>
        <w:tc>
          <w:tcPr>
            <w:tcW w:w="1170" w:type="dxa"/>
          </w:tcPr>
          <w:p w:rsidR="00DD21F1" w:rsidRPr="00DD21F1" w:rsidRDefault="00DD21F1" w:rsidP="00DD21F1"/>
        </w:tc>
        <w:tc>
          <w:tcPr>
            <w:tcW w:w="4327" w:type="dxa"/>
          </w:tcPr>
          <w:p w:rsidR="00DD21F1" w:rsidRPr="00DD21F1" w:rsidRDefault="00DD21F1" w:rsidP="00DD21F1"/>
        </w:tc>
      </w:tr>
      <w:tr w:rsidR="00DD21F1" w:rsidRPr="00DD21F1" w:rsidTr="00DD21F1">
        <w:tc>
          <w:tcPr>
            <w:tcW w:w="1368" w:type="dxa"/>
          </w:tcPr>
          <w:p w:rsidR="00DD21F1" w:rsidRPr="00DD21F1" w:rsidRDefault="00DD21F1" w:rsidP="00DD21F1">
            <w:r w:rsidRPr="00DD21F1">
              <w:t>IN / DANS :</w:t>
            </w:r>
          </w:p>
        </w:tc>
        <w:tc>
          <w:tcPr>
            <w:tcW w:w="2970" w:type="dxa"/>
          </w:tcPr>
          <w:p w:rsidR="00DD21F1" w:rsidRPr="00DD21F1" w:rsidRDefault="00DD21F1" w:rsidP="00DD21F1">
            <w:r w:rsidRPr="00DD21F1">
              <w:t>407 ETR Concession Company Limited</w:t>
            </w:r>
          </w:p>
          <w:p w:rsidR="00DD21F1" w:rsidRPr="00DD21F1" w:rsidRDefault="00DD21F1" w:rsidP="00DD21F1"/>
          <w:p w:rsidR="00DD21F1" w:rsidRPr="00DD21F1" w:rsidRDefault="00DD21F1" w:rsidP="00DD21F1">
            <w:r w:rsidRPr="00DD21F1">
              <w:tab/>
              <w:t>v. (35696)</w:t>
            </w:r>
          </w:p>
          <w:p w:rsidR="00DD21F1" w:rsidRPr="00DD21F1" w:rsidRDefault="00DD21F1" w:rsidP="00DD21F1"/>
          <w:p w:rsidR="00DD21F1" w:rsidRPr="00DD21F1" w:rsidRDefault="00DD21F1" w:rsidP="00DD21F1">
            <w:r w:rsidRPr="00DD21F1">
              <w:t>Superintendent of Bankruptcy (Ont.)</w:t>
            </w:r>
          </w:p>
        </w:tc>
        <w:tc>
          <w:tcPr>
            <w:tcW w:w="1170" w:type="dxa"/>
          </w:tcPr>
          <w:p w:rsidR="00DD21F1" w:rsidRPr="00DD21F1" w:rsidRDefault="00DD21F1" w:rsidP="00DD21F1"/>
        </w:tc>
        <w:tc>
          <w:tcPr>
            <w:tcW w:w="4327" w:type="dxa"/>
          </w:tcPr>
          <w:p w:rsidR="00DD21F1" w:rsidRPr="00DD21F1" w:rsidRDefault="00DD21F1" w:rsidP="00DD21F1"/>
        </w:tc>
      </w:tr>
    </w:tbl>
    <w:p w:rsidR="00DD21F1" w:rsidRPr="00DD21F1" w:rsidRDefault="00DD21F1" w:rsidP="00DD21F1">
      <w:pPr>
        <w:tabs>
          <w:tab w:val="left" w:pos="-1440"/>
          <w:tab w:val="left" w:pos="-720"/>
        </w:tabs>
        <w:jc w:val="both"/>
        <w:rPr>
          <w:rFonts w:eastAsia="Times New Roman" w:cs="Times New Roman"/>
          <w:sz w:val="20"/>
          <w:szCs w:val="20"/>
          <w:lang w:val="en-US" w:eastAsia="en-CA"/>
        </w:rPr>
      </w:pPr>
    </w:p>
    <w:p w:rsidR="00DD21F1" w:rsidRPr="00DD21F1" w:rsidRDefault="00DD21F1" w:rsidP="00DD21F1">
      <w:pPr>
        <w:spacing w:line="233" w:lineRule="auto"/>
        <w:jc w:val="both"/>
        <w:rPr>
          <w:rFonts w:eastAsia="Times New Roman" w:cs="Times New Roman"/>
          <w:sz w:val="20"/>
          <w:szCs w:val="20"/>
          <w:lang w:eastAsia="en-CA"/>
        </w:rPr>
      </w:pPr>
      <w:r w:rsidRPr="00DD21F1">
        <w:rPr>
          <w:rFonts w:eastAsia="Times New Roman" w:cs="Times New Roman"/>
          <w:b/>
          <w:sz w:val="20"/>
          <w:szCs w:val="20"/>
          <w:lang w:eastAsia="en-CA"/>
        </w:rPr>
        <w:t>FURTHER TO THE ORDER</w:t>
      </w:r>
      <w:r w:rsidRPr="00DD21F1">
        <w:rPr>
          <w:rFonts w:eastAsia="Times New Roman" w:cs="Times New Roman"/>
          <w:sz w:val="20"/>
          <w:szCs w:val="20"/>
          <w:lang w:eastAsia="en-CA"/>
        </w:rPr>
        <w:t xml:space="preserve"> dated November 4, 2014, granting leave to intervene to the Michael Dow, Gwendolyn Miron and Peter Teolis in the above appeal;</w:t>
      </w:r>
    </w:p>
    <w:p w:rsidR="00DD21F1" w:rsidRPr="00DD21F1" w:rsidRDefault="00DD21F1" w:rsidP="00DD21F1">
      <w:pPr>
        <w:spacing w:line="233" w:lineRule="auto"/>
        <w:jc w:val="both"/>
        <w:rPr>
          <w:rFonts w:eastAsia="Times New Roman" w:cs="Times New Roman"/>
          <w:sz w:val="20"/>
          <w:szCs w:val="20"/>
          <w:lang w:eastAsia="en-CA"/>
        </w:rPr>
      </w:pPr>
    </w:p>
    <w:p w:rsidR="00DD21F1" w:rsidRPr="00DD21F1" w:rsidRDefault="00DD21F1" w:rsidP="00DD21F1">
      <w:pPr>
        <w:spacing w:line="233" w:lineRule="auto"/>
        <w:jc w:val="both"/>
        <w:rPr>
          <w:rFonts w:eastAsia="Times New Roman" w:cs="Times New Roman"/>
          <w:sz w:val="20"/>
          <w:szCs w:val="20"/>
          <w:lang w:eastAsia="en-CA"/>
        </w:rPr>
      </w:pPr>
      <w:r w:rsidRPr="00DD21F1">
        <w:rPr>
          <w:rFonts w:eastAsia="Times New Roman" w:cs="Times New Roman"/>
          <w:b/>
          <w:bCs/>
          <w:sz w:val="20"/>
          <w:szCs w:val="20"/>
          <w:lang w:eastAsia="en-CA"/>
        </w:rPr>
        <w:t xml:space="preserve">IT IS HEREBY FURTHER ORDERED THAT </w:t>
      </w:r>
      <w:r w:rsidRPr="00DD21F1">
        <w:rPr>
          <w:rFonts w:eastAsia="Times New Roman" w:cs="Times New Roman"/>
          <w:bCs/>
          <w:sz w:val="20"/>
          <w:szCs w:val="20"/>
          <w:lang w:eastAsia="en-CA"/>
        </w:rPr>
        <w:t>t</w:t>
      </w:r>
      <w:r w:rsidRPr="00DD21F1">
        <w:rPr>
          <w:rFonts w:eastAsia="Times New Roman" w:cs="Times New Roman"/>
          <w:sz w:val="20"/>
          <w:szCs w:val="20"/>
          <w:lang w:eastAsia="en-CA"/>
        </w:rPr>
        <w:t>he said group of interveners is granted permission to present oral argument not exceeding ten (10) minutes at the hearing of the appeal.</w:t>
      </w:r>
    </w:p>
    <w:p w:rsidR="00DD21F1" w:rsidRPr="00DD21F1" w:rsidRDefault="00DD21F1" w:rsidP="00DD21F1">
      <w:pPr>
        <w:spacing w:line="233" w:lineRule="auto"/>
        <w:jc w:val="both"/>
        <w:rPr>
          <w:rFonts w:eastAsia="Times New Roman" w:cs="Times New Roman"/>
          <w:sz w:val="20"/>
          <w:szCs w:val="20"/>
          <w:lang w:eastAsia="en-CA"/>
        </w:rPr>
      </w:pPr>
    </w:p>
    <w:p w:rsidR="00DD21F1" w:rsidRPr="00DD21F1" w:rsidRDefault="00DD21F1" w:rsidP="00DD21F1">
      <w:pPr>
        <w:spacing w:line="233" w:lineRule="auto"/>
        <w:jc w:val="both"/>
        <w:rPr>
          <w:rFonts w:eastAsia="Times New Roman" w:cs="Times New Roman"/>
          <w:sz w:val="20"/>
          <w:szCs w:val="20"/>
          <w:lang w:eastAsia="en-CA"/>
        </w:rPr>
      </w:pPr>
    </w:p>
    <w:p w:rsidR="00DD21F1" w:rsidRPr="00DD21F1" w:rsidRDefault="00DD21F1" w:rsidP="00DD21F1">
      <w:pPr>
        <w:spacing w:line="233" w:lineRule="auto"/>
        <w:jc w:val="both"/>
        <w:rPr>
          <w:rFonts w:eastAsia="Times New Roman" w:cs="Times New Roman"/>
          <w:sz w:val="20"/>
          <w:szCs w:val="20"/>
          <w:lang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sz w:val="20"/>
          <w:szCs w:val="20"/>
          <w:lang w:val="fr-CA" w:eastAsia="en-CA"/>
        </w:rPr>
        <w:t>À LA SUITE DE L’ORDONNANCE</w:t>
      </w:r>
      <w:r w:rsidRPr="00DD21F1">
        <w:rPr>
          <w:rFonts w:eastAsia="Times New Roman" w:cs="Times New Roman"/>
          <w:sz w:val="20"/>
          <w:szCs w:val="20"/>
          <w:lang w:val="fr-CA" w:eastAsia="en-CA"/>
        </w:rPr>
        <w:t xml:space="preserve"> datée du 4 novembre 2014 autorisant Michael Dow, Gwendolyn Miron et Peter Teolis à intervenir dans l’appel;</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 xml:space="preserve">IL EST EN OUTRE ORDONNÉ QUE </w:t>
      </w:r>
      <w:r w:rsidRPr="00DD21F1">
        <w:rPr>
          <w:rFonts w:eastAsia="Times New Roman" w:cs="Times New Roman"/>
          <w:bCs/>
          <w:sz w:val="20"/>
          <w:szCs w:val="20"/>
          <w:lang w:val="fr-CA" w:eastAsia="en-CA"/>
        </w:rPr>
        <w:t xml:space="preserve">ce groupe d’intervenants pourra présenter une plaidoirie orale d’au plus </w:t>
      </w:r>
      <w:r w:rsidRPr="00DD21F1">
        <w:rPr>
          <w:rFonts w:eastAsia="Times New Roman" w:cs="Times New Roman"/>
          <w:sz w:val="20"/>
          <w:szCs w:val="20"/>
          <w:lang w:val="fr-CA" w:eastAsia="en-CA"/>
        </w:rPr>
        <w:t>dix (10) minutes lors de l’audition de l’appel.</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8A5B26" w:rsidP="00DD21F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12.01.2015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THE CHIEF JUSTICE / LA JUGE EN CHEF</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D21F1" w:rsidRPr="00021805" w:rsidTr="00DD21F1">
        <w:tc>
          <w:tcPr>
            <w:tcW w:w="4338" w:type="dxa"/>
          </w:tcPr>
          <w:p w:rsidR="00DD21F1" w:rsidRPr="00DD21F1" w:rsidRDefault="00D5130B" w:rsidP="00DD21F1">
            <w:pPr>
              <w:tabs>
                <w:tab w:val="left" w:pos="-1440"/>
                <w:tab w:val="left" w:pos="-720"/>
              </w:tabs>
              <w:jc w:val="both"/>
              <w:rPr>
                <w:b/>
              </w:rPr>
            </w:pPr>
            <w:r w:rsidRPr="00DD21F1">
              <w:rPr>
                <w:lang w:val="en-US"/>
              </w:rPr>
              <w:fldChar w:fldCharType="begin"/>
            </w:r>
            <w:r w:rsidR="00DD21F1" w:rsidRPr="00DD21F1">
              <w:rPr>
                <w:lang w:val="en-US"/>
              </w:rPr>
              <w:instrText xml:space="preserve"> SEQ CHAPTER \h \r 1</w:instrText>
            </w:r>
            <w:r w:rsidRPr="00DD21F1">
              <w:rPr>
                <w:lang w:val="en-US"/>
              </w:rPr>
              <w:fldChar w:fldCharType="end"/>
            </w:r>
            <w:r w:rsidR="00DD21F1" w:rsidRPr="00DD21F1">
              <w:rPr>
                <w:b/>
                <w:bCs/>
                <w:lang w:val="en-US"/>
              </w:rPr>
              <w:t>Motion to state constitutional questions</w:t>
            </w:r>
          </w:p>
        </w:tc>
        <w:tc>
          <w:tcPr>
            <w:tcW w:w="1170" w:type="dxa"/>
          </w:tcPr>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p>
        </w:tc>
        <w:tc>
          <w:tcPr>
            <w:tcW w:w="4327" w:type="dxa"/>
          </w:tcPr>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r w:rsidR="00DD21F1" w:rsidRPr="00DD21F1">
              <w:rPr>
                <w:b/>
                <w:bCs/>
                <w:lang w:val="fr-CA"/>
              </w:rPr>
              <w:t>Requête en formulation de questions constitutionnelles</w:t>
            </w:r>
            <w:r w:rsidRPr="00DD21F1">
              <w:rPr>
                <w:lang w:val="en-US"/>
              </w:rPr>
              <w:fldChar w:fldCharType="begin"/>
            </w:r>
            <w:r w:rsidR="00DD21F1" w:rsidRPr="00DD21F1">
              <w:rPr>
                <w:lang w:val="fr-CA"/>
              </w:rPr>
              <w:instrText xml:space="preserve"> SEQ CHAPTER \h \r 1</w:instrText>
            </w:r>
            <w:r w:rsidRPr="00DD21F1">
              <w:rPr>
                <w:lang w:val="en-US"/>
              </w:rPr>
              <w:fldChar w:fldCharType="end"/>
            </w:r>
            <w:r w:rsidRPr="00DD21F1">
              <w:rPr>
                <w:lang w:val="en-US"/>
              </w:rPr>
              <w:fldChar w:fldCharType="begin"/>
            </w:r>
            <w:r w:rsidR="00DD21F1" w:rsidRPr="00DD21F1">
              <w:rPr>
                <w:lang w:val="fr-CA"/>
              </w:rPr>
              <w:instrText xml:space="preserve"> SEQ CHAPTER \h \r 1</w:instrText>
            </w:r>
            <w:r w:rsidRPr="00DD21F1">
              <w:rPr>
                <w:lang w:val="en-US"/>
              </w:rPr>
              <w:fldChar w:fldCharType="end"/>
            </w:r>
            <w:r w:rsidRPr="00DD21F1">
              <w:rPr>
                <w:lang w:val="en-US"/>
              </w:rPr>
              <w:fldChar w:fldCharType="begin"/>
            </w:r>
            <w:r w:rsidR="00DD21F1" w:rsidRPr="00DD21F1">
              <w:rPr>
                <w:lang w:val="fr-CA"/>
              </w:rPr>
              <w:instrText xml:space="preserve"> SEQ CHAPTER \h \r 1</w:instrText>
            </w:r>
            <w:r w:rsidRPr="00DD21F1">
              <w:rPr>
                <w:lang w:val="en-US"/>
              </w:rPr>
              <w:fldChar w:fldCharType="end"/>
            </w:r>
          </w:p>
        </w:tc>
      </w:tr>
      <w:tr w:rsidR="00DD21F1" w:rsidRPr="00DD21F1" w:rsidTr="00DD21F1">
        <w:tc>
          <w:tcPr>
            <w:tcW w:w="4338" w:type="dxa"/>
          </w:tcPr>
          <w:p w:rsidR="00DD21F1" w:rsidRPr="00DD21F1" w:rsidRDefault="00DD21F1" w:rsidP="00DD21F1">
            <w:pPr>
              <w:tabs>
                <w:tab w:val="left" w:pos="-1440"/>
                <w:tab w:val="left" w:pos="-720"/>
              </w:tabs>
              <w:jc w:val="both"/>
              <w:rPr>
                <w:lang w:val="fr-CA"/>
              </w:rPr>
            </w:pPr>
            <w:r w:rsidRPr="00DD21F1">
              <w:rPr>
                <w:lang w:val="fr-CA"/>
              </w:rPr>
              <w:t>Sergent Damien Arsenault</w:t>
            </w:r>
          </w:p>
          <w:p w:rsidR="00DD21F1" w:rsidRPr="00DD21F1" w:rsidRDefault="00DD21F1" w:rsidP="00DD21F1">
            <w:pPr>
              <w:tabs>
                <w:tab w:val="left" w:pos="-1440"/>
                <w:tab w:val="left" w:pos="-720"/>
              </w:tabs>
              <w:jc w:val="both"/>
              <w:rPr>
                <w:lang w:val="fr-CA"/>
              </w:rPr>
            </w:pPr>
          </w:p>
          <w:p w:rsidR="00DD21F1" w:rsidRPr="00DD21F1" w:rsidRDefault="00DD21F1" w:rsidP="00DD21F1">
            <w:pPr>
              <w:tabs>
                <w:tab w:val="left" w:pos="-1440"/>
                <w:tab w:val="left" w:pos="-720"/>
              </w:tabs>
              <w:jc w:val="both"/>
              <w:rPr>
                <w:lang w:val="fr-CA"/>
              </w:rPr>
            </w:pPr>
            <w:r w:rsidRPr="00DD21F1">
              <w:rPr>
                <w:lang w:val="fr-CA"/>
              </w:rPr>
              <w:tab/>
              <w:t>c. (35946)</w:t>
            </w:r>
          </w:p>
          <w:p w:rsidR="00DD21F1" w:rsidRPr="00DD21F1" w:rsidRDefault="00DD21F1" w:rsidP="00DD21F1">
            <w:pPr>
              <w:tabs>
                <w:tab w:val="left" w:pos="-1440"/>
                <w:tab w:val="left" w:pos="-720"/>
              </w:tabs>
              <w:jc w:val="both"/>
              <w:rPr>
                <w:lang w:val="fr-CA"/>
              </w:rPr>
            </w:pPr>
          </w:p>
          <w:p w:rsidR="00DD21F1" w:rsidRPr="00DD21F1" w:rsidRDefault="00DD21F1" w:rsidP="00DD21F1">
            <w:pPr>
              <w:tabs>
                <w:tab w:val="left" w:pos="-1440"/>
                <w:tab w:val="left" w:pos="-720"/>
              </w:tabs>
              <w:jc w:val="both"/>
              <w:rPr>
                <w:lang w:val="fr-CA"/>
              </w:rPr>
            </w:pPr>
            <w:r w:rsidRPr="00DD21F1">
              <w:rPr>
                <w:lang w:val="fr-CA"/>
              </w:rPr>
              <w:t>Sa Majesté la Reine (Crim.) (F.C.)</w:t>
            </w:r>
          </w:p>
        </w:tc>
        <w:tc>
          <w:tcPr>
            <w:tcW w:w="1170" w:type="dxa"/>
          </w:tcPr>
          <w:p w:rsidR="00DD21F1" w:rsidRPr="00DD21F1" w:rsidRDefault="00DD21F1" w:rsidP="00DD21F1">
            <w:pPr>
              <w:tabs>
                <w:tab w:val="left" w:pos="-1440"/>
                <w:tab w:val="left" w:pos="-720"/>
              </w:tabs>
              <w:jc w:val="both"/>
              <w:rPr>
                <w:lang w:val="fr-CA"/>
              </w:rPr>
            </w:pPr>
          </w:p>
        </w:tc>
        <w:tc>
          <w:tcPr>
            <w:tcW w:w="4327" w:type="dxa"/>
          </w:tcPr>
          <w:p w:rsidR="00DD21F1" w:rsidRPr="00DD21F1" w:rsidRDefault="00DD21F1" w:rsidP="00DD21F1">
            <w:pPr>
              <w:tabs>
                <w:tab w:val="left" w:pos="-1440"/>
                <w:tab w:val="left" w:pos="-720"/>
              </w:tabs>
              <w:jc w:val="both"/>
              <w:rPr>
                <w:lang w:val="fr-CA"/>
              </w:rPr>
            </w:pPr>
          </w:p>
        </w:tc>
      </w:tr>
    </w:tbl>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b/>
          <w:sz w:val="20"/>
          <w:szCs w:val="20"/>
          <w:lang w:val="fr-CA" w:eastAsia="en-CA"/>
        </w:rPr>
      </w:pPr>
      <w:r w:rsidRPr="00DD21F1">
        <w:rPr>
          <w:rFonts w:eastAsia="Times New Roman" w:cs="Times New Roman"/>
          <w:b/>
          <w:sz w:val="20"/>
          <w:szCs w:val="20"/>
          <w:lang w:val="fr-CA" w:eastAsia="en-CA"/>
        </w:rPr>
        <w:t>GRANTED / ACCORDÉE</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sz w:val="20"/>
          <w:szCs w:val="20"/>
          <w:lang w:val="fr-CA" w:eastAsia="en-CA"/>
        </w:rPr>
      </w:pPr>
      <w:r w:rsidRPr="00DD21F1">
        <w:rPr>
          <w:rFonts w:eastAsia="Times New Roman" w:cs="Times New Roman"/>
          <w:b/>
          <w:bCs/>
          <w:sz w:val="20"/>
          <w:szCs w:val="20"/>
          <w:lang w:val="fr-CA" w:eastAsia="en-CA"/>
        </w:rPr>
        <w:t>À LA SUITE DE LA DEMANDE</w:t>
      </w:r>
      <w:r w:rsidRPr="00DD21F1">
        <w:rPr>
          <w:rFonts w:eastAsia="Times New Roman" w:cs="Times New Roman"/>
          <w:sz w:val="20"/>
          <w:szCs w:val="20"/>
          <w:lang w:val="fr-CA" w:eastAsia="en-CA"/>
        </w:rPr>
        <w:t xml:space="preserve"> de l’appelant visant à obtenir la formulation des questions constitutionnelles dans l’appel susmentionné;</w:t>
      </w: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sz w:val="20"/>
          <w:szCs w:val="20"/>
          <w:lang w:val="fr-CA" w:eastAsia="en-CA"/>
        </w:rPr>
      </w:pPr>
      <w:r w:rsidRPr="00DD21F1">
        <w:rPr>
          <w:rFonts w:eastAsia="Times New Roman" w:cs="Times New Roman"/>
          <w:b/>
          <w:bCs/>
          <w:sz w:val="20"/>
          <w:szCs w:val="20"/>
          <w:lang w:val="fr-CA" w:eastAsia="en-CA"/>
        </w:rPr>
        <w:t>ET APRÈS AVOIR LU</w:t>
      </w:r>
      <w:r w:rsidRPr="00DD21F1">
        <w:rPr>
          <w:rFonts w:eastAsia="Times New Roman" w:cs="Times New Roman"/>
          <w:sz w:val="20"/>
          <w:szCs w:val="20"/>
          <w:lang w:val="fr-CA" w:eastAsia="en-CA"/>
        </w:rPr>
        <w:t xml:space="preserve"> la documentation déposée,</w:t>
      </w: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b/>
          <w:bCs/>
          <w:sz w:val="20"/>
          <w:szCs w:val="20"/>
          <w:lang w:val="fr-CA" w:eastAsia="en-CA"/>
        </w:rPr>
      </w:pPr>
      <w:r w:rsidRPr="00DD21F1">
        <w:rPr>
          <w:rFonts w:eastAsia="Times New Roman" w:cs="Times New Roman"/>
          <w:b/>
          <w:bCs/>
          <w:sz w:val="20"/>
          <w:szCs w:val="20"/>
          <w:lang w:val="fr-CA" w:eastAsia="en-CA"/>
        </w:rPr>
        <w:t>LES QUESTIONS CONSTITUTIONNELLES SUIVANTES SONT FORMULÉES:</w:t>
      </w:r>
    </w:p>
    <w:p w:rsidR="00DD21F1" w:rsidRPr="00DD21F1" w:rsidRDefault="00DD21F1" w:rsidP="00DD21F1">
      <w:pPr>
        <w:jc w:val="both"/>
        <w:rPr>
          <w:rFonts w:eastAsia="Times New Roman" w:cs="Times New Roman"/>
          <w:b/>
          <w:bCs/>
          <w:sz w:val="20"/>
          <w:szCs w:val="20"/>
          <w:lang w:val="fr-CA" w:eastAsia="en-CA"/>
        </w:rPr>
      </w:pPr>
    </w:p>
    <w:p w:rsidR="00DD21F1" w:rsidRPr="00DD21F1" w:rsidRDefault="00DD21F1" w:rsidP="00DD21F1">
      <w:pPr>
        <w:ind w:left="1418" w:hanging="720"/>
        <w:jc w:val="both"/>
        <w:rPr>
          <w:rFonts w:eastAsia="Times New Roman" w:cs="Times New Roman"/>
          <w:color w:val="1A1A1A"/>
          <w:sz w:val="20"/>
          <w:szCs w:val="20"/>
          <w:lang w:val="fr-CA" w:eastAsia="en-CA"/>
        </w:rPr>
      </w:pPr>
      <w:r w:rsidRPr="00DD21F1">
        <w:rPr>
          <w:rFonts w:eastAsia="Times New Roman" w:cs="Times New Roman"/>
          <w:color w:val="1A1A1A"/>
          <w:sz w:val="20"/>
          <w:szCs w:val="20"/>
          <w:lang w:val="fr-CA" w:eastAsia="en-CA"/>
        </w:rPr>
        <w:t>1.</w:t>
      </w:r>
      <w:r w:rsidRPr="00DD21F1">
        <w:rPr>
          <w:rFonts w:eastAsia="Times New Roman" w:cs="Times New Roman"/>
          <w:color w:val="1A1A1A"/>
          <w:sz w:val="20"/>
          <w:szCs w:val="20"/>
          <w:lang w:val="fr-CA" w:eastAsia="en-CA"/>
        </w:rPr>
        <w:tab/>
        <w:t>L’alinéa 130(1)</w:t>
      </w:r>
      <w:r w:rsidRPr="00DD21F1">
        <w:rPr>
          <w:rFonts w:eastAsia="Times New Roman" w:cs="Times New Roman"/>
          <w:i/>
          <w:color w:val="1A1A1A"/>
          <w:sz w:val="20"/>
          <w:szCs w:val="20"/>
          <w:lang w:val="fr-CA" w:eastAsia="en-CA"/>
        </w:rPr>
        <w:t>a</w:t>
      </w:r>
      <w:r w:rsidRPr="00DD21F1">
        <w:rPr>
          <w:rFonts w:eastAsia="Times New Roman" w:cs="Times New Roman"/>
          <w:color w:val="1A1A1A"/>
          <w:sz w:val="20"/>
          <w:szCs w:val="20"/>
          <w:lang w:val="fr-CA" w:eastAsia="en-CA"/>
        </w:rPr>
        <w:t xml:space="preserve">) de la </w:t>
      </w:r>
      <w:r w:rsidRPr="00DD21F1">
        <w:rPr>
          <w:rFonts w:eastAsia="Times New Roman" w:cs="Times New Roman"/>
          <w:i/>
          <w:color w:val="1A1A1A"/>
          <w:sz w:val="20"/>
          <w:szCs w:val="20"/>
          <w:lang w:val="fr-CA" w:eastAsia="en-CA"/>
        </w:rPr>
        <w:t>Loi sur la défense nationale</w:t>
      </w:r>
      <w:r w:rsidRPr="00DD21F1">
        <w:rPr>
          <w:rFonts w:eastAsia="Times New Roman" w:cs="Times New Roman"/>
          <w:color w:val="1A1A1A"/>
          <w:sz w:val="20"/>
          <w:szCs w:val="20"/>
          <w:lang w:val="fr-CA" w:eastAsia="en-CA"/>
        </w:rPr>
        <w:t xml:space="preserve">, L.R.C. 1985, ch. N-5, viole-t-il l’art. 7 de la </w:t>
      </w:r>
      <w:r w:rsidRPr="00DD21F1">
        <w:rPr>
          <w:rFonts w:eastAsia="Times New Roman" w:cs="Times New Roman"/>
          <w:i/>
          <w:color w:val="1A1A1A"/>
          <w:sz w:val="20"/>
          <w:szCs w:val="20"/>
          <w:lang w:val="fr-CA" w:eastAsia="en-CA"/>
        </w:rPr>
        <w:t>Charte canadienne des droits et libertés</w:t>
      </w:r>
      <w:r w:rsidRPr="00DD21F1">
        <w:rPr>
          <w:rFonts w:eastAsia="Times New Roman" w:cs="Times New Roman"/>
          <w:color w:val="1A1A1A"/>
          <w:sz w:val="20"/>
          <w:szCs w:val="20"/>
          <w:lang w:val="fr-CA" w:eastAsia="en-CA"/>
        </w:rPr>
        <w:t>?</w:t>
      </w:r>
    </w:p>
    <w:p w:rsidR="00DD21F1" w:rsidRPr="00DD21F1" w:rsidRDefault="00DD21F1" w:rsidP="00DD21F1">
      <w:pPr>
        <w:ind w:left="1418"/>
        <w:jc w:val="both"/>
        <w:rPr>
          <w:rFonts w:eastAsia="Times New Roman" w:cs="Times New Roman"/>
          <w:color w:val="1A1A1A"/>
          <w:sz w:val="20"/>
          <w:szCs w:val="20"/>
          <w:lang w:val="fr-CA" w:eastAsia="en-CA"/>
        </w:rPr>
      </w:pPr>
    </w:p>
    <w:p w:rsidR="00DD21F1" w:rsidRPr="00DD21F1" w:rsidRDefault="00DD21F1" w:rsidP="00DD21F1">
      <w:pPr>
        <w:ind w:left="1418" w:hanging="720"/>
        <w:jc w:val="both"/>
        <w:rPr>
          <w:rFonts w:eastAsia="Times New Roman" w:cs="Times New Roman"/>
          <w:color w:val="1A1A1A"/>
          <w:sz w:val="20"/>
          <w:szCs w:val="20"/>
          <w:lang w:val="fr-CA" w:eastAsia="en-CA"/>
        </w:rPr>
      </w:pPr>
      <w:r w:rsidRPr="00DD21F1">
        <w:rPr>
          <w:rFonts w:eastAsia="Times New Roman" w:cs="Times New Roman"/>
          <w:color w:val="1A1A1A"/>
          <w:sz w:val="20"/>
          <w:szCs w:val="20"/>
          <w:lang w:val="fr-CA" w:eastAsia="en-CA"/>
        </w:rPr>
        <w:t>2.</w:t>
      </w:r>
      <w:r w:rsidRPr="00DD21F1">
        <w:rPr>
          <w:rFonts w:eastAsia="Times New Roman" w:cs="Times New Roman"/>
          <w:color w:val="1A1A1A"/>
          <w:sz w:val="20"/>
          <w:szCs w:val="20"/>
          <w:lang w:val="fr-CA" w:eastAsia="en-CA"/>
        </w:rPr>
        <w:tab/>
        <w:t xml:space="preserve">Dans l’affirmative, s’agit-il d’une violation constituant une limite raisonnable prescrite par une règle de droit et dont la justification peut se démontrer dans le cadre d’une société libre et démocratique au sens de l’article premier de la </w:t>
      </w:r>
      <w:r w:rsidRPr="00DD21F1">
        <w:rPr>
          <w:rFonts w:eastAsia="Times New Roman" w:cs="Times New Roman"/>
          <w:i/>
          <w:color w:val="1A1A1A"/>
          <w:sz w:val="20"/>
          <w:szCs w:val="20"/>
          <w:lang w:val="fr-CA" w:eastAsia="en-CA"/>
        </w:rPr>
        <w:t>Charte canadienne des droits et libertés</w:t>
      </w:r>
      <w:r w:rsidRPr="00DD21F1">
        <w:rPr>
          <w:rFonts w:eastAsia="Times New Roman" w:cs="Times New Roman"/>
          <w:color w:val="1A1A1A"/>
          <w:sz w:val="20"/>
          <w:szCs w:val="20"/>
          <w:lang w:val="fr-CA" w:eastAsia="en-CA"/>
        </w:rPr>
        <w:t>?</w:t>
      </w:r>
    </w:p>
    <w:p w:rsidR="00DD21F1" w:rsidRPr="00DD21F1" w:rsidRDefault="00DD21F1" w:rsidP="00DD21F1">
      <w:pPr>
        <w:ind w:left="1418"/>
        <w:jc w:val="both"/>
        <w:rPr>
          <w:rFonts w:eastAsia="Times New Roman" w:cs="Times New Roman"/>
          <w:color w:val="1A1A1A"/>
          <w:sz w:val="20"/>
          <w:szCs w:val="20"/>
          <w:lang w:val="fr-CA" w:eastAsia="en-CA"/>
        </w:rPr>
      </w:pPr>
    </w:p>
    <w:p w:rsidR="00DD21F1" w:rsidRPr="00DD21F1" w:rsidRDefault="00DD21F1" w:rsidP="00DD21F1">
      <w:pPr>
        <w:ind w:left="1418" w:hanging="720"/>
        <w:jc w:val="both"/>
        <w:rPr>
          <w:rFonts w:eastAsia="Times New Roman" w:cs="Times New Roman"/>
          <w:color w:val="1A1A1A"/>
          <w:sz w:val="20"/>
          <w:szCs w:val="20"/>
          <w:lang w:val="fr-CA" w:eastAsia="en-CA"/>
        </w:rPr>
      </w:pPr>
      <w:r w:rsidRPr="00DD21F1">
        <w:rPr>
          <w:rFonts w:eastAsia="Times New Roman" w:cs="Times New Roman"/>
          <w:color w:val="1A1A1A"/>
          <w:sz w:val="20"/>
          <w:szCs w:val="20"/>
          <w:lang w:val="fr-CA" w:eastAsia="en-CA"/>
        </w:rPr>
        <w:t>3.</w:t>
      </w:r>
      <w:r w:rsidRPr="00DD21F1">
        <w:rPr>
          <w:rFonts w:eastAsia="Times New Roman" w:cs="Times New Roman"/>
          <w:color w:val="1A1A1A"/>
          <w:sz w:val="20"/>
          <w:szCs w:val="20"/>
          <w:lang w:val="fr-CA" w:eastAsia="en-CA"/>
        </w:rPr>
        <w:tab/>
        <w:t>L’alinéa 117</w:t>
      </w:r>
      <w:r w:rsidRPr="00DD21F1">
        <w:rPr>
          <w:rFonts w:eastAsia="Times New Roman" w:cs="Times New Roman"/>
          <w:i/>
          <w:color w:val="1A1A1A"/>
          <w:sz w:val="20"/>
          <w:szCs w:val="20"/>
          <w:lang w:val="fr-CA" w:eastAsia="en-CA"/>
        </w:rPr>
        <w:t>f</w:t>
      </w:r>
      <w:r w:rsidRPr="00DD21F1">
        <w:rPr>
          <w:rFonts w:eastAsia="Times New Roman" w:cs="Times New Roman"/>
          <w:color w:val="1A1A1A"/>
          <w:sz w:val="20"/>
          <w:szCs w:val="20"/>
          <w:lang w:val="fr-CA" w:eastAsia="en-CA"/>
        </w:rPr>
        <w:t xml:space="preserve">) de la </w:t>
      </w:r>
      <w:r w:rsidRPr="00DD21F1">
        <w:rPr>
          <w:rFonts w:eastAsia="Times New Roman" w:cs="Times New Roman"/>
          <w:i/>
          <w:color w:val="1A1A1A"/>
          <w:sz w:val="20"/>
          <w:szCs w:val="20"/>
          <w:lang w:val="fr-CA" w:eastAsia="en-CA"/>
        </w:rPr>
        <w:t>Loi sur la défense nationale</w:t>
      </w:r>
      <w:r w:rsidRPr="00DD21F1">
        <w:rPr>
          <w:rFonts w:eastAsia="Times New Roman" w:cs="Times New Roman"/>
          <w:color w:val="1A1A1A"/>
          <w:sz w:val="20"/>
          <w:szCs w:val="20"/>
          <w:lang w:val="fr-CA" w:eastAsia="en-CA"/>
        </w:rPr>
        <w:t xml:space="preserve">, L.R.C. 1985, ch. N-5, viole-t-il l’art. 7 de la </w:t>
      </w:r>
      <w:r w:rsidRPr="00DD21F1">
        <w:rPr>
          <w:rFonts w:eastAsia="Times New Roman" w:cs="Times New Roman"/>
          <w:i/>
          <w:color w:val="1A1A1A"/>
          <w:sz w:val="20"/>
          <w:szCs w:val="20"/>
          <w:lang w:val="fr-CA" w:eastAsia="en-CA"/>
        </w:rPr>
        <w:t>Charte canadienne des droits et libertés</w:t>
      </w:r>
      <w:r w:rsidRPr="00DD21F1">
        <w:rPr>
          <w:rFonts w:eastAsia="Times New Roman" w:cs="Times New Roman"/>
          <w:color w:val="1A1A1A"/>
          <w:sz w:val="20"/>
          <w:szCs w:val="20"/>
          <w:lang w:val="fr-CA" w:eastAsia="en-CA"/>
        </w:rPr>
        <w:t>?</w:t>
      </w:r>
    </w:p>
    <w:p w:rsidR="00DD21F1" w:rsidRPr="00DD21F1" w:rsidRDefault="00DD21F1" w:rsidP="00DD21F1">
      <w:pPr>
        <w:ind w:left="1418"/>
        <w:jc w:val="both"/>
        <w:rPr>
          <w:rFonts w:eastAsia="Times New Roman" w:cs="Times New Roman"/>
          <w:color w:val="1A1A1A"/>
          <w:sz w:val="20"/>
          <w:szCs w:val="20"/>
          <w:lang w:val="fr-CA" w:eastAsia="en-CA"/>
        </w:rPr>
      </w:pPr>
    </w:p>
    <w:p w:rsidR="00DD21F1" w:rsidRPr="00DD21F1" w:rsidRDefault="00DD21F1" w:rsidP="00DD21F1">
      <w:pPr>
        <w:ind w:left="1418" w:hanging="720"/>
        <w:jc w:val="both"/>
        <w:rPr>
          <w:rFonts w:eastAsia="Times New Roman" w:cs="Times New Roman"/>
          <w:color w:val="1A1A1A"/>
          <w:sz w:val="20"/>
          <w:szCs w:val="20"/>
          <w:lang w:val="fr-CA" w:eastAsia="en-CA"/>
        </w:rPr>
      </w:pPr>
      <w:r w:rsidRPr="00DD21F1">
        <w:rPr>
          <w:rFonts w:eastAsia="Times New Roman" w:cs="Times New Roman"/>
          <w:color w:val="1A1A1A"/>
          <w:sz w:val="20"/>
          <w:szCs w:val="20"/>
          <w:lang w:val="fr-CA" w:eastAsia="en-CA"/>
        </w:rPr>
        <w:t>4.</w:t>
      </w:r>
      <w:r w:rsidRPr="00DD21F1">
        <w:rPr>
          <w:rFonts w:eastAsia="Times New Roman" w:cs="Times New Roman"/>
          <w:color w:val="1A1A1A"/>
          <w:sz w:val="20"/>
          <w:szCs w:val="20"/>
          <w:lang w:val="fr-CA" w:eastAsia="en-CA"/>
        </w:rPr>
        <w:tab/>
        <w:t xml:space="preserve">Dans l’affirmative, s’agit-il d’une violation constituant une limite raisonnable prescrite par une règle de droit et dont la justification peut se démontrer dans le cadre d’une société libre et démocratique au sens de l’article premier de </w:t>
      </w:r>
      <w:r w:rsidRPr="00DD21F1">
        <w:rPr>
          <w:rFonts w:eastAsia="Times New Roman" w:cs="Times New Roman"/>
          <w:i/>
          <w:color w:val="1A1A1A"/>
          <w:sz w:val="20"/>
          <w:szCs w:val="20"/>
          <w:lang w:val="fr-CA" w:eastAsia="en-CA"/>
        </w:rPr>
        <w:t>la Charte canadienne des droits et libertés</w:t>
      </w:r>
      <w:r w:rsidRPr="00DD21F1">
        <w:rPr>
          <w:rFonts w:eastAsia="Times New Roman" w:cs="Times New Roman"/>
          <w:color w:val="1A1A1A"/>
          <w:sz w:val="20"/>
          <w:szCs w:val="20"/>
          <w:lang w:val="fr-CA" w:eastAsia="en-CA"/>
        </w:rPr>
        <w:t>?</w:t>
      </w:r>
    </w:p>
    <w:p w:rsidR="00DD21F1" w:rsidRPr="00DD21F1" w:rsidRDefault="00DD21F1" w:rsidP="00DD21F1">
      <w:pPr>
        <w:ind w:left="720" w:hanging="720"/>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sz w:val="20"/>
          <w:szCs w:val="20"/>
          <w:lang w:val="fr-FR" w:eastAsia="en-CA"/>
        </w:rPr>
      </w:pPr>
      <w:r w:rsidRPr="00DD21F1">
        <w:rPr>
          <w:rFonts w:eastAsia="Times New Roman" w:cs="Times New Roman"/>
          <w:sz w:val="20"/>
          <w:szCs w:val="20"/>
          <w:lang w:val="fr-CA" w:eastAsia="en-CA"/>
        </w:rPr>
        <w:t>T</w:t>
      </w:r>
      <w:r w:rsidRPr="00DD21F1">
        <w:rPr>
          <w:rFonts w:eastAsia="Times New Roman" w:cs="Times New Roman"/>
          <w:sz w:val="20"/>
          <w:szCs w:val="20"/>
          <w:lang w:val="fr-FR" w:eastAsia="en-CA"/>
        </w:rPr>
        <w:t xml:space="preserve">out procureur général qui interviendra en vertu du par. 61(4) des </w:t>
      </w:r>
      <w:r w:rsidRPr="00DD21F1">
        <w:rPr>
          <w:rFonts w:eastAsia="Times New Roman" w:cs="Times New Roman"/>
          <w:i/>
          <w:iCs/>
          <w:sz w:val="20"/>
          <w:szCs w:val="20"/>
          <w:lang w:val="fr-FR" w:eastAsia="en-CA"/>
        </w:rPr>
        <w:t>Règles de la Cour suprême du Canada</w:t>
      </w:r>
      <w:r w:rsidRPr="00DD21F1">
        <w:rPr>
          <w:rFonts w:eastAsia="Times New Roman" w:cs="Times New Roman"/>
          <w:sz w:val="20"/>
          <w:szCs w:val="20"/>
          <w:lang w:val="fr-FR" w:eastAsia="en-CA"/>
        </w:rPr>
        <w:t xml:space="preserve"> sera tenu de payer à l’appelant et à l’intimée les dépens supplémentaires résultant de son intervention.</w:t>
      </w:r>
    </w:p>
    <w:p w:rsidR="00DD21F1" w:rsidRPr="00DD21F1" w:rsidRDefault="00DD21F1" w:rsidP="00DD21F1">
      <w:pPr>
        <w:jc w:val="both"/>
        <w:rPr>
          <w:rFonts w:eastAsia="Times New Roman" w:cs="Times New Roman"/>
          <w:sz w:val="20"/>
          <w:szCs w:val="20"/>
          <w:lang w:val="fr-FR" w:eastAsia="en-CA"/>
        </w:rPr>
      </w:pPr>
    </w:p>
    <w:p w:rsidR="00DD21F1" w:rsidRPr="00DD21F1" w:rsidRDefault="00DD21F1" w:rsidP="00DD21F1">
      <w:pPr>
        <w:jc w:val="both"/>
        <w:rPr>
          <w:rFonts w:eastAsia="Times New Roman" w:cs="Times New Roman"/>
          <w:sz w:val="20"/>
          <w:szCs w:val="20"/>
          <w:lang w:val="fr-FR" w:eastAsia="en-CA"/>
        </w:rPr>
      </w:pPr>
    </w:p>
    <w:p w:rsidR="00DD21F1" w:rsidRPr="00DD21F1" w:rsidRDefault="00DD21F1" w:rsidP="00DD21F1">
      <w:pPr>
        <w:tabs>
          <w:tab w:val="left" w:pos="-1440"/>
          <w:tab w:val="left" w:pos="-720"/>
        </w:tabs>
        <w:jc w:val="both"/>
        <w:rPr>
          <w:rFonts w:eastAsia="Times New Roman" w:cs="Times New Roman"/>
          <w:sz w:val="20"/>
          <w:szCs w:val="20"/>
          <w:lang w:val="fr-FR" w:eastAsia="en-CA"/>
        </w:rPr>
      </w:pPr>
    </w:p>
    <w:p w:rsidR="00DD21F1" w:rsidRPr="00DD21F1" w:rsidRDefault="00DD21F1" w:rsidP="00DD21F1">
      <w:pPr>
        <w:jc w:val="both"/>
        <w:rPr>
          <w:rFonts w:eastAsia="Times New Roman" w:cs="Times New Roman"/>
          <w:sz w:val="20"/>
          <w:szCs w:val="20"/>
          <w:lang w:val="en-US" w:eastAsia="en-CA"/>
        </w:rPr>
      </w:pPr>
      <w:r w:rsidRPr="00DD21F1">
        <w:rPr>
          <w:rFonts w:eastAsia="Times New Roman" w:cs="Times New Roman"/>
          <w:b/>
          <w:bCs/>
          <w:sz w:val="20"/>
          <w:szCs w:val="20"/>
          <w:lang w:val="en-US" w:eastAsia="en-CA"/>
        </w:rPr>
        <w:t>UPON APPLICATION</w:t>
      </w:r>
      <w:r w:rsidRPr="00DD21F1">
        <w:rPr>
          <w:rFonts w:eastAsia="Times New Roman" w:cs="Times New Roman"/>
          <w:sz w:val="20"/>
          <w:szCs w:val="20"/>
          <w:lang w:val="en-US" w:eastAsia="en-CA"/>
        </w:rPr>
        <w:t xml:space="preserve"> by the appellant </w:t>
      </w:r>
      <w:r w:rsidR="00D5130B" w:rsidRPr="00DD21F1">
        <w:rPr>
          <w:rFonts w:eastAsia="Times New Roman" w:cs="Times New Roman"/>
          <w:sz w:val="20"/>
          <w:szCs w:val="20"/>
          <w:lang w:eastAsia="en-CA"/>
        </w:rPr>
        <w:fldChar w:fldCharType="begin"/>
      </w:r>
      <w:r w:rsidRPr="00DD21F1">
        <w:rPr>
          <w:rFonts w:eastAsia="Times New Roman" w:cs="Times New Roman"/>
          <w:sz w:val="20"/>
          <w:szCs w:val="20"/>
          <w:lang w:eastAsia="en-CA"/>
        </w:rPr>
        <w:instrText xml:space="preserve"> SEQ CHAPTER \h \r 1</w:instrText>
      </w:r>
      <w:r w:rsidR="00D5130B" w:rsidRPr="00DD21F1">
        <w:rPr>
          <w:rFonts w:eastAsia="Times New Roman" w:cs="Times New Roman"/>
          <w:sz w:val="20"/>
          <w:szCs w:val="20"/>
          <w:lang w:eastAsia="en-CA"/>
        </w:rPr>
        <w:fldChar w:fldCharType="end"/>
      </w:r>
      <w:r w:rsidRPr="00DD21F1">
        <w:rPr>
          <w:rFonts w:eastAsia="Times New Roman" w:cs="Times New Roman"/>
          <w:sz w:val="20"/>
          <w:szCs w:val="20"/>
          <w:lang w:eastAsia="en-CA"/>
        </w:rPr>
        <w:t xml:space="preserve">for an order stating constitutional questions </w:t>
      </w:r>
      <w:r w:rsidRPr="00DD21F1">
        <w:rPr>
          <w:rFonts w:eastAsia="Times New Roman" w:cs="Times New Roman"/>
          <w:sz w:val="20"/>
          <w:szCs w:val="20"/>
          <w:lang w:val="en-US" w:eastAsia="en-CA"/>
        </w:rPr>
        <w:t>in the above appeal;</w:t>
      </w:r>
    </w:p>
    <w:p w:rsidR="00DD21F1" w:rsidRPr="00DD21F1" w:rsidRDefault="00DD21F1" w:rsidP="00DD21F1">
      <w:pPr>
        <w:jc w:val="both"/>
        <w:rPr>
          <w:rFonts w:eastAsia="Times New Roman" w:cs="Times New Roman"/>
          <w:sz w:val="20"/>
          <w:szCs w:val="20"/>
          <w:lang w:val="en-US" w:eastAsia="en-CA"/>
        </w:rPr>
      </w:pPr>
    </w:p>
    <w:p w:rsidR="00DD21F1" w:rsidRPr="00DD21F1" w:rsidRDefault="00DD21F1" w:rsidP="00DD21F1">
      <w:pPr>
        <w:jc w:val="both"/>
        <w:rPr>
          <w:rFonts w:eastAsia="Times New Roman" w:cs="Times New Roman"/>
          <w:sz w:val="20"/>
          <w:szCs w:val="20"/>
          <w:lang w:val="en-US" w:eastAsia="en-CA"/>
        </w:rPr>
      </w:pPr>
      <w:r w:rsidRPr="00DD21F1">
        <w:rPr>
          <w:rFonts w:eastAsia="Times New Roman" w:cs="Times New Roman"/>
          <w:b/>
          <w:bCs/>
          <w:sz w:val="20"/>
          <w:szCs w:val="20"/>
          <w:lang w:val="en-US" w:eastAsia="en-CA"/>
        </w:rPr>
        <w:t>AND THE MATERIAL FILED</w:t>
      </w:r>
      <w:r w:rsidRPr="00DD21F1">
        <w:rPr>
          <w:rFonts w:eastAsia="Times New Roman" w:cs="Times New Roman"/>
          <w:sz w:val="20"/>
          <w:szCs w:val="20"/>
          <w:lang w:val="en-US" w:eastAsia="en-CA"/>
        </w:rPr>
        <w:t xml:space="preserve"> having been read;</w:t>
      </w:r>
    </w:p>
    <w:p w:rsidR="00A766ED" w:rsidRDefault="00A766ED">
      <w:pPr>
        <w:rPr>
          <w:rFonts w:eastAsia="Times New Roman" w:cs="Times New Roman"/>
          <w:sz w:val="20"/>
          <w:szCs w:val="20"/>
          <w:lang w:val="en-US" w:eastAsia="en-CA"/>
        </w:rPr>
      </w:pPr>
    </w:p>
    <w:p w:rsidR="00A766ED" w:rsidRDefault="00A766ED">
      <w:pPr>
        <w:rPr>
          <w:rFonts w:eastAsia="Times New Roman" w:cs="Times New Roman"/>
          <w:sz w:val="20"/>
          <w:szCs w:val="20"/>
          <w:lang w:val="en-US" w:eastAsia="en-CA"/>
        </w:rPr>
      </w:pPr>
      <w:r>
        <w:rPr>
          <w:rFonts w:eastAsia="Times New Roman" w:cs="Times New Roman"/>
          <w:sz w:val="20"/>
          <w:szCs w:val="20"/>
          <w:lang w:val="en-US" w:eastAsia="en-CA"/>
        </w:rPr>
        <w:br w:type="page"/>
      </w:r>
    </w:p>
    <w:p w:rsidR="00DD21F1" w:rsidRPr="00DD21F1" w:rsidRDefault="00DD21F1" w:rsidP="00DD21F1">
      <w:pPr>
        <w:jc w:val="both"/>
        <w:rPr>
          <w:rFonts w:eastAsia="Times New Roman" w:cs="Times New Roman"/>
          <w:bCs/>
          <w:sz w:val="20"/>
          <w:szCs w:val="20"/>
          <w:lang w:val="en-US" w:eastAsia="en-CA"/>
        </w:rPr>
      </w:pPr>
      <w:r w:rsidRPr="00DD21F1">
        <w:rPr>
          <w:rFonts w:eastAsia="Times New Roman" w:cs="Times New Roman"/>
          <w:b/>
          <w:bCs/>
          <w:sz w:val="20"/>
          <w:szCs w:val="20"/>
          <w:lang w:val="en-US" w:eastAsia="en-CA"/>
        </w:rPr>
        <w:lastRenderedPageBreak/>
        <w:t>IT IS HEREBY ORDERED THAT THE CONSTITUTIONAL QUESTIONS BE STATED AS FOLLOWS:</w:t>
      </w:r>
    </w:p>
    <w:p w:rsidR="00DD21F1" w:rsidRPr="00DD21F1" w:rsidRDefault="00DD21F1" w:rsidP="00DD21F1">
      <w:pPr>
        <w:jc w:val="both"/>
        <w:rPr>
          <w:rFonts w:eastAsia="Times New Roman" w:cs="Times New Roman"/>
          <w:bCs/>
          <w:sz w:val="20"/>
          <w:szCs w:val="20"/>
          <w:lang w:val="en-US" w:eastAsia="en-CA"/>
        </w:rPr>
      </w:pPr>
    </w:p>
    <w:p w:rsidR="00DD21F1" w:rsidRPr="00DD21F1" w:rsidRDefault="00DD21F1" w:rsidP="00DD21F1">
      <w:pPr>
        <w:ind w:left="1440" w:hanging="720"/>
        <w:jc w:val="both"/>
        <w:rPr>
          <w:rFonts w:eastAsia="Times New Roman" w:cs="Times New Roman"/>
          <w:bCs/>
          <w:sz w:val="20"/>
          <w:szCs w:val="20"/>
          <w:lang w:val="en-US" w:eastAsia="en-CA"/>
        </w:rPr>
      </w:pPr>
      <w:r w:rsidRPr="00DD21F1">
        <w:rPr>
          <w:rFonts w:eastAsia="Times New Roman" w:cs="Times New Roman"/>
          <w:bCs/>
          <w:sz w:val="20"/>
          <w:szCs w:val="20"/>
          <w:lang w:val="en-US" w:eastAsia="en-CA"/>
        </w:rPr>
        <w:t>1.</w:t>
      </w:r>
      <w:r w:rsidRPr="00DD21F1">
        <w:rPr>
          <w:rFonts w:eastAsia="Times New Roman" w:cs="Times New Roman"/>
          <w:bCs/>
          <w:sz w:val="20"/>
          <w:szCs w:val="20"/>
          <w:lang w:val="en-US" w:eastAsia="en-CA"/>
        </w:rPr>
        <w:tab/>
        <w:t>Does s. 130(1)(</w:t>
      </w:r>
      <w:r w:rsidRPr="00DD21F1">
        <w:rPr>
          <w:rFonts w:eastAsia="Times New Roman" w:cs="Times New Roman"/>
          <w:bCs/>
          <w:i/>
          <w:sz w:val="20"/>
          <w:szCs w:val="20"/>
          <w:lang w:val="en-US" w:eastAsia="en-CA"/>
        </w:rPr>
        <w:t>a</w:t>
      </w:r>
      <w:r w:rsidRPr="00DD21F1">
        <w:rPr>
          <w:rFonts w:eastAsia="Times New Roman" w:cs="Times New Roman"/>
          <w:bCs/>
          <w:sz w:val="20"/>
          <w:szCs w:val="20"/>
          <w:lang w:val="en-US" w:eastAsia="en-CA"/>
        </w:rPr>
        <w:t xml:space="preserve">) of the </w:t>
      </w:r>
      <w:r w:rsidRPr="00DD21F1">
        <w:rPr>
          <w:rFonts w:eastAsia="Times New Roman" w:cs="Times New Roman"/>
          <w:bCs/>
          <w:i/>
          <w:sz w:val="20"/>
          <w:szCs w:val="20"/>
          <w:lang w:val="en-US" w:eastAsia="en-CA"/>
        </w:rPr>
        <w:t>National Defence</w:t>
      </w:r>
      <w:r w:rsidRPr="00DD21F1">
        <w:rPr>
          <w:rFonts w:eastAsia="Times New Roman" w:cs="Times New Roman"/>
          <w:bCs/>
          <w:sz w:val="20"/>
          <w:szCs w:val="20"/>
          <w:lang w:val="en-US" w:eastAsia="en-CA"/>
        </w:rPr>
        <w:t xml:space="preserve"> Act, R.S.C. 1985, c. N-5, infringe s. 7 of the </w:t>
      </w:r>
      <w:r w:rsidRPr="00DD21F1">
        <w:rPr>
          <w:rFonts w:eastAsia="Times New Roman" w:cs="Times New Roman"/>
          <w:bCs/>
          <w:i/>
          <w:sz w:val="20"/>
          <w:szCs w:val="20"/>
          <w:lang w:val="en-US" w:eastAsia="en-CA"/>
        </w:rPr>
        <w:t>Canadian Charter of Rights and Freedoms</w:t>
      </w:r>
      <w:r w:rsidRPr="00DD21F1">
        <w:rPr>
          <w:rFonts w:eastAsia="Times New Roman" w:cs="Times New Roman"/>
          <w:bCs/>
          <w:sz w:val="20"/>
          <w:szCs w:val="20"/>
          <w:lang w:val="en-US" w:eastAsia="en-CA"/>
        </w:rPr>
        <w:t>?</w:t>
      </w:r>
    </w:p>
    <w:p w:rsidR="00DD21F1" w:rsidRPr="00DD21F1" w:rsidRDefault="00DD21F1" w:rsidP="00DD21F1">
      <w:pPr>
        <w:jc w:val="both"/>
        <w:rPr>
          <w:rFonts w:eastAsia="Times New Roman" w:cs="Times New Roman"/>
          <w:bCs/>
          <w:sz w:val="20"/>
          <w:szCs w:val="20"/>
          <w:lang w:val="en-US" w:eastAsia="en-CA"/>
        </w:rPr>
      </w:pPr>
    </w:p>
    <w:p w:rsidR="00DD21F1" w:rsidRPr="00DD21F1" w:rsidRDefault="00DD21F1" w:rsidP="00DD21F1">
      <w:pPr>
        <w:ind w:left="1440" w:hanging="720"/>
        <w:jc w:val="both"/>
        <w:rPr>
          <w:rFonts w:eastAsia="Times New Roman" w:cs="Times New Roman"/>
          <w:bCs/>
          <w:sz w:val="20"/>
          <w:szCs w:val="20"/>
          <w:lang w:val="en-US" w:eastAsia="en-CA"/>
        </w:rPr>
      </w:pPr>
      <w:r w:rsidRPr="00DD21F1">
        <w:rPr>
          <w:rFonts w:eastAsia="Times New Roman" w:cs="Times New Roman"/>
          <w:bCs/>
          <w:sz w:val="20"/>
          <w:szCs w:val="20"/>
          <w:lang w:val="en-US" w:eastAsia="en-CA"/>
        </w:rPr>
        <w:t>2.</w:t>
      </w:r>
      <w:r w:rsidRPr="00DD21F1">
        <w:rPr>
          <w:rFonts w:eastAsia="Times New Roman" w:cs="Times New Roman"/>
          <w:bCs/>
          <w:sz w:val="20"/>
          <w:szCs w:val="20"/>
          <w:lang w:val="en-US" w:eastAsia="en-CA"/>
        </w:rPr>
        <w:tab/>
        <w:t xml:space="preserve">If so, is the infringement a reasonable limit prescribed by law that can be demonstrably justified in a free and democratic society under s. 1 of the </w:t>
      </w:r>
      <w:r w:rsidRPr="00DD21F1">
        <w:rPr>
          <w:rFonts w:eastAsia="Times New Roman" w:cs="Times New Roman"/>
          <w:bCs/>
          <w:i/>
          <w:sz w:val="20"/>
          <w:szCs w:val="20"/>
          <w:lang w:val="en-US" w:eastAsia="en-CA"/>
        </w:rPr>
        <w:t>Canadian Charter of Rights and Freedoms</w:t>
      </w:r>
      <w:r w:rsidRPr="00DD21F1">
        <w:rPr>
          <w:rFonts w:eastAsia="Times New Roman" w:cs="Times New Roman"/>
          <w:bCs/>
          <w:sz w:val="20"/>
          <w:szCs w:val="20"/>
          <w:lang w:val="en-US" w:eastAsia="en-CA"/>
        </w:rPr>
        <w:t>?</w:t>
      </w:r>
    </w:p>
    <w:p w:rsidR="00DD21F1" w:rsidRPr="00DD21F1" w:rsidRDefault="00DD21F1" w:rsidP="00DD21F1">
      <w:pPr>
        <w:ind w:left="720"/>
        <w:contextualSpacing/>
        <w:jc w:val="both"/>
        <w:rPr>
          <w:rFonts w:cs="Times New Roman"/>
          <w:b/>
          <w:bCs/>
          <w:sz w:val="20"/>
          <w:szCs w:val="20"/>
        </w:rPr>
      </w:pPr>
    </w:p>
    <w:p w:rsidR="00DD21F1" w:rsidRPr="00DD21F1" w:rsidRDefault="00DD21F1" w:rsidP="00DD21F1">
      <w:pPr>
        <w:ind w:left="1418" w:hanging="720"/>
        <w:jc w:val="both"/>
        <w:rPr>
          <w:rFonts w:eastAsia="Times New Roman" w:cs="Times New Roman"/>
          <w:color w:val="1A1A1A"/>
          <w:sz w:val="20"/>
          <w:szCs w:val="20"/>
          <w:lang w:eastAsia="en-CA"/>
        </w:rPr>
      </w:pPr>
      <w:r w:rsidRPr="00DD21F1">
        <w:rPr>
          <w:rFonts w:eastAsia="Times New Roman" w:cs="Times New Roman"/>
          <w:color w:val="1A1A1A"/>
          <w:sz w:val="20"/>
          <w:szCs w:val="20"/>
          <w:lang w:eastAsia="en-CA"/>
        </w:rPr>
        <w:t>3.</w:t>
      </w:r>
      <w:r w:rsidRPr="00DD21F1">
        <w:rPr>
          <w:rFonts w:eastAsia="Times New Roman" w:cs="Times New Roman"/>
          <w:color w:val="1A1A1A"/>
          <w:sz w:val="20"/>
          <w:szCs w:val="20"/>
          <w:lang w:eastAsia="en-CA"/>
        </w:rPr>
        <w:tab/>
        <w:t>Does s. 117(</w:t>
      </w:r>
      <w:r w:rsidRPr="00DD21F1">
        <w:rPr>
          <w:rFonts w:eastAsia="Times New Roman" w:cs="Times New Roman"/>
          <w:i/>
          <w:color w:val="1A1A1A"/>
          <w:sz w:val="20"/>
          <w:szCs w:val="20"/>
          <w:lang w:eastAsia="en-CA"/>
        </w:rPr>
        <w:t>f</w:t>
      </w:r>
      <w:r w:rsidRPr="00DD21F1">
        <w:rPr>
          <w:rFonts w:eastAsia="Times New Roman" w:cs="Times New Roman"/>
          <w:color w:val="1A1A1A"/>
          <w:sz w:val="20"/>
          <w:szCs w:val="20"/>
          <w:lang w:eastAsia="en-CA"/>
        </w:rPr>
        <w:t xml:space="preserve">) </w:t>
      </w:r>
      <w:r w:rsidRPr="00DD21F1">
        <w:rPr>
          <w:rFonts w:eastAsia="Times New Roman" w:cs="Times New Roman"/>
          <w:bCs/>
          <w:sz w:val="20"/>
          <w:szCs w:val="20"/>
          <w:lang w:eastAsia="en-CA"/>
        </w:rPr>
        <w:t xml:space="preserve">of the </w:t>
      </w:r>
      <w:r w:rsidRPr="00DD21F1">
        <w:rPr>
          <w:rFonts w:eastAsia="Times New Roman" w:cs="Times New Roman"/>
          <w:bCs/>
          <w:i/>
          <w:sz w:val="20"/>
          <w:szCs w:val="20"/>
          <w:lang w:eastAsia="en-CA"/>
        </w:rPr>
        <w:t>National Defence</w:t>
      </w:r>
      <w:r w:rsidRPr="00DD21F1">
        <w:rPr>
          <w:rFonts w:eastAsia="Times New Roman" w:cs="Times New Roman"/>
          <w:bCs/>
          <w:sz w:val="20"/>
          <w:szCs w:val="20"/>
          <w:lang w:eastAsia="en-CA"/>
        </w:rPr>
        <w:t xml:space="preserve"> Act, R.S.C. 1985, c. N-5, infringe s. 7 of the </w:t>
      </w:r>
      <w:r w:rsidRPr="00DD21F1">
        <w:rPr>
          <w:rFonts w:eastAsia="Times New Roman" w:cs="Times New Roman"/>
          <w:bCs/>
          <w:i/>
          <w:sz w:val="20"/>
          <w:szCs w:val="20"/>
          <w:lang w:eastAsia="en-CA"/>
        </w:rPr>
        <w:t>Canadian Charter of Rights and Freedoms</w:t>
      </w:r>
      <w:r w:rsidRPr="00DD21F1">
        <w:rPr>
          <w:rFonts w:eastAsia="Times New Roman" w:cs="Times New Roman"/>
          <w:color w:val="1A1A1A"/>
          <w:sz w:val="20"/>
          <w:szCs w:val="20"/>
          <w:lang w:eastAsia="en-CA"/>
        </w:rPr>
        <w:t>?</w:t>
      </w:r>
    </w:p>
    <w:p w:rsidR="00DD21F1" w:rsidRPr="00DD21F1" w:rsidRDefault="00DD21F1" w:rsidP="00DD21F1">
      <w:pPr>
        <w:ind w:left="1418"/>
        <w:jc w:val="both"/>
        <w:rPr>
          <w:rFonts w:eastAsia="Times New Roman" w:cs="Times New Roman"/>
          <w:color w:val="1A1A1A"/>
          <w:sz w:val="20"/>
          <w:szCs w:val="20"/>
          <w:lang w:eastAsia="en-CA"/>
        </w:rPr>
      </w:pPr>
    </w:p>
    <w:p w:rsidR="00DD21F1" w:rsidRPr="00DD21F1" w:rsidRDefault="00DD21F1" w:rsidP="00DD21F1">
      <w:pPr>
        <w:ind w:left="1418" w:hanging="698"/>
        <w:contextualSpacing/>
        <w:jc w:val="both"/>
        <w:rPr>
          <w:rFonts w:cs="Times New Roman"/>
          <w:b/>
          <w:bCs/>
          <w:sz w:val="20"/>
          <w:szCs w:val="20"/>
        </w:rPr>
      </w:pPr>
      <w:r w:rsidRPr="00DD21F1">
        <w:rPr>
          <w:rFonts w:cs="Times New Roman"/>
          <w:color w:val="1A1A1A"/>
          <w:sz w:val="20"/>
          <w:szCs w:val="20"/>
        </w:rPr>
        <w:t>4.</w:t>
      </w:r>
      <w:r w:rsidRPr="00DD21F1">
        <w:rPr>
          <w:rFonts w:cs="Times New Roman"/>
          <w:color w:val="1A1A1A"/>
          <w:sz w:val="20"/>
          <w:szCs w:val="20"/>
        </w:rPr>
        <w:tab/>
        <w:t xml:space="preserve">If so, is the infringement a reasonable limit prescribed by law that can be demonstrably justified in a free and democratic society under s. 1 of the </w:t>
      </w:r>
      <w:r w:rsidRPr="00DD21F1">
        <w:rPr>
          <w:rFonts w:cs="Times New Roman"/>
          <w:i/>
          <w:color w:val="1A1A1A"/>
          <w:sz w:val="20"/>
          <w:szCs w:val="20"/>
        </w:rPr>
        <w:t>Canadian Charter of Rights and Freedoms</w:t>
      </w:r>
      <w:r w:rsidRPr="00DD21F1">
        <w:rPr>
          <w:rFonts w:cs="Times New Roman"/>
          <w:color w:val="1A1A1A"/>
          <w:sz w:val="20"/>
          <w:szCs w:val="20"/>
        </w:rPr>
        <w:t>?</w:t>
      </w:r>
    </w:p>
    <w:p w:rsidR="00DD21F1" w:rsidRPr="00DD21F1" w:rsidRDefault="00DD21F1" w:rsidP="00DD21F1">
      <w:pPr>
        <w:ind w:left="720"/>
        <w:contextualSpacing/>
        <w:jc w:val="both"/>
        <w:rPr>
          <w:rFonts w:cs="Times New Roman"/>
          <w:b/>
          <w:bCs/>
          <w:sz w:val="20"/>
          <w:szCs w:val="20"/>
        </w:rPr>
      </w:pPr>
    </w:p>
    <w:p w:rsidR="00DD21F1" w:rsidRPr="00DD21F1" w:rsidRDefault="00DD21F1" w:rsidP="00DD21F1">
      <w:pPr>
        <w:jc w:val="both"/>
        <w:rPr>
          <w:rFonts w:eastAsia="Times New Roman" w:cs="Times New Roman"/>
          <w:sz w:val="20"/>
          <w:szCs w:val="20"/>
          <w:lang w:val="en-US" w:eastAsia="en-CA"/>
        </w:rPr>
      </w:pPr>
      <w:r w:rsidRPr="00DD21F1">
        <w:rPr>
          <w:rFonts w:eastAsia="Times New Roman" w:cs="Times New Roman"/>
          <w:sz w:val="20"/>
          <w:szCs w:val="20"/>
          <w:lang w:val="en-US" w:eastAsia="en-CA"/>
        </w:rPr>
        <w:t xml:space="preserve">Any attorney general who intervenes pursuant to par. 61(4) of the </w:t>
      </w:r>
      <w:r w:rsidRPr="00DD21F1">
        <w:rPr>
          <w:rFonts w:eastAsia="Times New Roman" w:cs="Times New Roman"/>
          <w:i/>
          <w:sz w:val="20"/>
          <w:szCs w:val="20"/>
          <w:lang w:val="en-US" w:eastAsia="en-CA"/>
        </w:rPr>
        <w:t>Rules of the Supreme Court of Canada</w:t>
      </w:r>
      <w:r w:rsidRPr="00DD21F1">
        <w:rPr>
          <w:rFonts w:eastAsia="Times New Roman" w:cs="Times New Roman"/>
          <w:sz w:val="20"/>
          <w:szCs w:val="20"/>
          <w:lang w:val="en-US" w:eastAsia="en-CA"/>
        </w:rPr>
        <w:t xml:space="preserve"> shall pay the appellant and respondent the costs of any additional disbursements they incur as a result of the intervention.</w:t>
      </w:r>
    </w:p>
    <w:p w:rsidR="00DD21F1" w:rsidRPr="00DD21F1" w:rsidRDefault="00DD21F1" w:rsidP="00DD21F1">
      <w:pPr>
        <w:tabs>
          <w:tab w:val="left" w:pos="-1440"/>
          <w:tab w:val="left" w:pos="-720"/>
        </w:tabs>
        <w:jc w:val="both"/>
        <w:rPr>
          <w:rFonts w:eastAsia="Times New Roman" w:cs="Times New Roman"/>
          <w:sz w:val="20"/>
          <w:szCs w:val="20"/>
          <w:lang w:val="en-US" w:eastAsia="en-CA"/>
        </w:rPr>
      </w:pPr>
    </w:p>
    <w:p w:rsidR="00DD21F1" w:rsidRPr="00DD21F1" w:rsidRDefault="008A5B26" w:rsidP="00DD21F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3"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12.01.2015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GASCON J. / LE JUGE GASCON</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DD21F1" w:rsidRPr="00021805" w:rsidTr="00DD21F1">
        <w:tc>
          <w:tcPr>
            <w:tcW w:w="4338" w:type="dxa"/>
            <w:gridSpan w:val="2"/>
          </w:tcPr>
          <w:p w:rsidR="00DD21F1" w:rsidRPr="00DD21F1" w:rsidRDefault="00DD21F1" w:rsidP="00DD21F1">
            <w:pPr>
              <w:jc w:val="both"/>
              <w:rPr>
                <w:b/>
              </w:rPr>
            </w:pPr>
            <w:r w:rsidRPr="00DD21F1">
              <w:rPr>
                <w:b/>
              </w:rPr>
              <w:t xml:space="preserve">Order on intervention with respect </w:t>
            </w:r>
            <w:r w:rsidRPr="00DD21F1">
              <w:rPr>
                <w:b/>
                <w:lang w:val="en-US"/>
              </w:rPr>
              <w:t xml:space="preserve">to oral argument </w:t>
            </w:r>
            <w:r w:rsidR="00D5130B" w:rsidRPr="00DD21F1">
              <w:rPr>
                <w:b/>
                <w:lang w:val="en-US"/>
              </w:rPr>
              <w:fldChar w:fldCharType="begin"/>
            </w:r>
            <w:r w:rsidRPr="00DD21F1">
              <w:rPr>
                <w:b/>
              </w:rPr>
              <w:instrText xml:space="preserve"> SEQ CHAPTER \h \r 1</w:instrText>
            </w:r>
            <w:r w:rsidR="00D5130B" w:rsidRPr="00DD21F1">
              <w:rPr>
                <w:b/>
                <w:lang w:val="en-US"/>
              </w:rPr>
              <w:fldChar w:fldCharType="end"/>
            </w:r>
          </w:p>
        </w:tc>
        <w:tc>
          <w:tcPr>
            <w:tcW w:w="1170" w:type="dxa"/>
          </w:tcPr>
          <w:p w:rsidR="00DD21F1" w:rsidRPr="00DD21F1" w:rsidRDefault="00DD21F1" w:rsidP="00DD21F1"/>
          <w:p w:rsidR="00DD21F1" w:rsidRPr="00DD21F1" w:rsidRDefault="00DD21F1" w:rsidP="00DD21F1"/>
          <w:p w:rsidR="00DD21F1" w:rsidRPr="00DD21F1" w:rsidRDefault="00DD21F1" w:rsidP="00DD21F1"/>
        </w:tc>
        <w:tc>
          <w:tcPr>
            <w:tcW w:w="4327" w:type="dxa"/>
          </w:tcPr>
          <w:p w:rsidR="00DD21F1" w:rsidRPr="00DD21F1" w:rsidRDefault="00DD21F1" w:rsidP="00DD21F1">
            <w:pPr>
              <w:jc w:val="both"/>
              <w:rPr>
                <w:b/>
                <w:lang w:val="fr-CA"/>
              </w:rPr>
            </w:pPr>
            <w:r w:rsidRPr="00DD21F1">
              <w:rPr>
                <w:b/>
                <w:lang w:val="fr-CA"/>
              </w:rPr>
              <w:t>Ordonnance relative à la présentation d’une plaidoirie orale par l’intervenant</w:t>
            </w:r>
            <w:r w:rsidR="00D5130B" w:rsidRPr="00DD21F1">
              <w:rPr>
                <w:b/>
                <w:lang w:val="en-US"/>
              </w:rPr>
              <w:fldChar w:fldCharType="begin"/>
            </w:r>
            <w:r w:rsidRPr="00DD21F1">
              <w:rPr>
                <w:b/>
                <w:lang w:val="fr-CA"/>
              </w:rPr>
              <w:instrText xml:space="preserve"> SEQ CHAPTER \h \r 1</w:instrText>
            </w:r>
            <w:r w:rsidR="00D5130B" w:rsidRPr="00DD21F1">
              <w:rPr>
                <w:b/>
                <w:lang w:val="en-US"/>
              </w:rPr>
              <w:fldChar w:fldCharType="end"/>
            </w:r>
          </w:p>
        </w:tc>
      </w:tr>
      <w:tr w:rsidR="00DD21F1" w:rsidRPr="00DD21F1" w:rsidTr="00DD21F1">
        <w:trPr>
          <w:trHeight w:hRule="exact" w:val="360"/>
        </w:trPr>
        <w:tc>
          <w:tcPr>
            <w:tcW w:w="1368" w:type="dxa"/>
          </w:tcPr>
          <w:p w:rsidR="00DD21F1" w:rsidRPr="00DD21F1" w:rsidRDefault="00DD21F1" w:rsidP="00DD21F1">
            <w:r w:rsidRPr="00DD21F1">
              <w:t>RE:</w:t>
            </w:r>
          </w:p>
        </w:tc>
        <w:tc>
          <w:tcPr>
            <w:tcW w:w="2970" w:type="dxa"/>
          </w:tcPr>
          <w:p w:rsidR="00DD21F1" w:rsidRPr="00DD21F1" w:rsidRDefault="00DD21F1" w:rsidP="00DD21F1">
            <w:r w:rsidRPr="00DD21F1">
              <w:t>Superintendent of Bankruptcy</w:t>
            </w:r>
          </w:p>
        </w:tc>
        <w:tc>
          <w:tcPr>
            <w:tcW w:w="1170" w:type="dxa"/>
          </w:tcPr>
          <w:p w:rsidR="00DD21F1" w:rsidRPr="00DD21F1" w:rsidRDefault="00DD21F1" w:rsidP="00DD21F1"/>
        </w:tc>
        <w:tc>
          <w:tcPr>
            <w:tcW w:w="4327" w:type="dxa"/>
          </w:tcPr>
          <w:p w:rsidR="00DD21F1" w:rsidRPr="00DD21F1" w:rsidRDefault="00DD21F1" w:rsidP="00DD21F1"/>
        </w:tc>
      </w:tr>
      <w:tr w:rsidR="00DD21F1" w:rsidRPr="00DD21F1" w:rsidTr="00DD21F1">
        <w:tc>
          <w:tcPr>
            <w:tcW w:w="1368" w:type="dxa"/>
          </w:tcPr>
          <w:p w:rsidR="00DD21F1" w:rsidRPr="00DD21F1" w:rsidRDefault="00DD21F1" w:rsidP="00DD21F1"/>
        </w:tc>
        <w:tc>
          <w:tcPr>
            <w:tcW w:w="2970" w:type="dxa"/>
          </w:tcPr>
          <w:p w:rsidR="00DD21F1" w:rsidRPr="00DD21F1" w:rsidRDefault="00DD21F1" w:rsidP="00DD21F1"/>
        </w:tc>
        <w:tc>
          <w:tcPr>
            <w:tcW w:w="1170" w:type="dxa"/>
          </w:tcPr>
          <w:p w:rsidR="00DD21F1" w:rsidRPr="00DD21F1" w:rsidRDefault="00DD21F1" w:rsidP="00DD21F1"/>
        </w:tc>
        <w:tc>
          <w:tcPr>
            <w:tcW w:w="4327" w:type="dxa"/>
          </w:tcPr>
          <w:p w:rsidR="00DD21F1" w:rsidRPr="00DD21F1" w:rsidRDefault="00DD21F1" w:rsidP="00DD21F1"/>
        </w:tc>
      </w:tr>
      <w:tr w:rsidR="00DD21F1" w:rsidRPr="00DD21F1" w:rsidTr="00DD21F1">
        <w:tc>
          <w:tcPr>
            <w:tcW w:w="1368" w:type="dxa"/>
          </w:tcPr>
          <w:p w:rsidR="00DD21F1" w:rsidRPr="00DD21F1" w:rsidRDefault="00DD21F1" w:rsidP="00DD21F1">
            <w:r w:rsidRPr="00DD21F1">
              <w:t>IN / DANS :</w:t>
            </w:r>
          </w:p>
        </w:tc>
        <w:tc>
          <w:tcPr>
            <w:tcW w:w="2970" w:type="dxa"/>
          </w:tcPr>
          <w:p w:rsidR="00DD21F1" w:rsidRPr="00DD21F1" w:rsidRDefault="00DD21F1" w:rsidP="00DD21F1">
            <w:r w:rsidRPr="00DD21F1">
              <w:t>Attorney General of Alberta</w:t>
            </w:r>
          </w:p>
          <w:p w:rsidR="00DD21F1" w:rsidRPr="00DD21F1" w:rsidRDefault="00DD21F1" w:rsidP="00DD21F1"/>
          <w:p w:rsidR="00DD21F1" w:rsidRPr="00DD21F1" w:rsidRDefault="00DD21F1" w:rsidP="00DD21F1">
            <w:r w:rsidRPr="00DD21F1">
              <w:tab/>
              <w:t>v. (35820)</w:t>
            </w:r>
          </w:p>
          <w:p w:rsidR="00DD21F1" w:rsidRPr="00DD21F1" w:rsidRDefault="00DD21F1" w:rsidP="00DD21F1"/>
          <w:p w:rsidR="00DD21F1" w:rsidRPr="00DD21F1" w:rsidRDefault="00DD21F1" w:rsidP="00DD21F1">
            <w:r w:rsidRPr="00DD21F1">
              <w:rPr>
                <w:lang w:val="fr-CA"/>
              </w:rPr>
              <w:t>Joseph William Moloney (Alta.)</w:t>
            </w:r>
          </w:p>
        </w:tc>
        <w:tc>
          <w:tcPr>
            <w:tcW w:w="1170" w:type="dxa"/>
          </w:tcPr>
          <w:p w:rsidR="00DD21F1" w:rsidRPr="00DD21F1" w:rsidRDefault="00DD21F1" w:rsidP="00DD21F1"/>
        </w:tc>
        <w:tc>
          <w:tcPr>
            <w:tcW w:w="4327" w:type="dxa"/>
          </w:tcPr>
          <w:p w:rsidR="00DD21F1" w:rsidRPr="00DD21F1" w:rsidRDefault="00DD21F1" w:rsidP="00DD21F1"/>
        </w:tc>
      </w:tr>
    </w:tbl>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eastAsia="en-CA"/>
        </w:rPr>
      </w:pPr>
      <w:r w:rsidRPr="00DD21F1">
        <w:rPr>
          <w:rFonts w:eastAsia="Times New Roman" w:cs="Times New Roman"/>
          <w:b/>
          <w:sz w:val="20"/>
          <w:szCs w:val="20"/>
          <w:lang w:eastAsia="en-CA"/>
        </w:rPr>
        <w:t>FURTHER TO THE ORDER</w:t>
      </w:r>
      <w:r w:rsidRPr="00DD21F1">
        <w:rPr>
          <w:rFonts w:eastAsia="Times New Roman" w:cs="Times New Roman"/>
          <w:sz w:val="20"/>
          <w:szCs w:val="20"/>
          <w:lang w:eastAsia="en-CA"/>
        </w:rPr>
        <w:t xml:space="preserve"> dated November 24, 2014, granting leave to intervene to the Superintendent of Bankruptcy in the above appeal;</w:t>
      </w:r>
    </w:p>
    <w:p w:rsidR="00DD21F1" w:rsidRPr="00DD21F1" w:rsidRDefault="00DD21F1" w:rsidP="00DD21F1">
      <w:pPr>
        <w:spacing w:line="233" w:lineRule="auto"/>
        <w:jc w:val="both"/>
        <w:rPr>
          <w:rFonts w:eastAsia="Times New Roman" w:cs="Times New Roman"/>
          <w:sz w:val="20"/>
          <w:szCs w:val="20"/>
          <w:lang w:eastAsia="en-CA"/>
        </w:rPr>
      </w:pPr>
    </w:p>
    <w:p w:rsidR="00DD21F1" w:rsidRPr="00DD21F1" w:rsidRDefault="00DD21F1" w:rsidP="00DD21F1">
      <w:pPr>
        <w:spacing w:line="233" w:lineRule="auto"/>
        <w:jc w:val="both"/>
        <w:rPr>
          <w:rFonts w:eastAsia="Times New Roman" w:cs="Times New Roman"/>
          <w:sz w:val="20"/>
          <w:szCs w:val="20"/>
          <w:lang w:eastAsia="en-CA"/>
        </w:rPr>
      </w:pPr>
      <w:r w:rsidRPr="00DD21F1">
        <w:rPr>
          <w:rFonts w:eastAsia="Times New Roman" w:cs="Times New Roman"/>
          <w:b/>
          <w:bCs/>
          <w:sz w:val="20"/>
          <w:szCs w:val="20"/>
          <w:lang w:eastAsia="en-CA"/>
        </w:rPr>
        <w:t xml:space="preserve">IT IS HEREBY FURTHER ORDERED THAT </w:t>
      </w:r>
      <w:r w:rsidRPr="00DD21F1">
        <w:rPr>
          <w:rFonts w:eastAsia="Times New Roman" w:cs="Times New Roman"/>
          <w:bCs/>
          <w:sz w:val="20"/>
          <w:szCs w:val="20"/>
          <w:lang w:eastAsia="en-CA"/>
        </w:rPr>
        <w:t>t</w:t>
      </w:r>
      <w:r w:rsidRPr="00DD21F1">
        <w:rPr>
          <w:rFonts w:eastAsia="Times New Roman" w:cs="Times New Roman"/>
          <w:sz w:val="20"/>
          <w:szCs w:val="20"/>
          <w:lang w:eastAsia="en-CA"/>
        </w:rPr>
        <w:t>he said intervener is granted permission to present oral argument not exceeding ten (10) minutes at the hearing of the appeal.</w:t>
      </w:r>
    </w:p>
    <w:p w:rsidR="00DD21F1" w:rsidRPr="00DD21F1" w:rsidRDefault="00DD21F1" w:rsidP="00DD21F1">
      <w:pPr>
        <w:spacing w:line="233" w:lineRule="auto"/>
        <w:jc w:val="both"/>
        <w:rPr>
          <w:rFonts w:eastAsia="Times New Roman" w:cs="Times New Roman"/>
          <w:bCs/>
          <w:sz w:val="20"/>
          <w:szCs w:val="20"/>
          <w:lang w:eastAsia="en-CA"/>
        </w:rPr>
      </w:pPr>
    </w:p>
    <w:p w:rsidR="00DD21F1" w:rsidRPr="00DD21F1" w:rsidRDefault="00DD21F1" w:rsidP="00DD21F1">
      <w:pPr>
        <w:spacing w:line="233" w:lineRule="auto"/>
        <w:jc w:val="both"/>
        <w:rPr>
          <w:rFonts w:eastAsia="Times New Roman" w:cs="Times New Roman"/>
          <w:bCs/>
          <w:sz w:val="20"/>
          <w:szCs w:val="20"/>
          <w:lang w:eastAsia="en-CA"/>
        </w:rPr>
      </w:pPr>
    </w:p>
    <w:p w:rsidR="00DD21F1" w:rsidRPr="00DD21F1" w:rsidRDefault="00DD21F1" w:rsidP="00DD21F1">
      <w:pPr>
        <w:spacing w:line="233" w:lineRule="auto"/>
        <w:jc w:val="both"/>
        <w:rPr>
          <w:rFonts w:eastAsia="Times New Roman" w:cs="Times New Roman"/>
          <w:bCs/>
          <w:sz w:val="20"/>
          <w:szCs w:val="20"/>
          <w:lang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sz w:val="20"/>
          <w:szCs w:val="20"/>
          <w:lang w:val="fr-CA" w:eastAsia="en-CA"/>
        </w:rPr>
        <w:t>À LA SUITE DE L’ORDONNANCE</w:t>
      </w:r>
      <w:r w:rsidRPr="00DD21F1">
        <w:rPr>
          <w:rFonts w:eastAsia="Times New Roman" w:cs="Times New Roman"/>
          <w:sz w:val="20"/>
          <w:szCs w:val="20"/>
          <w:lang w:val="fr-CA" w:eastAsia="en-CA"/>
        </w:rPr>
        <w:t xml:space="preserve"> datée du 24 novembre 2014 autorisant le surintendant des faillites à intervenir dans l’appel;</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 xml:space="preserve">IL EST EN OUTRE ORDONNÉ QUE </w:t>
      </w:r>
      <w:r w:rsidRPr="00DD21F1">
        <w:rPr>
          <w:rFonts w:eastAsia="Times New Roman" w:cs="Times New Roman"/>
          <w:bCs/>
          <w:sz w:val="20"/>
          <w:szCs w:val="20"/>
          <w:lang w:val="fr-CA" w:eastAsia="en-CA"/>
        </w:rPr>
        <w:t>cet intervenant pourra présenter une plaidoirie orale d’au plus dix</w:t>
      </w:r>
      <w:r w:rsidRPr="00DD21F1">
        <w:rPr>
          <w:rFonts w:eastAsia="Times New Roman" w:cs="Times New Roman"/>
          <w:sz w:val="20"/>
          <w:szCs w:val="20"/>
          <w:lang w:val="fr-CA" w:eastAsia="en-CA"/>
        </w:rPr>
        <w:t xml:space="preserve"> (10) minutes lors de l’audition de l’appel.</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8A5B26" w:rsidP="00DD21F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4"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A766ED" w:rsidRDefault="00A766ED">
      <w:pPr>
        <w:rPr>
          <w:rFonts w:eastAsia="Times New Roman" w:cs="Times New Roman"/>
          <w:sz w:val="20"/>
          <w:szCs w:val="20"/>
          <w:lang w:val="fr-CA" w:eastAsia="en-CA"/>
        </w:rPr>
      </w:pPr>
      <w:r>
        <w:rPr>
          <w:rFonts w:eastAsia="Times New Roman" w:cs="Times New Roman"/>
          <w:sz w:val="20"/>
          <w:szCs w:val="20"/>
          <w:lang w:val="fr-CA" w:eastAsia="en-CA"/>
        </w:rPr>
        <w:br w:type="page"/>
      </w: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lastRenderedPageBreak/>
        <w:t>12.01.2015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THE CHIEF JUSTICE / LA JUGE EN CHEF</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D21F1" w:rsidRPr="00DD21F1" w:rsidTr="00DD21F1">
        <w:trPr>
          <w:trHeight w:val="151"/>
        </w:trPr>
        <w:tc>
          <w:tcPr>
            <w:tcW w:w="4338" w:type="dxa"/>
          </w:tcPr>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r w:rsidR="00DD21F1" w:rsidRPr="00DD21F1">
              <w:rPr>
                <w:b/>
                <w:bCs/>
                <w:lang w:val="fr-CA"/>
              </w:rPr>
              <w:t>Order</w:t>
            </w:r>
          </w:p>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p>
        </w:tc>
        <w:tc>
          <w:tcPr>
            <w:tcW w:w="1170" w:type="dxa"/>
          </w:tcPr>
          <w:p w:rsidR="00DD21F1" w:rsidRPr="00DD21F1" w:rsidRDefault="00DD21F1" w:rsidP="00DD21F1">
            <w:pPr>
              <w:jc w:val="both"/>
              <w:rPr>
                <w:lang w:val="fr-CA"/>
              </w:rPr>
            </w:pPr>
          </w:p>
          <w:p w:rsidR="00DD21F1" w:rsidRPr="00DD21F1" w:rsidRDefault="00DD21F1" w:rsidP="00DD21F1">
            <w:pPr>
              <w:jc w:val="both"/>
              <w:rPr>
                <w:lang w:val="fr-CA"/>
              </w:rPr>
            </w:pPr>
          </w:p>
        </w:tc>
        <w:tc>
          <w:tcPr>
            <w:tcW w:w="4327" w:type="dxa"/>
          </w:tcPr>
          <w:p w:rsidR="00DD21F1" w:rsidRPr="00DD21F1" w:rsidRDefault="00D5130B" w:rsidP="00DD21F1">
            <w:pPr>
              <w:jc w:val="both"/>
              <w:rPr>
                <w:b/>
                <w:lang w:val="fr-CA"/>
              </w:rPr>
            </w:pPr>
            <w:r w:rsidRPr="00DD21F1">
              <w:rPr>
                <w:szCs w:val="24"/>
                <w:lang w:val="en-US"/>
              </w:rPr>
              <w:fldChar w:fldCharType="begin"/>
            </w:r>
            <w:r w:rsidR="00DD21F1" w:rsidRPr="00DD21F1">
              <w:rPr>
                <w:szCs w:val="24"/>
                <w:lang w:val="fr-CA"/>
              </w:rPr>
              <w:instrText xml:space="preserve"> SEQ CHAPTER \h \r 1</w:instrText>
            </w:r>
            <w:r w:rsidRPr="00DD21F1">
              <w:rPr>
                <w:szCs w:val="24"/>
                <w:lang w:val="en-US"/>
              </w:rPr>
              <w:fldChar w:fldCharType="end"/>
            </w:r>
            <w:r w:rsidR="00DD21F1" w:rsidRPr="00DD21F1">
              <w:rPr>
                <w:b/>
                <w:bCs/>
                <w:lang w:val="fr-CA"/>
              </w:rPr>
              <w:t>Ordonnance</w:t>
            </w:r>
          </w:p>
          <w:p w:rsidR="00DD21F1" w:rsidRPr="00DD21F1" w:rsidRDefault="00D5130B" w:rsidP="00DD21F1">
            <w:pPr>
              <w:jc w:val="both"/>
              <w:rPr>
                <w:b/>
                <w:lang w:val="fr-CA"/>
              </w:rPr>
            </w:pPr>
            <w:r w:rsidRPr="00DD21F1">
              <w:rPr>
                <w:b/>
                <w:lang w:val="en-US"/>
              </w:rPr>
              <w:fldChar w:fldCharType="begin"/>
            </w:r>
            <w:r w:rsidR="00DD21F1" w:rsidRPr="00DD21F1">
              <w:rPr>
                <w:b/>
                <w:lang w:val="fr-CA"/>
              </w:rPr>
              <w:instrText xml:space="preserve"> SEQ CHAPTER \h \r 1</w:instrText>
            </w:r>
            <w:r w:rsidRPr="00DD21F1">
              <w:rPr>
                <w:b/>
                <w:lang w:val="en-US"/>
              </w:rPr>
              <w:fldChar w:fldCharType="end"/>
            </w:r>
            <w:r w:rsidRPr="00DD21F1">
              <w:rPr>
                <w:b/>
                <w:lang w:val="en-US"/>
              </w:rPr>
              <w:fldChar w:fldCharType="begin"/>
            </w:r>
            <w:r w:rsidR="00DD21F1" w:rsidRPr="00DD21F1">
              <w:rPr>
                <w:b/>
                <w:lang w:val="fr-CA"/>
              </w:rPr>
              <w:instrText xml:space="preserve"> SEQ CHAPTER \h \r 1</w:instrText>
            </w:r>
            <w:r w:rsidRPr="00DD21F1">
              <w:rPr>
                <w:b/>
                <w:lang w:val="en-US"/>
              </w:rPr>
              <w:fldChar w:fldCharType="end"/>
            </w:r>
          </w:p>
        </w:tc>
      </w:tr>
      <w:tr w:rsidR="00DD21F1" w:rsidRPr="00DD21F1" w:rsidTr="00DD21F1">
        <w:trPr>
          <w:trHeight w:val="150"/>
        </w:trPr>
        <w:tc>
          <w:tcPr>
            <w:tcW w:w="4338" w:type="dxa"/>
          </w:tcPr>
          <w:p w:rsidR="00DD21F1" w:rsidRPr="00DD21F1" w:rsidRDefault="00DD21F1" w:rsidP="00DD21F1">
            <w:pPr>
              <w:tabs>
                <w:tab w:val="left" w:pos="-1440"/>
                <w:tab w:val="left" w:pos="-720"/>
              </w:tabs>
              <w:jc w:val="both"/>
            </w:pPr>
            <w:r w:rsidRPr="00DD21F1">
              <w:t>Jeyakannan Kanthasamy</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ab/>
              <w:t>v. (35990)</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Minister of Citizenship and Immigration (F.C.)</w:t>
            </w:r>
          </w:p>
        </w:tc>
        <w:tc>
          <w:tcPr>
            <w:tcW w:w="1170" w:type="dxa"/>
          </w:tcPr>
          <w:p w:rsidR="00DD21F1" w:rsidRPr="00DD21F1" w:rsidRDefault="00DD21F1" w:rsidP="00DD21F1">
            <w:pPr>
              <w:jc w:val="both"/>
            </w:pPr>
          </w:p>
        </w:tc>
        <w:tc>
          <w:tcPr>
            <w:tcW w:w="4327" w:type="dxa"/>
          </w:tcPr>
          <w:p w:rsidR="00DD21F1" w:rsidRPr="00DD21F1" w:rsidRDefault="00DD21F1" w:rsidP="00DD21F1">
            <w:pPr>
              <w:jc w:val="both"/>
            </w:pPr>
          </w:p>
        </w:tc>
      </w:tr>
    </w:tbl>
    <w:p w:rsidR="00DD21F1" w:rsidRPr="00DD21F1" w:rsidRDefault="00DD21F1" w:rsidP="00DD21F1">
      <w:pPr>
        <w:tabs>
          <w:tab w:val="left" w:pos="-1440"/>
          <w:tab w:val="left" w:pos="-720"/>
        </w:tabs>
        <w:jc w:val="both"/>
        <w:rPr>
          <w:rFonts w:eastAsia="Times New Roman" w:cs="Times New Roman"/>
          <w:sz w:val="20"/>
          <w:szCs w:val="20"/>
          <w:lang w:val="en-US" w:eastAsia="en-CA"/>
        </w:rPr>
      </w:pPr>
    </w:p>
    <w:p w:rsidR="00DD21F1" w:rsidRPr="00DD21F1" w:rsidRDefault="00DD21F1" w:rsidP="00DD21F1">
      <w:pPr>
        <w:rPr>
          <w:rFonts w:eastAsia="Times New Roman" w:cs="Times New Roman"/>
          <w:sz w:val="20"/>
          <w:szCs w:val="20"/>
          <w:lang w:val="en-US" w:eastAsia="en-CA"/>
        </w:rPr>
      </w:pPr>
      <w:r w:rsidRPr="00DD21F1">
        <w:rPr>
          <w:rFonts w:eastAsia="Times New Roman" w:cs="Times New Roman"/>
          <w:b/>
          <w:sz w:val="20"/>
          <w:szCs w:val="20"/>
          <w:lang w:val="en-US" w:eastAsia="en-CA"/>
        </w:rPr>
        <w:t>IT IS HEREBY ORDERED THAT:</w:t>
      </w:r>
    </w:p>
    <w:p w:rsidR="00DD21F1" w:rsidRPr="00DD21F1" w:rsidRDefault="00DD21F1" w:rsidP="00DD21F1">
      <w:pPr>
        <w:rPr>
          <w:rFonts w:eastAsia="Times New Roman" w:cs="Times New Roman"/>
          <w:sz w:val="20"/>
          <w:szCs w:val="20"/>
          <w:lang w:val="en-US" w:eastAsia="en-CA"/>
        </w:rPr>
      </w:pPr>
    </w:p>
    <w:p w:rsidR="00DD21F1" w:rsidRPr="00DD21F1" w:rsidRDefault="00DD21F1" w:rsidP="00A766ED">
      <w:pPr>
        <w:widowControl w:val="0"/>
        <w:numPr>
          <w:ilvl w:val="0"/>
          <w:numId w:val="15"/>
        </w:numPr>
        <w:autoSpaceDE w:val="0"/>
        <w:autoSpaceDN w:val="0"/>
        <w:adjustRightInd w:val="0"/>
        <w:contextualSpacing/>
        <w:jc w:val="both"/>
        <w:rPr>
          <w:rFonts w:cs="Times New Roman"/>
          <w:sz w:val="20"/>
          <w:szCs w:val="20"/>
        </w:rPr>
      </w:pPr>
      <w:r w:rsidRPr="00DD21F1">
        <w:rPr>
          <w:rFonts w:cs="Times New Roman"/>
          <w:sz w:val="20"/>
          <w:szCs w:val="20"/>
        </w:rPr>
        <w:t>The appellant’s record, factum and book of authorities shall be served and filed on or before February 12, 2015.</w:t>
      </w:r>
    </w:p>
    <w:p w:rsidR="00DD21F1" w:rsidRPr="00DD21F1" w:rsidRDefault="00DD21F1" w:rsidP="00DD21F1">
      <w:pPr>
        <w:ind w:left="1440" w:hanging="1440"/>
        <w:rPr>
          <w:rFonts w:eastAsia="Times New Roman" w:cs="Times New Roman"/>
          <w:sz w:val="20"/>
          <w:szCs w:val="20"/>
          <w:lang w:val="en-US" w:eastAsia="en-CA"/>
        </w:rPr>
      </w:pPr>
    </w:p>
    <w:p w:rsidR="00DD21F1" w:rsidRPr="00DD21F1" w:rsidRDefault="00DD21F1" w:rsidP="00A766ED">
      <w:pPr>
        <w:widowControl w:val="0"/>
        <w:numPr>
          <w:ilvl w:val="0"/>
          <w:numId w:val="15"/>
        </w:numPr>
        <w:autoSpaceDE w:val="0"/>
        <w:autoSpaceDN w:val="0"/>
        <w:adjustRightInd w:val="0"/>
        <w:contextualSpacing/>
        <w:jc w:val="both"/>
        <w:rPr>
          <w:rFonts w:cs="Times New Roman"/>
          <w:sz w:val="20"/>
          <w:szCs w:val="20"/>
        </w:rPr>
      </w:pPr>
      <w:r w:rsidRPr="00DD21F1">
        <w:rPr>
          <w:rFonts w:cs="Times New Roman"/>
          <w:sz w:val="20"/>
          <w:szCs w:val="20"/>
        </w:rPr>
        <w:t xml:space="preserve">Any person wishing to intervene in this appeal under Rule 55 of the </w:t>
      </w:r>
      <w:r w:rsidRPr="00DD21F1">
        <w:rPr>
          <w:rFonts w:cs="Times New Roman"/>
          <w:i/>
          <w:sz w:val="20"/>
          <w:szCs w:val="20"/>
        </w:rPr>
        <w:t>Rules of the Supreme Court of Canada</w:t>
      </w:r>
      <w:r w:rsidRPr="00DD21F1">
        <w:rPr>
          <w:rFonts w:cs="Times New Roman"/>
          <w:sz w:val="20"/>
          <w:szCs w:val="20"/>
        </w:rPr>
        <w:t xml:space="preserve"> shall serve and file a motion for leave to intervene on or before March 5, 2015. </w:t>
      </w:r>
    </w:p>
    <w:p w:rsidR="00DD21F1" w:rsidRPr="00DD21F1" w:rsidRDefault="00DD21F1" w:rsidP="00DD21F1">
      <w:pPr>
        <w:ind w:left="720"/>
        <w:contextualSpacing/>
        <w:rPr>
          <w:rFonts w:cs="Times New Roman"/>
          <w:sz w:val="20"/>
          <w:szCs w:val="20"/>
        </w:rPr>
      </w:pPr>
    </w:p>
    <w:p w:rsidR="00DD21F1" w:rsidRPr="00DD21F1" w:rsidRDefault="00DD21F1" w:rsidP="00A766ED">
      <w:pPr>
        <w:widowControl w:val="0"/>
        <w:numPr>
          <w:ilvl w:val="0"/>
          <w:numId w:val="15"/>
        </w:numPr>
        <w:autoSpaceDE w:val="0"/>
        <w:autoSpaceDN w:val="0"/>
        <w:adjustRightInd w:val="0"/>
        <w:contextualSpacing/>
        <w:jc w:val="both"/>
        <w:rPr>
          <w:rFonts w:cs="Times New Roman"/>
          <w:sz w:val="20"/>
          <w:szCs w:val="20"/>
        </w:rPr>
      </w:pPr>
      <w:r w:rsidRPr="00DD21F1">
        <w:rPr>
          <w:rFonts w:cs="Times New Roman"/>
          <w:sz w:val="20"/>
          <w:szCs w:val="20"/>
        </w:rPr>
        <w:t xml:space="preserve">The appellant and respondent shall serve and file their responses, if any, to the motions for leave to intervene on or before March 9, 2015. </w:t>
      </w:r>
    </w:p>
    <w:p w:rsidR="00DD21F1" w:rsidRPr="00DD21F1" w:rsidRDefault="00DD21F1" w:rsidP="00DD21F1">
      <w:pPr>
        <w:ind w:left="720"/>
        <w:contextualSpacing/>
        <w:rPr>
          <w:rFonts w:cs="Times New Roman"/>
          <w:sz w:val="20"/>
          <w:szCs w:val="20"/>
        </w:rPr>
      </w:pPr>
    </w:p>
    <w:p w:rsidR="00DD21F1" w:rsidRPr="00DD21F1" w:rsidRDefault="00DD21F1" w:rsidP="00A766ED">
      <w:pPr>
        <w:widowControl w:val="0"/>
        <w:numPr>
          <w:ilvl w:val="0"/>
          <w:numId w:val="15"/>
        </w:numPr>
        <w:autoSpaceDE w:val="0"/>
        <w:autoSpaceDN w:val="0"/>
        <w:adjustRightInd w:val="0"/>
        <w:contextualSpacing/>
        <w:jc w:val="both"/>
        <w:rPr>
          <w:rFonts w:cs="Times New Roman"/>
          <w:sz w:val="20"/>
          <w:szCs w:val="20"/>
        </w:rPr>
      </w:pPr>
      <w:r w:rsidRPr="00DD21F1">
        <w:rPr>
          <w:rFonts w:cs="Times New Roman"/>
          <w:sz w:val="20"/>
          <w:szCs w:val="20"/>
        </w:rPr>
        <w:t>Replies to any responses to the motions for leave to intervene shall be served and filed on or before March 11, 2015.</w:t>
      </w:r>
    </w:p>
    <w:p w:rsidR="00DD21F1" w:rsidRPr="00DD21F1" w:rsidRDefault="00DD21F1" w:rsidP="00DD21F1">
      <w:pPr>
        <w:ind w:left="1065"/>
        <w:contextualSpacing/>
        <w:rPr>
          <w:rFonts w:cs="Times New Roman"/>
          <w:sz w:val="20"/>
          <w:szCs w:val="20"/>
        </w:rPr>
      </w:pPr>
    </w:p>
    <w:p w:rsidR="00DD21F1" w:rsidRPr="00DD21F1" w:rsidRDefault="00DD21F1" w:rsidP="00A766ED">
      <w:pPr>
        <w:widowControl w:val="0"/>
        <w:numPr>
          <w:ilvl w:val="0"/>
          <w:numId w:val="15"/>
        </w:numPr>
        <w:autoSpaceDE w:val="0"/>
        <w:autoSpaceDN w:val="0"/>
        <w:adjustRightInd w:val="0"/>
        <w:contextualSpacing/>
        <w:jc w:val="both"/>
        <w:rPr>
          <w:rFonts w:cs="Times New Roman"/>
          <w:sz w:val="20"/>
          <w:szCs w:val="20"/>
        </w:rPr>
      </w:pPr>
      <w:r w:rsidRPr="00DD21F1">
        <w:rPr>
          <w:rFonts w:cs="Times New Roman"/>
          <w:sz w:val="20"/>
          <w:szCs w:val="20"/>
        </w:rPr>
        <w:t>The respondent’s record, factum and book of authorities shall be served and filed on or before March 26, 2015.</w:t>
      </w:r>
    </w:p>
    <w:p w:rsidR="00DD21F1" w:rsidRPr="00DD21F1" w:rsidRDefault="00DD21F1" w:rsidP="00DD21F1">
      <w:pPr>
        <w:ind w:left="720"/>
        <w:contextualSpacing/>
        <w:rPr>
          <w:rFonts w:cs="Times New Roman"/>
          <w:sz w:val="20"/>
          <w:szCs w:val="20"/>
        </w:rPr>
      </w:pPr>
    </w:p>
    <w:p w:rsidR="00DD21F1" w:rsidRPr="00DD21F1" w:rsidRDefault="00DD21F1" w:rsidP="00A766ED">
      <w:pPr>
        <w:widowControl w:val="0"/>
        <w:numPr>
          <w:ilvl w:val="0"/>
          <w:numId w:val="15"/>
        </w:numPr>
        <w:autoSpaceDE w:val="0"/>
        <w:autoSpaceDN w:val="0"/>
        <w:adjustRightInd w:val="0"/>
        <w:contextualSpacing/>
        <w:jc w:val="both"/>
        <w:rPr>
          <w:rFonts w:cs="Times New Roman"/>
          <w:bCs/>
          <w:sz w:val="20"/>
          <w:szCs w:val="20"/>
        </w:rPr>
      </w:pPr>
      <w:r w:rsidRPr="00DD21F1">
        <w:rPr>
          <w:rFonts w:cs="Times New Roman"/>
          <w:bCs/>
          <w:sz w:val="20"/>
          <w:szCs w:val="20"/>
        </w:rPr>
        <w:t xml:space="preserve">Any interveners granted leave to intervene under Rule 59 of the </w:t>
      </w:r>
      <w:r w:rsidRPr="00DD21F1">
        <w:rPr>
          <w:rFonts w:cs="Times New Roman"/>
          <w:bCs/>
          <w:i/>
          <w:sz w:val="20"/>
          <w:szCs w:val="20"/>
        </w:rPr>
        <w:t>Rules of the Supreme Court of Canada</w:t>
      </w:r>
      <w:r w:rsidRPr="00DD21F1">
        <w:rPr>
          <w:rFonts w:cs="Times New Roman"/>
          <w:bCs/>
          <w:sz w:val="20"/>
          <w:szCs w:val="20"/>
        </w:rPr>
        <w:t xml:space="preserve"> shall serve and file their factum and book of authorities on or before April 2, 2015.</w:t>
      </w:r>
    </w:p>
    <w:p w:rsidR="00DD21F1" w:rsidRPr="00DD21F1" w:rsidRDefault="00DD21F1" w:rsidP="00DD21F1">
      <w:pPr>
        <w:rPr>
          <w:rFonts w:eastAsia="Times New Roman" w:cs="Times New Roman"/>
          <w:b/>
          <w:bCs/>
          <w:sz w:val="20"/>
          <w:szCs w:val="20"/>
          <w:lang w:eastAsia="en-CA"/>
        </w:rPr>
      </w:pPr>
    </w:p>
    <w:p w:rsidR="00DD21F1" w:rsidRPr="00DD21F1" w:rsidRDefault="00DD21F1" w:rsidP="00DD21F1">
      <w:pPr>
        <w:rPr>
          <w:rFonts w:eastAsia="Times New Roman" w:cs="Times New Roman"/>
          <w:b/>
          <w:bCs/>
          <w:sz w:val="20"/>
          <w:szCs w:val="20"/>
          <w:lang w:eastAsia="en-CA"/>
        </w:rPr>
      </w:pPr>
    </w:p>
    <w:p w:rsidR="00DD21F1" w:rsidRPr="00DD21F1" w:rsidRDefault="00DD21F1" w:rsidP="00DD21F1">
      <w:pPr>
        <w:rPr>
          <w:rFonts w:eastAsia="Times New Roman" w:cs="Times New Roman"/>
          <w:b/>
          <w:bCs/>
          <w:sz w:val="20"/>
          <w:szCs w:val="20"/>
          <w:lang w:eastAsia="en-CA"/>
        </w:rPr>
      </w:pPr>
    </w:p>
    <w:p w:rsidR="00DD21F1" w:rsidRPr="00DD21F1" w:rsidRDefault="00DD21F1" w:rsidP="00DD21F1">
      <w:pPr>
        <w:rPr>
          <w:rFonts w:eastAsia="Times New Roman" w:cs="Times New Roman"/>
          <w:b/>
          <w:bCs/>
          <w:sz w:val="20"/>
          <w:szCs w:val="20"/>
          <w:lang w:val="fr-CA" w:eastAsia="en-CA"/>
        </w:rPr>
      </w:pPr>
      <w:r w:rsidRPr="00DD21F1">
        <w:rPr>
          <w:rFonts w:eastAsia="Times New Roman" w:cs="Times New Roman"/>
          <w:b/>
          <w:bCs/>
          <w:sz w:val="20"/>
          <w:szCs w:val="20"/>
          <w:lang w:val="fr-CA" w:eastAsia="en-CA"/>
        </w:rPr>
        <w:t>IL EST ORDONNÉ CE QUI SUIT :</w:t>
      </w:r>
    </w:p>
    <w:p w:rsidR="00DD21F1" w:rsidRPr="00DD21F1" w:rsidRDefault="00DD21F1" w:rsidP="00DD21F1">
      <w:pPr>
        <w:rPr>
          <w:rFonts w:eastAsia="Times New Roman" w:cs="Times New Roman"/>
          <w:b/>
          <w:bCs/>
          <w:sz w:val="20"/>
          <w:szCs w:val="20"/>
          <w:lang w:val="fr-CA" w:eastAsia="en-CA"/>
        </w:rPr>
      </w:pPr>
    </w:p>
    <w:p w:rsidR="00DD21F1" w:rsidRPr="00DD21F1" w:rsidRDefault="00DD21F1" w:rsidP="00A766ED">
      <w:pPr>
        <w:widowControl w:val="0"/>
        <w:numPr>
          <w:ilvl w:val="0"/>
          <w:numId w:val="16"/>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Les dossier, mémoire et recueil de sources de l’appelant devront être signifiés et déposés au plus tard le 12 février 2015.</w:t>
      </w:r>
    </w:p>
    <w:p w:rsidR="00DD21F1" w:rsidRPr="00DD21F1" w:rsidRDefault="00DD21F1" w:rsidP="00DD21F1">
      <w:pPr>
        <w:ind w:left="1440" w:hanging="1440"/>
        <w:rPr>
          <w:rFonts w:eastAsia="Times New Roman" w:cs="Times New Roman"/>
          <w:sz w:val="20"/>
          <w:szCs w:val="20"/>
          <w:lang w:val="fr-CA" w:eastAsia="en-CA"/>
        </w:rPr>
      </w:pPr>
    </w:p>
    <w:p w:rsidR="00DD21F1" w:rsidRPr="00DD21F1" w:rsidRDefault="00DD21F1" w:rsidP="00A766ED">
      <w:pPr>
        <w:widowControl w:val="0"/>
        <w:numPr>
          <w:ilvl w:val="0"/>
          <w:numId w:val="16"/>
        </w:numPr>
        <w:autoSpaceDE w:val="0"/>
        <w:autoSpaceDN w:val="0"/>
        <w:adjustRightInd w:val="0"/>
        <w:contextualSpacing/>
        <w:jc w:val="both"/>
        <w:rPr>
          <w:rFonts w:cs="Times New Roman"/>
          <w:sz w:val="20"/>
          <w:szCs w:val="20"/>
          <w:lang w:val="fr-CA"/>
        </w:rPr>
      </w:pPr>
      <w:r w:rsidRPr="00DD21F1">
        <w:rPr>
          <w:rFonts w:cs="Times New Roman"/>
          <w:sz w:val="20"/>
          <w:szCs w:val="20"/>
          <w:lang w:val="fr-CA"/>
        </w:rPr>
        <w:t xml:space="preserve">Quiconque souhaite intervenir dans le présent pourvoi en vertu de l’art. 55 des </w:t>
      </w:r>
      <w:r w:rsidRPr="00DD21F1">
        <w:rPr>
          <w:rFonts w:cs="Times New Roman"/>
          <w:i/>
          <w:sz w:val="20"/>
          <w:szCs w:val="20"/>
          <w:lang w:val="fr-CA"/>
        </w:rPr>
        <w:t>Règles de la Cour suprême du Canada</w:t>
      </w:r>
      <w:r w:rsidRPr="00DD21F1">
        <w:rPr>
          <w:rFonts w:cs="Times New Roman"/>
          <w:sz w:val="20"/>
          <w:szCs w:val="20"/>
          <w:lang w:val="fr-CA"/>
        </w:rPr>
        <w:t xml:space="preserve"> signifiera et déposera une requête en autorisation d’intervenir au plus tard le 5 mars 2015. </w:t>
      </w:r>
    </w:p>
    <w:p w:rsidR="00DD21F1" w:rsidRPr="00DD21F1" w:rsidRDefault="00DD21F1" w:rsidP="00DD21F1">
      <w:pPr>
        <w:ind w:left="720"/>
        <w:contextualSpacing/>
        <w:rPr>
          <w:rFonts w:cs="Times New Roman"/>
          <w:sz w:val="20"/>
          <w:szCs w:val="20"/>
          <w:lang w:val="fr-CA"/>
        </w:rPr>
      </w:pPr>
    </w:p>
    <w:p w:rsidR="00DD21F1" w:rsidRPr="00DD21F1" w:rsidRDefault="00DD21F1" w:rsidP="00A766ED">
      <w:pPr>
        <w:widowControl w:val="0"/>
        <w:numPr>
          <w:ilvl w:val="0"/>
          <w:numId w:val="16"/>
        </w:numPr>
        <w:autoSpaceDE w:val="0"/>
        <w:autoSpaceDN w:val="0"/>
        <w:adjustRightInd w:val="0"/>
        <w:contextualSpacing/>
        <w:jc w:val="both"/>
        <w:rPr>
          <w:rFonts w:cs="Times New Roman"/>
          <w:sz w:val="20"/>
          <w:szCs w:val="20"/>
          <w:lang w:val="fr-CA"/>
        </w:rPr>
      </w:pPr>
      <w:r w:rsidRPr="00DD21F1">
        <w:rPr>
          <w:rFonts w:cs="Times New Roman"/>
          <w:sz w:val="20"/>
          <w:szCs w:val="20"/>
          <w:lang w:val="fr-CA"/>
        </w:rPr>
        <w:t xml:space="preserve">Les appelant et intimé devront, le cas échéant, déposer et signifier leur réponse aux requêtes en autorisation d’intervenir au plus tard le 9 mars 2015. </w:t>
      </w:r>
    </w:p>
    <w:p w:rsidR="00DD21F1" w:rsidRPr="00DD21F1" w:rsidRDefault="00DD21F1" w:rsidP="00DD21F1">
      <w:pPr>
        <w:ind w:left="720"/>
        <w:contextualSpacing/>
        <w:rPr>
          <w:rFonts w:cs="Times New Roman"/>
          <w:sz w:val="20"/>
          <w:szCs w:val="20"/>
          <w:lang w:val="fr-CA"/>
        </w:rPr>
      </w:pPr>
    </w:p>
    <w:p w:rsidR="00DD21F1" w:rsidRPr="00DD21F1" w:rsidRDefault="00DD21F1" w:rsidP="00A766ED">
      <w:pPr>
        <w:widowControl w:val="0"/>
        <w:numPr>
          <w:ilvl w:val="0"/>
          <w:numId w:val="16"/>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Les répliques à toute réponse aux requêtes en autorisation d’intervenir devront être signifiées et déposées au plus tard le 11 mars 2015.</w:t>
      </w:r>
    </w:p>
    <w:p w:rsidR="00DD21F1" w:rsidRPr="00DD21F1" w:rsidRDefault="00DD21F1" w:rsidP="00DD21F1">
      <w:pPr>
        <w:ind w:left="1065"/>
        <w:contextualSpacing/>
        <w:rPr>
          <w:rFonts w:cs="Times New Roman"/>
          <w:sz w:val="20"/>
          <w:szCs w:val="20"/>
          <w:lang w:val="fr-CA"/>
        </w:rPr>
      </w:pPr>
    </w:p>
    <w:p w:rsidR="00DD21F1" w:rsidRPr="00DD21F1" w:rsidRDefault="00DD21F1" w:rsidP="00A766ED">
      <w:pPr>
        <w:widowControl w:val="0"/>
        <w:numPr>
          <w:ilvl w:val="0"/>
          <w:numId w:val="16"/>
        </w:numPr>
        <w:autoSpaceDE w:val="0"/>
        <w:autoSpaceDN w:val="0"/>
        <w:adjustRightInd w:val="0"/>
        <w:contextualSpacing/>
        <w:jc w:val="both"/>
        <w:rPr>
          <w:rFonts w:cs="Times New Roman"/>
          <w:sz w:val="20"/>
          <w:szCs w:val="20"/>
          <w:lang w:val="fr-CA"/>
        </w:rPr>
      </w:pPr>
      <w:r w:rsidRPr="00DD21F1">
        <w:rPr>
          <w:rFonts w:cs="Times New Roman"/>
          <w:sz w:val="20"/>
          <w:szCs w:val="20"/>
          <w:lang w:val="fr-CA"/>
        </w:rPr>
        <w:t>Les dossier, mémoire et recueil de sources de l’intimé devront être signifiés et déposés au plus tard le 26 mars 2015.</w:t>
      </w:r>
    </w:p>
    <w:p w:rsidR="00DD21F1" w:rsidRPr="00DD21F1" w:rsidRDefault="00DD21F1" w:rsidP="00DD21F1">
      <w:pPr>
        <w:ind w:left="720"/>
        <w:contextualSpacing/>
        <w:rPr>
          <w:rFonts w:cs="Times New Roman"/>
          <w:sz w:val="20"/>
          <w:szCs w:val="20"/>
          <w:lang w:val="fr-CA"/>
        </w:rPr>
      </w:pPr>
    </w:p>
    <w:p w:rsidR="00DD21F1" w:rsidRPr="00DD21F1" w:rsidRDefault="00DD21F1" w:rsidP="00A766ED">
      <w:pPr>
        <w:widowControl w:val="0"/>
        <w:numPr>
          <w:ilvl w:val="0"/>
          <w:numId w:val="16"/>
        </w:numPr>
        <w:autoSpaceDE w:val="0"/>
        <w:autoSpaceDN w:val="0"/>
        <w:adjustRightInd w:val="0"/>
        <w:contextualSpacing/>
        <w:jc w:val="both"/>
        <w:rPr>
          <w:rFonts w:cs="Times New Roman"/>
          <w:bCs/>
          <w:sz w:val="20"/>
          <w:szCs w:val="20"/>
          <w:lang w:val="fr-CA"/>
        </w:rPr>
      </w:pPr>
      <w:r w:rsidRPr="00DD21F1">
        <w:rPr>
          <w:rFonts w:cs="Times New Roman"/>
          <w:bCs/>
          <w:sz w:val="20"/>
          <w:szCs w:val="20"/>
          <w:lang w:val="fr-CA"/>
        </w:rPr>
        <w:t xml:space="preserve">Tout intervenant autorisé à intervenir en application de l’art. 59 des </w:t>
      </w:r>
      <w:r w:rsidRPr="00DD21F1">
        <w:rPr>
          <w:rFonts w:cs="Times New Roman"/>
          <w:i/>
          <w:sz w:val="20"/>
          <w:szCs w:val="20"/>
          <w:lang w:val="fr-CA"/>
        </w:rPr>
        <w:t>Règles de la Cour suprême du Canada</w:t>
      </w:r>
      <w:r w:rsidRPr="00DD21F1">
        <w:rPr>
          <w:rFonts w:cs="Times New Roman"/>
          <w:sz w:val="20"/>
          <w:szCs w:val="20"/>
          <w:lang w:val="fr-CA"/>
        </w:rPr>
        <w:t xml:space="preserve"> signifiera et déposera son mémoire et son recueil de sources au plus tard le 2 avril 2015. </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8A5B26" w:rsidP="00DD21F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5"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13.01.2015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GASCON J. / LE JUGE GASCON</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D21F1" w:rsidRPr="00021805" w:rsidTr="00DD21F1">
        <w:tc>
          <w:tcPr>
            <w:tcW w:w="4338" w:type="dxa"/>
          </w:tcPr>
          <w:p w:rsidR="00DD21F1" w:rsidRPr="00DD21F1" w:rsidRDefault="00D5130B" w:rsidP="00DD21F1">
            <w:pPr>
              <w:tabs>
                <w:tab w:val="left" w:pos="-1440"/>
                <w:tab w:val="left" w:pos="-720"/>
              </w:tabs>
              <w:jc w:val="both"/>
              <w:rPr>
                <w:b/>
              </w:rPr>
            </w:pPr>
            <w:r w:rsidRPr="00DD21F1">
              <w:rPr>
                <w:szCs w:val="24"/>
                <w:lang w:val="en-US"/>
              </w:rPr>
              <w:fldChar w:fldCharType="begin"/>
            </w:r>
            <w:r w:rsidR="00DD21F1" w:rsidRPr="00DD21F1">
              <w:rPr>
                <w:szCs w:val="24"/>
                <w:lang w:val="en-US"/>
              </w:rPr>
              <w:instrText xml:space="preserve"> SEQ CHAPTER \h \r 1</w:instrText>
            </w:r>
            <w:r w:rsidRPr="00DD21F1">
              <w:rPr>
                <w:szCs w:val="24"/>
                <w:lang w:val="en-US"/>
              </w:rPr>
              <w:fldChar w:fldCharType="end"/>
            </w:r>
            <w:r w:rsidR="00DD21F1" w:rsidRPr="00DD21F1">
              <w:rPr>
                <w:b/>
                <w:bCs/>
                <w:lang w:val="en-US"/>
              </w:rPr>
              <w:t xml:space="preserve">Motion to extend the time </w:t>
            </w:r>
          </w:p>
        </w:tc>
        <w:tc>
          <w:tcPr>
            <w:tcW w:w="1170" w:type="dxa"/>
          </w:tcPr>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p>
        </w:tc>
        <w:tc>
          <w:tcPr>
            <w:tcW w:w="4327" w:type="dxa"/>
          </w:tcPr>
          <w:p w:rsidR="00DD21F1" w:rsidRPr="00DD21F1" w:rsidRDefault="00D5130B" w:rsidP="00DD21F1">
            <w:pPr>
              <w:tabs>
                <w:tab w:val="left" w:pos="-1440"/>
                <w:tab w:val="left" w:pos="-720"/>
              </w:tabs>
              <w:jc w:val="both"/>
              <w:rPr>
                <w:lang w:val="fr-CA"/>
              </w:rPr>
            </w:pPr>
            <w:r w:rsidRPr="00DD21F1">
              <w:rPr>
                <w:szCs w:val="24"/>
                <w:lang w:val="en-US"/>
              </w:rPr>
              <w:fldChar w:fldCharType="begin"/>
            </w:r>
            <w:r w:rsidR="00DD21F1" w:rsidRPr="00DD21F1">
              <w:rPr>
                <w:szCs w:val="24"/>
                <w:lang w:val="fr-CA"/>
              </w:rPr>
              <w:instrText xml:space="preserve"> SEQ CHAPTER \h \r 1</w:instrText>
            </w:r>
            <w:r w:rsidRPr="00DD21F1">
              <w:rPr>
                <w:szCs w:val="24"/>
                <w:lang w:val="en-US"/>
              </w:rPr>
              <w:fldChar w:fldCharType="end"/>
            </w:r>
            <w:r w:rsidR="00DD21F1" w:rsidRPr="00DD21F1">
              <w:rPr>
                <w:b/>
                <w:bCs/>
                <w:lang w:val="fr-CA"/>
              </w:rPr>
              <w:t xml:space="preserve">Requête en prorogation de délai </w:t>
            </w:r>
            <w:r w:rsidRPr="00DD21F1">
              <w:rPr>
                <w:szCs w:val="24"/>
                <w:lang w:val="en-US"/>
              </w:rPr>
              <w:fldChar w:fldCharType="begin"/>
            </w:r>
            <w:r w:rsidR="00DD21F1" w:rsidRPr="00DD21F1">
              <w:rPr>
                <w:szCs w:val="24"/>
                <w:lang w:val="fr-CA"/>
              </w:rPr>
              <w:instrText xml:space="preserve"> SEQ CHAPTER \h \r 1</w:instrText>
            </w:r>
            <w:r w:rsidRPr="00DD21F1">
              <w:rPr>
                <w:szCs w:val="24"/>
                <w:lang w:val="en-US"/>
              </w:rPr>
              <w:fldChar w:fldCharType="end"/>
            </w:r>
          </w:p>
        </w:tc>
      </w:tr>
      <w:tr w:rsidR="00DD21F1" w:rsidRPr="00DD21F1" w:rsidTr="00DD21F1">
        <w:tc>
          <w:tcPr>
            <w:tcW w:w="4338" w:type="dxa"/>
          </w:tcPr>
          <w:p w:rsidR="00DD21F1" w:rsidRPr="00DD21F1" w:rsidRDefault="00DD21F1" w:rsidP="00DD21F1">
            <w:r w:rsidRPr="00DD21F1">
              <w:t>407 ETR Concession Company Limited</w:t>
            </w:r>
          </w:p>
          <w:p w:rsidR="00DD21F1" w:rsidRPr="00DD21F1" w:rsidRDefault="00DD21F1" w:rsidP="00DD21F1"/>
          <w:p w:rsidR="00DD21F1" w:rsidRPr="00DD21F1" w:rsidRDefault="00DD21F1" w:rsidP="00DD21F1">
            <w:r w:rsidRPr="00DD21F1">
              <w:tab/>
              <w:t>v. (35696)</w:t>
            </w:r>
          </w:p>
          <w:p w:rsidR="00DD21F1" w:rsidRPr="00DD21F1" w:rsidRDefault="00DD21F1" w:rsidP="00DD21F1"/>
          <w:p w:rsidR="00DD21F1" w:rsidRPr="00DD21F1" w:rsidRDefault="00DD21F1" w:rsidP="00DD21F1">
            <w:pPr>
              <w:tabs>
                <w:tab w:val="left" w:pos="-1440"/>
                <w:tab w:val="left" w:pos="-720"/>
              </w:tabs>
              <w:jc w:val="both"/>
            </w:pPr>
            <w:r w:rsidRPr="00DD21F1">
              <w:t>Superintendent of Bankruptcy (Ont.)</w:t>
            </w:r>
          </w:p>
        </w:tc>
        <w:tc>
          <w:tcPr>
            <w:tcW w:w="1170" w:type="dxa"/>
          </w:tcPr>
          <w:p w:rsidR="00DD21F1" w:rsidRPr="00DD21F1" w:rsidRDefault="00DD21F1" w:rsidP="00DD21F1">
            <w:pPr>
              <w:tabs>
                <w:tab w:val="left" w:pos="-1440"/>
                <w:tab w:val="left" w:pos="-720"/>
              </w:tabs>
              <w:jc w:val="both"/>
            </w:pPr>
          </w:p>
        </w:tc>
        <w:tc>
          <w:tcPr>
            <w:tcW w:w="4327" w:type="dxa"/>
          </w:tcPr>
          <w:p w:rsidR="00DD21F1" w:rsidRPr="00DD21F1" w:rsidRDefault="00DD21F1" w:rsidP="00DD21F1">
            <w:pPr>
              <w:tabs>
                <w:tab w:val="left" w:pos="-1440"/>
                <w:tab w:val="left" w:pos="-720"/>
              </w:tabs>
              <w:jc w:val="both"/>
            </w:pPr>
          </w:p>
        </w:tc>
      </w:tr>
    </w:tbl>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b/>
          <w:sz w:val="20"/>
          <w:szCs w:val="20"/>
          <w:lang w:val="fr-CA" w:eastAsia="en-CA"/>
        </w:rPr>
      </w:pPr>
      <w:r w:rsidRPr="00DD21F1">
        <w:rPr>
          <w:rFonts w:eastAsia="Times New Roman" w:cs="Times New Roman"/>
          <w:b/>
          <w:sz w:val="20"/>
          <w:szCs w:val="20"/>
          <w:lang w:val="fr-CA" w:eastAsia="en-CA"/>
        </w:rPr>
        <w:t>GRANTED / ACCORDÉE</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eastAsia="en-CA"/>
        </w:rPr>
      </w:pPr>
      <w:r w:rsidRPr="00DD21F1">
        <w:rPr>
          <w:rFonts w:eastAsia="Times New Roman" w:cs="Times New Roman"/>
          <w:b/>
          <w:sz w:val="20"/>
          <w:szCs w:val="20"/>
          <w:lang w:val="en-US" w:eastAsia="en-CA"/>
        </w:rPr>
        <w:t xml:space="preserve">UPON APPLICATION </w:t>
      </w:r>
      <w:r w:rsidRPr="00DD21F1">
        <w:rPr>
          <w:rFonts w:eastAsia="Times New Roman" w:cs="Times New Roman"/>
          <w:sz w:val="20"/>
          <w:szCs w:val="20"/>
          <w:lang w:val="en-US" w:eastAsia="en-CA"/>
        </w:rPr>
        <w:t xml:space="preserve">by </w:t>
      </w:r>
      <w:r w:rsidRPr="00DD21F1">
        <w:rPr>
          <w:rFonts w:eastAsia="Times New Roman" w:cs="Times New Roman"/>
          <w:sz w:val="20"/>
          <w:szCs w:val="20"/>
          <w:lang w:eastAsia="en-CA"/>
        </w:rPr>
        <w:t>the intervener, Attorney General of Québec, for an order extending the time to file its Factum and Book of Authorities to December 22, 2014, and for an order pursuant to Rule 71(3) permitting oral argument at the hearing of the appeal;</w:t>
      </w:r>
    </w:p>
    <w:p w:rsidR="00DD21F1" w:rsidRPr="00DD21F1" w:rsidRDefault="00DD21F1" w:rsidP="00DD21F1">
      <w:pPr>
        <w:spacing w:line="233" w:lineRule="auto"/>
        <w:jc w:val="both"/>
        <w:rPr>
          <w:rFonts w:eastAsia="Times New Roman" w:cs="Times New Roman"/>
          <w:sz w:val="20"/>
          <w:szCs w:val="20"/>
          <w:lang w:eastAsia="en-CA"/>
        </w:rPr>
      </w:pPr>
    </w:p>
    <w:p w:rsidR="00DD21F1" w:rsidRPr="00DD21F1" w:rsidRDefault="00DD21F1" w:rsidP="00DD21F1">
      <w:pPr>
        <w:spacing w:line="233" w:lineRule="auto"/>
        <w:jc w:val="both"/>
        <w:rPr>
          <w:rFonts w:eastAsia="Times New Roman" w:cs="Times New Roman"/>
          <w:sz w:val="20"/>
          <w:szCs w:val="20"/>
          <w:lang w:val="en-US" w:eastAsia="en-CA"/>
        </w:rPr>
      </w:pPr>
      <w:r w:rsidRPr="00DD21F1">
        <w:rPr>
          <w:rFonts w:eastAsia="Times New Roman" w:cs="Times New Roman"/>
          <w:b/>
          <w:bCs/>
          <w:sz w:val="20"/>
          <w:szCs w:val="20"/>
          <w:lang w:val="en-US" w:eastAsia="en-CA"/>
        </w:rPr>
        <w:t>AND THE MATERIAL FILED</w:t>
      </w:r>
      <w:r w:rsidRPr="00DD21F1">
        <w:rPr>
          <w:rFonts w:eastAsia="Times New Roman" w:cs="Times New Roman"/>
          <w:sz w:val="20"/>
          <w:szCs w:val="20"/>
          <w:lang w:val="en-US" w:eastAsia="en-CA"/>
        </w:rPr>
        <w:t xml:space="preserve"> having been read;</w:t>
      </w:r>
    </w:p>
    <w:p w:rsidR="00DD21F1" w:rsidRPr="00DD21F1" w:rsidRDefault="00DD21F1" w:rsidP="00DD21F1">
      <w:pPr>
        <w:spacing w:line="233" w:lineRule="auto"/>
        <w:jc w:val="both"/>
        <w:rPr>
          <w:rFonts w:eastAsia="Times New Roman" w:cs="Times New Roman"/>
          <w:sz w:val="20"/>
          <w:szCs w:val="20"/>
          <w:lang w:val="en-US" w:eastAsia="en-CA"/>
        </w:rPr>
      </w:pPr>
    </w:p>
    <w:p w:rsidR="00DD21F1" w:rsidRPr="00DD21F1" w:rsidRDefault="00DD21F1" w:rsidP="00DD21F1">
      <w:pPr>
        <w:spacing w:line="233" w:lineRule="auto"/>
        <w:jc w:val="both"/>
        <w:rPr>
          <w:rFonts w:eastAsia="Times New Roman" w:cs="Times New Roman"/>
          <w:sz w:val="20"/>
          <w:szCs w:val="20"/>
          <w:lang w:val="en-US" w:eastAsia="en-CA"/>
        </w:rPr>
      </w:pPr>
      <w:r w:rsidRPr="00DD21F1">
        <w:rPr>
          <w:rFonts w:eastAsia="Times New Roman" w:cs="Times New Roman"/>
          <w:b/>
          <w:bCs/>
          <w:sz w:val="20"/>
          <w:szCs w:val="20"/>
          <w:lang w:val="en-US" w:eastAsia="en-CA"/>
        </w:rPr>
        <w:t>IT IS HEREBY ORDERED THAT:</w:t>
      </w:r>
    </w:p>
    <w:p w:rsidR="00DD21F1" w:rsidRPr="00DD21F1" w:rsidRDefault="00DD21F1" w:rsidP="00DD21F1">
      <w:pPr>
        <w:spacing w:line="233" w:lineRule="auto"/>
        <w:jc w:val="both"/>
        <w:rPr>
          <w:rFonts w:eastAsia="Times New Roman" w:cs="Times New Roman"/>
          <w:sz w:val="20"/>
          <w:szCs w:val="20"/>
          <w:lang w:val="en-US" w:eastAsia="en-CA"/>
        </w:rPr>
      </w:pPr>
    </w:p>
    <w:p w:rsidR="00DD21F1" w:rsidRPr="00DD21F1" w:rsidRDefault="00DD21F1" w:rsidP="00DD21F1">
      <w:pPr>
        <w:jc w:val="both"/>
        <w:rPr>
          <w:rFonts w:eastAsia="Times New Roman" w:cs="Times New Roman"/>
          <w:sz w:val="20"/>
          <w:szCs w:val="20"/>
          <w:lang w:val="fr-CA" w:eastAsia="en-CA"/>
        </w:rPr>
      </w:pPr>
      <w:r w:rsidRPr="00DD21F1">
        <w:rPr>
          <w:rFonts w:eastAsia="Times New Roman" w:cs="Times New Roman"/>
          <w:sz w:val="20"/>
          <w:szCs w:val="20"/>
          <w:lang w:val="fr-CA" w:eastAsia="en-CA"/>
        </w:rPr>
        <w:t>The motion is granted.</w:t>
      </w:r>
    </w:p>
    <w:p w:rsidR="00DD21F1" w:rsidRPr="00DD21F1" w:rsidRDefault="00DD21F1" w:rsidP="00DD21F1">
      <w:pPr>
        <w:spacing w:line="233" w:lineRule="auto"/>
        <w:jc w:val="both"/>
        <w:rPr>
          <w:rFonts w:eastAsia="Times New Roman" w:cs="Times New Roman"/>
          <w:b/>
          <w:sz w:val="20"/>
          <w:szCs w:val="20"/>
          <w:lang w:val="fr-CA" w:eastAsia="en-CA"/>
        </w:rPr>
      </w:pPr>
    </w:p>
    <w:p w:rsidR="00DD21F1" w:rsidRPr="00DD21F1" w:rsidRDefault="00DD21F1" w:rsidP="00DD21F1">
      <w:pPr>
        <w:spacing w:line="233" w:lineRule="auto"/>
        <w:jc w:val="both"/>
        <w:rPr>
          <w:rFonts w:eastAsia="Times New Roman" w:cs="Times New Roman"/>
          <w:b/>
          <w:sz w:val="20"/>
          <w:szCs w:val="20"/>
          <w:lang w:val="fr-CA" w:eastAsia="en-CA"/>
        </w:rPr>
      </w:pPr>
    </w:p>
    <w:p w:rsidR="00DD21F1" w:rsidRPr="00DD21F1" w:rsidRDefault="00DD21F1" w:rsidP="00DD21F1">
      <w:pPr>
        <w:spacing w:line="233" w:lineRule="auto"/>
        <w:jc w:val="both"/>
        <w:rPr>
          <w:rFonts w:eastAsia="Times New Roman" w:cs="Times New Roman"/>
          <w:b/>
          <w:sz w:val="20"/>
          <w:szCs w:val="20"/>
          <w:lang w:val="fr-CA" w:eastAsia="en-CA"/>
        </w:rPr>
      </w:pPr>
    </w:p>
    <w:p w:rsidR="00DD21F1" w:rsidRPr="00DD21F1" w:rsidRDefault="00DD21F1" w:rsidP="00DD21F1">
      <w:pPr>
        <w:spacing w:line="233" w:lineRule="auto"/>
        <w:jc w:val="both"/>
        <w:rPr>
          <w:rFonts w:eastAsia="Times New Roman" w:cs="Times New Roman"/>
          <w:b/>
          <w:bCs/>
          <w:sz w:val="20"/>
          <w:szCs w:val="20"/>
          <w:lang w:val="fr-CA" w:eastAsia="en-CA"/>
        </w:rPr>
      </w:pPr>
      <w:r w:rsidRPr="00DD21F1">
        <w:rPr>
          <w:rFonts w:eastAsia="Times New Roman" w:cs="Times New Roman"/>
          <w:b/>
          <w:sz w:val="20"/>
          <w:szCs w:val="20"/>
          <w:lang w:val="fr-CA" w:eastAsia="en-CA"/>
        </w:rPr>
        <w:t xml:space="preserve">À LA SUITE DE LA DEMANDE </w:t>
      </w:r>
      <w:r w:rsidRPr="00DD21F1">
        <w:rPr>
          <w:rFonts w:eastAsia="Times New Roman" w:cs="Times New Roman"/>
          <w:sz w:val="20"/>
          <w:szCs w:val="20"/>
          <w:lang w:val="fr-CA" w:eastAsia="en-CA"/>
        </w:rPr>
        <w:t>présentée par l’intervenant, Procureur général du Québec, en prorogation du délai pour déposer son mémoire et son recueil de sources au 22 décembre 2014, et pour obtenir une ordonnance en vertu de la règle 71(3) pour plaider à l'audition de l'appel;</w:t>
      </w:r>
    </w:p>
    <w:p w:rsidR="00DD21F1" w:rsidRPr="00DD21F1" w:rsidRDefault="00DD21F1" w:rsidP="00DD21F1">
      <w:pPr>
        <w:spacing w:line="233" w:lineRule="auto"/>
        <w:jc w:val="both"/>
        <w:rPr>
          <w:rFonts w:eastAsia="Times New Roman" w:cs="Times New Roman"/>
          <w:b/>
          <w:bCs/>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 xml:space="preserve">ET APRÈS EXAMEN </w:t>
      </w:r>
      <w:r w:rsidRPr="00DD21F1">
        <w:rPr>
          <w:rFonts w:eastAsia="Times New Roman" w:cs="Times New Roman"/>
          <w:sz w:val="20"/>
          <w:szCs w:val="20"/>
          <w:lang w:val="fr-CA" w:eastAsia="en-CA"/>
        </w:rPr>
        <w:t xml:space="preserve">des documents déposés; </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0" w:lineRule="auto"/>
        <w:ind w:left="-23"/>
        <w:jc w:val="both"/>
        <w:rPr>
          <w:rFonts w:eastAsia="Times New Roman" w:cs="Times New Roman"/>
          <w:b/>
          <w:bCs/>
          <w:sz w:val="20"/>
          <w:szCs w:val="20"/>
          <w:lang w:val="fr-CA" w:eastAsia="en-CA"/>
        </w:rPr>
      </w:pPr>
      <w:r w:rsidRPr="00DD21F1">
        <w:rPr>
          <w:rFonts w:eastAsia="Times New Roman" w:cs="Times New Roman"/>
          <w:b/>
          <w:bCs/>
          <w:sz w:val="20"/>
          <w:szCs w:val="20"/>
          <w:lang w:val="fr-CA" w:eastAsia="en-CA"/>
        </w:rPr>
        <w:t>IL EST ORDONNÉ QUE:</w:t>
      </w:r>
    </w:p>
    <w:p w:rsidR="00DD21F1" w:rsidRPr="00DD21F1" w:rsidRDefault="00DD21F1" w:rsidP="00DD21F1">
      <w:pPr>
        <w:spacing w:line="230" w:lineRule="auto"/>
        <w:ind w:left="-23"/>
        <w:jc w:val="both"/>
        <w:rPr>
          <w:rFonts w:eastAsia="Times New Roman" w:cs="Times New Roman"/>
          <w:b/>
          <w:bCs/>
          <w:sz w:val="20"/>
          <w:szCs w:val="20"/>
          <w:lang w:val="fr-CA" w:eastAsia="en-CA"/>
        </w:rPr>
      </w:pPr>
    </w:p>
    <w:p w:rsidR="00DD21F1" w:rsidRPr="00DD21F1" w:rsidRDefault="00DD21F1" w:rsidP="00DD21F1">
      <w:pPr>
        <w:jc w:val="both"/>
        <w:rPr>
          <w:rFonts w:eastAsia="Times New Roman" w:cs="Times New Roman"/>
          <w:sz w:val="20"/>
          <w:szCs w:val="20"/>
          <w:lang w:val="fr-CA" w:eastAsia="en-CA"/>
        </w:rPr>
      </w:pPr>
      <w:r w:rsidRPr="00DD21F1">
        <w:rPr>
          <w:rFonts w:eastAsia="Times New Roman" w:cs="Times New Roman"/>
          <w:bCs/>
          <w:sz w:val="20"/>
          <w:szCs w:val="20"/>
          <w:lang w:val="fr-CA" w:eastAsia="en-CA"/>
        </w:rPr>
        <w:t>La requête est accueillie</w:t>
      </w:r>
      <w:r w:rsidRPr="00DD21F1">
        <w:rPr>
          <w:rFonts w:eastAsia="Times New Roman" w:cs="Times New Roman"/>
          <w:sz w:val="20"/>
          <w:szCs w:val="20"/>
          <w:lang w:val="fr-CA" w:eastAsia="en-CA"/>
        </w:rPr>
        <w:t>.</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8A5B26" w:rsidP="00DD21F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6"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13.01.2015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eastAsia="en-CA"/>
        </w:rPr>
      </w:pPr>
      <w:r w:rsidRPr="00DD21F1">
        <w:rPr>
          <w:rFonts w:eastAsia="Times New Roman" w:cs="Times New Roman"/>
          <w:sz w:val="20"/>
          <w:szCs w:val="20"/>
          <w:lang w:eastAsia="en-CA"/>
        </w:rPr>
        <w:t>Before / Devant:   THE DEPUTY REGISTRAR / LE REGISTRAIRE ADJOINT</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D21F1" w:rsidRPr="00DD21F1" w:rsidTr="00DD21F1">
        <w:trPr>
          <w:trHeight w:val="151"/>
        </w:trPr>
        <w:tc>
          <w:tcPr>
            <w:tcW w:w="4338" w:type="dxa"/>
          </w:tcPr>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r w:rsidR="00DD21F1" w:rsidRPr="00DD21F1">
              <w:rPr>
                <w:b/>
                <w:bCs/>
                <w:lang w:val="fr-CA"/>
              </w:rPr>
              <w:t>Miscellaneous motion</w:t>
            </w:r>
          </w:p>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p>
        </w:tc>
        <w:tc>
          <w:tcPr>
            <w:tcW w:w="1170" w:type="dxa"/>
          </w:tcPr>
          <w:p w:rsidR="00DD21F1" w:rsidRPr="00DD21F1" w:rsidRDefault="00DD21F1" w:rsidP="00DD21F1">
            <w:pPr>
              <w:jc w:val="both"/>
              <w:rPr>
                <w:lang w:val="fr-CA"/>
              </w:rPr>
            </w:pPr>
          </w:p>
          <w:p w:rsidR="00DD21F1" w:rsidRPr="00DD21F1" w:rsidRDefault="00DD21F1" w:rsidP="00DD21F1">
            <w:pPr>
              <w:jc w:val="both"/>
              <w:rPr>
                <w:lang w:val="fr-CA"/>
              </w:rPr>
            </w:pPr>
          </w:p>
        </w:tc>
        <w:tc>
          <w:tcPr>
            <w:tcW w:w="4327" w:type="dxa"/>
          </w:tcPr>
          <w:p w:rsidR="00DD21F1" w:rsidRPr="00DD21F1" w:rsidRDefault="00D5130B" w:rsidP="00DD21F1">
            <w:pPr>
              <w:jc w:val="both"/>
              <w:rPr>
                <w:b/>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r w:rsidR="00DD21F1" w:rsidRPr="00DD21F1">
              <w:rPr>
                <w:b/>
                <w:bCs/>
                <w:lang w:val="fr-CA"/>
              </w:rPr>
              <w:t>Requête diverse</w:t>
            </w:r>
          </w:p>
          <w:p w:rsidR="00DD21F1" w:rsidRPr="00DD21F1" w:rsidRDefault="00D5130B" w:rsidP="00DD21F1">
            <w:pPr>
              <w:jc w:val="both"/>
              <w:rPr>
                <w:b/>
                <w:lang w:val="fr-CA"/>
              </w:rPr>
            </w:pPr>
            <w:r w:rsidRPr="00DD21F1">
              <w:rPr>
                <w:b/>
                <w:lang w:val="en-US"/>
              </w:rPr>
              <w:fldChar w:fldCharType="begin"/>
            </w:r>
            <w:r w:rsidR="00DD21F1" w:rsidRPr="00DD21F1">
              <w:rPr>
                <w:b/>
                <w:lang w:val="fr-CA"/>
              </w:rPr>
              <w:instrText xml:space="preserve"> SEQ CHAPTER \h \r 1</w:instrText>
            </w:r>
            <w:r w:rsidRPr="00DD21F1">
              <w:rPr>
                <w:b/>
                <w:lang w:val="en-US"/>
              </w:rPr>
              <w:fldChar w:fldCharType="end"/>
            </w:r>
            <w:r w:rsidRPr="00DD21F1">
              <w:rPr>
                <w:b/>
                <w:lang w:val="en-US"/>
              </w:rPr>
              <w:fldChar w:fldCharType="begin"/>
            </w:r>
            <w:r w:rsidR="00DD21F1" w:rsidRPr="00DD21F1">
              <w:rPr>
                <w:b/>
                <w:lang w:val="fr-CA"/>
              </w:rPr>
              <w:instrText xml:space="preserve"> SEQ CHAPTER \h \r 1</w:instrText>
            </w:r>
            <w:r w:rsidRPr="00DD21F1">
              <w:rPr>
                <w:b/>
                <w:lang w:val="en-US"/>
              </w:rPr>
              <w:fldChar w:fldCharType="end"/>
            </w:r>
          </w:p>
        </w:tc>
      </w:tr>
      <w:tr w:rsidR="00DD21F1" w:rsidRPr="00DD21F1" w:rsidTr="00DD21F1">
        <w:trPr>
          <w:trHeight w:val="150"/>
        </w:trPr>
        <w:tc>
          <w:tcPr>
            <w:tcW w:w="4338" w:type="dxa"/>
          </w:tcPr>
          <w:p w:rsidR="00DD21F1" w:rsidRPr="00DD21F1" w:rsidRDefault="00DD21F1" w:rsidP="00DD21F1">
            <w:pPr>
              <w:tabs>
                <w:tab w:val="left" w:pos="-1440"/>
                <w:tab w:val="left" w:pos="-720"/>
              </w:tabs>
              <w:jc w:val="both"/>
            </w:pPr>
            <w:r w:rsidRPr="00DD21F1">
              <w:t>Erich Chemama</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ab/>
              <w:t>v. (36080)</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Her Majesty the Queen (Crim.) (Ont.)</w:t>
            </w:r>
          </w:p>
        </w:tc>
        <w:tc>
          <w:tcPr>
            <w:tcW w:w="1170" w:type="dxa"/>
          </w:tcPr>
          <w:p w:rsidR="00DD21F1" w:rsidRPr="00DD21F1" w:rsidRDefault="00DD21F1" w:rsidP="00DD21F1">
            <w:pPr>
              <w:jc w:val="both"/>
            </w:pPr>
          </w:p>
        </w:tc>
        <w:tc>
          <w:tcPr>
            <w:tcW w:w="4327" w:type="dxa"/>
          </w:tcPr>
          <w:p w:rsidR="00DD21F1" w:rsidRPr="00DD21F1" w:rsidRDefault="00DD21F1" w:rsidP="00DD21F1">
            <w:pPr>
              <w:jc w:val="both"/>
            </w:pPr>
          </w:p>
        </w:tc>
      </w:tr>
    </w:tbl>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tabs>
          <w:tab w:val="left" w:pos="-1440"/>
          <w:tab w:val="left" w:pos="-720"/>
        </w:tabs>
        <w:jc w:val="both"/>
        <w:rPr>
          <w:rFonts w:eastAsia="Times New Roman" w:cs="Times New Roman"/>
          <w:b/>
          <w:sz w:val="20"/>
          <w:szCs w:val="20"/>
          <w:lang w:eastAsia="en-CA"/>
        </w:rPr>
      </w:pPr>
      <w:r w:rsidRPr="00DD21F1">
        <w:rPr>
          <w:rFonts w:eastAsia="Times New Roman" w:cs="Times New Roman"/>
          <w:b/>
          <w:sz w:val="20"/>
          <w:szCs w:val="20"/>
          <w:lang w:eastAsia="en-CA"/>
        </w:rPr>
        <w:t>GRANTED / ACCORDÉE</w: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jc w:val="both"/>
        <w:rPr>
          <w:rFonts w:eastAsia="Times New Roman" w:cs="Times New Roman"/>
          <w:sz w:val="20"/>
          <w:szCs w:val="20"/>
          <w:lang w:eastAsia="en-CA"/>
        </w:rPr>
      </w:pPr>
      <w:r w:rsidRPr="00DD21F1">
        <w:rPr>
          <w:rFonts w:eastAsia="Times New Roman" w:cs="Times New Roman"/>
          <w:b/>
          <w:sz w:val="20"/>
          <w:szCs w:val="20"/>
          <w:lang w:eastAsia="en-CA"/>
        </w:rPr>
        <w:t>UPON APPLICATION</w:t>
      </w:r>
      <w:r w:rsidRPr="00DD21F1">
        <w:rPr>
          <w:rFonts w:eastAsia="Times New Roman" w:cs="Times New Roman"/>
          <w:sz w:val="20"/>
          <w:szCs w:val="20"/>
          <w:lang w:eastAsia="en-CA"/>
        </w:rPr>
        <w:t xml:space="preserve"> </w:t>
      </w:r>
      <w:r w:rsidR="00D5130B" w:rsidRPr="00DD21F1">
        <w:rPr>
          <w:rFonts w:eastAsia="Times New Roman" w:cs="Times New Roman"/>
          <w:sz w:val="20"/>
          <w:szCs w:val="20"/>
          <w:lang w:val="fr-CA" w:eastAsia="en-CA"/>
        </w:rPr>
        <w:fldChar w:fldCharType="begin"/>
      </w:r>
      <w:r w:rsidRPr="00DD21F1">
        <w:rPr>
          <w:rFonts w:eastAsia="Times New Roman" w:cs="Times New Roman"/>
          <w:sz w:val="20"/>
          <w:szCs w:val="20"/>
          <w:lang w:eastAsia="en-CA"/>
        </w:rPr>
        <w:instrText xml:space="preserve"> SEQ CHAPTER \h \r 1</w:instrText>
      </w:r>
      <w:r w:rsidR="00D5130B" w:rsidRPr="00DD21F1">
        <w:rPr>
          <w:rFonts w:eastAsia="Times New Roman" w:cs="Times New Roman"/>
          <w:sz w:val="20"/>
          <w:szCs w:val="20"/>
          <w:lang w:val="fr-CA" w:eastAsia="en-CA"/>
        </w:rPr>
        <w:fldChar w:fldCharType="end"/>
      </w:r>
      <w:r w:rsidRPr="00DD21F1">
        <w:rPr>
          <w:rFonts w:eastAsia="Times New Roman" w:cs="Times New Roman"/>
          <w:sz w:val="20"/>
          <w:szCs w:val="20"/>
          <w:lang w:eastAsia="en-CA"/>
        </w:rPr>
        <w:t xml:space="preserve">by the applicant pursuant to the provisions of Rule 32(2) for an order to file additional material, namely an amended reply to the response to the application for leave to appeal; </w:t>
      </w:r>
    </w:p>
    <w:p w:rsidR="00DD21F1" w:rsidRPr="00DD21F1" w:rsidRDefault="00DD21F1" w:rsidP="00DD21F1">
      <w:pPr>
        <w:autoSpaceDE w:val="0"/>
        <w:autoSpaceDN w:val="0"/>
        <w:adjustRightInd w:val="0"/>
        <w:jc w:val="both"/>
        <w:rPr>
          <w:rFonts w:eastAsia="Times New Roman" w:cs="Times New Roman"/>
          <w:sz w:val="20"/>
          <w:szCs w:val="20"/>
          <w:lang w:eastAsia="en-CA"/>
        </w:rPr>
      </w:pPr>
    </w:p>
    <w:p w:rsidR="00DD21F1" w:rsidRPr="00DD21F1" w:rsidRDefault="00D5130B" w:rsidP="00DD21F1">
      <w:pPr>
        <w:jc w:val="both"/>
        <w:rPr>
          <w:rFonts w:eastAsia="Times New Roman" w:cs="Times New Roman"/>
          <w:sz w:val="20"/>
          <w:szCs w:val="20"/>
          <w:lang w:eastAsia="en-CA"/>
        </w:rPr>
      </w:pPr>
      <w:r w:rsidRPr="00DD21F1">
        <w:rPr>
          <w:rFonts w:eastAsia="Times New Roman" w:cs="Times New Roman"/>
          <w:sz w:val="20"/>
          <w:szCs w:val="20"/>
          <w:lang w:val="fr-CA" w:eastAsia="en-CA"/>
        </w:rPr>
        <w:lastRenderedPageBreak/>
        <w:fldChar w:fldCharType="begin"/>
      </w:r>
      <w:r w:rsidR="00DD21F1" w:rsidRPr="00DD21F1">
        <w:rPr>
          <w:rFonts w:eastAsia="Times New Roman" w:cs="Times New Roman"/>
          <w:sz w:val="20"/>
          <w:szCs w:val="20"/>
          <w:lang w:eastAsia="en-CA"/>
        </w:rPr>
        <w:instrText xml:space="preserve"> SEQ CHAPTER \h \r 1</w:instrText>
      </w:r>
      <w:r w:rsidRPr="00DD21F1">
        <w:rPr>
          <w:rFonts w:eastAsia="Times New Roman" w:cs="Times New Roman"/>
          <w:sz w:val="20"/>
          <w:szCs w:val="20"/>
          <w:lang w:val="fr-CA" w:eastAsia="en-CA"/>
        </w:rPr>
        <w:fldChar w:fldCharType="end"/>
      </w:r>
      <w:r w:rsidR="00DD21F1" w:rsidRPr="00DD21F1">
        <w:rPr>
          <w:rFonts w:eastAsia="Times New Roman" w:cs="Times New Roman"/>
          <w:b/>
          <w:bCs/>
          <w:sz w:val="20"/>
          <w:szCs w:val="20"/>
          <w:lang w:eastAsia="en-CA"/>
        </w:rPr>
        <w:t xml:space="preserve">AND THE MATERIAL FILED </w:t>
      </w:r>
      <w:r w:rsidR="00DD21F1" w:rsidRPr="00DD21F1">
        <w:rPr>
          <w:rFonts w:eastAsia="Times New Roman" w:cs="Times New Roman"/>
          <w:bCs/>
          <w:sz w:val="20"/>
          <w:szCs w:val="20"/>
          <w:lang w:eastAsia="en-CA"/>
        </w:rPr>
        <w:t>having been read</w:t>
      </w:r>
      <w:r w:rsidR="00DD21F1" w:rsidRPr="00DD21F1">
        <w:rPr>
          <w:rFonts w:eastAsia="Times New Roman" w:cs="Times New Roman"/>
          <w:sz w:val="20"/>
          <w:szCs w:val="20"/>
          <w:lang w:eastAsia="en-CA"/>
        </w:rPr>
        <w:t>;</w:t>
      </w:r>
    </w:p>
    <w:p w:rsidR="00DD21F1" w:rsidRPr="00DD21F1" w:rsidRDefault="00DD21F1" w:rsidP="00DD21F1">
      <w:pPr>
        <w:jc w:val="both"/>
        <w:rPr>
          <w:rFonts w:eastAsia="Times New Roman" w:cs="Times New Roman"/>
          <w:sz w:val="20"/>
          <w:szCs w:val="20"/>
          <w:lang w:eastAsia="en-CA"/>
        </w:rPr>
      </w:pPr>
    </w:p>
    <w:p w:rsidR="00DD21F1" w:rsidRPr="00DD21F1" w:rsidRDefault="00DD21F1" w:rsidP="00DD21F1">
      <w:pPr>
        <w:jc w:val="both"/>
        <w:rPr>
          <w:rFonts w:eastAsia="Times New Roman" w:cs="Times New Roman"/>
          <w:b/>
          <w:sz w:val="20"/>
          <w:szCs w:val="20"/>
          <w:lang w:eastAsia="en-CA"/>
        </w:rPr>
      </w:pPr>
      <w:r w:rsidRPr="00DD21F1">
        <w:rPr>
          <w:rFonts w:eastAsia="Times New Roman" w:cs="Times New Roman"/>
          <w:b/>
          <w:sz w:val="20"/>
          <w:szCs w:val="20"/>
          <w:lang w:eastAsia="en-CA"/>
        </w:rPr>
        <w:t>IT IS HEREBY ORDERED THAT:</w:t>
      </w:r>
    </w:p>
    <w:p w:rsidR="00DD21F1" w:rsidRPr="00DD21F1" w:rsidRDefault="00DD21F1" w:rsidP="00DD21F1">
      <w:pPr>
        <w:ind w:left="360"/>
        <w:contextualSpacing/>
        <w:jc w:val="both"/>
        <w:rPr>
          <w:sz w:val="20"/>
          <w:szCs w:val="20"/>
        </w:rPr>
      </w:pPr>
    </w:p>
    <w:p w:rsidR="00DD21F1" w:rsidRPr="00DD21F1" w:rsidRDefault="00DD21F1" w:rsidP="00DD21F1">
      <w:pPr>
        <w:jc w:val="both"/>
        <w:rPr>
          <w:rFonts w:eastAsia="Times New Roman" w:cs="Times New Roman"/>
          <w:sz w:val="20"/>
          <w:szCs w:val="20"/>
          <w:lang w:val="fr-CA" w:eastAsia="en-CA"/>
        </w:rPr>
      </w:pPr>
      <w:r w:rsidRPr="00DD21F1">
        <w:rPr>
          <w:rFonts w:eastAsia="Times New Roman" w:cs="Times New Roman"/>
          <w:sz w:val="20"/>
          <w:szCs w:val="20"/>
          <w:lang w:val="fr-CA" w:eastAsia="en-CA"/>
        </w:rPr>
        <w:t>The motion is granted.</w:t>
      </w: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sz w:val="20"/>
          <w:szCs w:val="20"/>
          <w:lang w:val="fr-CA" w:eastAsia="en-CA"/>
        </w:rPr>
      </w:pPr>
      <w:r w:rsidRPr="00DD21F1">
        <w:rPr>
          <w:rFonts w:eastAsia="Times New Roman" w:cs="Times New Roman"/>
          <w:b/>
          <w:sz w:val="20"/>
          <w:szCs w:val="20"/>
          <w:lang w:val="fr-CA" w:eastAsia="en-CA"/>
        </w:rPr>
        <w:t>À LA SUITE DE LA DEMANDE</w:t>
      </w:r>
      <w:r w:rsidRPr="00DD21F1">
        <w:rPr>
          <w:rFonts w:eastAsia="Times New Roman" w:cs="Times New Roman"/>
          <w:sz w:val="20"/>
          <w:szCs w:val="20"/>
          <w:lang w:val="fr-CA" w:eastAsia="en-CA"/>
        </w:rPr>
        <w:t xml:space="preserve"> </w:t>
      </w:r>
      <w:r w:rsidR="00D5130B" w:rsidRPr="00DD21F1">
        <w:rPr>
          <w:rFonts w:eastAsia="Times New Roman" w:cs="Times New Roman"/>
          <w:sz w:val="20"/>
          <w:szCs w:val="20"/>
          <w:lang w:val="fr-CA" w:eastAsia="en-CA"/>
        </w:rPr>
        <w:fldChar w:fldCharType="begin"/>
      </w:r>
      <w:r w:rsidRPr="00DD21F1">
        <w:rPr>
          <w:rFonts w:eastAsia="Times New Roman" w:cs="Times New Roman"/>
          <w:sz w:val="20"/>
          <w:szCs w:val="20"/>
          <w:lang w:val="fr-CA" w:eastAsia="en-CA"/>
        </w:rPr>
        <w:instrText xml:space="preserve"> SEQ CHAPTER \h \r 1</w:instrText>
      </w:r>
      <w:r w:rsidR="00D5130B" w:rsidRPr="00DD21F1">
        <w:rPr>
          <w:rFonts w:eastAsia="Times New Roman" w:cs="Times New Roman"/>
          <w:sz w:val="20"/>
          <w:szCs w:val="20"/>
          <w:lang w:val="fr-CA" w:eastAsia="en-CA"/>
        </w:rPr>
        <w:fldChar w:fldCharType="end"/>
      </w:r>
      <w:r w:rsidRPr="00DD21F1">
        <w:rPr>
          <w:rFonts w:eastAsia="Times New Roman" w:cs="Times New Roman"/>
          <w:sz w:val="20"/>
          <w:szCs w:val="20"/>
          <w:lang w:val="fr-CA" w:eastAsia="en-CA"/>
        </w:rPr>
        <w:t xml:space="preserve">présentée par le demandeur en application du par. 32(2) des Règles sollicitant la permission de déposer des documents supplémentaires, à savoir une réplique modifiée à la réponse à la demande d’autorisation d’appel; </w:t>
      </w:r>
    </w:p>
    <w:p w:rsidR="00DD21F1" w:rsidRPr="00DD21F1" w:rsidRDefault="00DD21F1" w:rsidP="00DD21F1">
      <w:pPr>
        <w:autoSpaceDE w:val="0"/>
        <w:autoSpaceDN w:val="0"/>
        <w:adjustRightInd w:val="0"/>
        <w:jc w:val="both"/>
        <w:rPr>
          <w:rFonts w:eastAsia="Times New Roman" w:cs="Times New Roman"/>
          <w:sz w:val="20"/>
          <w:szCs w:val="20"/>
          <w:lang w:val="fr-CA" w:eastAsia="en-CA"/>
        </w:rPr>
      </w:pPr>
    </w:p>
    <w:p w:rsidR="00DD21F1" w:rsidRPr="00DD21F1" w:rsidRDefault="00D5130B" w:rsidP="00DD21F1">
      <w:pPr>
        <w:jc w:val="both"/>
        <w:rPr>
          <w:rFonts w:eastAsia="Times New Roman" w:cs="Times New Roman"/>
          <w:sz w:val="20"/>
          <w:szCs w:val="20"/>
          <w:lang w:val="fr-CA" w:eastAsia="en-CA"/>
        </w:rPr>
      </w:pPr>
      <w:r w:rsidRPr="00DD21F1">
        <w:rPr>
          <w:rFonts w:eastAsia="Times New Roman" w:cs="Times New Roman"/>
          <w:sz w:val="20"/>
          <w:szCs w:val="20"/>
          <w:lang w:val="fr-CA" w:eastAsia="en-CA"/>
        </w:rPr>
        <w:fldChar w:fldCharType="begin"/>
      </w:r>
      <w:r w:rsidR="00DD21F1" w:rsidRPr="00DD21F1">
        <w:rPr>
          <w:rFonts w:eastAsia="Times New Roman" w:cs="Times New Roman"/>
          <w:sz w:val="20"/>
          <w:szCs w:val="20"/>
          <w:lang w:val="fr-CA" w:eastAsia="en-CA"/>
        </w:rPr>
        <w:instrText xml:space="preserve"> SEQ CHAPTER \h \r 1</w:instrText>
      </w:r>
      <w:r w:rsidRPr="00DD21F1">
        <w:rPr>
          <w:rFonts w:eastAsia="Times New Roman" w:cs="Times New Roman"/>
          <w:sz w:val="20"/>
          <w:szCs w:val="20"/>
          <w:lang w:val="fr-CA" w:eastAsia="en-CA"/>
        </w:rPr>
        <w:fldChar w:fldCharType="end"/>
      </w:r>
      <w:r w:rsidR="00DD21F1" w:rsidRPr="00DD21F1">
        <w:rPr>
          <w:rFonts w:eastAsia="Times New Roman" w:cs="Times New Roman"/>
          <w:b/>
          <w:bCs/>
          <w:sz w:val="20"/>
          <w:szCs w:val="20"/>
          <w:lang w:val="fr-CA" w:eastAsia="en-CA"/>
        </w:rPr>
        <w:t xml:space="preserve">ET APRÈS EXAMEN </w:t>
      </w:r>
      <w:r w:rsidR="00DD21F1" w:rsidRPr="00DD21F1">
        <w:rPr>
          <w:rFonts w:eastAsia="Times New Roman" w:cs="Times New Roman"/>
          <w:bCs/>
          <w:sz w:val="20"/>
          <w:szCs w:val="20"/>
          <w:lang w:val="fr-CA" w:eastAsia="en-CA"/>
        </w:rPr>
        <w:t>des documents déposés</w:t>
      </w:r>
      <w:r w:rsidR="00DD21F1" w:rsidRPr="00DD21F1">
        <w:rPr>
          <w:rFonts w:eastAsia="Times New Roman" w:cs="Times New Roman"/>
          <w:sz w:val="20"/>
          <w:szCs w:val="20"/>
          <w:lang w:val="fr-CA" w:eastAsia="en-CA"/>
        </w:rPr>
        <w:t>;</w:t>
      </w: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b/>
          <w:sz w:val="20"/>
          <w:szCs w:val="20"/>
          <w:lang w:val="fr-CA" w:eastAsia="en-CA"/>
        </w:rPr>
      </w:pPr>
      <w:r w:rsidRPr="00DD21F1">
        <w:rPr>
          <w:rFonts w:eastAsia="Times New Roman" w:cs="Times New Roman"/>
          <w:b/>
          <w:sz w:val="20"/>
          <w:szCs w:val="20"/>
          <w:lang w:val="fr-CA" w:eastAsia="en-CA"/>
        </w:rPr>
        <w:t>IL EST ORDONNÉ CE QUI SUIT :</w:t>
      </w:r>
    </w:p>
    <w:p w:rsidR="00DD21F1" w:rsidRPr="00DD21F1" w:rsidRDefault="00DD21F1" w:rsidP="00DD21F1">
      <w:pPr>
        <w:ind w:left="360"/>
        <w:contextualSpacing/>
        <w:jc w:val="both"/>
        <w:rPr>
          <w:sz w:val="20"/>
          <w:szCs w:val="20"/>
          <w:lang w:val="fr-CA"/>
        </w:rPr>
      </w:pPr>
    </w:p>
    <w:p w:rsidR="00DD21F1" w:rsidRPr="00DD21F1" w:rsidRDefault="00DD21F1" w:rsidP="00DD21F1">
      <w:pPr>
        <w:jc w:val="both"/>
        <w:rPr>
          <w:rFonts w:eastAsia="Times New Roman" w:cs="Times New Roman"/>
          <w:sz w:val="20"/>
          <w:szCs w:val="20"/>
          <w:lang w:val="fr-CA" w:eastAsia="en-CA"/>
        </w:rPr>
      </w:pPr>
      <w:r w:rsidRPr="00DD21F1">
        <w:rPr>
          <w:rFonts w:eastAsia="Times New Roman" w:cs="Times New Roman"/>
          <w:sz w:val="20"/>
          <w:szCs w:val="20"/>
          <w:lang w:val="fr-CA" w:eastAsia="en-CA"/>
        </w:rPr>
        <w:t xml:space="preserve">La requête est accueillie. </w: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8A5B26" w:rsidP="00DD21F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13.01.2015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GASCON J. / LE JUGE GASCON</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b/>
          <w:sz w:val="20"/>
          <w:szCs w:val="20"/>
          <w:lang w:eastAsia="en-CA"/>
        </w:rPr>
      </w:pPr>
      <w:r w:rsidRPr="00DD21F1">
        <w:rPr>
          <w:rFonts w:eastAsia="Times New Roman" w:cs="Times New Roman"/>
          <w:b/>
          <w:sz w:val="20"/>
          <w:szCs w:val="20"/>
          <w:lang w:eastAsia="en-CA"/>
        </w:rPr>
        <w:t>GRANTED / ACCORDÉE</w:t>
      </w:r>
    </w:p>
    <w:p w:rsidR="00DD21F1" w:rsidRPr="00DD21F1" w:rsidRDefault="00DD21F1" w:rsidP="00DD21F1">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D21F1" w:rsidRPr="00021805" w:rsidTr="00DD21F1">
        <w:tc>
          <w:tcPr>
            <w:tcW w:w="4338" w:type="dxa"/>
          </w:tcPr>
          <w:p w:rsidR="00DD21F1" w:rsidRPr="00DD21F1" w:rsidRDefault="00D5130B" w:rsidP="00DD21F1">
            <w:pPr>
              <w:tabs>
                <w:tab w:val="left" w:pos="-1440"/>
                <w:tab w:val="left" w:pos="-720"/>
              </w:tabs>
              <w:jc w:val="both"/>
              <w:rPr>
                <w:b/>
              </w:rPr>
            </w:pPr>
            <w:r w:rsidRPr="00DD21F1">
              <w:rPr>
                <w:szCs w:val="24"/>
                <w:lang w:val="en-US"/>
              </w:rPr>
              <w:fldChar w:fldCharType="begin"/>
            </w:r>
            <w:r w:rsidR="00DD21F1" w:rsidRPr="00DD21F1">
              <w:rPr>
                <w:szCs w:val="24"/>
                <w:lang w:val="en-US"/>
              </w:rPr>
              <w:instrText xml:space="preserve"> SEQ CHAPTER \h \r 1</w:instrText>
            </w:r>
            <w:r w:rsidRPr="00DD21F1">
              <w:rPr>
                <w:szCs w:val="24"/>
                <w:lang w:val="en-US"/>
              </w:rPr>
              <w:fldChar w:fldCharType="end"/>
            </w:r>
            <w:r w:rsidR="00DD21F1" w:rsidRPr="00DD21F1">
              <w:rPr>
                <w:b/>
                <w:bCs/>
                <w:lang w:val="en-US"/>
              </w:rPr>
              <w:t>Motion to extend time</w:t>
            </w:r>
          </w:p>
        </w:tc>
        <w:tc>
          <w:tcPr>
            <w:tcW w:w="1170" w:type="dxa"/>
          </w:tcPr>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p>
        </w:tc>
        <w:tc>
          <w:tcPr>
            <w:tcW w:w="4327" w:type="dxa"/>
          </w:tcPr>
          <w:p w:rsidR="00DD21F1" w:rsidRPr="00DD21F1" w:rsidRDefault="00DD21F1" w:rsidP="00DD21F1">
            <w:pPr>
              <w:tabs>
                <w:tab w:val="left" w:pos="-1440"/>
                <w:tab w:val="left" w:pos="-720"/>
              </w:tabs>
              <w:jc w:val="both"/>
              <w:rPr>
                <w:lang w:val="fr-CA"/>
              </w:rPr>
            </w:pPr>
            <w:r w:rsidRPr="00DD21F1">
              <w:rPr>
                <w:b/>
                <w:bCs/>
                <w:color w:val="000000"/>
                <w:lang w:val="fr-CA"/>
              </w:rPr>
              <w:t>Requête en prorogation de délai</w:t>
            </w:r>
            <w:r w:rsidRPr="00DD21F1">
              <w:rPr>
                <w:szCs w:val="24"/>
                <w:lang w:val="fr-CA"/>
              </w:rPr>
              <w:t xml:space="preserve"> </w:t>
            </w:r>
            <w:r w:rsidR="00D5130B" w:rsidRPr="00DD21F1">
              <w:rPr>
                <w:szCs w:val="24"/>
                <w:lang w:val="en-US"/>
              </w:rPr>
              <w:fldChar w:fldCharType="begin"/>
            </w:r>
            <w:r w:rsidRPr="00DD21F1">
              <w:rPr>
                <w:szCs w:val="24"/>
                <w:lang w:val="fr-CA"/>
              </w:rPr>
              <w:instrText xml:space="preserve"> SEQ CHAPTER \h \r 1</w:instrText>
            </w:r>
            <w:r w:rsidR="00D5130B" w:rsidRPr="00DD21F1">
              <w:rPr>
                <w:szCs w:val="24"/>
                <w:lang w:val="en-US"/>
              </w:rPr>
              <w:fldChar w:fldCharType="end"/>
            </w:r>
            <w:r w:rsidR="00D5130B" w:rsidRPr="00DD21F1">
              <w:rPr>
                <w:szCs w:val="24"/>
                <w:lang w:val="en-US"/>
              </w:rPr>
              <w:fldChar w:fldCharType="begin"/>
            </w:r>
            <w:r w:rsidRPr="00DD21F1">
              <w:rPr>
                <w:szCs w:val="24"/>
                <w:lang w:val="fr-CA"/>
              </w:rPr>
              <w:instrText xml:space="preserve"> SEQ CHAPTER \h \r 1</w:instrText>
            </w:r>
            <w:r w:rsidR="00D5130B" w:rsidRPr="00DD21F1">
              <w:rPr>
                <w:szCs w:val="24"/>
                <w:lang w:val="en-US"/>
              </w:rPr>
              <w:fldChar w:fldCharType="end"/>
            </w:r>
          </w:p>
        </w:tc>
      </w:tr>
      <w:tr w:rsidR="00DD21F1" w:rsidRPr="00DD21F1" w:rsidTr="00DD21F1">
        <w:tc>
          <w:tcPr>
            <w:tcW w:w="4338" w:type="dxa"/>
          </w:tcPr>
          <w:p w:rsidR="00DD21F1" w:rsidRPr="00DD21F1" w:rsidRDefault="00DD21F1" w:rsidP="00DD21F1">
            <w:r w:rsidRPr="00DD21F1">
              <w:t>Attorney General of Alberta</w:t>
            </w:r>
          </w:p>
          <w:p w:rsidR="00DD21F1" w:rsidRPr="00DD21F1" w:rsidRDefault="00DD21F1" w:rsidP="00DD21F1"/>
          <w:p w:rsidR="00DD21F1" w:rsidRPr="00DD21F1" w:rsidRDefault="00DD21F1" w:rsidP="00DD21F1">
            <w:r w:rsidRPr="00DD21F1">
              <w:tab/>
              <w:t>v. (35820)</w:t>
            </w:r>
          </w:p>
          <w:p w:rsidR="00DD21F1" w:rsidRPr="00DD21F1" w:rsidRDefault="00DD21F1" w:rsidP="00DD21F1"/>
          <w:p w:rsidR="00DD21F1" w:rsidRPr="00DD21F1" w:rsidRDefault="00DD21F1" w:rsidP="00DD21F1">
            <w:pPr>
              <w:tabs>
                <w:tab w:val="left" w:pos="-1440"/>
                <w:tab w:val="left" w:pos="-720"/>
              </w:tabs>
              <w:jc w:val="both"/>
              <w:rPr>
                <w:lang w:val="fr-CA"/>
              </w:rPr>
            </w:pPr>
            <w:r w:rsidRPr="00DD21F1">
              <w:rPr>
                <w:lang w:val="fr-CA"/>
              </w:rPr>
              <w:t>Joseph William Moloney (Alta.)</w:t>
            </w:r>
          </w:p>
        </w:tc>
        <w:tc>
          <w:tcPr>
            <w:tcW w:w="1170" w:type="dxa"/>
          </w:tcPr>
          <w:p w:rsidR="00DD21F1" w:rsidRPr="00DD21F1" w:rsidRDefault="00DD21F1" w:rsidP="00DD21F1">
            <w:pPr>
              <w:tabs>
                <w:tab w:val="left" w:pos="-1440"/>
                <w:tab w:val="left" w:pos="-720"/>
              </w:tabs>
              <w:jc w:val="both"/>
              <w:rPr>
                <w:lang w:val="fr-CA"/>
              </w:rPr>
            </w:pPr>
          </w:p>
        </w:tc>
        <w:tc>
          <w:tcPr>
            <w:tcW w:w="4327" w:type="dxa"/>
          </w:tcPr>
          <w:p w:rsidR="00DD21F1" w:rsidRPr="00DD21F1" w:rsidRDefault="00DD21F1" w:rsidP="00DD21F1">
            <w:pPr>
              <w:tabs>
                <w:tab w:val="left" w:pos="-1440"/>
                <w:tab w:val="left" w:pos="-720"/>
              </w:tabs>
              <w:jc w:val="both"/>
              <w:rPr>
                <w:lang w:val="fr-CA"/>
              </w:rPr>
            </w:pPr>
          </w:p>
        </w:tc>
      </w:tr>
    </w:tbl>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spacing w:line="233" w:lineRule="auto"/>
        <w:jc w:val="both"/>
        <w:rPr>
          <w:rFonts w:eastAsia="Times New Roman" w:cs="Times New Roman"/>
          <w:sz w:val="20"/>
          <w:szCs w:val="20"/>
          <w:lang w:eastAsia="en-CA"/>
        </w:rPr>
      </w:pPr>
      <w:r w:rsidRPr="00DD21F1">
        <w:rPr>
          <w:rFonts w:eastAsia="Times New Roman" w:cs="Times New Roman"/>
          <w:b/>
          <w:sz w:val="20"/>
          <w:szCs w:val="20"/>
          <w:lang w:val="en-US" w:eastAsia="en-CA"/>
        </w:rPr>
        <w:t xml:space="preserve">UPON APPLICATION </w:t>
      </w:r>
      <w:r w:rsidRPr="00DD21F1">
        <w:rPr>
          <w:rFonts w:eastAsia="Times New Roman" w:cs="Times New Roman"/>
          <w:sz w:val="20"/>
          <w:szCs w:val="20"/>
          <w:lang w:val="en-US" w:eastAsia="en-CA"/>
        </w:rPr>
        <w:t xml:space="preserve">by </w:t>
      </w:r>
      <w:r w:rsidRPr="00DD21F1">
        <w:rPr>
          <w:rFonts w:eastAsia="Times New Roman" w:cs="Times New Roman"/>
          <w:sz w:val="20"/>
          <w:szCs w:val="20"/>
          <w:lang w:eastAsia="en-CA"/>
        </w:rPr>
        <w:t>the intervener, Attorney General of Québec, for an order extending the time to file its Factum and Book of Authorities to December 22, 2014, and for an order pursuant to Rule 71(3) permitting oral argument at the hearing of the appeal;</w:t>
      </w:r>
    </w:p>
    <w:p w:rsidR="00DD21F1" w:rsidRPr="00DD21F1" w:rsidRDefault="00DD21F1" w:rsidP="00DD21F1">
      <w:pPr>
        <w:spacing w:line="233" w:lineRule="auto"/>
        <w:jc w:val="both"/>
        <w:rPr>
          <w:rFonts w:eastAsia="Times New Roman" w:cs="Times New Roman"/>
          <w:sz w:val="20"/>
          <w:szCs w:val="20"/>
          <w:lang w:eastAsia="en-CA"/>
        </w:rPr>
      </w:pPr>
    </w:p>
    <w:p w:rsidR="00DD21F1" w:rsidRPr="00DD21F1" w:rsidRDefault="00DD21F1" w:rsidP="00DD21F1">
      <w:pPr>
        <w:spacing w:line="233" w:lineRule="auto"/>
        <w:jc w:val="both"/>
        <w:rPr>
          <w:rFonts w:eastAsia="Times New Roman" w:cs="Times New Roman"/>
          <w:sz w:val="20"/>
          <w:szCs w:val="20"/>
          <w:lang w:val="en-US" w:eastAsia="en-CA"/>
        </w:rPr>
      </w:pPr>
      <w:r w:rsidRPr="00DD21F1">
        <w:rPr>
          <w:rFonts w:eastAsia="Times New Roman" w:cs="Times New Roman"/>
          <w:b/>
          <w:bCs/>
          <w:sz w:val="20"/>
          <w:szCs w:val="20"/>
          <w:lang w:val="en-US" w:eastAsia="en-CA"/>
        </w:rPr>
        <w:t>AND THE MATERIAL FILED</w:t>
      </w:r>
      <w:r w:rsidRPr="00DD21F1">
        <w:rPr>
          <w:rFonts w:eastAsia="Times New Roman" w:cs="Times New Roman"/>
          <w:sz w:val="20"/>
          <w:szCs w:val="20"/>
          <w:lang w:val="en-US" w:eastAsia="en-CA"/>
        </w:rPr>
        <w:t xml:space="preserve"> having been read;</w:t>
      </w:r>
    </w:p>
    <w:p w:rsidR="00DD21F1" w:rsidRPr="00DD21F1" w:rsidRDefault="00DD21F1" w:rsidP="00DD21F1">
      <w:pPr>
        <w:spacing w:line="233" w:lineRule="auto"/>
        <w:jc w:val="both"/>
        <w:rPr>
          <w:rFonts w:eastAsia="Times New Roman" w:cs="Times New Roman"/>
          <w:sz w:val="20"/>
          <w:szCs w:val="20"/>
          <w:lang w:val="en-US" w:eastAsia="en-CA"/>
        </w:rPr>
      </w:pPr>
    </w:p>
    <w:p w:rsidR="00DD21F1" w:rsidRPr="00DD21F1" w:rsidRDefault="00DD21F1" w:rsidP="00DD21F1">
      <w:pPr>
        <w:spacing w:line="233" w:lineRule="auto"/>
        <w:jc w:val="both"/>
        <w:rPr>
          <w:rFonts w:eastAsia="Times New Roman" w:cs="Times New Roman"/>
          <w:sz w:val="20"/>
          <w:szCs w:val="20"/>
          <w:lang w:val="en-US" w:eastAsia="en-CA"/>
        </w:rPr>
      </w:pPr>
      <w:r w:rsidRPr="00DD21F1">
        <w:rPr>
          <w:rFonts w:eastAsia="Times New Roman" w:cs="Times New Roman"/>
          <w:b/>
          <w:bCs/>
          <w:sz w:val="20"/>
          <w:szCs w:val="20"/>
          <w:lang w:val="en-US" w:eastAsia="en-CA"/>
        </w:rPr>
        <w:t>IT IS HEREBY ORDERED THAT:</w:t>
      </w:r>
    </w:p>
    <w:p w:rsidR="00DD21F1" w:rsidRPr="00DD21F1" w:rsidRDefault="00DD21F1" w:rsidP="00DD21F1">
      <w:pPr>
        <w:spacing w:line="233" w:lineRule="auto"/>
        <w:jc w:val="both"/>
        <w:rPr>
          <w:rFonts w:eastAsia="Times New Roman" w:cs="Times New Roman"/>
          <w:sz w:val="20"/>
          <w:szCs w:val="20"/>
          <w:lang w:val="en-US" w:eastAsia="en-CA"/>
        </w:rPr>
      </w:pPr>
    </w:p>
    <w:p w:rsidR="00DD21F1" w:rsidRPr="00DD21F1" w:rsidRDefault="00DD21F1" w:rsidP="00DD21F1">
      <w:pPr>
        <w:jc w:val="both"/>
        <w:rPr>
          <w:rFonts w:eastAsia="Times New Roman" w:cs="Times New Roman"/>
          <w:sz w:val="20"/>
          <w:szCs w:val="20"/>
          <w:lang w:val="fr-CA" w:eastAsia="en-CA"/>
        </w:rPr>
      </w:pPr>
      <w:r w:rsidRPr="00DD21F1">
        <w:rPr>
          <w:rFonts w:eastAsia="Times New Roman" w:cs="Times New Roman"/>
          <w:sz w:val="20"/>
          <w:szCs w:val="20"/>
          <w:lang w:val="fr-CA" w:eastAsia="en-CA"/>
        </w:rPr>
        <w:t>The motion is granted.</w:t>
      </w:r>
    </w:p>
    <w:p w:rsidR="00DD21F1" w:rsidRPr="00DD21F1" w:rsidRDefault="00DD21F1" w:rsidP="00DD21F1">
      <w:pPr>
        <w:spacing w:line="233" w:lineRule="auto"/>
        <w:jc w:val="both"/>
        <w:rPr>
          <w:rFonts w:eastAsia="Times New Roman" w:cs="Times New Roman"/>
          <w:b/>
          <w:sz w:val="20"/>
          <w:szCs w:val="20"/>
          <w:lang w:val="fr-CA" w:eastAsia="en-CA"/>
        </w:rPr>
      </w:pPr>
    </w:p>
    <w:p w:rsidR="00DD21F1" w:rsidRPr="00DD21F1" w:rsidRDefault="00DD21F1" w:rsidP="00DD21F1">
      <w:pPr>
        <w:spacing w:line="233" w:lineRule="auto"/>
        <w:jc w:val="both"/>
        <w:rPr>
          <w:rFonts w:eastAsia="Times New Roman" w:cs="Times New Roman"/>
          <w:b/>
          <w:sz w:val="20"/>
          <w:szCs w:val="20"/>
          <w:lang w:val="fr-CA" w:eastAsia="en-CA"/>
        </w:rPr>
      </w:pPr>
    </w:p>
    <w:p w:rsidR="00DD21F1" w:rsidRPr="00DD21F1" w:rsidRDefault="00DD21F1" w:rsidP="00DD21F1">
      <w:pPr>
        <w:spacing w:line="233" w:lineRule="auto"/>
        <w:jc w:val="both"/>
        <w:rPr>
          <w:rFonts w:eastAsia="Times New Roman" w:cs="Times New Roman"/>
          <w:b/>
          <w:bCs/>
          <w:sz w:val="20"/>
          <w:szCs w:val="20"/>
          <w:lang w:val="fr-CA" w:eastAsia="en-CA"/>
        </w:rPr>
      </w:pPr>
      <w:r w:rsidRPr="00DD21F1">
        <w:rPr>
          <w:rFonts w:eastAsia="Times New Roman" w:cs="Times New Roman"/>
          <w:b/>
          <w:sz w:val="20"/>
          <w:szCs w:val="20"/>
          <w:lang w:val="fr-CA" w:eastAsia="en-CA"/>
        </w:rPr>
        <w:t xml:space="preserve">À LA SUITE DE LA DEMANDE </w:t>
      </w:r>
      <w:r w:rsidRPr="00DD21F1">
        <w:rPr>
          <w:rFonts w:eastAsia="Times New Roman" w:cs="Times New Roman"/>
          <w:sz w:val="20"/>
          <w:szCs w:val="20"/>
          <w:lang w:val="fr-CA" w:eastAsia="en-CA"/>
        </w:rPr>
        <w:t>présentée par l’intervenant, Procureur général du Québec, en prorogation du délai pour déposer son mémoire et son recueil de sources au 22 décembre 2014, et pour obtenir une ordonnance en vertu de la règle 71(3) pour plaider à l'audition de l'appel;</w:t>
      </w:r>
    </w:p>
    <w:p w:rsidR="00DD21F1" w:rsidRPr="00DD21F1" w:rsidRDefault="00DD21F1" w:rsidP="00DD21F1">
      <w:pPr>
        <w:spacing w:line="233" w:lineRule="auto"/>
        <w:jc w:val="both"/>
        <w:rPr>
          <w:rFonts w:eastAsia="Times New Roman" w:cs="Times New Roman"/>
          <w:b/>
          <w:bCs/>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 xml:space="preserve">ET APRÈS EXAMEN </w:t>
      </w:r>
      <w:r w:rsidRPr="00DD21F1">
        <w:rPr>
          <w:rFonts w:eastAsia="Times New Roman" w:cs="Times New Roman"/>
          <w:sz w:val="20"/>
          <w:szCs w:val="20"/>
          <w:lang w:val="fr-CA" w:eastAsia="en-CA"/>
        </w:rPr>
        <w:t xml:space="preserve">des documents déposés; </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0" w:lineRule="auto"/>
        <w:ind w:left="-23"/>
        <w:jc w:val="both"/>
        <w:rPr>
          <w:rFonts w:eastAsia="Times New Roman" w:cs="Times New Roman"/>
          <w:b/>
          <w:bCs/>
          <w:sz w:val="20"/>
          <w:szCs w:val="20"/>
          <w:lang w:val="fr-CA" w:eastAsia="en-CA"/>
        </w:rPr>
      </w:pPr>
      <w:r w:rsidRPr="00DD21F1">
        <w:rPr>
          <w:rFonts w:eastAsia="Times New Roman" w:cs="Times New Roman"/>
          <w:b/>
          <w:bCs/>
          <w:sz w:val="20"/>
          <w:szCs w:val="20"/>
          <w:lang w:val="fr-CA" w:eastAsia="en-CA"/>
        </w:rPr>
        <w:t>IL EST ORDONNÉ QUE:</w:t>
      </w:r>
    </w:p>
    <w:p w:rsidR="00DD21F1" w:rsidRPr="00DD21F1" w:rsidRDefault="00DD21F1" w:rsidP="00DD21F1">
      <w:pPr>
        <w:spacing w:line="230" w:lineRule="auto"/>
        <w:ind w:left="-23"/>
        <w:jc w:val="both"/>
        <w:rPr>
          <w:rFonts w:eastAsia="Times New Roman" w:cs="Times New Roman"/>
          <w:b/>
          <w:bCs/>
          <w:sz w:val="20"/>
          <w:szCs w:val="20"/>
          <w:lang w:val="fr-CA" w:eastAsia="en-CA"/>
        </w:rPr>
      </w:pPr>
    </w:p>
    <w:p w:rsidR="00DD21F1" w:rsidRPr="00DD21F1" w:rsidRDefault="00DD21F1" w:rsidP="00DD21F1">
      <w:pPr>
        <w:jc w:val="both"/>
        <w:rPr>
          <w:rFonts w:eastAsia="Times New Roman" w:cs="Times New Roman"/>
          <w:sz w:val="20"/>
          <w:szCs w:val="20"/>
          <w:lang w:val="fr-CA" w:eastAsia="en-CA"/>
        </w:rPr>
      </w:pPr>
      <w:r w:rsidRPr="00DD21F1">
        <w:rPr>
          <w:rFonts w:eastAsia="Times New Roman" w:cs="Times New Roman"/>
          <w:bCs/>
          <w:sz w:val="20"/>
          <w:szCs w:val="20"/>
          <w:lang w:val="fr-CA" w:eastAsia="en-CA"/>
        </w:rPr>
        <w:t>La requête est accueillie</w:t>
      </w:r>
      <w:r w:rsidRPr="00DD21F1">
        <w:rPr>
          <w:rFonts w:eastAsia="Times New Roman" w:cs="Times New Roman"/>
          <w:sz w:val="20"/>
          <w:szCs w:val="20"/>
          <w:lang w:val="fr-CA" w:eastAsia="en-CA"/>
        </w:rPr>
        <w:t>.</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8A5B26" w:rsidP="00DD21F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8"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tabs>
          <w:tab w:val="left" w:pos="-1440"/>
          <w:tab w:val="left" w:pos="-720"/>
        </w:tabs>
        <w:jc w:val="both"/>
        <w:rPr>
          <w:rFonts w:eastAsia="Times New Roman" w:cs="Times New Roman"/>
          <w:sz w:val="20"/>
          <w:szCs w:val="20"/>
          <w:lang w:eastAsia="en-CA"/>
        </w:rPr>
      </w:pPr>
      <w:r w:rsidRPr="00DD21F1">
        <w:rPr>
          <w:rFonts w:eastAsia="Times New Roman" w:cs="Times New Roman"/>
          <w:sz w:val="20"/>
          <w:szCs w:val="20"/>
          <w:lang w:eastAsia="en-CA"/>
        </w:rPr>
        <w:t>13.01.2015</w: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tabs>
          <w:tab w:val="left" w:pos="-1440"/>
          <w:tab w:val="left" w:pos="-720"/>
        </w:tabs>
        <w:jc w:val="both"/>
        <w:rPr>
          <w:rFonts w:eastAsia="Times New Roman" w:cs="Times New Roman"/>
          <w:sz w:val="20"/>
          <w:szCs w:val="20"/>
          <w:lang w:eastAsia="en-CA"/>
        </w:rPr>
      </w:pPr>
      <w:r w:rsidRPr="00DD21F1">
        <w:rPr>
          <w:rFonts w:eastAsia="Times New Roman" w:cs="Times New Roman"/>
          <w:sz w:val="20"/>
          <w:szCs w:val="20"/>
          <w:lang w:eastAsia="en-CA"/>
        </w:rPr>
        <w:t>Before / Devant:   THE REGISTRAR / LE REGISTRAIRE</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D21F1" w:rsidRPr="00DD21F1" w:rsidTr="00DD21F1">
        <w:trPr>
          <w:trHeight w:val="151"/>
        </w:trPr>
        <w:tc>
          <w:tcPr>
            <w:tcW w:w="4338" w:type="dxa"/>
          </w:tcPr>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r w:rsidR="00DD21F1" w:rsidRPr="00DD21F1">
              <w:rPr>
                <w:b/>
                <w:bCs/>
                <w:lang w:val="fr-CA"/>
              </w:rPr>
              <w:t>Miscellaneous motion</w:t>
            </w:r>
          </w:p>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p>
        </w:tc>
        <w:tc>
          <w:tcPr>
            <w:tcW w:w="1170" w:type="dxa"/>
          </w:tcPr>
          <w:p w:rsidR="00DD21F1" w:rsidRPr="00DD21F1" w:rsidRDefault="00DD21F1" w:rsidP="00DD21F1">
            <w:pPr>
              <w:jc w:val="both"/>
              <w:rPr>
                <w:lang w:val="fr-CA"/>
              </w:rPr>
            </w:pPr>
          </w:p>
          <w:p w:rsidR="00DD21F1" w:rsidRPr="00DD21F1" w:rsidRDefault="00DD21F1" w:rsidP="00DD21F1">
            <w:pPr>
              <w:jc w:val="both"/>
              <w:rPr>
                <w:lang w:val="fr-CA"/>
              </w:rPr>
            </w:pPr>
          </w:p>
        </w:tc>
        <w:tc>
          <w:tcPr>
            <w:tcW w:w="4327" w:type="dxa"/>
          </w:tcPr>
          <w:p w:rsidR="00DD21F1" w:rsidRPr="00DD21F1" w:rsidRDefault="00D5130B" w:rsidP="00DD21F1">
            <w:pPr>
              <w:jc w:val="both"/>
              <w:rPr>
                <w:b/>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r w:rsidR="00DD21F1" w:rsidRPr="00DD21F1">
              <w:rPr>
                <w:b/>
                <w:bCs/>
                <w:lang w:val="fr-CA"/>
              </w:rPr>
              <w:t>Requête diverse</w:t>
            </w:r>
          </w:p>
          <w:p w:rsidR="00DD21F1" w:rsidRPr="00DD21F1" w:rsidRDefault="00D5130B" w:rsidP="00DD21F1">
            <w:pPr>
              <w:jc w:val="both"/>
              <w:rPr>
                <w:b/>
                <w:lang w:val="fr-CA"/>
              </w:rPr>
            </w:pPr>
            <w:r w:rsidRPr="00DD21F1">
              <w:rPr>
                <w:b/>
                <w:lang w:val="en-US"/>
              </w:rPr>
              <w:fldChar w:fldCharType="begin"/>
            </w:r>
            <w:r w:rsidR="00DD21F1" w:rsidRPr="00DD21F1">
              <w:rPr>
                <w:b/>
                <w:lang w:val="fr-CA"/>
              </w:rPr>
              <w:instrText xml:space="preserve"> SEQ CHAPTER \h \r 1</w:instrText>
            </w:r>
            <w:r w:rsidRPr="00DD21F1">
              <w:rPr>
                <w:b/>
                <w:lang w:val="en-US"/>
              </w:rPr>
              <w:fldChar w:fldCharType="end"/>
            </w:r>
            <w:r w:rsidRPr="00DD21F1">
              <w:rPr>
                <w:b/>
                <w:lang w:val="en-US"/>
              </w:rPr>
              <w:fldChar w:fldCharType="begin"/>
            </w:r>
            <w:r w:rsidR="00DD21F1" w:rsidRPr="00DD21F1">
              <w:rPr>
                <w:b/>
                <w:lang w:val="fr-CA"/>
              </w:rPr>
              <w:instrText xml:space="preserve"> SEQ CHAPTER \h \r 1</w:instrText>
            </w:r>
            <w:r w:rsidRPr="00DD21F1">
              <w:rPr>
                <w:b/>
                <w:lang w:val="en-US"/>
              </w:rPr>
              <w:fldChar w:fldCharType="end"/>
            </w:r>
          </w:p>
        </w:tc>
      </w:tr>
      <w:tr w:rsidR="00DD21F1" w:rsidRPr="00DD21F1" w:rsidTr="00DD21F1">
        <w:trPr>
          <w:trHeight w:val="150"/>
        </w:trPr>
        <w:tc>
          <w:tcPr>
            <w:tcW w:w="4338" w:type="dxa"/>
          </w:tcPr>
          <w:p w:rsidR="00DD21F1" w:rsidRPr="00DD21F1" w:rsidRDefault="00DD21F1" w:rsidP="00DD21F1">
            <w:pPr>
              <w:tabs>
                <w:tab w:val="left" w:pos="-1440"/>
                <w:tab w:val="left" w:pos="-720"/>
              </w:tabs>
              <w:jc w:val="both"/>
            </w:pPr>
            <w:r w:rsidRPr="00DD21F1">
              <w:t>Robert Glen Harrison</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ab/>
              <w:t>c. (36073)</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Her Majesty the Queen in Right of the Province of British Columbia et al. (B.C.)</w:t>
            </w:r>
          </w:p>
        </w:tc>
        <w:tc>
          <w:tcPr>
            <w:tcW w:w="1170" w:type="dxa"/>
          </w:tcPr>
          <w:p w:rsidR="00DD21F1" w:rsidRPr="00DD21F1" w:rsidRDefault="00DD21F1" w:rsidP="00DD21F1">
            <w:pPr>
              <w:jc w:val="both"/>
            </w:pPr>
          </w:p>
        </w:tc>
        <w:tc>
          <w:tcPr>
            <w:tcW w:w="4327" w:type="dxa"/>
          </w:tcPr>
          <w:p w:rsidR="00DD21F1" w:rsidRPr="00DD21F1" w:rsidRDefault="00DD21F1" w:rsidP="00DD21F1">
            <w:pPr>
              <w:jc w:val="both"/>
            </w:pPr>
          </w:p>
        </w:tc>
      </w:tr>
    </w:tbl>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tabs>
          <w:tab w:val="left" w:pos="-1440"/>
          <w:tab w:val="left" w:pos="-720"/>
        </w:tabs>
        <w:jc w:val="both"/>
        <w:rPr>
          <w:rFonts w:eastAsia="Times New Roman" w:cs="Times New Roman"/>
          <w:b/>
          <w:sz w:val="20"/>
          <w:szCs w:val="20"/>
          <w:lang w:eastAsia="en-CA"/>
        </w:rPr>
      </w:pPr>
      <w:r w:rsidRPr="00DD21F1">
        <w:rPr>
          <w:rFonts w:eastAsia="Times New Roman" w:cs="Times New Roman"/>
          <w:b/>
          <w:sz w:val="20"/>
          <w:szCs w:val="20"/>
          <w:lang w:eastAsia="en-CA"/>
        </w:rPr>
        <w:t>DISMISSED / REJETÉE</w: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jc w:val="both"/>
        <w:rPr>
          <w:rFonts w:eastAsia="Times New Roman" w:cs="Times New Roman"/>
          <w:sz w:val="20"/>
          <w:szCs w:val="20"/>
          <w:lang w:eastAsia="en-CA"/>
        </w:rPr>
      </w:pPr>
      <w:r w:rsidRPr="00DD21F1">
        <w:rPr>
          <w:rFonts w:eastAsia="Times New Roman" w:cs="Times New Roman"/>
          <w:b/>
          <w:sz w:val="20"/>
          <w:szCs w:val="20"/>
          <w:lang w:eastAsia="en-CA"/>
        </w:rPr>
        <w:t>UPON APPLICATION</w:t>
      </w:r>
      <w:r w:rsidRPr="00DD21F1">
        <w:rPr>
          <w:rFonts w:eastAsia="Times New Roman" w:cs="Times New Roman"/>
          <w:sz w:val="20"/>
          <w:szCs w:val="20"/>
          <w:lang w:eastAsia="en-CA"/>
        </w:rPr>
        <w:t xml:space="preserve"> </w:t>
      </w:r>
      <w:r w:rsidR="00D5130B" w:rsidRPr="00DD21F1">
        <w:rPr>
          <w:rFonts w:eastAsia="Times New Roman" w:cs="Times New Roman"/>
          <w:sz w:val="20"/>
          <w:szCs w:val="20"/>
          <w:lang w:val="fr-CA" w:eastAsia="en-CA"/>
        </w:rPr>
        <w:fldChar w:fldCharType="begin"/>
      </w:r>
      <w:r w:rsidRPr="00DD21F1">
        <w:rPr>
          <w:rFonts w:eastAsia="Times New Roman" w:cs="Times New Roman"/>
          <w:sz w:val="20"/>
          <w:szCs w:val="20"/>
          <w:lang w:eastAsia="en-CA"/>
        </w:rPr>
        <w:instrText xml:space="preserve"> SEQ CHAPTER \h \r 1</w:instrText>
      </w:r>
      <w:r w:rsidR="00D5130B" w:rsidRPr="00DD21F1">
        <w:rPr>
          <w:rFonts w:eastAsia="Times New Roman" w:cs="Times New Roman"/>
          <w:sz w:val="20"/>
          <w:szCs w:val="20"/>
          <w:lang w:val="fr-CA" w:eastAsia="en-CA"/>
        </w:rPr>
        <w:fldChar w:fldCharType="end"/>
      </w:r>
      <w:r w:rsidRPr="00DD21F1">
        <w:rPr>
          <w:rFonts w:eastAsia="Times New Roman" w:cs="Times New Roman"/>
          <w:sz w:val="20"/>
          <w:szCs w:val="20"/>
          <w:lang w:eastAsia="en-CA"/>
        </w:rPr>
        <w:t xml:space="preserve">by the applicant pursuant to the provisions of Rule 32(2) for an order to file additional material, namely additional evidence that was only available as of December 17, 2014; </w:t>
      </w:r>
    </w:p>
    <w:p w:rsidR="00DD21F1" w:rsidRPr="00DD21F1" w:rsidRDefault="00DD21F1" w:rsidP="00DD21F1">
      <w:pPr>
        <w:autoSpaceDE w:val="0"/>
        <w:autoSpaceDN w:val="0"/>
        <w:adjustRightInd w:val="0"/>
        <w:jc w:val="both"/>
        <w:rPr>
          <w:rFonts w:eastAsia="Times New Roman" w:cs="Times New Roman"/>
          <w:sz w:val="20"/>
          <w:szCs w:val="20"/>
          <w:lang w:eastAsia="en-CA"/>
        </w:rPr>
      </w:pPr>
    </w:p>
    <w:p w:rsidR="00DD21F1" w:rsidRPr="00DD21F1" w:rsidRDefault="00D5130B" w:rsidP="00DD21F1">
      <w:pPr>
        <w:jc w:val="both"/>
        <w:rPr>
          <w:rFonts w:eastAsia="Times New Roman" w:cs="Times New Roman"/>
          <w:sz w:val="20"/>
          <w:szCs w:val="20"/>
          <w:lang w:eastAsia="en-CA"/>
        </w:rPr>
      </w:pPr>
      <w:r w:rsidRPr="00DD21F1">
        <w:rPr>
          <w:rFonts w:eastAsia="Times New Roman" w:cs="Times New Roman"/>
          <w:sz w:val="20"/>
          <w:szCs w:val="20"/>
          <w:lang w:val="fr-CA" w:eastAsia="en-CA"/>
        </w:rPr>
        <w:fldChar w:fldCharType="begin"/>
      </w:r>
      <w:r w:rsidR="00DD21F1" w:rsidRPr="00DD21F1">
        <w:rPr>
          <w:rFonts w:eastAsia="Times New Roman" w:cs="Times New Roman"/>
          <w:sz w:val="20"/>
          <w:szCs w:val="20"/>
          <w:lang w:eastAsia="en-CA"/>
        </w:rPr>
        <w:instrText xml:space="preserve"> SEQ CHAPTER \h \r 1</w:instrText>
      </w:r>
      <w:r w:rsidRPr="00DD21F1">
        <w:rPr>
          <w:rFonts w:eastAsia="Times New Roman" w:cs="Times New Roman"/>
          <w:sz w:val="20"/>
          <w:szCs w:val="20"/>
          <w:lang w:val="fr-CA" w:eastAsia="en-CA"/>
        </w:rPr>
        <w:fldChar w:fldCharType="end"/>
      </w:r>
      <w:r w:rsidR="00DD21F1" w:rsidRPr="00DD21F1">
        <w:rPr>
          <w:rFonts w:eastAsia="Times New Roman" w:cs="Times New Roman"/>
          <w:b/>
          <w:bCs/>
          <w:sz w:val="20"/>
          <w:szCs w:val="20"/>
          <w:lang w:eastAsia="en-CA"/>
        </w:rPr>
        <w:t xml:space="preserve">AND THE MATERIAL FILED </w:t>
      </w:r>
      <w:r w:rsidR="00DD21F1" w:rsidRPr="00DD21F1">
        <w:rPr>
          <w:rFonts w:eastAsia="Times New Roman" w:cs="Times New Roman"/>
          <w:bCs/>
          <w:sz w:val="20"/>
          <w:szCs w:val="20"/>
          <w:lang w:eastAsia="en-CA"/>
        </w:rPr>
        <w:t>having been read</w:t>
      </w:r>
      <w:r w:rsidR="00DD21F1" w:rsidRPr="00DD21F1">
        <w:rPr>
          <w:rFonts w:eastAsia="Times New Roman" w:cs="Times New Roman"/>
          <w:sz w:val="20"/>
          <w:szCs w:val="20"/>
          <w:lang w:eastAsia="en-CA"/>
        </w:rPr>
        <w:t>;</w:t>
      </w:r>
    </w:p>
    <w:p w:rsidR="00DD21F1" w:rsidRPr="00DD21F1" w:rsidRDefault="00DD21F1" w:rsidP="00DD21F1">
      <w:pPr>
        <w:jc w:val="both"/>
        <w:rPr>
          <w:rFonts w:eastAsia="Times New Roman" w:cs="Times New Roman"/>
          <w:sz w:val="20"/>
          <w:szCs w:val="20"/>
          <w:lang w:eastAsia="en-CA"/>
        </w:rPr>
      </w:pPr>
    </w:p>
    <w:p w:rsidR="00DD21F1" w:rsidRPr="00DD21F1" w:rsidRDefault="00DD21F1" w:rsidP="00DD21F1">
      <w:pPr>
        <w:jc w:val="both"/>
        <w:rPr>
          <w:rFonts w:eastAsia="Times New Roman" w:cs="Times New Roman"/>
          <w:b/>
          <w:sz w:val="20"/>
          <w:szCs w:val="20"/>
          <w:lang w:eastAsia="en-CA"/>
        </w:rPr>
      </w:pPr>
      <w:r w:rsidRPr="00DD21F1">
        <w:rPr>
          <w:rFonts w:eastAsia="Times New Roman" w:cs="Times New Roman"/>
          <w:b/>
          <w:sz w:val="20"/>
          <w:szCs w:val="20"/>
          <w:lang w:eastAsia="en-CA"/>
        </w:rPr>
        <w:t>IT IS HEREBY ORDERED THAT:</w:t>
      </w:r>
    </w:p>
    <w:p w:rsidR="00DD21F1" w:rsidRPr="00DD21F1" w:rsidRDefault="00DD21F1" w:rsidP="00DD21F1">
      <w:pPr>
        <w:ind w:left="360"/>
        <w:contextualSpacing/>
        <w:jc w:val="both"/>
        <w:rPr>
          <w:sz w:val="20"/>
          <w:szCs w:val="20"/>
        </w:rPr>
      </w:pPr>
    </w:p>
    <w:p w:rsidR="00DD21F1" w:rsidRPr="00DD21F1" w:rsidRDefault="00DD21F1" w:rsidP="00DD21F1">
      <w:pPr>
        <w:jc w:val="both"/>
        <w:rPr>
          <w:rFonts w:eastAsia="Times New Roman" w:cs="Times New Roman"/>
          <w:sz w:val="20"/>
          <w:szCs w:val="20"/>
          <w:lang w:val="fr-CA" w:eastAsia="en-CA"/>
        </w:rPr>
      </w:pPr>
      <w:r w:rsidRPr="00DD21F1">
        <w:rPr>
          <w:rFonts w:eastAsia="Times New Roman" w:cs="Times New Roman"/>
          <w:sz w:val="20"/>
          <w:szCs w:val="20"/>
          <w:lang w:val="fr-CA" w:eastAsia="en-CA"/>
        </w:rPr>
        <w:t xml:space="preserve">The motion is dismissed. </w:t>
      </w: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sz w:val="20"/>
          <w:szCs w:val="20"/>
          <w:lang w:val="fr-CA" w:eastAsia="en-CA"/>
        </w:rPr>
      </w:pPr>
      <w:r w:rsidRPr="00DD21F1">
        <w:rPr>
          <w:rFonts w:eastAsia="Times New Roman" w:cs="Times New Roman"/>
          <w:b/>
          <w:sz w:val="20"/>
          <w:szCs w:val="20"/>
          <w:lang w:val="fr-CA" w:eastAsia="en-CA"/>
        </w:rPr>
        <w:t>À LA SUITE DE LA DEMANDE</w:t>
      </w:r>
      <w:r w:rsidRPr="00DD21F1">
        <w:rPr>
          <w:rFonts w:eastAsia="Times New Roman" w:cs="Times New Roman"/>
          <w:sz w:val="20"/>
          <w:szCs w:val="20"/>
          <w:lang w:val="fr-CA" w:eastAsia="en-CA"/>
        </w:rPr>
        <w:t xml:space="preserve"> </w:t>
      </w:r>
      <w:r w:rsidR="00D5130B" w:rsidRPr="00DD21F1">
        <w:rPr>
          <w:rFonts w:eastAsia="Times New Roman" w:cs="Times New Roman"/>
          <w:sz w:val="20"/>
          <w:szCs w:val="20"/>
          <w:lang w:val="fr-CA" w:eastAsia="en-CA"/>
        </w:rPr>
        <w:fldChar w:fldCharType="begin"/>
      </w:r>
      <w:r w:rsidRPr="00DD21F1">
        <w:rPr>
          <w:rFonts w:eastAsia="Times New Roman" w:cs="Times New Roman"/>
          <w:sz w:val="20"/>
          <w:szCs w:val="20"/>
          <w:lang w:val="fr-CA" w:eastAsia="en-CA"/>
        </w:rPr>
        <w:instrText xml:space="preserve"> SEQ CHAPTER \h \r 1</w:instrText>
      </w:r>
      <w:r w:rsidR="00D5130B" w:rsidRPr="00DD21F1">
        <w:rPr>
          <w:rFonts w:eastAsia="Times New Roman" w:cs="Times New Roman"/>
          <w:sz w:val="20"/>
          <w:szCs w:val="20"/>
          <w:lang w:val="fr-CA" w:eastAsia="en-CA"/>
        </w:rPr>
        <w:fldChar w:fldCharType="end"/>
      </w:r>
      <w:r w:rsidRPr="00DD21F1">
        <w:rPr>
          <w:rFonts w:eastAsia="Times New Roman" w:cs="Times New Roman"/>
          <w:sz w:val="20"/>
          <w:szCs w:val="20"/>
          <w:lang w:val="fr-CA" w:eastAsia="en-CA"/>
        </w:rPr>
        <w:t xml:space="preserve">présentée par le demandeur en application du par. 32(2) des Règles sollicitant la permission de déposer des documents supplémentaires, à savoir de nouveaux éléments de preuve dont il ne disposait pas avant le 17 décembre 2014; </w:t>
      </w:r>
    </w:p>
    <w:p w:rsidR="00DD21F1" w:rsidRPr="00DD21F1" w:rsidRDefault="00DD21F1" w:rsidP="00DD21F1">
      <w:pPr>
        <w:autoSpaceDE w:val="0"/>
        <w:autoSpaceDN w:val="0"/>
        <w:adjustRightInd w:val="0"/>
        <w:jc w:val="both"/>
        <w:rPr>
          <w:rFonts w:eastAsia="Times New Roman" w:cs="Times New Roman"/>
          <w:sz w:val="20"/>
          <w:szCs w:val="20"/>
          <w:lang w:val="fr-CA" w:eastAsia="en-CA"/>
        </w:rPr>
      </w:pPr>
    </w:p>
    <w:p w:rsidR="00DD21F1" w:rsidRPr="00DD21F1" w:rsidRDefault="00D5130B" w:rsidP="00DD21F1">
      <w:pPr>
        <w:jc w:val="both"/>
        <w:rPr>
          <w:rFonts w:eastAsia="Times New Roman" w:cs="Times New Roman"/>
          <w:sz w:val="20"/>
          <w:szCs w:val="20"/>
          <w:lang w:val="fr-CA" w:eastAsia="en-CA"/>
        </w:rPr>
      </w:pPr>
      <w:r w:rsidRPr="00DD21F1">
        <w:rPr>
          <w:rFonts w:eastAsia="Times New Roman" w:cs="Times New Roman"/>
          <w:sz w:val="20"/>
          <w:szCs w:val="20"/>
          <w:lang w:val="fr-CA" w:eastAsia="en-CA"/>
        </w:rPr>
        <w:fldChar w:fldCharType="begin"/>
      </w:r>
      <w:r w:rsidR="00DD21F1" w:rsidRPr="00DD21F1">
        <w:rPr>
          <w:rFonts w:eastAsia="Times New Roman" w:cs="Times New Roman"/>
          <w:sz w:val="20"/>
          <w:szCs w:val="20"/>
          <w:lang w:val="fr-CA" w:eastAsia="en-CA"/>
        </w:rPr>
        <w:instrText xml:space="preserve"> SEQ CHAPTER \h \r 1</w:instrText>
      </w:r>
      <w:r w:rsidRPr="00DD21F1">
        <w:rPr>
          <w:rFonts w:eastAsia="Times New Roman" w:cs="Times New Roman"/>
          <w:sz w:val="20"/>
          <w:szCs w:val="20"/>
          <w:lang w:val="fr-CA" w:eastAsia="en-CA"/>
        </w:rPr>
        <w:fldChar w:fldCharType="end"/>
      </w:r>
      <w:r w:rsidR="00DD21F1" w:rsidRPr="00DD21F1">
        <w:rPr>
          <w:rFonts w:eastAsia="Times New Roman" w:cs="Times New Roman"/>
          <w:b/>
          <w:bCs/>
          <w:sz w:val="20"/>
          <w:szCs w:val="20"/>
          <w:lang w:val="fr-CA" w:eastAsia="en-CA"/>
        </w:rPr>
        <w:t xml:space="preserve">ET APRÈS EXAMEN </w:t>
      </w:r>
      <w:r w:rsidR="00DD21F1" w:rsidRPr="00DD21F1">
        <w:rPr>
          <w:rFonts w:eastAsia="Times New Roman" w:cs="Times New Roman"/>
          <w:bCs/>
          <w:sz w:val="20"/>
          <w:szCs w:val="20"/>
          <w:lang w:val="fr-CA" w:eastAsia="en-CA"/>
        </w:rPr>
        <w:t>des documents déposés</w:t>
      </w:r>
      <w:r w:rsidR="00DD21F1" w:rsidRPr="00DD21F1">
        <w:rPr>
          <w:rFonts w:eastAsia="Times New Roman" w:cs="Times New Roman"/>
          <w:sz w:val="20"/>
          <w:szCs w:val="20"/>
          <w:lang w:val="fr-CA" w:eastAsia="en-CA"/>
        </w:rPr>
        <w:t>;</w:t>
      </w: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b/>
          <w:sz w:val="20"/>
          <w:szCs w:val="20"/>
          <w:lang w:val="fr-CA" w:eastAsia="en-CA"/>
        </w:rPr>
      </w:pPr>
      <w:r w:rsidRPr="00DD21F1">
        <w:rPr>
          <w:rFonts w:eastAsia="Times New Roman" w:cs="Times New Roman"/>
          <w:b/>
          <w:sz w:val="20"/>
          <w:szCs w:val="20"/>
          <w:lang w:val="fr-CA" w:eastAsia="en-CA"/>
        </w:rPr>
        <w:t>IL EST ORDONNÉ CE QUI SUIT :</w:t>
      </w:r>
    </w:p>
    <w:p w:rsidR="00DD21F1" w:rsidRPr="00DD21F1" w:rsidRDefault="00DD21F1" w:rsidP="00DD21F1">
      <w:pPr>
        <w:ind w:left="360"/>
        <w:contextualSpacing/>
        <w:jc w:val="both"/>
        <w:rPr>
          <w:sz w:val="20"/>
          <w:szCs w:val="20"/>
          <w:lang w:val="fr-CA"/>
        </w:rPr>
      </w:pPr>
    </w:p>
    <w:p w:rsidR="00DD21F1" w:rsidRPr="00DD21F1" w:rsidRDefault="00DD21F1" w:rsidP="00DD21F1">
      <w:pPr>
        <w:jc w:val="both"/>
        <w:rPr>
          <w:rFonts w:eastAsia="Times New Roman" w:cs="Times New Roman"/>
          <w:sz w:val="20"/>
          <w:szCs w:val="20"/>
          <w:lang w:val="fr-CA" w:eastAsia="en-CA"/>
        </w:rPr>
      </w:pPr>
      <w:r w:rsidRPr="00DD21F1">
        <w:rPr>
          <w:rFonts w:eastAsia="Times New Roman" w:cs="Times New Roman"/>
          <w:sz w:val="20"/>
          <w:szCs w:val="20"/>
          <w:lang w:val="fr-CA" w:eastAsia="en-CA"/>
        </w:rPr>
        <w:t xml:space="preserve">La requête est rejetée. </w: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8A5B26" w:rsidP="00DD21F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9"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tabs>
          <w:tab w:val="left" w:pos="-1440"/>
          <w:tab w:val="left" w:pos="-720"/>
        </w:tabs>
        <w:jc w:val="both"/>
        <w:rPr>
          <w:rFonts w:eastAsia="Times New Roman" w:cs="Times New Roman"/>
          <w:sz w:val="20"/>
          <w:szCs w:val="20"/>
          <w:lang w:eastAsia="en-CA"/>
        </w:rPr>
      </w:pPr>
      <w:r w:rsidRPr="00DD21F1">
        <w:rPr>
          <w:rFonts w:eastAsia="Times New Roman" w:cs="Times New Roman"/>
          <w:sz w:val="20"/>
          <w:szCs w:val="20"/>
          <w:lang w:eastAsia="en-CA"/>
        </w:rPr>
        <w:t>13.01.2015</w: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eastAsia="en-CA"/>
        </w:rPr>
        <w:t xml:space="preserve">Before / Devant:   WAGNER J. / LE JUGE </w:t>
      </w:r>
      <w:r w:rsidRPr="00DD21F1">
        <w:rPr>
          <w:rFonts w:eastAsia="Times New Roman" w:cs="Times New Roman"/>
          <w:sz w:val="20"/>
          <w:szCs w:val="20"/>
          <w:lang w:val="fr-CA" w:eastAsia="en-CA"/>
        </w:rPr>
        <w:t>WAGNER</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D21F1" w:rsidRPr="00021805" w:rsidTr="00DD21F1">
        <w:tc>
          <w:tcPr>
            <w:tcW w:w="4338" w:type="dxa"/>
          </w:tcPr>
          <w:p w:rsidR="00DD21F1" w:rsidRPr="00DD21F1" w:rsidRDefault="00D5130B" w:rsidP="00DD21F1">
            <w:pPr>
              <w:tabs>
                <w:tab w:val="left" w:pos="-1440"/>
                <w:tab w:val="left" w:pos="-720"/>
              </w:tabs>
              <w:jc w:val="both"/>
              <w:rPr>
                <w:b/>
              </w:rPr>
            </w:pPr>
            <w:r w:rsidRPr="00DD21F1">
              <w:rPr>
                <w:szCs w:val="24"/>
                <w:lang w:val="en-US"/>
              </w:rPr>
              <w:fldChar w:fldCharType="begin"/>
            </w:r>
            <w:r w:rsidR="00DD21F1" w:rsidRPr="00DD21F1">
              <w:rPr>
                <w:szCs w:val="24"/>
                <w:lang w:val="en-US"/>
              </w:rPr>
              <w:instrText xml:space="preserve"> SEQ CHAPTER \h \r 1</w:instrText>
            </w:r>
            <w:r w:rsidRPr="00DD21F1">
              <w:rPr>
                <w:szCs w:val="24"/>
                <w:lang w:val="en-US"/>
              </w:rPr>
              <w:fldChar w:fldCharType="end"/>
            </w:r>
            <w:r w:rsidR="00DD21F1" w:rsidRPr="00DD21F1">
              <w:rPr>
                <w:b/>
                <w:bCs/>
                <w:lang w:val="en-US"/>
              </w:rPr>
              <w:t>Motion to extend time</w:t>
            </w:r>
          </w:p>
        </w:tc>
        <w:tc>
          <w:tcPr>
            <w:tcW w:w="1170" w:type="dxa"/>
          </w:tcPr>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p>
        </w:tc>
        <w:tc>
          <w:tcPr>
            <w:tcW w:w="4327" w:type="dxa"/>
          </w:tcPr>
          <w:p w:rsidR="00DD21F1" w:rsidRPr="00DD21F1" w:rsidRDefault="00DD21F1" w:rsidP="00DD21F1">
            <w:pPr>
              <w:tabs>
                <w:tab w:val="left" w:pos="-1440"/>
                <w:tab w:val="left" w:pos="-720"/>
              </w:tabs>
              <w:jc w:val="both"/>
              <w:rPr>
                <w:lang w:val="fr-CA"/>
              </w:rPr>
            </w:pPr>
            <w:r w:rsidRPr="00DD21F1">
              <w:rPr>
                <w:b/>
                <w:bCs/>
                <w:color w:val="000000"/>
                <w:lang w:val="fr-CA"/>
              </w:rPr>
              <w:t>Requête en prorogation de délai</w:t>
            </w:r>
            <w:r w:rsidRPr="00DD21F1">
              <w:rPr>
                <w:szCs w:val="24"/>
                <w:lang w:val="fr-CA"/>
              </w:rPr>
              <w:t xml:space="preserve"> </w:t>
            </w:r>
            <w:r w:rsidR="00D5130B" w:rsidRPr="00DD21F1">
              <w:rPr>
                <w:szCs w:val="24"/>
                <w:lang w:val="en-US"/>
              </w:rPr>
              <w:fldChar w:fldCharType="begin"/>
            </w:r>
            <w:r w:rsidRPr="00DD21F1">
              <w:rPr>
                <w:szCs w:val="24"/>
                <w:lang w:val="fr-CA"/>
              </w:rPr>
              <w:instrText xml:space="preserve"> SEQ CHAPTER \h \r 1</w:instrText>
            </w:r>
            <w:r w:rsidR="00D5130B" w:rsidRPr="00DD21F1">
              <w:rPr>
                <w:szCs w:val="24"/>
                <w:lang w:val="en-US"/>
              </w:rPr>
              <w:fldChar w:fldCharType="end"/>
            </w:r>
            <w:r w:rsidR="00D5130B" w:rsidRPr="00DD21F1">
              <w:rPr>
                <w:szCs w:val="24"/>
                <w:lang w:val="en-US"/>
              </w:rPr>
              <w:fldChar w:fldCharType="begin"/>
            </w:r>
            <w:r w:rsidRPr="00DD21F1">
              <w:rPr>
                <w:szCs w:val="24"/>
                <w:lang w:val="fr-CA"/>
              </w:rPr>
              <w:instrText xml:space="preserve"> SEQ CHAPTER \h \r 1</w:instrText>
            </w:r>
            <w:r w:rsidR="00D5130B" w:rsidRPr="00DD21F1">
              <w:rPr>
                <w:szCs w:val="24"/>
                <w:lang w:val="en-US"/>
              </w:rPr>
              <w:fldChar w:fldCharType="end"/>
            </w:r>
          </w:p>
        </w:tc>
      </w:tr>
      <w:tr w:rsidR="00DD21F1" w:rsidRPr="00021805" w:rsidTr="00DD21F1">
        <w:tc>
          <w:tcPr>
            <w:tcW w:w="4338" w:type="dxa"/>
          </w:tcPr>
          <w:p w:rsidR="00DD21F1" w:rsidRPr="00DD21F1" w:rsidRDefault="00DD21F1" w:rsidP="00DD21F1">
            <w:pPr>
              <w:tabs>
                <w:tab w:val="left" w:pos="-1440"/>
                <w:tab w:val="left" w:pos="-720"/>
              </w:tabs>
              <w:jc w:val="both"/>
              <w:rPr>
                <w:lang w:val="fr-CA"/>
              </w:rPr>
            </w:pPr>
            <w:r w:rsidRPr="00DD21F1">
              <w:rPr>
                <w:lang w:val="fr-CA"/>
              </w:rPr>
              <w:t>Commission des droits de la personne et des droits de la jeunesse et autre</w:t>
            </w:r>
          </w:p>
          <w:p w:rsidR="00DD21F1" w:rsidRPr="00DD21F1" w:rsidRDefault="00DD21F1" w:rsidP="00DD21F1">
            <w:pPr>
              <w:tabs>
                <w:tab w:val="left" w:pos="-1440"/>
                <w:tab w:val="left" w:pos="-720"/>
              </w:tabs>
              <w:jc w:val="both"/>
              <w:rPr>
                <w:lang w:val="fr-CA"/>
              </w:rPr>
            </w:pPr>
          </w:p>
          <w:p w:rsidR="00DD21F1" w:rsidRPr="00DD21F1" w:rsidRDefault="00DD21F1" w:rsidP="00DD21F1">
            <w:pPr>
              <w:tabs>
                <w:tab w:val="left" w:pos="-1440"/>
                <w:tab w:val="left" w:pos="-720"/>
              </w:tabs>
              <w:jc w:val="both"/>
              <w:rPr>
                <w:lang w:val="fr-CA"/>
              </w:rPr>
            </w:pPr>
            <w:r w:rsidRPr="00DD21F1">
              <w:rPr>
                <w:lang w:val="fr-CA"/>
              </w:rPr>
              <w:tab/>
              <w:t>c. (35625)</w:t>
            </w:r>
          </w:p>
          <w:p w:rsidR="00DD21F1" w:rsidRPr="00DD21F1" w:rsidRDefault="00DD21F1" w:rsidP="00DD21F1">
            <w:pPr>
              <w:tabs>
                <w:tab w:val="left" w:pos="-1440"/>
                <w:tab w:val="left" w:pos="-720"/>
              </w:tabs>
              <w:jc w:val="both"/>
              <w:rPr>
                <w:lang w:val="fr-CA"/>
              </w:rPr>
            </w:pPr>
          </w:p>
          <w:p w:rsidR="00DD21F1" w:rsidRPr="00DD21F1" w:rsidRDefault="00DD21F1" w:rsidP="00DD21F1">
            <w:pPr>
              <w:tabs>
                <w:tab w:val="left" w:pos="-1440"/>
                <w:tab w:val="left" w:pos="-720"/>
              </w:tabs>
              <w:jc w:val="both"/>
              <w:rPr>
                <w:lang w:val="fr-CA"/>
              </w:rPr>
            </w:pPr>
            <w:r w:rsidRPr="00DD21F1">
              <w:rPr>
                <w:lang w:val="fr-CA"/>
              </w:rPr>
              <w:t>Bombardier inc. (Bombardier Aéronautique Centre de Formation) et autre (Qc)</w:t>
            </w:r>
          </w:p>
        </w:tc>
        <w:tc>
          <w:tcPr>
            <w:tcW w:w="1170" w:type="dxa"/>
          </w:tcPr>
          <w:p w:rsidR="00DD21F1" w:rsidRPr="00DD21F1" w:rsidRDefault="00DD21F1" w:rsidP="00DD21F1">
            <w:pPr>
              <w:tabs>
                <w:tab w:val="left" w:pos="-1440"/>
                <w:tab w:val="left" w:pos="-720"/>
              </w:tabs>
              <w:jc w:val="both"/>
              <w:rPr>
                <w:lang w:val="fr-CA"/>
              </w:rPr>
            </w:pPr>
          </w:p>
        </w:tc>
        <w:tc>
          <w:tcPr>
            <w:tcW w:w="4327" w:type="dxa"/>
          </w:tcPr>
          <w:p w:rsidR="00DD21F1" w:rsidRPr="00DD21F1" w:rsidRDefault="00DD21F1" w:rsidP="00DD21F1">
            <w:pPr>
              <w:tabs>
                <w:tab w:val="left" w:pos="-1440"/>
                <w:tab w:val="left" w:pos="-720"/>
              </w:tabs>
              <w:jc w:val="both"/>
              <w:rPr>
                <w:lang w:val="fr-CA"/>
              </w:rPr>
            </w:pPr>
          </w:p>
        </w:tc>
      </w:tr>
    </w:tbl>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b/>
          <w:sz w:val="20"/>
          <w:szCs w:val="20"/>
          <w:lang w:val="fr-CA" w:eastAsia="en-CA"/>
        </w:rPr>
      </w:pPr>
      <w:r w:rsidRPr="00DD21F1">
        <w:rPr>
          <w:rFonts w:eastAsia="Times New Roman" w:cs="Times New Roman"/>
          <w:b/>
          <w:sz w:val="20"/>
          <w:szCs w:val="20"/>
          <w:lang w:val="fr-CA" w:eastAsia="en-CA"/>
        </w:rPr>
        <w:t>GRANTED / ACCORDÉE</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b/>
          <w:bCs/>
          <w:sz w:val="20"/>
          <w:szCs w:val="20"/>
          <w:lang w:val="fr-CA" w:eastAsia="en-CA"/>
        </w:rPr>
      </w:pPr>
      <w:r w:rsidRPr="00DD21F1">
        <w:rPr>
          <w:rFonts w:eastAsia="Times New Roman" w:cs="Times New Roman"/>
          <w:b/>
          <w:sz w:val="20"/>
          <w:szCs w:val="20"/>
          <w:lang w:val="fr-CA" w:eastAsia="en-CA"/>
        </w:rPr>
        <w:lastRenderedPageBreak/>
        <w:t xml:space="preserve">À LA SUITE DE LA DEMANDE </w:t>
      </w:r>
      <w:r w:rsidRPr="00DD21F1">
        <w:rPr>
          <w:rFonts w:eastAsia="Times New Roman" w:cs="Times New Roman"/>
          <w:sz w:val="20"/>
          <w:szCs w:val="20"/>
          <w:lang w:val="fr-CA" w:eastAsia="en-CA"/>
        </w:rPr>
        <w:t>présentée par l’intervenant, Centre de recherche-action sur les relations raciales, en prorogation du délai pour déposer son mémoire et son recueil de sources au 12 décembre 2014, et pour obtenir une ordonnance en vertu de la règle 71(3) pour plaider à l'audition de l'appel;</w:t>
      </w:r>
    </w:p>
    <w:p w:rsidR="00DD21F1" w:rsidRPr="00DD21F1" w:rsidRDefault="00DD21F1" w:rsidP="00DD21F1">
      <w:pPr>
        <w:spacing w:line="233" w:lineRule="auto"/>
        <w:jc w:val="both"/>
        <w:rPr>
          <w:rFonts w:eastAsia="Times New Roman" w:cs="Times New Roman"/>
          <w:b/>
          <w:bCs/>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 xml:space="preserve">ET APRÈS EXAMEN </w:t>
      </w:r>
      <w:r w:rsidRPr="00DD21F1">
        <w:rPr>
          <w:rFonts w:eastAsia="Times New Roman" w:cs="Times New Roman"/>
          <w:sz w:val="20"/>
          <w:szCs w:val="20"/>
          <w:lang w:val="fr-CA" w:eastAsia="en-CA"/>
        </w:rPr>
        <w:t xml:space="preserve">des documents déposés; </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0" w:lineRule="auto"/>
        <w:ind w:left="-23"/>
        <w:jc w:val="both"/>
        <w:rPr>
          <w:rFonts w:eastAsia="Times New Roman" w:cs="Times New Roman"/>
          <w:b/>
          <w:bCs/>
          <w:sz w:val="20"/>
          <w:szCs w:val="20"/>
          <w:lang w:val="fr-CA" w:eastAsia="en-CA"/>
        </w:rPr>
      </w:pPr>
      <w:r w:rsidRPr="00DD21F1">
        <w:rPr>
          <w:rFonts w:eastAsia="Times New Roman" w:cs="Times New Roman"/>
          <w:b/>
          <w:bCs/>
          <w:sz w:val="20"/>
          <w:szCs w:val="20"/>
          <w:lang w:val="fr-CA" w:eastAsia="en-CA"/>
        </w:rPr>
        <w:t>IL EST ORDONNÉ QUE :</w:t>
      </w:r>
    </w:p>
    <w:p w:rsidR="00DD21F1" w:rsidRPr="00DD21F1" w:rsidRDefault="00DD21F1" w:rsidP="00DD21F1">
      <w:pPr>
        <w:spacing w:line="230" w:lineRule="auto"/>
        <w:ind w:left="-23"/>
        <w:jc w:val="both"/>
        <w:rPr>
          <w:rFonts w:eastAsia="Times New Roman" w:cs="Times New Roman"/>
          <w:b/>
          <w:bCs/>
          <w:sz w:val="20"/>
          <w:szCs w:val="20"/>
          <w:lang w:val="fr-CA" w:eastAsia="en-CA"/>
        </w:rPr>
      </w:pPr>
    </w:p>
    <w:p w:rsidR="00DD21F1" w:rsidRPr="00DD21F1" w:rsidRDefault="00DD21F1" w:rsidP="00DD21F1">
      <w:pPr>
        <w:jc w:val="both"/>
        <w:rPr>
          <w:rFonts w:eastAsia="Times New Roman" w:cs="Times New Roman"/>
          <w:sz w:val="20"/>
          <w:szCs w:val="20"/>
          <w:lang w:val="fr-CA" w:eastAsia="en-CA"/>
        </w:rPr>
      </w:pPr>
      <w:r w:rsidRPr="00DD21F1">
        <w:rPr>
          <w:rFonts w:eastAsia="Times New Roman" w:cs="Times New Roman"/>
          <w:bCs/>
          <w:sz w:val="20"/>
          <w:szCs w:val="20"/>
          <w:lang w:val="fr-CA" w:eastAsia="en-CA"/>
        </w:rPr>
        <w:t xml:space="preserve">La requête est accueillie et </w:t>
      </w:r>
      <w:r w:rsidRPr="00DD21F1">
        <w:rPr>
          <w:rFonts w:eastAsia="Times New Roman" w:cs="Times New Roman"/>
          <w:sz w:val="20"/>
          <w:szCs w:val="20"/>
          <w:lang w:val="fr-CA" w:eastAsia="en-CA"/>
        </w:rPr>
        <w:t>cet intervenant est autorisé à présenter une plaidoirie orale d’au plus dix (10) minutes lors de l’audition de l’appel.</w:t>
      </w: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eastAsia="en-CA"/>
        </w:rPr>
      </w:pPr>
      <w:r w:rsidRPr="00DD21F1">
        <w:rPr>
          <w:rFonts w:eastAsia="Times New Roman" w:cs="Times New Roman"/>
          <w:b/>
          <w:sz w:val="20"/>
          <w:szCs w:val="20"/>
          <w:lang w:val="en-US" w:eastAsia="en-CA"/>
        </w:rPr>
        <w:t xml:space="preserve">UPON APPLICATION </w:t>
      </w:r>
      <w:r w:rsidRPr="00DD21F1">
        <w:rPr>
          <w:rFonts w:eastAsia="Times New Roman" w:cs="Times New Roman"/>
          <w:sz w:val="20"/>
          <w:szCs w:val="20"/>
          <w:lang w:val="en-US" w:eastAsia="en-CA"/>
        </w:rPr>
        <w:t xml:space="preserve">by </w:t>
      </w:r>
      <w:r w:rsidRPr="00DD21F1">
        <w:rPr>
          <w:rFonts w:eastAsia="Times New Roman" w:cs="Times New Roman"/>
          <w:sz w:val="20"/>
          <w:szCs w:val="20"/>
          <w:lang w:eastAsia="en-CA"/>
        </w:rPr>
        <w:t>the intervener, Center for Research-Action on Race Relations, for an order extending the time to file its Factum and Book of Authorities to December 12, 2014, and for an order pursuant to Rule 71(3) permitting oral argument at the hearing of the appeal;</w:t>
      </w:r>
    </w:p>
    <w:p w:rsidR="00DD21F1" w:rsidRPr="00DD21F1" w:rsidRDefault="00DD21F1" w:rsidP="00DD21F1">
      <w:pPr>
        <w:spacing w:line="233" w:lineRule="auto"/>
        <w:jc w:val="both"/>
        <w:rPr>
          <w:rFonts w:eastAsia="Times New Roman" w:cs="Times New Roman"/>
          <w:sz w:val="20"/>
          <w:szCs w:val="20"/>
          <w:lang w:eastAsia="en-CA"/>
        </w:rPr>
      </w:pPr>
    </w:p>
    <w:p w:rsidR="00DD21F1" w:rsidRPr="00DD21F1" w:rsidRDefault="00DD21F1" w:rsidP="00DD21F1">
      <w:pPr>
        <w:spacing w:line="233" w:lineRule="auto"/>
        <w:jc w:val="both"/>
        <w:rPr>
          <w:rFonts w:eastAsia="Times New Roman" w:cs="Times New Roman"/>
          <w:sz w:val="20"/>
          <w:szCs w:val="20"/>
          <w:lang w:val="en-US" w:eastAsia="en-CA"/>
        </w:rPr>
      </w:pPr>
      <w:r w:rsidRPr="00DD21F1">
        <w:rPr>
          <w:rFonts w:eastAsia="Times New Roman" w:cs="Times New Roman"/>
          <w:b/>
          <w:bCs/>
          <w:sz w:val="20"/>
          <w:szCs w:val="20"/>
          <w:lang w:val="en-US" w:eastAsia="en-CA"/>
        </w:rPr>
        <w:t>AND THE MATERIAL FILED</w:t>
      </w:r>
      <w:r w:rsidRPr="00DD21F1">
        <w:rPr>
          <w:rFonts w:eastAsia="Times New Roman" w:cs="Times New Roman"/>
          <w:sz w:val="20"/>
          <w:szCs w:val="20"/>
          <w:lang w:val="en-US" w:eastAsia="en-CA"/>
        </w:rPr>
        <w:t xml:space="preserve"> having been read;</w:t>
      </w:r>
    </w:p>
    <w:p w:rsidR="00DD21F1" w:rsidRPr="00DD21F1" w:rsidRDefault="00DD21F1" w:rsidP="00DD21F1">
      <w:pPr>
        <w:spacing w:line="233" w:lineRule="auto"/>
        <w:jc w:val="both"/>
        <w:rPr>
          <w:rFonts w:eastAsia="Times New Roman" w:cs="Times New Roman"/>
          <w:sz w:val="20"/>
          <w:szCs w:val="20"/>
          <w:lang w:val="en-US" w:eastAsia="en-CA"/>
        </w:rPr>
      </w:pPr>
    </w:p>
    <w:p w:rsidR="00DD21F1" w:rsidRPr="00DD21F1" w:rsidRDefault="00DD21F1" w:rsidP="00DD21F1">
      <w:pPr>
        <w:spacing w:line="233" w:lineRule="auto"/>
        <w:jc w:val="both"/>
        <w:rPr>
          <w:rFonts w:eastAsia="Times New Roman" w:cs="Times New Roman"/>
          <w:sz w:val="20"/>
          <w:szCs w:val="20"/>
          <w:lang w:val="en-US" w:eastAsia="en-CA"/>
        </w:rPr>
      </w:pPr>
      <w:r w:rsidRPr="00DD21F1">
        <w:rPr>
          <w:rFonts w:eastAsia="Times New Roman" w:cs="Times New Roman"/>
          <w:b/>
          <w:bCs/>
          <w:sz w:val="20"/>
          <w:szCs w:val="20"/>
          <w:lang w:val="en-US" w:eastAsia="en-CA"/>
        </w:rPr>
        <w:t>IT IS HEREBY ORDERED THAT:</w:t>
      </w:r>
    </w:p>
    <w:p w:rsidR="00DD21F1" w:rsidRPr="00DD21F1" w:rsidRDefault="00DD21F1" w:rsidP="00DD21F1">
      <w:pPr>
        <w:spacing w:line="233" w:lineRule="auto"/>
        <w:jc w:val="both"/>
        <w:rPr>
          <w:rFonts w:eastAsia="Times New Roman" w:cs="Times New Roman"/>
          <w:sz w:val="20"/>
          <w:szCs w:val="20"/>
          <w:lang w:val="en-US" w:eastAsia="en-CA"/>
        </w:rPr>
      </w:pPr>
    </w:p>
    <w:p w:rsidR="00DD21F1" w:rsidRPr="00DD21F1" w:rsidRDefault="00DD21F1" w:rsidP="00DD21F1">
      <w:pPr>
        <w:jc w:val="both"/>
        <w:rPr>
          <w:rFonts w:eastAsia="Times New Roman" w:cs="Times New Roman"/>
          <w:sz w:val="20"/>
          <w:szCs w:val="20"/>
          <w:lang w:eastAsia="en-CA"/>
        </w:rPr>
      </w:pPr>
      <w:r w:rsidRPr="00DD21F1">
        <w:rPr>
          <w:rFonts w:eastAsia="Times New Roman" w:cs="Times New Roman"/>
          <w:sz w:val="20"/>
          <w:szCs w:val="20"/>
          <w:lang w:val="en-US" w:eastAsia="en-CA"/>
        </w:rPr>
        <w:t xml:space="preserve">The motion is granted </w:t>
      </w:r>
      <w:r w:rsidRPr="00DD21F1">
        <w:rPr>
          <w:rFonts w:eastAsia="Times New Roman" w:cs="Times New Roman"/>
          <w:bCs/>
          <w:sz w:val="20"/>
          <w:szCs w:val="20"/>
          <w:lang w:val="en-US" w:eastAsia="en-CA"/>
        </w:rPr>
        <w:t>and</w:t>
      </w:r>
      <w:r w:rsidRPr="00DD21F1">
        <w:rPr>
          <w:rFonts w:eastAsia="Times New Roman" w:cs="Times New Roman"/>
          <w:b/>
          <w:bCs/>
          <w:sz w:val="20"/>
          <w:szCs w:val="20"/>
          <w:lang w:val="en-US" w:eastAsia="en-CA"/>
        </w:rPr>
        <w:t xml:space="preserve"> </w:t>
      </w:r>
      <w:r w:rsidRPr="00DD21F1">
        <w:rPr>
          <w:rFonts w:eastAsia="Times New Roman" w:cs="Times New Roman"/>
          <w:sz w:val="20"/>
          <w:szCs w:val="20"/>
          <w:lang w:val="en-US" w:eastAsia="en-CA"/>
        </w:rPr>
        <w:t>the said intervener is granted permission to present oral argument not exceeding ten (10) minutes at the hearing of the appeal.</w: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8A5B26" w:rsidP="00DD21F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0"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13.01.2015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WAGNER J. / LE JUGE WAGNER</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DD21F1" w:rsidRPr="00021805" w:rsidTr="00DD21F1">
        <w:tc>
          <w:tcPr>
            <w:tcW w:w="4338" w:type="dxa"/>
            <w:gridSpan w:val="2"/>
          </w:tcPr>
          <w:p w:rsidR="00DD21F1" w:rsidRPr="00DD21F1" w:rsidRDefault="00DD21F1" w:rsidP="00DD21F1">
            <w:pPr>
              <w:jc w:val="both"/>
              <w:rPr>
                <w:b/>
              </w:rPr>
            </w:pPr>
            <w:r w:rsidRPr="00DD21F1">
              <w:rPr>
                <w:b/>
                <w:lang w:val="en-US"/>
              </w:rPr>
              <w:t xml:space="preserve">Order on interventions with respect to oral argument </w:t>
            </w:r>
            <w:r w:rsidR="00D5130B" w:rsidRPr="00DD21F1">
              <w:rPr>
                <w:b/>
                <w:lang w:val="en-US"/>
              </w:rPr>
              <w:fldChar w:fldCharType="begin"/>
            </w:r>
            <w:r w:rsidRPr="00DD21F1">
              <w:rPr>
                <w:b/>
              </w:rPr>
              <w:instrText xml:space="preserve"> SEQ CHAPTER \h \r 1</w:instrText>
            </w:r>
            <w:r w:rsidR="00D5130B" w:rsidRPr="00DD21F1">
              <w:rPr>
                <w:b/>
                <w:lang w:val="en-US"/>
              </w:rPr>
              <w:fldChar w:fldCharType="end"/>
            </w:r>
          </w:p>
        </w:tc>
        <w:tc>
          <w:tcPr>
            <w:tcW w:w="1170" w:type="dxa"/>
          </w:tcPr>
          <w:p w:rsidR="00DD21F1" w:rsidRPr="00DD21F1" w:rsidRDefault="00DD21F1" w:rsidP="00DD21F1"/>
          <w:p w:rsidR="00DD21F1" w:rsidRPr="00DD21F1" w:rsidRDefault="00DD21F1" w:rsidP="00DD21F1"/>
          <w:p w:rsidR="00DD21F1" w:rsidRPr="00DD21F1" w:rsidRDefault="00DD21F1" w:rsidP="00DD21F1"/>
        </w:tc>
        <w:tc>
          <w:tcPr>
            <w:tcW w:w="4327" w:type="dxa"/>
          </w:tcPr>
          <w:p w:rsidR="00DD21F1" w:rsidRPr="00DD21F1" w:rsidRDefault="00DD21F1" w:rsidP="00DD21F1">
            <w:pPr>
              <w:jc w:val="both"/>
              <w:rPr>
                <w:b/>
                <w:lang w:val="fr-CA"/>
              </w:rPr>
            </w:pPr>
            <w:r w:rsidRPr="00DD21F1">
              <w:rPr>
                <w:b/>
                <w:lang w:val="fr-CA"/>
              </w:rPr>
              <w:t>Ordonnance relative à la présentation d’une plaidoirie orale par les intervenants</w:t>
            </w:r>
            <w:r w:rsidR="00D5130B" w:rsidRPr="00DD21F1">
              <w:rPr>
                <w:b/>
                <w:lang w:val="en-US"/>
              </w:rPr>
              <w:fldChar w:fldCharType="begin"/>
            </w:r>
            <w:r w:rsidRPr="00DD21F1">
              <w:rPr>
                <w:b/>
                <w:lang w:val="fr-CA"/>
              </w:rPr>
              <w:instrText xml:space="preserve"> SEQ CHAPTER \h \r 1</w:instrText>
            </w:r>
            <w:r w:rsidR="00D5130B" w:rsidRPr="00DD21F1">
              <w:rPr>
                <w:b/>
                <w:lang w:val="en-US"/>
              </w:rPr>
              <w:fldChar w:fldCharType="end"/>
            </w:r>
          </w:p>
        </w:tc>
      </w:tr>
      <w:tr w:rsidR="00DD21F1" w:rsidRPr="00021805" w:rsidTr="00DD21F1">
        <w:trPr>
          <w:trHeight w:hRule="exact" w:val="576"/>
        </w:trPr>
        <w:tc>
          <w:tcPr>
            <w:tcW w:w="1368" w:type="dxa"/>
          </w:tcPr>
          <w:p w:rsidR="00DD21F1" w:rsidRPr="00DD21F1" w:rsidRDefault="00DD21F1" w:rsidP="00DD21F1">
            <w:r w:rsidRPr="00DD21F1">
              <w:t>RE:</w:t>
            </w:r>
          </w:p>
        </w:tc>
        <w:tc>
          <w:tcPr>
            <w:tcW w:w="2970" w:type="dxa"/>
          </w:tcPr>
          <w:p w:rsidR="00DD21F1" w:rsidRPr="00DD21F1" w:rsidRDefault="00DD21F1" w:rsidP="00DD21F1">
            <w:pPr>
              <w:rPr>
                <w:lang w:val="fr-CA"/>
              </w:rPr>
            </w:pPr>
            <w:r w:rsidRPr="00DD21F1">
              <w:rPr>
                <w:lang w:val="fr-CA"/>
              </w:rPr>
              <w:t>Association</w:t>
            </w:r>
            <w:r w:rsidRPr="00DD21F1">
              <w:rPr>
                <w:bCs/>
                <w:lang w:val="fr-CA"/>
              </w:rPr>
              <w:t xml:space="preserve"> canadienne des libertés civiles</w:t>
            </w:r>
            <w:r w:rsidRPr="00DD21F1">
              <w:rPr>
                <w:lang w:val="fr-CA"/>
              </w:rPr>
              <w:t>;</w:t>
            </w:r>
          </w:p>
        </w:tc>
        <w:tc>
          <w:tcPr>
            <w:tcW w:w="1170" w:type="dxa"/>
          </w:tcPr>
          <w:p w:rsidR="00DD21F1" w:rsidRPr="00DD21F1" w:rsidRDefault="00DD21F1" w:rsidP="00DD21F1">
            <w:pPr>
              <w:rPr>
                <w:lang w:val="fr-CA"/>
              </w:rPr>
            </w:pPr>
          </w:p>
        </w:tc>
        <w:tc>
          <w:tcPr>
            <w:tcW w:w="4327" w:type="dxa"/>
          </w:tcPr>
          <w:p w:rsidR="00DD21F1" w:rsidRPr="00DD21F1" w:rsidRDefault="00DD21F1" w:rsidP="00DD21F1">
            <w:pPr>
              <w:rPr>
                <w:lang w:val="fr-CA"/>
              </w:rPr>
            </w:pPr>
          </w:p>
        </w:tc>
      </w:tr>
      <w:tr w:rsidR="00DD21F1" w:rsidRPr="00021805" w:rsidTr="00DD21F1">
        <w:trPr>
          <w:trHeight w:hRule="exact" w:val="576"/>
        </w:trPr>
        <w:tc>
          <w:tcPr>
            <w:tcW w:w="1368" w:type="dxa"/>
          </w:tcPr>
          <w:p w:rsidR="00DD21F1" w:rsidRPr="00DD21F1" w:rsidRDefault="00DD21F1" w:rsidP="00DD21F1">
            <w:pPr>
              <w:rPr>
                <w:lang w:val="fr-CA"/>
              </w:rPr>
            </w:pPr>
          </w:p>
        </w:tc>
        <w:tc>
          <w:tcPr>
            <w:tcW w:w="2970" w:type="dxa"/>
          </w:tcPr>
          <w:p w:rsidR="00DD21F1" w:rsidRPr="00DD21F1" w:rsidRDefault="00DD21F1" w:rsidP="00DD21F1">
            <w:pPr>
              <w:rPr>
                <w:bCs/>
                <w:lang w:val="fr-CA"/>
              </w:rPr>
            </w:pPr>
            <w:r w:rsidRPr="00DD21F1">
              <w:rPr>
                <w:bCs/>
                <w:lang w:val="fr-CA"/>
              </w:rPr>
              <w:t>Commission canadienne des droits de la personne;</w:t>
            </w:r>
          </w:p>
        </w:tc>
        <w:tc>
          <w:tcPr>
            <w:tcW w:w="1170" w:type="dxa"/>
          </w:tcPr>
          <w:p w:rsidR="00DD21F1" w:rsidRPr="00DD21F1" w:rsidRDefault="00DD21F1" w:rsidP="00DD21F1">
            <w:pPr>
              <w:rPr>
                <w:lang w:val="fr-CA"/>
              </w:rPr>
            </w:pPr>
          </w:p>
        </w:tc>
        <w:tc>
          <w:tcPr>
            <w:tcW w:w="4327" w:type="dxa"/>
          </w:tcPr>
          <w:p w:rsidR="00DD21F1" w:rsidRPr="00DD21F1" w:rsidRDefault="00DD21F1" w:rsidP="00DD21F1">
            <w:pPr>
              <w:rPr>
                <w:lang w:val="fr-CA"/>
              </w:rPr>
            </w:pPr>
          </w:p>
        </w:tc>
      </w:tr>
      <w:tr w:rsidR="00DD21F1" w:rsidRPr="00021805" w:rsidTr="00DD21F1">
        <w:trPr>
          <w:trHeight w:hRule="exact" w:val="576"/>
        </w:trPr>
        <w:tc>
          <w:tcPr>
            <w:tcW w:w="1368" w:type="dxa"/>
          </w:tcPr>
          <w:p w:rsidR="00DD21F1" w:rsidRPr="00DD21F1" w:rsidRDefault="00DD21F1" w:rsidP="00DD21F1">
            <w:pPr>
              <w:rPr>
                <w:lang w:val="fr-CA"/>
              </w:rPr>
            </w:pPr>
          </w:p>
        </w:tc>
        <w:tc>
          <w:tcPr>
            <w:tcW w:w="2970" w:type="dxa"/>
          </w:tcPr>
          <w:p w:rsidR="00DD21F1" w:rsidRPr="00DD21F1" w:rsidRDefault="00DD21F1" w:rsidP="00DD21F1">
            <w:pPr>
              <w:rPr>
                <w:bCs/>
                <w:lang w:val="fr-CA"/>
              </w:rPr>
            </w:pPr>
            <w:r w:rsidRPr="00DD21F1">
              <w:rPr>
                <w:bCs/>
                <w:lang w:val="fr-CA"/>
              </w:rPr>
              <w:t>Conseil National des Musulmans Canadiens;</w:t>
            </w:r>
          </w:p>
        </w:tc>
        <w:tc>
          <w:tcPr>
            <w:tcW w:w="1170" w:type="dxa"/>
          </w:tcPr>
          <w:p w:rsidR="00DD21F1" w:rsidRPr="00DD21F1" w:rsidRDefault="00DD21F1" w:rsidP="00DD21F1">
            <w:pPr>
              <w:rPr>
                <w:lang w:val="fr-CA"/>
              </w:rPr>
            </w:pPr>
          </w:p>
        </w:tc>
        <w:tc>
          <w:tcPr>
            <w:tcW w:w="4327" w:type="dxa"/>
          </w:tcPr>
          <w:p w:rsidR="00DD21F1" w:rsidRPr="00DD21F1" w:rsidRDefault="00DD21F1" w:rsidP="00DD21F1">
            <w:pPr>
              <w:rPr>
                <w:lang w:val="fr-CA"/>
              </w:rPr>
            </w:pPr>
          </w:p>
        </w:tc>
      </w:tr>
      <w:tr w:rsidR="00DD21F1" w:rsidRPr="00021805" w:rsidTr="00DD21F1">
        <w:trPr>
          <w:trHeight w:hRule="exact" w:val="576"/>
        </w:trPr>
        <w:tc>
          <w:tcPr>
            <w:tcW w:w="1368" w:type="dxa"/>
          </w:tcPr>
          <w:p w:rsidR="00DD21F1" w:rsidRPr="00DD21F1" w:rsidRDefault="00DD21F1" w:rsidP="00DD21F1">
            <w:pPr>
              <w:rPr>
                <w:lang w:val="fr-CA"/>
              </w:rPr>
            </w:pPr>
          </w:p>
        </w:tc>
        <w:tc>
          <w:tcPr>
            <w:tcW w:w="2970" w:type="dxa"/>
          </w:tcPr>
          <w:p w:rsidR="00DD21F1" w:rsidRPr="00DD21F1" w:rsidRDefault="00DD21F1" w:rsidP="00DD21F1">
            <w:pPr>
              <w:rPr>
                <w:lang w:val="fr-CA"/>
              </w:rPr>
            </w:pPr>
            <w:r w:rsidRPr="00DD21F1">
              <w:rPr>
                <w:lang w:val="fr-CA"/>
              </w:rPr>
              <w:t>Association</w:t>
            </w:r>
            <w:r w:rsidRPr="00DD21F1">
              <w:rPr>
                <w:bCs/>
                <w:lang w:val="fr-CA"/>
              </w:rPr>
              <w:t xml:space="preserve"> Canadiennes des Avocats Musulmans</w:t>
            </w:r>
            <w:r w:rsidRPr="00DD21F1">
              <w:rPr>
                <w:lang w:val="fr-CA"/>
              </w:rPr>
              <w:t>;</w:t>
            </w:r>
          </w:p>
        </w:tc>
        <w:tc>
          <w:tcPr>
            <w:tcW w:w="1170" w:type="dxa"/>
          </w:tcPr>
          <w:p w:rsidR="00DD21F1" w:rsidRPr="00DD21F1" w:rsidRDefault="00DD21F1" w:rsidP="00DD21F1">
            <w:pPr>
              <w:rPr>
                <w:lang w:val="fr-CA"/>
              </w:rPr>
            </w:pPr>
          </w:p>
        </w:tc>
        <w:tc>
          <w:tcPr>
            <w:tcW w:w="4327" w:type="dxa"/>
          </w:tcPr>
          <w:p w:rsidR="00DD21F1" w:rsidRPr="00DD21F1" w:rsidRDefault="00DD21F1" w:rsidP="00DD21F1">
            <w:pPr>
              <w:rPr>
                <w:lang w:val="fr-CA"/>
              </w:rPr>
            </w:pPr>
          </w:p>
        </w:tc>
      </w:tr>
      <w:tr w:rsidR="00DD21F1" w:rsidRPr="00DD21F1" w:rsidTr="00DD21F1">
        <w:trPr>
          <w:trHeight w:hRule="exact" w:val="576"/>
        </w:trPr>
        <w:tc>
          <w:tcPr>
            <w:tcW w:w="1368" w:type="dxa"/>
          </w:tcPr>
          <w:p w:rsidR="00DD21F1" w:rsidRPr="00DD21F1" w:rsidRDefault="00DD21F1" w:rsidP="00DD21F1">
            <w:pPr>
              <w:rPr>
                <w:lang w:val="fr-CA"/>
              </w:rPr>
            </w:pPr>
          </w:p>
        </w:tc>
        <w:tc>
          <w:tcPr>
            <w:tcW w:w="2970" w:type="dxa"/>
          </w:tcPr>
          <w:p w:rsidR="00DD21F1" w:rsidRPr="00DD21F1" w:rsidRDefault="00DD21F1" w:rsidP="00DD21F1">
            <w:r w:rsidRPr="00DD21F1">
              <w:rPr>
                <w:bCs/>
              </w:rPr>
              <w:t>South Asian Legal Clinic of Ontario</w:t>
            </w:r>
          </w:p>
        </w:tc>
        <w:tc>
          <w:tcPr>
            <w:tcW w:w="1170" w:type="dxa"/>
          </w:tcPr>
          <w:p w:rsidR="00DD21F1" w:rsidRPr="00DD21F1" w:rsidRDefault="00DD21F1" w:rsidP="00DD21F1"/>
        </w:tc>
        <w:tc>
          <w:tcPr>
            <w:tcW w:w="4327" w:type="dxa"/>
          </w:tcPr>
          <w:p w:rsidR="00DD21F1" w:rsidRPr="00DD21F1" w:rsidRDefault="00DD21F1" w:rsidP="00DD21F1"/>
        </w:tc>
      </w:tr>
      <w:tr w:rsidR="00DD21F1" w:rsidRPr="00DD21F1" w:rsidTr="00DD21F1">
        <w:tc>
          <w:tcPr>
            <w:tcW w:w="1368" w:type="dxa"/>
          </w:tcPr>
          <w:p w:rsidR="00DD21F1" w:rsidRPr="00DD21F1" w:rsidRDefault="00DD21F1" w:rsidP="00DD21F1"/>
        </w:tc>
        <w:tc>
          <w:tcPr>
            <w:tcW w:w="2970" w:type="dxa"/>
          </w:tcPr>
          <w:p w:rsidR="00DD21F1" w:rsidRPr="00DD21F1" w:rsidRDefault="00DD21F1" w:rsidP="00DD21F1"/>
        </w:tc>
        <w:tc>
          <w:tcPr>
            <w:tcW w:w="1170" w:type="dxa"/>
          </w:tcPr>
          <w:p w:rsidR="00DD21F1" w:rsidRPr="00DD21F1" w:rsidRDefault="00DD21F1" w:rsidP="00DD21F1"/>
        </w:tc>
        <w:tc>
          <w:tcPr>
            <w:tcW w:w="4327" w:type="dxa"/>
          </w:tcPr>
          <w:p w:rsidR="00DD21F1" w:rsidRPr="00DD21F1" w:rsidRDefault="00DD21F1" w:rsidP="00DD21F1"/>
        </w:tc>
      </w:tr>
      <w:tr w:rsidR="00DD21F1" w:rsidRPr="00021805" w:rsidTr="00DD21F1">
        <w:tc>
          <w:tcPr>
            <w:tcW w:w="1368" w:type="dxa"/>
          </w:tcPr>
          <w:p w:rsidR="00DD21F1" w:rsidRPr="00DD21F1" w:rsidRDefault="00DD21F1" w:rsidP="00DD21F1">
            <w:r w:rsidRPr="00DD21F1">
              <w:t>IN / DANS :</w:t>
            </w:r>
          </w:p>
        </w:tc>
        <w:tc>
          <w:tcPr>
            <w:tcW w:w="2970" w:type="dxa"/>
          </w:tcPr>
          <w:p w:rsidR="00DD21F1" w:rsidRPr="00DD21F1" w:rsidRDefault="00DD21F1" w:rsidP="00DD21F1">
            <w:pPr>
              <w:tabs>
                <w:tab w:val="left" w:pos="-1440"/>
                <w:tab w:val="left" w:pos="-720"/>
              </w:tabs>
              <w:jc w:val="both"/>
              <w:rPr>
                <w:lang w:val="fr-CA"/>
              </w:rPr>
            </w:pPr>
            <w:r w:rsidRPr="00DD21F1">
              <w:rPr>
                <w:lang w:val="fr-CA"/>
              </w:rPr>
              <w:t>Commission des droits de la personne et des droits de la jeunesse et autre</w:t>
            </w:r>
          </w:p>
          <w:p w:rsidR="00DD21F1" w:rsidRPr="00DD21F1" w:rsidRDefault="00DD21F1" w:rsidP="00DD21F1">
            <w:pPr>
              <w:tabs>
                <w:tab w:val="left" w:pos="-1440"/>
                <w:tab w:val="left" w:pos="-720"/>
              </w:tabs>
              <w:jc w:val="both"/>
              <w:rPr>
                <w:lang w:val="fr-CA"/>
              </w:rPr>
            </w:pPr>
          </w:p>
          <w:p w:rsidR="00DD21F1" w:rsidRPr="00DD21F1" w:rsidRDefault="00DD21F1" w:rsidP="00DD21F1">
            <w:pPr>
              <w:tabs>
                <w:tab w:val="left" w:pos="-1440"/>
                <w:tab w:val="left" w:pos="-720"/>
              </w:tabs>
              <w:jc w:val="both"/>
              <w:rPr>
                <w:lang w:val="fr-CA"/>
              </w:rPr>
            </w:pPr>
            <w:r w:rsidRPr="00DD21F1">
              <w:rPr>
                <w:lang w:val="fr-CA"/>
              </w:rPr>
              <w:tab/>
              <w:t>c. (35625)</w:t>
            </w:r>
          </w:p>
          <w:p w:rsidR="00DD21F1" w:rsidRPr="00DD21F1" w:rsidRDefault="00DD21F1" w:rsidP="00DD21F1">
            <w:pPr>
              <w:tabs>
                <w:tab w:val="left" w:pos="-1440"/>
                <w:tab w:val="left" w:pos="-720"/>
              </w:tabs>
              <w:jc w:val="both"/>
              <w:rPr>
                <w:lang w:val="fr-CA"/>
              </w:rPr>
            </w:pPr>
          </w:p>
          <w:p w:rsidR="00DD21F1" w:rsidRPr="00DD21F1" w:rsidRDefault="00DD21F1" w:rsidP="00DD21F1">
            <w:pPr>
              <w:rPr>
                <w:lang w:val="fr-CA"/>
              </w:rPr>
            </w:pPr>
            <w:r w:rsidRPr="00DD21F1">
              <w:rPr>
                <w:lang w:val="fr-CA"/>
              </w:rPr>
              <w:t>Bombardier inc. (Bombardier Aéronautique Centre de Formation) et autre (Qc)</w:t>
            </w:r>
          </w:p>
        </w:tc>
        <w:tc>
          <w:tcPr>
            <w:tcW w:w="1170" w:type="dxa"/>
          </w:tcPr>
          <w:p w:rsidR="00DD21F1" w:rsidRPr="00DD21F1" w:rsidRDefault="00DD21F1" w:rsidP="00DD21F1">
            <w:pPr>
              <w:rPr>
                <w:lang w:val="fr-CA"/>
              </w:rPr>
            </w:pPr>
          </w:p>
        </w:tc>
        <w:tc>
          <w:tcPr>
            <w:tcW w:w="4327" w:type="dxa"/>
          </w:tcPr>
          <w:p w:rsidR="00DD21F1" w:rsidRPr="00DD21F1" w:rsidRDefault="00DD21F1" w:rsidP="00DD21F1">
            <w:pPr>
              <w:rPr>
                <w:lang w:val="fr-CA"/>
              </w:rPr>
            </w:pPr>
          </w:p>
        </w:tc>
      </w:tr>
    </w:tbl>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FR" w:eastAsia="en-CA"/>
        </w:rPr>
      </w:pPr>
      <w:r w:rsidRPr="00DD21F1">
        <w:rPr>
          <w:rFonts w:eastAsia="Times New Roman" w:cs="Times New Roman"/>
          <w:b/>
          <w:sz w:val="20"/>
          <w:szCs w:val="20"/>
          <w:lang w:val="fr-CA" w:eastAsia="en-CA"/>
        </w:rPr>
        <w:t>À LA SUITE DE L’ORDONNANCE</w:t>
      </w:r>
      <w:r w:rsidRPr="00DD21F1">
        <w:rPr>
          <w:rFonts w:eastAsia="Times New Roman" w:cs="Times New Roman"/>
          <w:sz w:val="20"/>
          <w:szCs w:val="20"/>
          <w:lang w:val="fr-CA" w:eastAsia="en-CA"/>
        </w:rPr>
        <w:t xml:space="preserve"> datée du 16 octobre 2014</w:t>
      </w:r>
      <w:r w:rsidRPr="00DD21F1">
        <w:rPr>
          <w:rFonts w:eastAsia="Times New Roman" w:cs="Times New Roman"/>
          <w:sz w:val="20"/>
          <w:szCs w:val="20"/>
          <w:lang w:val="fr-FR" w:eastAsia="en-CA"/>
        </w:rPr>
        <w:t xml:space="preserve">, autorisant </w:t>
      </w:r>
      <w:r w:rsidRPr="00DD21F1">
        <w:rPr>
          <w:rFonts w:eastAsia="Times New Roman" w:cs="Times New Roman"/>
          <w:bCs/>
          <w:sz w:val="20"/>
          <w:szCs w:val="20"/>
          <w:lang w:val="fr-CA" w:eastAsia="en-CA"/>
        </w:rPr>
        <w:t>l’</w:t>
      </w:r>
      <w:r w:rsidRPr="00DD21F1">
        <w:rPr>
          <w:rFonts w:eastAsia="Times New Roman" w:cs="Times New Roman"/>
          <w:sz w:val="20"/>
          <w:szCs w:val="20"/>
          <w:lang w:val="fr-CA" w:eastAsia="en-CA"/>
        </w:rPr>
        <w:t>Association</w:t>
      </w:r>
      <w:r w:rsidRPr="00DD21F1">
        <w:rPr>
          <w:rFonts w:eastAsia="Times New Roman" w:cs="Times New Roman"/>
          <w:bCs/>
          <w:sz w:val="20"/>
          <w:szCs w:val="20"/>
          <w:lang w:val="fr-CA" w:eastAsia="en-CA"/>
        </w:rPr>
        <w:t xml:space="preserve"> canadienne des libertés civiles, la Commission canadienne des droits de la personne, le Conseil National des Musulmans Canadiens et l’</w:t>
      </w:r>
      <w:r w:rsidRPr="00DD21F1">
        <w:rPr>
          <w:rFonts w:eastAsia="Times New Roman" w:cs="Times New Roman"/>
          <w:sz w:val="20"/>
          <w:szCs w:val="20"/>
          <w:lang w:val="fr-CA" w:eastAsia="en-CA"/>
        </w:rPr>
        <w:t>Association</w:t>
      </w:r>
      <w:r w:rsidRPr="00DD21F1">
        <w:rPr>
          <w:rFonts w:eastAsia="Times New Roman" w:cs="Times New Roman"/>
          <w:bCs/>
          <w:sz w:val="20"/>
          <w:szCs w:val="20"/>
          <w:lang w:val="fr-CA" w:eastAsia="en-CA"/>
        </w:rPr>
        <w:t xml:space="preserve"> Canadiennes des Avocats Musulmans, et la South Asian Legal Clinic of Ontario </w:t>
      </w:r>
      <w:r w:rsidRPr="00DD21F1">
        <w:rPr>
          <w:rFonts w:eastAsia="Times New Roman" w:cs="Times New Roman"/>
          <w:sz w:val="20"/>
          <w:szCs w:val="20"/>
          <w:lang w:val="fr-FR" w:eastAsia="en-CA"/>
        </w:rPr>
        <w:t>à intervenir dans cet appel;</w:t>
      </w:r>
    </w:p>
    <w:p w:rsidR="00DD21F1" w:rsidRPr="00DD21F1" w:rsidRDefault="00DD21F1" w:rsidP="00DD21F1">
      <w:pPr>
        <w:spacing w:line="233" w:lineRule="auto"/>
        <w:jc w:val="both"/>
        <w:rPr>
          <w:rFonts w:eastAsia="Times New Roman" w:cs="Times New Roman"/>
          <w:sz w:val="20"/>
          <w:szCs w:val="20"/>
          <w:lang w:val="fr-FR"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 xml:space="preserve">IL EST EN OUTRE ORDONNÉ QUE </w:t>
      </w:r>
      <w:r w:rsidRPr="00DD21F1">
        <w:rPr>
          <w:rFonts w:eastAsia="Times New Roman" w:cs="Times New Roman"/>
          <w:sz w:val="20"/>
          <w:szCs w:val="20"/>
          <w:lang w:val="fr-CA" w:eastAsia="en-CA"/>
        </w:rPr>
        <w:t>ces cinq (5) intervenants ou groupes d’intervenants sont chacun autorisés à présenter une plaidoirie orale d’au plus dix (10) minutes lors de l’audition de l’appel.</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en-US" w:eastAsia="en-CA"/>
        </w:rPr>
      </w:pPr>
      <w:r w:rsidRPr="00DD21F1">
        <w:rPr>
          <w:rFonts w:eastAsia="Times New Roman" w:cs="Times New Roman"/>
          <w:b/>
          <w:sz w:val="20"/>
          <w:szCs w:val="20"/>
          <w:lang w:val="en-US" w:eastAsia="en-CA"/>
        </w:rPr>
        <w:t>FURTHER TO THE ORDER</w:t>
      </w:r>
      <w:r w:rsidRPr="00DD21F1">
        <w:rPr>
          <w:rFonts w:eastAsia="Times New Roman" w:cs="Times New Roman"/>
          <w:sz w:val="20"/>
          <w:szCs w:val="20"/>
          <w:lang w:val="en-US" w:eastAsia="en-CA"/>
        </w:rPr>
        <w:t xml:space="preserve"> dated October 16, 2014, granting leave to intervene to the Canadian Civil Liberties Association, the Canadian Human Rights Commission, the National Council of Canadian Muslims and the Canadian Muslim Lawyers Association, and the South Asian Legal Clinic of Ontario;</w:t>
      </w:r>
    </w:p>
    <w:p w:rsidR="00DD21F1" w:rsidRPr="00DD21F1" w:rsidRDefault="00DD21F1" w:rsidP="00DD21F1">
      <w:pPr>
        <w:spacing w:line="233" w:lineRule="auto"/>
        <w:jc w:val="both"/>
        <w:rPr>
          <w:rFonts w:eastAsia="Times New Roman" w:cs="Times New Roman"/>
          <w:sz w:val="20"/>
          <w:szCs w:val="20"/>
          <w:lang w:val="en-US" w:eastAsia="en-CA"/>
        </w:rPr>
      </w:pPr>
    </w:p>
    <w:p w:rsidR="00DD21F1" w:rsidRPr="00DD21F1" w:rsidRDefault="00DD21F1" w:rsidP="00DD21F1">
      <w:pPr>
        <w:spacing w:line="233" w:lineRule="auto"/>
        <w:jc w:val="both"/>
        <w:rPr>
          <w:rFonts w:eastAsia="Times New Roman" w:cs="Times New Roman"/>
          <w:sz w:val="20"/>
          <w:szCs w:val="20"/>
          <w:lang w:val="en-US" w:eastAsia="en-CA"/>
        </w:rPr>
      </w:pPr>
      <w:r w:rsidRPr="00DD21F1">
        <w:rPr>
          <w:rFonts w:eastAsia="Times New Roman" w:cs="Times New Roman"/>
          <w:b/>
          <w:bCs/>
          <w:sz w:val="20"/>
          <w:szCs w:val="20"/>
          <w:lang w:val="en-US" w:eastAsia="en-CA"/>
        </w:rPr>
        <w:t xml:space="preserve">IT IS HEREBY FURTHER ORDERED THAT </w:t>
      </w:r>
      <w:r w:rsidRPr="00DD21F1">
        <w:rPr>
          <w:rFonts w:eastAsia="Times New Roman" w:cs="Times New Roman"/>
          <w:bCs/>
          <w:sz w:val="20"/>
          <w:szCs w:val="20"/>
          <w:lang w:val="en-US" w:eastAsia="en-CA"/>
        </w:rPr>
        <w:t>t</w:t>
      </w:r>
      <w:r w:rsidRPr="00DD21F1">
        <w:rPr>
          <w:rFonts w:eastAsia="Times New Roman" w:cs="Times New Roman"/>
          <w:sz w:val="20"/>
          <w:szCs w:val="20"/>
          <w:lang w:val="en-US" w:eastAsia="en-CA"/>
        </w:rPr>
        <w:t>he five (5) interveners or groups of interveners are each granted permission to present oral argument not exceeding ten (10) minutes at the hearing of the appeal.</w:t>
      </w:r>
    </w:p>
    <w:p w:rsidR="00DD21F1" w:rsidRPr="00DD21F1" w:rsidRDefault="00DD21F1" w:rsidP="00DD21F1">
      <w:pPr>
        <w:tabs>
          <w:tab w:val="left" w:pos="-1440"/>
          <w:tab w:val="left" w:pos="-720"/>
        </w:tabs>
        <w:jc w:val="both"/>
        <w:rPr>
          <w:rFonts w:eastAsia="Times New Roman" w:cs="Times New Roman"/>
          <w:sz w:val="20"/>
          <w:szCs w:val="20"/>
          <w:lang w:val="en-US" w:eastAsia="en-CA"/>
        </w:rPr>
      </w:pPr>
    </w:p>
    <w:p w:rsidR="00DD21F1" w:rsidRPr="00DD21F1" w:rsidRDefault="008A5B26" w:rsidP="00DD21F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1"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15.01.2015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ABELLA J. / LA JUGE ABELLA</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DD21F1" w:rsidRPr="00021805" w:rsidTr="00DD21F1">
        <w:tc>
          <w:tcPr>
            <w:tcW w:w="4338" w:type="dxa"/>
            <w:gridSpan w:val="2"/>
          </w:tcPr>
          <w:p w:rsidR="00DD21F1" w:rsidRPr="00DD21F1" w:rsidRDefault="00DD21F1" w:rsidP="00DD21F1">
            <w:pPr>
              <w:jc w:val="both"/>
              <w:rPr>
                <w:b/>
              </w:rPr>
            </w:pPr>
            <w:r w:rsidRPr="00DD21F1">
              <w:rPr>
                <w:b/>
                <w:lang w:val="en-US"/>
              </w:rPr>
              <w:t xml:space="preserve">Order on interventions with respect to oral argument </w:t>
            </w:r>
            <w:r w:rsidR="00D5130B" w:rsidRPr="00DD21F1">
              <w:rPr>
                <w:b/>
                <w:lang w:val="en-US"/>
              </w:rPr>
              <w:fldChar w:fldCharType="begin"/>
            </w:r>
            <w:r w:rsidRPr="00DD21F1">
              <w:rPr>
                <w:b/>
              </w:rPr>
              <w:instrText xml:space="preserve"> SEQ CHAPTER \h \r 1</w:instrText>
            </w:r>
            <w:r w:rsidR="00D5130B" w:rsidRPr="00DD21F1">
              <w:rPr>
                <w:b/>
                <w:lang w:val="en-US"/>
              </w:rPr>
              <w:fldChar w:fldCharType="end"/>
            </w:r>
          </w:p>
        </w:tc>
        <w:tc>
          <w:tcPr>
            <w:tcW w:w="1170" w:type="dxa"/>
          </w:tcPr>
          <w:p w:rsidR="00DD21F1" w:rsidRPr="00DD21F1" w:rsidRDefault="00DD21F1" w:rsidP="00DD21F1"/>
          <w:p w:rsidR="00DD21F1" w:rsidRPr="00DD21F1" w:rsidRDefault="00DD21F1" w:rsidP="00DD21F1"/>
          <w:p w:rsidR="00DD21F1" w:rsidRPr="00DD21F1" w:rsidRDefault="00DD21F1" w:rsidP="00DD21F1"/>
        </w:tc>
        <w:tc>
          <w:tcPr>
            <w:tcW w:w="4327" w:type="dxa"/>
          </w:tcPr>
          <w:p w:rsidR="00DD21F1" w:rsidRPr="00DD21F1" w:rsidRDefault="00DD21F1" w:rsidP="00DD21F1">
            <w:pPr>
              <w:jc w:val="both"/>
              <w:rPr>
                <w:b/>
                <w:lang w:val="fr-CA"/>
              </w:rPr>
            </w:pPr>
            <w:r w:rsidRPr="00DD21F1">
              <w:rPr>
                <w:b/>
                <w:lang w:val="fr-CA"/>
              </w:rPr>
              <w:t>Ordonnance relative à la présentation d’une plaidoirie orale par les intervenants</w:t>
            </w:r>
            <w:r w:rsidR="00D5130B" w:rsidRPr="00DD21F1">
              <w:rPr>
                <w:b/>
                <w:lang w:val="en-US"/>
              </w:rPr>
              <w:fldChar w:fldCharType="begin"/>
            </w:r>
            <w:r w:rsidRPr="00DD21F1">
              <w:rPr>
                <w:b/>
                <w:lang w:val="fr-CA"/>
              </w:rPr>
              <w:instrText xml:space="preserve"> SEQ CHAPTER \h \r 1</w:instrText>
            </w:r>
            <w:r w:rsidR="00D5130B" w:rsidRPr="00DD21F1">
              <w:rPr>
                <w:b/>
                <w:lang w:val="en-US"/>
              </w:rPr>
              <w:fldChar w:fldCharType="end"/>
            </w:r>
          </w:p>
        </w:tc>
      </w:tr>
      <w:tr w:rsidR="00DD21F1" w:rsidRPr="00021805" w:rsidTr="00DD21F1">
        <w:trPr>
          <w:trHeight w:hRule="exact" w:val="576"/>
        </w:trPr>
        <w:tc>
          <w:tcPr>
            <w:tcW w:w="1368" w:type="dxa"/>
          </w:tcPr>
          <w:p w:rsidR="00DD21F1" w:rsidRPr="00DD21F1" w:rsidRDefault="00DD21F1" w:rsidP="00DD21F1">
            <w:r w:rsidRPr="00DD21F1">
              <w:t>RE:</w:t>
            </w:r>
          </w:p>
        </w:tc>
        <w:tc>
          <w:tcPr>
            <w:tcW w:w="2970" w:type="dxa"/>
          </w:tcPr>
          <w:p w:rsidR="00DD21F1" w:rsidRPr="00DD21F1" w:rsidRDefault="00DD21F1" w:rsidP="00DD21F1">
            <w:pPr>
              <w:rPr>
                <w:lang w:val="fr-CA"/>
              </w:rPr>
            </w:pPr>
            <w:r w:rsidRPr="00DD21F1">
              <w:rPr>
                <w:bCs/>
                <w:lang w:val="fr-CA"/>
              </w:rPr>
              <w:t>Commissaire aux langues officielles du Canada</w:t>
            </w:r>
            <w:r w:rsidRPr="00DD21F1">
              <w:rPr>
                <w:lang w:val="fr-CA"/>
              </w:rPr>
              <w:t>;</w:t>
            </w:r>
          </w:p>
        </w:tc>
        <w:tc>
          <w:tcPr>
            <w:tcW w:w="1170" w:type="dxa"/>
          </w:tcPr>
          <w:p w:rsidR="00DD21F1" w:rsidRPr="00DD21F1" w:rsidRDefault="00DD21F1" w:rsidP="00DD21F1">
            <w:pPr>
              <w:rPr>
                <w:lang w:val="fr-CA"/>
              </w:rPr>
            </w:pPr>
          </w:p>
        </w:tc>
        <w:tc>
          <w:tcPr>
            <w:tcW w:w="4327" w:type="dxa"/>
          </w:tcPr>
          <w:p w:rsidR="00DD21F1" w:rsidRPr="00DD21F1" w:rsidRDefault="00DD21F1" w:rsidP="00DD21F1">
            <w:pPr>
              <w:rPr>
                <w:lang w:val="fr-CA"/>
              </w:rPr>
            </w:pPr>
          </w:p>
        </w:tc>
      </w:tr>
      <w:tr w:rsidR="00DD21F1" w:rsidRPr="00021805" w:rsidTr="00DD21F1">
        <w:trPr>
          <w:trHeight w:hRule="exact" w:val="1296"/>
        </w:trPr>
        <w:tc>
          <w:tcPr>
            <w:tcW w:w="1368" w:type="dxa"/>
          </w:tcPr>
          <w:p w:rsidR="00DD21F1" w:rsidRPr="00DD21F1" w:rsidRDefault="00DD21F1" w:rsidP="00DD21F1">
            <w:pPr>
              <w:rPr>
                <w:lang w:val="fr-CA"/>
              </w:rPr>
            </w:pPr>
          </w:p>
        </w:tc>
        <w:tc>
          <w:tcPr>
            <w:tcW w:w="2970" w:type="dxa"/>
          </w:tcPr>
          <w:p w:rsidR="00DD21F1" w:rsidRPr="00DD21F1" w:rsidRDefault="00DD21F1" w:rsidP="00DD21F1">
            <w:pPr>
              <w:rPr>
                <w:bCs/>
                <w:lang w:val="fr-CA"/>
              </w:rPr>
            </w:pPr>
            <w:r w:rsidRPr="00DD21F1">
              <w:rPr>
                <w:bCs/>
                <w:lang w:val="fr-CA"/>
              </w:rPr>
              <w:t>Conseil scolaire francophone de la Colombie-Britannique et la Fédération des parents francophones de Colombie-Britannique;</w:t>
            </w:r>
          </w:p>
        </w:tc>
        <w:tc>
          <w:tcPr>
            <w:tcW w:w="1170" w:type="dxa"/>
          </w:tcPr>
          <w:p w:rsidR="00DD21F1" w:rsidRPr="00DD21F1" w:rsidRDefault="00DD21F1" w:rsidP="00DD21F1">
            <w:pPr>
              <w:rPr>
                <w:lang w:val="fr-CA"/>
              </w:rPr>
            </w:pPr>
          </w:p>
        </w:tc>
        <w:tc>
          <w:tcPr>
            <w:tcW w:w="4327" w:type="dxa"/>
          </w:tcPr>
          <w:p w:rsidR="00DD21F1" w:rsidRPr="00DD21F1" w:rsidRDefault="00DD21F1" w:rsidP="00DD21F1">
            <w:pPr>
              <w:rPr>
                <w:lang w:val="fr-CA"/>
              </w:rPr>
            </w:pPr>
          </w:p>
        </w:tc>
      </w:tr>
      <w:tr w:rsidR="00DD21F1" w:rsidRPr="00021805" w:rsidTr="00DD21F1">
        <w:trPr>
          <w:trHeight w:hRule="exact" w:val="576"/>
        </w:trPr>
        <w:tc>
          <w:tcPr>
            <w:tcW w:w="1368" w:type="dxa"/>
          </w:tcPr>
          <w:p w:rsidR="00DD21F1" w:rsidRPr="00DD21F1" w:rsidRDefault="00DD21F1" w:rsidP="00DD21F1">
            <w:pPr>
              <w:rPr>
                <w:lang w:val="fr-CA"/>
              </w:rPr>
            </w:pPr>
          </w:p>
        </w:tc>
        <w:tc>
          <w:tcPr>
            <w:tcW w:w="2970" w:type="dxa"/>
          </w:tcPr>
          <w:p w:rsidR="00DD21F1" w:rsidRPr="00DD21F1" w:rsidRDefault="00DD21F1" w:rsidP="00DD21F1">
            <w:pPr>
              <w:rPr>
                <w:bCs/>
                <w:lang w:val="fr-CA"/>
              </w:rPr>
            </w:pPr>
            <w:r w:rsidRPr="00DD21F1">
              <w:rPr>
                <w:bCs/>
                <w:lang w:val="fr-CA"/>
              </w:rPr>
              <w:t>Fédération des parents francophones de l’Alberta;</w:t>
            </w:r>
          </w:p>
        </w:tc>
        <w:tc>
          <w:tcPr>
            <w:tcW w:w="1170" w:type="dxa"/>
          </w:tcPr>
          <w:p w:rsidR="00DD21F1" w:rsidRPr="00DD21F1" w:rsidRDefault="00DD21F1" w:rsidP="00DD21F1">
            <w:pPr>
              <w:rPr>
                <w:lang w:val="fr-CA"/>
              </w:rPr>
            </w:pPr>
          </w:p>
        </w:tc>
        <w:tc>
          <w:tcPr>
            <w:tcW w:w="4327" w:type="dxa"/>
          </w:tcPr>
          <w:p w:rsidR="00DD21F1" w:rsidRPr="00DD21F1" w:rsidRDefault="00DD21F1" w:rsidP="00DD21F1">
            <w:pPr>
              <w:rPr>
                <w:lang w:val="fr-CA"/>
              </w:rPr>
            </w:pPr>
          </w:p>
        </w:tc>
      </w:tr>
      <w:tr w:rsidR="00DD21F1" w:rsidRPr="00021805" w:rsidTr="00DD21F1">
        <w:trPr>
          <w:trHeight w:hRule="exact" w:val="1296"/>
        </w:trPr>
        <w:tc>
          <w:tcPr>
            <w:tcW w:w="1368" w:type="dxa"/>
          </w:tcPr>
          <w:p w:rsidR="00DD21F1" w:rsidRPr="00DD21F1" w:rsidRDefault="00DD21F1" w:rsidP="00DD21F1">
            <w:pPr>
              <w:rPr>
                <w:lang w:val="fr-CA"/>
              </w:rPr>
            </w:pPr>
          </w:p>
        </w:tc>
        <w:tc>
          <w:tcPr>
            <w:tcW w:w="2970" w:type="dxa"/>
          </w:tcPr>
          <w:p w:rsidR="00DD21F1" w:rsidRPr="00DD21F1" w:rsidRDefault="00DD21F1" w:rsidP="00DD21F1">
            <w:pPr>
              <w:rPr>
                <w:lang w:val="fr-CA"/>
              </w:rPr>
            </w:pPr>
            <w:r w:rsidRPr="00DD21F1">
              <w:rPr>
                <w:bCs/>
                <w:lang w:val="fr-CA"/>
              </w:rPr>
              <w:t>Fédération nationale des conseils scolaires francophones et la Fédération des communautés francophones et acadienne du Canada</w:t>
            </w:r>
          </w:p>
        </w:tc>
        <w:tc>
          <w:tcPr>
            <w:tcW w:w="1170" w:type="dxa"/>
          </w:tcPr>
          <w:p w:rsidR="00DD21F1" w:rsidRPr="00DD21F1" w:rsidRDefault="00DD21F1" w:rsidP="00DD21F1">
            <w:pPr>
              <w:rPr>
                <w:lang w:val="fr-CA"/>
              </w:rPr>
            </w:pPr>
          </w:p>
        </w:tc>
        <w:tc>
          <w:tcPr>
            <w:tcW w:w="4327" w:type="dxa"/>
          </w:tcPr>
          <w:p w:rsidR="00DD21F1" w:rsidRPr="00DD21F1" w:rsidRDefault="00DD21F1" w:rsidP="00DD21F1">
            <w:pPr>
              <w:rPr>
                <w:lang w:val="fr-CA"/>
              </w:rPr>
            </w:pPr>
          </w:p>
        </w:tc>
      </w:tr>
      <w:tr w:rsidR="00DD21F1" w:rsidRPr="00021805" w:rsidTr="00DD21F1">
        <w:tc>
          <w:tcPr>
            <w:tcW w:w="1368" w:type="dxa"/>
          </w:tcPr>
          <w:p w:rsidR="00DD21F1" w:rsidRPr="00DD21F1" w:rsidRDefault="00DD21F1" w:rsidP="00DD21F1">
            <w:pPr>
              <w:rPr>
                <w:lang w:val="fr-CA"/>
              </w:rPr>
            </w:pPr>
          </w:p>
        </w:tc>
        <w:tc>
          <w:tcPr>
            <w:tcW w:w="2970" w:type="dxa"/>
          </w:tcPr>
          <w:p w:rsidR="00DD21F1" w:rsidRPr="00DD21F1" w:rsidRDefault="00DD21F1" w:rsidP="00DD21F1">
            <w:pPr>
              <w:rPr>
                <w:lang w:val="fr-CA"/>
              </w:rPr>
            </w:pPr>
          </w:p>
        </w:tc>
        <w:tc>
          <w:tcPr>
            <w:tcW w:w="1170" w:type="dxa"/>
          </w:tcPr>
          <w:p w:rsidR="00DD21F1" w:rsidRPr="00DD21F1" w:rsidRDefault="00DD21F1" w:rsidP="00DD21F1">
            <w:pPr>
              <w:rPr>
                <w:lang w:val="fr-CA"/>
              </w:rPr>
            </w:pPr>
          </w:p>
        </w:tc>
        <w:tc>
          <w:tcPr>
            <w:tcW w:w="4327" w:type="dxa"/>
          </w:tcPr>
          <w:p w:rsidR="00DD21F1" w:rsidRPr="00DD21F1" w:rsidRDefault="00DD21F1" w:rsidP="00DD21F1">
            <w:pPr>
              <w:rPr>
                <w:lang w:val="fr-CA"/>
              </w:rPr>
            </w:pPr>
          </w:p>
        </w:tc>
      </w:tr>
      <w:tr w:rsidR="00DD21F1" w:rsidRPr="00021805" w:rsidTr="00DD21F1">
        <w:tc>
          <w:tcPr>
            <w:tcW w:w="1368" w:type="dxa"/>
          </w:tcPr>
          <w:p w:rsidR="00DD21F1" w:rsidRPr="00DD21F1" w:rsidRDefault="00DD21F1" w:rsidP="00DD21F1">
            <w:r w:rsidRPr="00DD21F1">
              <w:t>IN / DANS :</w:t>
            </w:r>
          </w:p>
        </w:tc>
        <w:tc>
          <w:tcPr>
            <w:tcW w:w="2970" w:type="dxa"/>
          </w:tcPr>
          <w:p w:rsidR="00DD21F1" w:rsidRPr="00DD21F1" w:rsidRDefault="00DD21F1" w:rsidP="00DD21F1">
            <w:pPr>
              <w:tabs>
                <w:tab w:val="left" w:pos="-1440"/>
                <w:tab w:val="left" w:pos="-720"/>
              </w:tabs>
              <w:jc w:val="both"/>
              <w:rPr>
                <w:lang w:val="fr-CA"/>
              </w:rPr>
            </w:pPr>
            <w:r w:rsidRPr="00DD21F1">
              <w:rPr>
                <w:lang w:val="fr-CA"/>
              </w:rPr>
              <w:t>Commission scolaire francophone du Yukon, district scolaire #23</w:t>
            </w:r>
          </w:p>
          <w:p w:rsidR="00DD21F1" w:rsidRPr="00DD21F1" w:rsidRDefault="00DD21F1" w:rsidP="00DD21F1">
            <w:pPr>
              <w:tabs>
                <w:tab w:val="left" w:pos="-1440"/>
                <w:tab w:val="left" w:pos="-720"/>
              </w:tabs>
              <w:jc w:val="both"/>
              <w:rPr>
                <w:lang w:val="fr-CA"/>
              </w:rPr>
            </w:pPr>
          </w:p>
          <w:p w:rsidR="00DD21F1" w:rsidRPr="00DD21F1" w:rsidRDefault="00DD21F1" w:rsidP="00DD21F1">
            <w:pPr>
              <w:tabs>
                <w:tab w:val="left" w:pos="-1440"/>
                <w:tab w:val="left" w:pos="-720"/>
              </w:tabs>
              <w:jc w:val="both"/>
              <w:rPr>
                <w:lang w:val="fr-CA"/>
              </w:rPr>
            </w:pPr>
            <w:r w:rsidRPr="00DD21F1">
              <w:rPr>
                <w:lang w:val="fr-CA"/>
              </w:rPr>
              <w:tab/>
              <w:t>c. (35823)</w:t>
            </w:r>
          </w:p>
          <w:p w:rsidR="00DD21F1" w:rsidRPr="00DD21F1" w:rsidRDefault="00DD21F1" w:rsidP="00DD21F1">
            <w:pPr>
              <w:tabs>
                <w:tab w:val="left" w:pos="-1440"/>
                <w:tab w:val="left" w:pos="-720"/>
              </w:tabs>
              <w:jc w:val="both"/>
              <w:rPr>
                <w:lang w:val="fr-CA"/>
              </w:rPr>
            </w:pPr>
          </w:p>
          <w:p w:rsidR="00DD21F1" w:rsidRPr="00DD21F1" w:rsidRDefault="00DD21F1" w:rsidP="00DD21F1">
            <w:pPr>
              <w:rPr>
                <w:lang w:val="fr-CA"/>
              </w:rPr>
            </w:pPr>
            <w:r w:rsidRPr="00DD21F1">
              <w:rPr>
                <w:lang w:val="fr-CA"/>
              </w:rPr>
              <w:t>Procureur général du Territoire du Yukon (Yn)</w:t>
            </w:r>
          </w:p>
        </w:tc>
        <w:tc>
          <w:tcPr>
            <w:tcW w:w="1170" w:type="dxa"/>
          </w:tcPr>
          <w:p w:rsidR="00DD21F1" w:rsidRPr="00DD21F1" w:rsidRDefault="00DD21F1" w:rsidP="00DD21F1">
            <w:pPr>
              <w:rPr>
                <w:lang w:val="fr-CA"/>
              </w:rPr>
            </w:pPr>
          </w:p>
        </w:tc>
        <w:tc>
          <w:tcPr>
            <w:tcW w:w="4327" w:type="dxa"/>
          </w:tcPr>
          <w:p w:rsidR="00DD21F1" w:rsidRPr="00DD21F1" w:rsidRDefault="00DD21F1" w:rsidP="00DD21F1">
            <w:pPr>
              <w:rPr>
                <w:lang w:val="fr-CA"/>
              </w:rPr>
            </w:pPr>
          </w:p>
        </w:tc>
      </w:tr>
    </w:tbl>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FR" w:eastAsia="en-CA"/>
        </w:rPr>
      </w:pPr>
      <w:r w:rsidRPr="00DD21F1">
        <w:rPr>
          <w:rFonts w:eastAsia="Times New Roman" w:cs="Times New Roman"/>
          <w:b/>
          <w:sz w:val="20"/>
          <w:szCs w:val="20"/>
          <w:lang w:val="fr-CA" w:eastAsia="en-CA"/>
        </w:rPr>
        <w:t>À LA SUITE DE L’ORDONNANCE</w:t>
      </w:r>
      <w:r w:rsidRPr="00DD21F1">
        <w:rPr>
          <w:rFonts w:eastAsia="Times New Roman" w:cs="Times New Roman"/>
          <w:sz w:val="20"/>
          <w:szCs w:val="20"/>
          <w:lang w:val="fr-CA" w:eastAsia="en-CA"/>
        </w:rPr>
        <w:t xml:space="preserve"> datée du 20 novembre</w:t>
      </w:r>
      <w:r w:rsidRPr="00DD21F1">
        <w:rPr>
          <w:rFonts w:eastAsia="Times New Roman" w:cs="Times New Roman"/>
          <w:sz w:val="20"/>
          <w:szCs w:val="20"/>
          <w:lang w:val="fr-FR" w:eastAsia="en-CA"/>
        </w:rPr>
        <w:t xml:space="preserve"> 2014, autorisant le </w:t>
      </w:r>
      <w:r w:rsidRPr="00DD21F1">
        <w:rPr>
          <w:rFonts w:eastAsia="Times New Roman" w:cs="Times New Roman"/>
          <w:bCs/>
          <w:sz w:val="20"/>
          <w:szCs w:val="20"/>
          <w:lang w:val="fr-CA" w:eastAsia="en-CA"/>
        </w:rPr>
        <w:t>Commissaire aux langues officielles du Canada, le Conseil scolaire francophone de la Colombie-Britannique et la Fédération des parents francophones de Colombie-Britannique, la Fédération des parents francophones de l’Alberta, ainsi que la Fédération nationale des conseils scolaires francophones et la Fédération des communautés francophones et acadienne du Canada</w:t>
      </w:r>
      <w:r w:rsidRPr="00DD21F1">
        <w:rPr>
          <w:rFonts w:eastAsia="Times New Roman" w:cs="Times New Roman"/>
          <w:sz w:val="20"/>
          <w:szCs w:val="20"/>
          <w:lang w:val="fr-FR" w:eastAsia="en-CA"/>
        </w:rPr>
        <w:t xml:space="preserve"> à intervenir;</w:t>
      </w:r>
    </w:p>
    <w:p w:rsidR="00DD21F1" w:rsidRPr="00DD21F1" w:rsidRDefault="00DD21F1" w:rsidP="00DD21F1">
      <w:pPr>
        <w:spacing w:line="233" w:lineRule="auto"/>
        <w:jc w:val="both"/>
        <w:rPr>
          <w:rFonts w:eastAsia="Times New Roman" w:cs="Times New Roman"/>
          <w:sz w:val="20"/>
          <w:szCs w:val="20"/>
          <w:lang w:val="fr-FR" w:eastAsia="en-CA"/>
        </w:rPr>
      </w:pPr>
    </w:p>
    <w:p w:rsidR="00DD21F1" w:rsidRPr="00DD21F1" w:rsidRDefault="00DD21F1" w:rsidP="00DD21F1">
      <w:pPr>
        <w:spacing w:line="233" w:lineRule="auto"/>
        <w:jc w:val="both"/>
        <w:rPr>
          <w:rFonts w:eastAsia="Times New Roman" w:cs="Times New Roman"/>
          <w:b/>
          <w:bCs/>
          <w:sz w:val="20"/>
          <w:szCs w:val="20"/>
          <w:lang w:val="fr-CA" w:eastAsia="en-CA"/>
        </w:rPr>
      </w:pPr>
      <w:r w:rsidRPr="00DD21F1">
        <w:rPr>
          <w:rFonts w:eastAsia="Times New Roman" w:cs="Times New Roman"/>
          <w:b/>
          <w:bCs/>
          <w:sz w:val="20"/>
          <w:szCs w:val="20"/>
          <w:lang w:val="fr-CA" w:eastAsia="en-CA"/>
        </w:rPr>
        <w:t>IL EST EN OUTRE ORDONNÉ QUE :</w:t>
      </w:r>
    </w:p>
    <w:p w:rsidR="00DD21F1" w:rsidRPr="00DD21F1" w:rsidRDefault="00DD21F1" w:rsidP="00DD21F1">
      <w:pPr>
        <w:spacing w:line="233" w:lineRule="auto"/>
        <w:jc w:val="both"/>
        <w:rPr>
          <w:rFonts w:eastAsia="Times New Roman" w:cs="Times New Roman"/>
          <w:b/>
          <w:bCs/>
          <w:sz w:val="20"/>
          <w:szCs w:val="20"/>
          <w:lang w:val="fr-CA" w:eastAsia="en-CA"/>
        </w:rPr>
      </w:pPr>
    </w:p>
    <w:p w:rsidR="00DD21F1" w:rsidRPr="00DD21F1" w:rsidRDefault="00DD21F1" w:rsidP="00A766ED">
      <w:pPr>
        <w:widowControl w:val="0"/>
        <w:numPr>
          <w:ilvl w:val="0"/>
          <w:numId w:val="9"/>
        </w:numPr>
        <w:autoSpaceDE w:val="0"/>
        <w:autoSpaceDN w:val="0"/>
        <w:adjustRightInd w:val="0"/>
        <w:spacing w:line="233" w:lineRule="auto"/>
        <w:contextualSpacing/>
        <w:jc w:val="both"/>
        <w:rPr>
          <w:rFonts w:cs="Times New Roman"/>
          <w:sz w:val="20"/>
          <w:szCs w:val="20"/>
          <w:lang w:val="fr-CA"/>
        </w:rPr>
      </w:pPr>
      <w:r w:rsidRPr="00DD21F1">
        <w:rPr>
          <w:rFonts w:cs="Times New Roman"/>
          <w:sz w:val="20"/>
          <w:szCs w:val="20"/>
          <w:lang w:val="fr-CA"/>
        </w:rPr>
        <w:t>Ces quatre intervenants ou groupes d’intervenants sont chacun autorisés à présenter une plaidoirie orale d’au plus cinq (5) minutes lors de l’audition de l’appel; et</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A766ED">
      <w:pPr>
        <w:widowControl w:val="0"/>
        <w:numPr>
          <w:ilvl w:val="0"/>
          <w:numId w:val="9"/>
        </w:numPr>
        <w:autoSpaceDE w:val="0"/>
        <w:autoSpaceDN w:val="0"/>
        <w:adjustRightInd w:val="0"/>
        <w:spacing w:line="233" w:lineRule="auto"/>
        <w:contextualSpacing/>
        <w:jc w:val="both"/>
        <w:rPr>
          <w:rFonts w:cs="Times New Roman"/>
          <w:sz w:val="20"/>
          <w:szCs w:val="20"/>
          <w:lang w:val="fr-CA"/>
        </w:rPr>
      </w:pPr>
      <w:r w:rsidRPr="00DD21F1">
        <w:rPr>
          <w:rFonts w:cs="Times New Roman"/>
          <w:sz w:val="20"/>
          <w:szCs w:val="20"/>
          <w:lang w:val="fr-CA"/>
        </w:rPr>
        <w:t xml:space="preserve">La Procureure générale du Québec, le Procureur général de la Colombie-Britannique, le Procureur général de la Saskatchewan et le Procureur général des Territoires du Nord-Ouest sont chacun autorisés à présenter une plaidoirie orale d’au plus cinq (5) minutes lors de l’audition de l’appel. </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sz w:val="20"/>
          <w:szCs w:val="20"/>
          <w:lang w:val="fr-CA" w:eastAsia="en-CA"/>
        </w:rPr>
        <w:t>FURTHER TO THE ORDER</w:t>
      </w:r>
      <w:r w:rsidRPr="00DD21F1">
        <w:rPr>
          <w:rFonts w:eastAsia="Times New Roman" w:cs="Times New Roman"/>
          <w:sz w:val="20"/>
          <w:szCs w:val="20"/>
          <w:lang w:val="fr-CA" w:eastAsia="en-CA"/>
        </w:rPr>
        <w:t xml:space="preserve"> dated November 20, 2014 granting leave to intervene to the </w:t>
      </w:r>
      <w:r w:rsidRPr="00DD21F1">
        <w:rPr>
          <w:rFonts w:eastAsia="Times New Roman" w:cs="Times New Roman"/>
          <w:bCs/>
          <w:sz w:val="20"/>
          <w:szCs w:val="20"/>
          <w:lang w:val="fr-CA" w:eastAsia="en-CA"/>
        </w:rPr>
        <w:t>Commissioner of Official Languages of Canada, the Conseil scolaire francophone de la Colombie-Britannique and the Fédération des parents francophones de Colombie-Britannique, the Fédération des parents francophones de l’Alberta, and the Fédération nationale des conseils scolaires francophones and the Fédération des communautés francophones et acadienne du Canada</w:t>
      </w:r>
      <w:r w:rsidRPr="00DD21F1">
        <w:rPr>
          <w:rFonts w:eastAsia="Times New Roman" w:cs="Times New Roman"/>
          <w:sz w:val="20"/>
          <w:szCs w:val="20"/>
          <w:lang w:val="fr-CA" w:eastAsia="en-CA"/>
        </w:rPr>
        <w:t>;</w:t>
      </w:r>
    </w:p>
    <w:p w:rsidR="00DD21F1" w:rsidRPr="00DD21F1" w:rsidRDefault="00DD21F1" w:rsidP="00DD21F1">
      <w:pPr>
        <w:spacing w:line="233" w:lineRule="auto"/>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b/>
          <w:bCs/>
          <w:sz w:val="20"/>
          <w:szCs w:val="20"/>
          <w:lang w:eastAsia="en-CA"/>
        </w:rPr>
      </w:pPr>
      <w:r w:rsidRPr="00DD21F1">
        <w:rPr>
          <w:rFonts w:eastAsia="Times New Roman" w:cs="Times New Roman"/>
          <w:b/>
          <w:bCs/>
          <w:sz w:val="20"/>
          <w:szCs w:val="20"/>
          <w:lang w:eastAsia="en-CA"/>
        </w:rPr>
        <w:t>IT IS HEREBY FURTHER ORDERED THAT:</w:t>
      </w:r>
    </w:p>
    <w:p w:rsidR="00DD21F1" w:rsidRPr="00DD21F1" w:rsidRDefault="00DD21F1" w:rsidP="00DD21F1">
      <w:pPr>
        <w:spacing w:line="233" w:lineRule="auto"/>
        <w:jc w:val="both"/>
        <w:rPr>
          <w:rFonts w:eastAsia="Times New Roman" w:cs="Times New Roman"/>
          <w:b/>
          <w:bCs/>
          <w:sz w:val="20"/>
          <w:szCs w:val="20"/>
          <w:lang w:eastAsia="en-CA"/>
        </w:rPr>
      </w:pPr>
    </w:p>
    <w:p w:rsidR="00DD21F1" w:rsidRPr="00DD21F1" w:rsidRDefault="00DD21F1" w:rsidP="00A766ED">
      <w:pPr>
        <w:widowControl w:val="0"/>
        <w:numPr>
          <w:ilvl w:val="0"/>
          <w:numId w:val="10"/>
        </w:numPr>
        <w:autoSpaceDE w:val="0"/>
        <w:autoSpaceDN w:val="0"/>
        <w:adjustRightInd w:val="0"/>
        <w:spacing w:line="233" w:lineRule="auto"/>
        <w:contextualSpacing/>
        <w:jc w:val="both"/>
        <w:rPr>
          <w:rFonts w:cs="Times New Roman"/>
          <w:sz w:val="20"/>
          <w:szCs w:val="20"/>
        </w:rPr>
      </w:pPr>
      <w:r w:rsidRPr="00DD21F1">
        <w:rPr>
          <w:rFonts w:cs="Times New Roman"/>
          <w:sz w:val="20"/>
          <w:szCs w:val="20"/>
        </w:rPr>
        <w:t>These four interveners or groups of interveners are each granted permission to present oral argument not exceeding five (5) minutes at the hearing of the appeal; and</w:t>
      </w:r>
    </w:p>
    <w:p w:rsidR="00DD21F1" w:rsidRPr="00DD21F1" w:rsidRDefault="00DD21F1" w:rsidP="00DD21F1">
      <w:pPr>
        <w:spacing w:line="233" w:lineRule="auto"/>
        <w:jc w:val="both"/>
        <w:rPr>
          <w:rFonts w:eastAsia="Times New Roman" w:cs="Times New Roman"/>
          <w:sz w:val="20"/>
          <w:szCs w:val="20"/>
          <w:lang w:eastAsia="en-CA"/>
        </w:rPr>
      </w:pPr>
    </w:p>
    <w:p w:rsidR="00DD21F1" w:rsidRPr="00DD21F1" w:rsidRDefault="00DD21F1" w:rsidP="00A766ED">
      <w:pPr>
        <w:widowControl w:val="0"/>
        <w:numPr>
          <w:ilvl w:val="0"/>
          <w:numId w:val="10"/>
        </w:numPr>
        <w:autoSpaceDE w:val="0"/>
        <w:autoSpaceDN w:val="0"/>
        <w:adjustRightInd w:val="0"/>
        <w:spacing w:line="233" w:lineRule="auto"/>
        <w:contextualSpacing/>
        <w:jc w:val="both"/>
        <w:rPr>
          <w:rFonts w:cs="Times New Roman"/>
          <w:sz w:val="20"/>
          <w:szCs w:val="20"/>
        </w:rPr>
      </w:pPr>
      <w:r w:rsidRPr="00DD21F1">
        <w:rPr>
          <w:rFonts w:cs="Times New Roman"/>
          <w:sz w:val="20"/>
          <w:szCs w:val="20"/>
        </w:rPr>
        <w:t xml:space="preserve">The Attorney General of Quebec, the Attorney General of British Columbia, the Attorney General of Saskatchewan and the Attorney General of the Northwest Territories are each granted permission to present oral argument not exceeding five (5) minutes at the hearing of the appeal. </w:t>
      </w:r>
    </w:p>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8A5B26" w:rsidP="00DD21F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Revised January 19, 2015 / Révisée le 19 janvier 2015</w:t>
      </w: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22.12.2014</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sz w:val="20"/>
          <w:szCs w:val="20"/>
          <w:lang w:val="fr-CA" w:eastAsia="en-CA"/>
        </w:rPr>
        <w:t>Before / Devant :   GASCON J. / LE JUGE GASCON</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D21F1" w:rsidRPr="00DD21F1" w:rsidTr="00DD21F1">
        <w:trPr>
          <w:trHeight w:val="151"/>
        </w:trPr>
        <w:tc>
          <w:tcPr>
            <w:tcW w:w="4338" w:type="dxa"/>
          </w:tcPr>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r w:rsidR="00DD21F1" w:rsidRPr="00DD21F1">
              <w:rPr>
                <w:b/>
                <w:bCs/>
                <w:lang w:val="fr-CA"/>
              </w:rPr>
              <w:t>Motion to strike</w:t>
            </w:r>
          </w:p>
          <w:p w:rsidR="00DD21F1" w:rsidRPr="00DD21F1" w:rsidRDefault="00D5130B" w:rsidP="00DD21F1">
            <w:pPr>
              <w:tabs>
                <w:tab w:val="left" w:pos="-1440"/>
                <w:tab w:val="left" w:pos="-720"/>
              </w:tabs>
              <w:jc w:val="both"/>
              <w:rPr>
                <w:lang w:val="fr-CA"/>
              </w:rPr>
            </w:pPr>
            <w:r w:rsidRPr="00DD21F1">
              <w:rPr>
                <w:lang w:val="en-US"/>
              </w:rPr>
              <w:fldChar w:fldCharType="begin"/>
            </w:r>
            <w:r w:rsidR="00DD21F1" w:rsidRPr="00DD21F1">
              <w:rPr>
                <w:lang w:val="fr-CA"/>
              </w:rPr>
              <w:instrText xml:space="preserve"> SEQ CHAPTER \h \r 1</w:instrText>
            </w:r>
            <w:r w:rsidRPr="00DD21F1">
              <w:rPr>
                <w:lang w:val="en-US"/>
              </w:rPr>
              <w:fldChar w:fldCharType="end"/>
            </w:r>
          </w:p>
        </w:tc>
        <w:tc>
          <w:tcPr>
            <w:tcW w:w="1170" w:type="dxa"/>
          </w:tcPr>
          <w:p w:rsidR="00DD21F1" w:rsidRPr="00DD21F1" w:rsidRDefault="00DD21F1" w:rsidP="00DD21F1">
            <w:pPr>
              <w:jc w:val="both"/>
              <w:rPr>
                <w:lang w:val="fr-CA"/>
              </w:rPr>
            </w:pPr>
          </w:p>
          <w:p w:rsidR="00DD21F1" w:rsidRPr="00DD21F1" w:rsidRDefault="00DD21F1" w:rsidP="00DD21F1">
            <w:pPr>
              <w:jc w:val="both"/>
              <w:rPr>
                <w:lang w:val="fr-CA"/>
              </w:rPr>
            </w:pPr>
          </w:p>
        </w:tc>
        <w:tc>
          <w:tcPr>
            <w:tcW w:w="4327" w:type="dxa"/>
          </w:tcPr>
          <w:p w:rsidR="00DD21F1" w:rsidRPr="00DD21F1" w:rsidRDefault="00DD21F1" w:rsidP="00DD21F1">
            <w:pPr>
              <w:jc w:val="both"/>
              <w:rPr>
                <w:b/>
                <w:lang w:val="fr-CA"/>
              </w:rPr>
            </w:pPr>
            <w:r w:rsidRPr="00DD21F1">
              <w:rPr>
                <w:b/>
                <w:bCs/>
                <w:lang w:val="fr-CA"/>
              </w:rPr>
              <w:t>Requête en radiation</w:t>
            </w:r>
          </w:p>
          <w:p w:rsidR="00DD21F1" w:rsidRPr="00DD21F1" w:rsidRDefault="00D5130B" w:rsidP="00DD21F1">
            <w:pPr>
              <w:jc w:val="both"/>
              <w:rPr>
                <w:b/>
                <w:lang w:val="fr-CA"/>
              </w:rPr>
            </w:pPr>
            <w:r w:rsidRPr="00DD21F1">
              <w:rPr>
                <w:b/>
                <w:lang w:val="en-US"/>
              </w:rPr>
              <w:fldChar w:fldCharType="begin"/>
            </w:r>
            <w:r w:rsidR="00DD21F1" w:rsidRPr="00DD21F1">
              <w:rPr>
                <w:b/>
                <w:lang w:val="fr-CA"/>
              </w:rPr>
              <w:instrText xml:space="preserve"> SEQ CHAPTER \h \r 1</w:instrText>
            </w:r>
            <w:r w:rsidRPr="00DD21F1">
              <w:rPr>
                <w:b/>
                <w:lang w:val="en-US"/>
              </w:rPr>
              <w:fldChar w:fldCharType="end"/>
            </w:r>
            <w:r w:rsidRPr="00DD21F1">
              <w:rPr>
                <w:b/>
                <w:lang w:val="en-US"/>
              </w:rPr>
              <w:fldChar w:fldCharType="begin"/>
            </w:r>
            <w:r w:rsidR="00DD21F1" w:rsidRPr="00DD21F1">
              <w:rPr>
                <w:b/>
                <w:lang w:val="fr-CA"/>
              </w:rPr>
              <w:instrText xml:space="preserve"> SEQ CHAPTER \h \r 1</w:instrText>
            </w:r>
            <w:r w:rsidRPr="00DD21F1">
              <w:rPr>
                <w:b/>
                <w:lang w:val="en-US"/>
              </w:rPr>
              <w:fldChar w:fldCharType="end"/>
            </w:r>
          </w:p>
        </w:tc>
      </w:tr>
      <w:tr w:rsidR="00DD21F1" w:rsidRPr="00DD21F1" w:rsidTr="00DD21F1">
        <w:trPr>
          <w:trHeight w:val="150"/>
        </w:trPr>
        <w:tc>
          <w:tcPr>
            <w:tcW w:w="4338" w:type="dxa"/>
          </w:tcPr>
          <w:p w:rsidR="00DD21F1" w:rsidRPr="00DD21F1" w:rsidRDefault="00DD21F1" w:rsidP="00DD21F1">
            <w:pPr>
              <w:tabs>
                <w:tab w:val="left" w:pos="-1440"/>
                <w:tab w:val="left" w:pos="-720"/>
              </w:tabs>
              <w:jc w:val="both"/>
            </w:pPr>
            <w:r w:rsidRPr="00DD21F1">
              <w:t>Grant Anthony Goleski</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ab/>
              <w:t>v. (35862)</w:t>
            </w:r>
          </w:p>
          <w:p w:rsidR="00DD21F1" w:rsidRPr="00DD21F1" w:rsidRDefault="00DD21F1" w:rsidP="00DD21F1">
            <w:pPr>
              <w:tabs>
                <w:tab w:val="left" w:pos="-1440"/>
                <w:tab w:val="left" w:pos="-720"/>
              </w:tabs>
              <w:jc w:val="both"/>
            </w:pPr>
          </w:p>
          <w:p w:rsidR="00DD21F1" w:rsidRPr="00DD21F1" w:rsidRDefault="00DD21F1" w:rsidP="00DD21F1">
            <w:pPr>
              <w:tabs>
                <w:tab w:val="left" w:pos="-1440"/>
                <w:tab w:val="left" w:pos="-720"/>
              </w:tabs>
              <w:jc w:val="both"/>
            </w:pPr>
            <w:r w:rsidRPr="00DD21F1">
              <w:t>Her Majesty the Queen (Crim.) (B.C.)</w:t>
            </w:r>
          </w:p>
        </w:tc>
        <w:tc>
          <w:tcPr>
            <w:tcW w:w="1170" w:type="dxa"/>
          </w:tcPr>
          <w:p w:rsidR="00DD21F1" w:rsidRPr="00DD21F1" w:rsidRDefault="00DD21F1" w:rsidP="00DD21F1">
            <w:pPr>
              <w:jc w:val="both"/>
            </w:pPr>
          </w:p>
        </w:tc>
        <w:tc>
          <w:tcPr>
            <w:tcW w:w="4327" w:type="dxa"/>
          </w:tcPr>
          <w:p w:rsidR="00DD21F1" w:rsidRPr="00DD21F1" w:rsidRDefault="00DD21F1" w:rsidP="00DD21F1">
            <w:pPr>
              <w:jc w:val="both"/>
            </w:pPr>
          </w:p>
        </w:tc>
      </w:tr>
    </w:tbl>
    <w:p w:rsidR="00DD21F1" w:rsidRPr="00DD21F1" w:rsidRDefault="00DD21F1" w:rsidP="00DD21F1">
      <w:pPr>
        <w:tabs>
          <w:tab w:val="left" w:pos="-1440"/>
          <w:tab w:val="left" w:pos="-720"/>
        </w:tabs>
        <w:jc w:val="both"/>
        <w:rPr>
          <w:rFonts w:eastAsia="Times New Roman" w:cs="Times New Roman"/>
          <w:sz w:val="20"/>
          <w:szCs w:val="20"/>
          <w:lang w:eastAsia="en-CA"/>
        </w:rPr>
      </w:pPr>
    </w:p>
    <w:p w:rsidR="00DD21F1" w:rsidRPr="00DD21F1" w:rsidRDefault="00DD21F1" w:rsidP="00DD21F1">
      <w:pPr>
        <w:tabs>
          <w:tab w:val="left" w:pos="-1440"/>
          <w:tab w:val="left" w:pos="-720"/>
        </w:tabs>
        <w:jc w:val="both"/>
        <w:rPr>
          <w:rFonts w:eastAsia="Times New Roman" w:cs="Times New Roman"/>
          <w:sz w:val="20"/>
          <w:szCs w:val="20"/>
          <w:lang w:val="fr-CA" w:eastAsia="en-CA"/>
        </w:rPr>
      </w:pPr>
      <w:r w:rsidRPr="00DD21F1">
        <w:rPr>
          <w:rFonts w:eastAsia="Times New Roman" w:cs="Times New Roman"/>
          <w:b/>
          <w:sz w:val="20"/>
          <w:szCs w:val="20"/>
          <w:lang w:val="fr-CA" w:eastAsia="en-CA"/>
        </w:rPr>
        <w:t>DISMISSED / REJETÉE</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en-US" w:eastAsia="en-CA"/>
        </w:rPr>
      </w:pPr>
      <w:r w:rsidRPr="00DD21F1">
        <w:rPr>
          <w:rFonts w:eastAsia="Times New Roman" w:cs="Times New Roman"/>
          <w:b/>
          <w:bCs/>
          <w:sz w:val="20"/>
          <w:szCs w:val="20"/>
          <w:lang w:val="en-US" w:eastAsia="en-CA"/>
        </w:rPr>
        <w:t xml:space="preserve">UPON APPLICATION </w:t>
      </w:r>
      <w:r w:rsidRPr="00DD21F1">
        <w:rPr>
          <w:rFonts w:eastAsia="Times New Roman" w:cs="Times New Roman"/>
          <w:sz w:val="20"/>
          <w:szCs w:val="20"/>
          <w:lang w:val="en-US" w:eastAsia="en-CA"/>
        </w:rPr>
        <w:t xml:space="preserve">by the respondent for an order striking paragraphs 2, 8(ii) and 32 to 38 of the appellant’s factum, on the ground that the appellant is raising constitutional issues outside the parameters of the statutory interpretation of s. 794(2) of the </w:t>
      </w:r>
      <w:r w:rsidRPr="00DD21F1">
        <w:rPr>
          <w:rFonts w:eastAsia="Times New Roman" w:cs="Times New Roman"/>
          <w:i/>
          <w:sz w:val="20"/>
          <w:szCs w:val="20"/>
          <w:lang w:val="en-US" w:eastAsia="en-CA"/>
        </w:rPr>
        <w:t>Criminal Code</w:t>
      </w:r>
      <w:r w:rsidRPr="00DD21F1">
        <w:rPr>
          <w:rFonts w:eastAsia="Times New Roman" w:cs="Times New Roman"/>
          <w:sz w:val="20"/>
          <w:szCs w:val="20"/>
          <w:lang w:val="en-US" w:eastAsia="en-CA"/>
        </w:rPr>
        <w:t xml:space="preserve"> that is the question at issue in this appeal;</w:t>
      </w:r>
    </w:p>
    <w:p w:rsidR="00DD21F1" w:rsidRPr="00DD21F1" w:rsidRDefault="00DD21F1" w:rsidP="00DD21F1">
      <w:pPr>
        <w:spacing w:line="233" w:lineRule="auto"/>
        <w:jc w:val="both"/>
        <w:rPr>
          <w:rFonts w:eastAsia="Times New Roman" w:cs="Times New Roman"/>
          <w:sz w:val="20"/>
          <w:szCs w:val="20"/>
          <w:lang w:val="en-US" w:eastAsia="en-CA"/>
        </w:rPr>
      </w:pPr>
    </w:p>
    <w:p w:rsidR="00DD21F1" w:rsidRPr="00DD21F1" w:rsidRDefault="00DD21F1" w:rsidP="00DD21F1">
      <w:pPr>
        <w:jc w:val="both"/>
        <w:rPr>
          <w:rFonts w:eastAsia="Times New Roman" w:cs="Times New Roman"/>
          <w:sz w:val="20"/>
          <w:szCs w:val="20"/>
          <w:lang w:val="en-US" w:eastAsia="en-CA"/>
        </w:rPr>
      </w:pPr>
      <w:r w:rsidRPr="00DD21F1">
        <w:rPr>
          <w:rFonts w:eastAsia="Times New Roman" w:cs="Times New Roman"/>
          <w:b/>
          <w:sz w:val="20"/>
          <w:szCs w:val="20"/>
          <w:lang w:val="en-US" w:eastAsia="en-CA"/>
        </w:rPr>
        <w:t>CONSIDERING THAT,</w:t>
      </w:r>
      <w:r w:rsidRPr="00DD21F1">
        <w:rPr>
          <w:rFonts w:eastAsia="Times New Roman" w:cs="Times New Roman"/>
          <w:sz w:val="20"/>
          <w:szCs w:val="20"/>
          <w:lang w:val="en-US" w:eastAsia="en-CA"/>
        </w:rPr>
        <w:t xml:space="preserve"> while the respondent is correct to submit that at no stage of the proceedings was it argued that s. 794(2) breached ss. 7 or 11(d) of the </w:t>
      </w:r>
      <w:r w:rsidRPr="00DD21F1">
        <w:rPr>
          <w:rFonts w:eastAsia="Times New Roman" w:cs="Times New Roman"/>
          <w:i/>
          <w:sz w:val="20"/>
          <w:szCs w:val="20"/>
          <w:lang w:val="en-US" w:eastAsia="en-CA"/>
        </w:rPr>
        <w:t>Charter</w:t>
      </w:r>
      <w:r w:rsidRPr="00DD21F1">
        <w:rPr>
          <w:rFonts w:eastAsia="Times New Roman" w:cs="Times New Roman"/>
          <w:sz w:val="20"/>
          <w:szCs w:val="20"/>
          <w:lang w:val="en-US" w:eastAsia="en-CA"/>
        </w:rPr>
        <w:t xml:space="preserve">, the impugned paragraphs do not go as far as raising a </w:t>
      </w:r>
      <w:r w:rsidRPr="00DD21F1">
        <w:rPr>
          <w:rFonts w:eastAsia="Times New Roman" w:cs="Times New Roman"/>
          <w:i/>
          <w:sz w:val="20"/>
          <w:szCs w:val="20"/>
          <w:lang w:val="en-US" w:eastAsia="en-CA"/>
        </w:rPr>
        <w:t>Charter</w:t>
      </w:r>
      <w:r w:rsidRPr="00DD21F1">
        <w:rPr>
          <w:rFonts w:eastAsia="Times New Roman" w:cs="Times New Roman"/>
          <w:sz w:val="20"/>
          <w:szCs w:val="20"/>
          <w:lang w:val="en-US" w:eastAsia="en-CA"/>
        </w:rPr>
        <w:t xml:space="preserve"> issue, the appellant merely arguing, with supporting jurisprudence, that the statutory interpretation he proposes is consistent with </w:t>
      </w:r>
      <w:r w:rsidRPr="00DD21F1">
        <w:rPr>
          <w:rFonts w:eastAsia="Times New Roman" w:cs="Times New Roman"/>
          <w:i/>
          <w:sz w:val="20"/>
          <w:szCs w:val="20"/>
          <w:lang w:val="en-US" w:eastAsia="en-CA"/>
        </w:rPr>
        <w:t>Charter</w:t>
      </w:r>
      <w:r w:rsidRPr="00DD21F1">
        <w:rPr>
          <w:rFonts w:eastAsia="Times New Roman" w:cs="Times New Roman"/>
          <w:sz w:val="20"/>
          <w:szCs w:val="20"/>
          <w:lang w:val="en-US" w:eastAsia="en-CA"/>
        </w:rPr>
        <w:t xml:space="preserve"> values;</w:t>
      </w:r>
    </w:p>
    <w:p w:rsidR="00DD21F1" w:rsidRPr="00DD21F1" w:rsidRDefault="00DD21F1" w:rsidP="00DD21F1">
      <w:pPr>
        <w:spacing w:line="233" w:lineRule="auto"/>
        <w:jc w:val="both"/>
        <w:rPr>
          <w:rFonts w:eastAsia="Times New Roman" w:cs="Times New Roman"/>
          <w:sz w:val="20"/>
          <w:szCs w:val="20"/>
          <w:lang w:val="en-US" w:eastAsia="en-CA"/>
        </w:rPr>
      </w:pPr>
    </w:p>
    <w:p w:rsidR="00DD21F1" w:rsidRPr="00DD21F1" w:rsidRDefault="00DD21F1" w:rsidP="00DD21F1">
      <w:pPr>
        <w:spacing w:line="233" w:lineRule="auto"/>
        <w:jc w:val="both"/>
        <w:rPr>
          <w:rFonts w:eastAsia="Times New Roman" w:cs="Times New Roman"/>
          <w:sz w:val="20"/>
          <w:szCs w:val="20"/>
          <w:lang w:val="en-US" w:eastAsia="en-CA"/>
        </w:rPr>
      </w:pPr>
      <w:r w:rsidRPr="00DD21F1">
        <w:rPr>
          <w:rFonts w:eastAsia="Times New Roman" w:cs="Times New Roman"/>
          <w:b/>
          <w:bCs/>
          <w:sz w:val="20"/>
          <w:szCs w:val="20"/>
          <w:lang w:val="en-US" w:eastAsia="en-CA"/>
        </w:rPr>
        <w:t>AND THE MATERIAL FILED</w:t>
      </w:r>
      <w:r w:rsidRPr="00DD21F1">
        <w:rPr>
          <w:rFonts w:eastAsia="Times New Roman" w:cs="Times New Roman"/>
          <w:sz w:val="20"/>
          <w:szCs w:val="20"/>
          <w:lang w:val="en-US" w:eastAsia="en-CA"/>
        </w:rPr>
        <w:t xml:space="preserve"> having been read;</w:t>
      </w:r>
    </w:p>
    <w:p w:rsidR="00A766ED" w:rsidRDefault="00A766ED">
      <w:pPr>
        <w:rPr>
          <w:rFonts w:eastAsia="Times New Roman" w:cs="Times New Roman"/>
          <w:sz w:val="20"/>
          <w:szCs w:val="20"/>
          <w:lang w:val="en-US" w:eastAsia="en-CA"/>
        </w:rPr>
      </w:pPr>
    </w:p>
    <w:p w:rsidR="00A766ED" w:rsidRDefault="00A766ED">
      <w:pPr>
        <w:rPr>
          <w:rFonts w:eastAsia="Times New Roman" w:cs="Times New Roman"/>
          <w:sz w:val="20"/>
          <w:szCs w:val="20"/>
          <w:lang w:val="en-US" w:eastAsia="en-CA"/>
        </w:rPr>
      </w:pPr>
      <w:r>
        <w:rPr>
          <w:rFonts w:eastAsia="Times New Roman" w:cs="Times New Roman"/>
          <w:sz w:val="20"/>
          <w:szCs w:val="20"/>
          <w:lang w:val="en-US" w:eastAsia="en-CA"/>
        </w:rPr>
        <w:br w:type="page"/>
      </w:r>
    </w:p>
    <w:p w:rsidR="00DD21F1" w:rsidRPr="00DD21F1" w:rsidRDefault="00DD21F1" w:rsidP="00DD21F1">
      <w:pPr>
        <w:spacing w:line="233" w:lineRule="auto"/>
        <w:jc w:val="both"/>
        <w:rPr>
          <w:rFonts w:eastAsia="Times New Roman" w:cs="Times New Roman"/>
          <w:sz w:val="20"/>
          <w:szCs w:val="20"/>
          <w:lang w:val="en-US" w:eastAsia="en-CA"/>
        </w:rPr>
      </w:pPr>
      <w:r w:rsidRPr="00DD21F1">
        <w:rPr>
          <w:rFonts w:eastAsia="Times New Roman" w:cs="Times New Roman"/>
          <w:b/>
          <w:bCs/>
          <w:sz w:val="20"/>
          <w:szCs w:val="20"/>
          <w:lang w:val="en-US" w:eastAsia="en-CA"/>
        </w:rPr>
        <w:lastRenderedPageBreak/>
        <w:t>IT IS HEREBY ORDERED THAT:</w:t>
      </w:r>
    </w:p>
    <w:p w:rsidR="00DD21F1" w:rsidRPr="00DD21F1" w:rsidRDefault="00DD21F1" w:rsidP="00DD21F1">
      <w:pPr>
        <w:spacing w:line="233" w:lineRule="auto"/>
        <w:jc w:val="both"/>
        <w:rPr>
          <w:rFonts w:eastAsia="Times New Roman" w:cs="Times New Roman"/>
          <w:sz w:val="20"/>
          <w:szCs w:val="20"/>
          <w:lang w:val="en-US"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sz w:val="20"/>
          <w:szCs w:val="20"/>
          <w:lang w:val="en-US" w:eastAsia="en-CA"/>
        </w:rPr>
        <w:tab/>
      </w:r>
      <w:r w:rsidRPr="00DD21F1">
        <w:rPr>
          <w:rFonts w:eastAsia="Times New Roman" w:cs="Times New Roman"/>
          <w:sz w:val="20"/>
          <w:szCs w:val="20"/>
          <w:lang w:val="fr-CA" w:eastAsia="en-CA"/>
        </w:rPr>
        <w:t>The motion is dismissed.</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 xml:space="preserve">À LA SUITE DE LA DEMANDE </w:t>
      </w:r>
      <w:r w:rsidRPr="00DD21F1">
        <w:rPr>
          <w:rFonts w:eastAsia="Times New Roman" w:cs="Times New Roman"/>
          <w:bCs/>
          <w:sz w:val="20"/>
          <w:szCs w:val="20"/>
          <w:lang w:val="fr-CA" w:eastAsia="en-CA"/>
        </w:rPr>
        <w:t xml:space="preserve">présentée par l’intimée en vue d’obtenir la radiation des paragraphes 2, 8(ii) et 32 à 38 du mémoire de l’appelant, au motif que ce dernier soulève des questions constitutionnelles qui outrepassent les paramètres de l’interprétation du par. 794(2) du </w:t>
      </w:r>
      <w:r w:rsidRPr="00DD21F1">
        <w:rPr>
          <w:rFonts w:eastAsia="Times New Roman" w:cs="Times New Roman"/>
          <w:bCs/>
          <w:i/>
          <w:sz w:val="20"/>
          <w:szCs w:val="20"/>
          <w:lang w:val="fr-CA" w:eastAsia="en-CA"/>
        </w:rPr>
        <w:t>Code criminel</w:t>
      </w:r>
      <w:r w:rsidRPr="00DD21F1">
        <w:rPr>
          <w:rFonts w:eastAsia="Times New Roman" w:cs="Times New Roman"/>
          <w:bCs/>
          <w:sz w:val="20"/>
          <w:szCs w:val="20"/>
          <w:lang w:val="fr-CA" w:eastAsia="en-CA"/>
        </w:rPr>
        <w:t xml:space="preserve"> sur laquelle porte le litige porté en appel</w:t>
      </w:r>
      <w:r w:rsidRPr="00DD21F1">
        <w:rPr>
          <w:rFonts w:eastAsia="Times New Roman" w:cs="Times New Roman"/>
          <w:sz w:val="20"/>
          <w:szCs w:val="20"/>
          <w:lang w:val="fr-CA" w:eastAsia="en-CA"/>
        </w:rPr>
        <w:t>;</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jc w:val="both"/>
        <w:rPr>
          <w:rFonts w:eastAsia="Times New Roman" w:cs="Times New Roman"/>
          <w:sz w:val="20"/>
          <w:szCs w:val="20"/>
          <w:lang w:val="fr-CA" w:eastAsia="en-CA"/>
        </w:rPr>
      </w:pPr>
      <w:r w:rsidRPr="00DD21F1">
        <w:rPr>
          <w:rFonts w:eastAsia="Times New Roman" w:cs="Times New Roman"/>
          <w:b/>
          <w:sz w:val="20"/>
          <w:szCs w:val="20"/>
          <w:lang w:val="fr-CA" w:eastAsia="en-CA"/>
        </w:rPr>
        <w:t xml:space="preserve">COMPTE TENU </w:t>
      </w:r>
      <w:r w:rsidRPr="00DD21F1">
        <w:rPr>
          <w:rFonts w:eastAsia="Times New Roman" w:cs="Times New Roman"/>
          <w:sz w:val="20"/>
          <w:szCs w:val="20"/>
          <w:lang w:val="fr-CA" w:eastAsia="en-CA"/>
        </w:rPr>
        <w:t>du fait que, même si l’intimée a raison de prétendre que l’argument selon lequel le par. 794(2) contrevient à l’art. 7 ou à l’al. 11</w:t>
      </w:r>
      <w:r w:rsidRPr="00DD21F1">
        <w:rPr>
          <w:rFonts w:eastAsia="Times New Roman" w:cs="Times New Roman"/>
          <w:i/>
          <w:sz w:val="20"/>
          <w:szCs w:val="20"/>
          <w:lang w:val="fr-CA" w:eastAsia="en-CA"/>
        </w:rPr>
        <w:t>d</w:t>
      </w:r>
      <w:r w:rsidRPr="00DD21F1">
        <w:rPr>
          <w:rFonts w:eastAsia="Times New Roman" w:cs="Times New Roman"/>
          <w:sz w:val="20"/>
          <w:szCs w:val="20"/>
          <w:lang w:val="fr-CA" w:eastAsia="en-CA"/>
        </w:rPr>
        <w:t xml:space="preserve">) de la </w:t>
      </w:r>
      <w:r w:rsidRPr="00DD21F1">
        <w:rPr>
          <w:rFonts w:eastAsia="Times New Roman" w:cs="Times New Roman"/>
          <w:i/>
          <w:sz w:val="20"/>
          <w:szCs w:val="20"/>
          <w:lang w:val="fr-CA" w:eastAsia="en-CA"/>
        </w:rPr>
        <w:t>Charte</w:t>
      </w:r>
      <w:r w:rsidRPr="00DD21F1">
        <w:rPr>
          <w:rFonts w:eastAsia="Times New Roman" w:cs="Times New Roman"/>
          <w:sz w:val="20"/>
          <w:szCs w:val="20"/>
          <w:lang w:val="fr-CA" w:eastAsia="en-CA"/>
        </w:rPr>
        <w:t xml:space="preserve"> n’a été soulevé à aucune étape de l’instance, les paragraphes contestés ne soulèvent pas dans les faits de question fondée sur la </w:t>
      </w:r>
      <w:r w:rsidRPr="00DD21F1">
        <w:rPr>
          <w:rFonts w:eastAsia="Times New Roman" w:cs="Times New Roman"/>
          <w:i/>
          <w:sz w:val="20"/>
          <w:szCs w:val="20"/>
          <w:lang w:val="fr-CA" w:eastAsia="en-CA"/>
        </w:rPr>
        <w:t>Charte</w:t>
      </w:r>
      <w:r w:rsidRPr="00DD21F1">
        <w:rPr>
          <w:rFonts w:eastAsia="Times New Roman" w:cs="Times New Roman"/>
          <w:sz w:val="20"/>
          <w:szCs w:val="20"/>
          <w:lang w:val="fr-CA" w:eastAsia="en-CA"/>
        </w:rPr>
        <w:t xml:space="preserve">, l’appelant faisant simplement valoir, jurisprudence à l’appui, que l’interprétation législative qu’il propose est conforme aux valeurs consacrées par la </w:t>
      </w:r>
      <w:r w:rsidRPr="00DD21F1">
        <w:rPr>
          <w:rFonts w:eastAsia="Times New Roman" w:cs="Times New Roman"/>
          <w:i/>
          <w:sz w:val="20"/>
          <w:szCs w:val="20"/>
          <w:lang w:val="fr-CA" w:eastAsia="en-CA"/>
        </w:rPr>
        <w:t>Charte</w:t>
      </w:r>
      <w:r w:rsidRPr="00DD21F1">
        <w:rPr>
          <w:rFonts w:eastAsia="Times New Roman" w:cs="Times New Roman"/>
          <w:sz w:val="20"/>
          <w:szCs w:val="20"/>
          <w:lang w:val="fr-CA" w:eastAsia="en-CA"/>
        </w:rPr>
        <w:t>;</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 xml:space="preserve">ET APRÈS EXAMEN </w:t>
      </w:r>
      <w:r w:rsidRPr="00DD21F1">
        <w:rPr>
          <w:rFonts w:eastAsia="Times New Roman" w:cs="Times New Roman"/>
          <w:bCs/>
          <w:sz w:val="20"/>
          <w:szCs w:val="20"/>
          <w:lang w:val="fr-CA" w:eastAsia="en-CA"/>
        </w:rPr>
        <w:t>des documents déposés</w:t>
      </w:r>
      <w:r w:rsidRPr="00DD21F1">
        <w:rPr>
          <w:rFonts w:eastAsia="Times New Roman" w:cs="Times New Roman"/>
          <w:sz w:val="20"/>
          <w:szCs w:val="20"/>
          <w:lang w:val="fr-CA" w:eastAsia="en-CA"/>
        </w:rPr>
        <w:t>;</w:t>
      </w:r>
    </w:p>
    <w:p w:rsidR="00DD21F1" w:rsidRPr="00DD21F1" w:rsidRDefault="00DD21F1" w:rsidP="00DD21F1">
      <w:pPr>
        <w:spacing w:line="233" w:lineRule="auto"/>
        <w:jc w:val="both"/>
        <w:rPr>
          <w:rFonts w:eastAsia="Times New Roman" w:cs="Times New Roman"/>
          <w:b/>
          <w:bCs/>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b/>
          <w:bCs/>
          <w:sz w:val="20"/>
          <w:szCs w:val="20"/>
          <w:lang w:val="fr-CA" w:eastAsia="en-CA"/>
        </w:rPr>
        <w:t>IL EST ORDONNÉ CE QUI SUIT :</w:t>
      </w:r>
    </w:p>
    <w:p w:rsidR="00DD21F1" w:rsidRPr="00DD21F1" w:rsidRDefault="00DD21F1" w:rsidP="00DD21F1">
      <w:pPr>
        <w:spacing w:line="233" w:lineRule="auto"/>
        <w:jc w:val="both"/>
        <w:rPr>
          <w:rFonts w:eastAsia="Times New Roman" w:cs="Times New Roman"/>
          <w:sz w:val="20"/>
          <w:szCs w:val="20"/>
          <w:lang w:val="fr-CA" w:eastAsia="en-CA"/>
        </w:rPr>
      </w:pPr>
    </w:p>
    <w:p w:rsidR="00DD21F1" w:rsidRPr="00DD21F1" w:rsidRDefault="00DD21F1" w:rsidP="00DD21F1">
      <w:pPr>
        <w:spacing w:line="233" w:lineRule="auto"/>
        <w:jc w:val="both"/>
        <w:rPr>
          <w:rFonts w:eastAsia="Times New Roman" w:cs="Times New Roman"/>
          <w:sz w:val="20"/>
          <w:szCs w:val="20"/>
          <w:lang w:val="fr-CA" w:eastAsia="en-CA"/>
        </w:rPr>
      </w:pPr>
      <w:r w:rsidRPr="00DD21F1">
        <w:rPr>
          <w:rFonts w:eastAsia="Times New Roman" w:cs="Times New Roman"/>
          <w:sz w:val="20"/>
          <w:szCs w:val="20"/>
          <w:lang w:val="fr-CA" w:eastAsia="en-CA"/>
        </w:rPr>
        <w:tab/>
        <w:t>La requête est rejetée.</w: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DD21F1" w:rsidRPr="00DD21F1" w:rsidRDefault="008A5B26" w:rsidP="00DD21F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DD21F1" w:rsidRPr="00DD21F1" w:rsidRDefault="00DD21F1" w:rsidP="00DD21F1">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021805"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130B0E" w:rsidTr="005F1ED8">
        <w:trPr>
          <w:cantSplit/>
        </w:trPr>
        <w:tc>
          <w:tcPr>
            <w:tcW w:w="2206" w:type="pct"/>
            <w:tcMar>
              <w:left w:w="0" w:type="dxa"/>
              <w:right w:w="0" w:type="dxa"/>
            </w:tcMar>
          </w:tcPr>
          <w:p w:rsidR="0086340B" w:rsidRPr="003B3977" w:rsidRDefault="004A20AA" w:rsidP="005F1ED8">
            <w:pPr>
              <w:rPr>
                <w:sz w:val="20"/>
                <w:szCs w:val="20"/>
              </w:rPr>
            </w:pPr>
            <w:r>
              <w:rPr>
                <w:sz w:val="20"/>
                <w:szCs w:val="20"/>
              </w:rPr>
              <w:t>09</w:t>
            </w:r>
            <w:r w:rsidR="0086340B" w:rsidRPr="003B3977">
              <w:rPr>
                <w:sz w:val="20"/>
                <w:szCs w:val="20"/>
              </w:rPr>
              <w:t>.</w:t>
            </w:r>
            <w:r>
              <w:rPr>
                <w:sz w:val="20"/>
                <w:szCs w:val="20"/>
              </w:rPr>
              <w:t>0</w:t>
            </w:r>
            <w:r w:rsidR="0086340B" w:rsidRPr="003B3977">
              <w:rPr>
                <w:sz w:val="20"/>
                <w:szCs w:val="20"/>
              </w:rPr>
              <w:t>1.201</w:t>
            </w:r>
            <w:r>
              <w:rPr>
                <w:sz w:val="20"/>
                <w:szCs w:val="20"/>
              </w:rPr>
              <w:t>5</w:t>
            </w:r>
          </w:p>
          <w:p w:rsidR="0086340B" w:rsidRPr="003B3977" w:rsidRDefault="0086340B" w:rsidP="005F1ED8">
            <w:pPr>
              <w:rPr>
                <w:sz w:val="20"/>
                <w:szCs w:val="20"/>
              </w:rPr>
            </w:pPr>
          </w:p>
          <w:p w:rsidR="0086340B" w:rsidRPr="003B3977" w:rsidRDefault="004A20AA" w:rsidP="005F1ED8">
            <w:pPr>
              <w:rPr>
                <w:b/>
                <w:sz w:val="20"/>
                <w:szCs w:val="20"/>
              </w:rPr>
            </w:pPr>
            <w:r>
              <w:rPr>
                <w:b/>
                <w:sz w:val="20"/>
                <w:szCs w:val="20"/>
              </w:rPr>
              <w:t>K</w:t>
            </w:r>
            <w:r w:rsidR="0086340B">
              <w:rPr>
                <w:b/>
                <w:sz w:val="20"/>
                <w:szCs w:val="20"/>
              </w:rPr>
              <w:t>e</w:t>
            </w:r>
            <w:r>
              <w:rPr>
                <w:b/>
                <w:sz w:val="20"/>
                <w:szCs w:val="20"/>
              </w:rPr>
              <w:t>lly Ha</w:t>
            </w:r>
            <w:r w:rsidR="0086340B" w:rsidRPr="003B3977">
              <w:rPr>
                <w:b/>
                <w:sz w:val="20"/>
                <w:szCs w:val="20"/>
              </w:rPr>
              <w:t>r</w:t>
            </w:r>
            <w:r>
              <w:rPr>
                <w:b/>
                <w:sz w:val="20"/>
                <w:szCs w:val="20"/>
              </w:rPr>
              <w:t>tl</w:t>
            </w:r>
            <w:r w:rsidR="0086340B" w:rsidRPr="003B3977">
              <w:rPr>
                <w:b/>
                <w:sz w:val="20"/>
                <w:szCs w:val="20"/>
              </w:rPr>
              <w:t>e</w:t>
            </w:r>
            <w:r>
              <w:rPr>
                <w:b/>
                <w:sz w:val="20"/>
                <w:szCs w:val="20"/>
              </w:rPr>
              <w:t>, Warden of th</w:t>
            </w:r>
            <w:r w:rsidR="0086340B">
              <w:rPr>
                <w:b/>
                <w:sz w:val="20"/>
                <w:szCs w:val="20"/>
              </w:rPr>
              <w:t>e</w:t>
            </w:r>
            <w:r>
              <w:rPr>
                <w:b/>
                <w:sz w:val="20"/>
                <w:szCs w:val="20"/>
              </w:rPr>
              <w:t xml:space="preserve"> Edmonton Institution et al.</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(36</w:t>
            </w:r>
            <w:r w:rsidR="004A20AA">
              <w:rPr>
                <w:b/>
                <w:sz w:val="20"/>
                <w:szCs w:val="20"/>
              </w:rPr>
              <w:t>081</w:t>
            </w:r>
            <w:r w:rsidRPr="003B3977">
              <w:rPr>
                <w:b/>
                <w:sz w:val="20"/>
                <w:szCs w:val="20"/>
              </w:rPr>
              <w:t>)</w:t>
            </w:r>
          </w:p>
          <w:p w:rsidR="0086340B" w:rsidRPr="003B3977" w:rsidRDefault="0086340B" w:rsidP="005F1ED8">
            <w:pPr>
              <w:rPr>
                <w:b/>
                <w:sz w:val="20"/>
                <w:szCs w:val="20"/>
              </w:rPr>
            </w:pPr>
          </w:p>
          <w:p w:rsidR="0086340B" w:rsidRPr="003B3977" w:rsidRDefault="004A20AA" w:rsidP="005F1ED8">
            <w:pPr>
              <w:rPr>
                <w:b/>
                <w:sz w:val="20"/>
                <w:szCs w:val="20"/>
              </w:rPr>
            </w:pPr>
            <w:r>
              <w:rPr>
                <w:b/>
                <w:sz w:val="20"/>
                <w:szCs w:val="20"/>
              </w:rPr>
              <w:t>Omar Ahmed Khadr</w:t>
            </w:r>
            <w:r w:rsidR="0086340B" w:rsidRPr="003B3977">
              <w:rPr>
                <w:b/>
                <w:sz w:val="20"/>
                <w:szCs w:val="20"/>
              </w:rPr>
              <w:t xml:space="preserve"> (</w:t>
            </w:r>
            <w:r>
              <w:rPr>
                <w:b/>
                <w:sz w:val="20"/>
                <w:szCs w:val="20"/>
              </w:rPr>
              <w:t>Alta.</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4A20AA">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8A5B26" w:rsidP="005F1ED8">
            <w:pPr>
              <w:rPr>
                <w:sz w:val="20"/>
                <w:szCs w:val="20"/>
              </w:rPr>
            </w:pPr>
            <w:r>
              <w:rPr>
                <w:sz w:val="20"/>
                <w:szCs w:val="20"/>
                <w:lang w:val="fr-CA"/>
              </w:rPr>
              <w:pict>
                <v:rect id="_x0000_i1076"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CC45AC" w:rsidRPr="003B3977" w:rsidRDefault="00CC45AC" w:rsidP="005F1ED8">
            <w:pPr>
              <w:jc w:val="center"/>
              <w:rPr>
                <w:sz w:val="20"/>
                <w:szCs w:val="20"/>
              </w:rPr>
            </w:pPr>
          </w:p>
          <w:p w:rsidR="0086340B" w:rsidRPr="003B3977" w:rsidRDefault="0086340B" w:rsidP="005F1ED8">
            <w:pPr>
              <w:jc w:val="center"/>
              <w:rPr>
                <w:sz w:val="20"/>
                <w:szCs w:val="20"/>
              </w:rPr>
            </w:pPr>
          </w:p>
        </w:tc>
        <w:tc>
          <w:tcPr>
            <w:tcW w:w="2206" w:type="pct"/>
          </w:tcPr>
          <w:p w:rsidR="00CC45AC" w:rsidRPr="00CC45AC" w:rsidRDefault="00CC45AC" w:rsidP="00CC45AC">
            <w:pPr>
              <w:rPr>
                <w:sz w:val="20"/>
                <w:szCs w:val="20"/>
                <w:lang w:val="fr-CA"/>
              </w:rPr>
            </w:pPr>
            <w:r w:rsidRPr="00CC45AC">
              <w:rPr>
                <w:sz w:val="20"/>
                <w:szCs w:val="20"/>
                <w:lang w:val="fr-CA"/>
              </w:rPr>
              <w:t>12.01.2015</w:t>
            </w:r>
          </w:p>
          <w:p w:rsidR="00CC45AC" w:rsidRPr="00CC45AC" w:rsidRDefault="00CC45AC" w:rsidP="00CC45AC">
            <w:pPr>
              <w:rPr>
                <w:sz w:val="20"/>
                <w:szCs w:val="20"/>
                <w:lang w:val="fr-CA"/>
              </w:rPr>
            </w:pPr>
          </w:p>
          <w:p w:rsidR="00CC45AC" w:rsidRPr="00911453" w:rsidRDefault="00CC45AC" w:rsidP="00CC45AC">
            <w:pPr>
              <w:rPr>
                <w:b/>
                <w:sz w:val="20"/>
                <w:szCs w:val="20"/>
                <w:lang w:val="fr-CA"/>
              </w:rPr>
            </w:pPr>
            <w:r w:rsidRPr="00911453">
              <w:rPr>
                <w:b/>
                <w:sz w:val="20"/>
                <w:szCs w:val="20"/>
                <w:lang w:val="fr-CA"/>
              </w:rPr>
              <w:t>Commission scolaire de Laval et autre</w:t>
            </w:r>
          </w:p>
          <w:p w:rsidR="00CC45AC" w:rsidRPr="00911453" w:rsidRDefault="00CC45AC" w:rsidP="00CC45AC">
            <w:pPr>
              <w:rPr>
                <w:b/>
                <w:sz w:val="20"/>
                <w:szCs w:val="20"/>
                <w:lang w:val="fr-CA"/>
              </w:rPr>
            </w:pPr>
          </w:p>
          <w:p w:rsidR="00CC45AC" w:rsidRPr="00911453" w:rsidRDefault="00CC45AC" w:rsidP="00CC45AC">
            <w:pPr>
              <w:rPr>
                <w:b/>
                <w:sz w:val="20"/>
                <w:szCs w:val="20"/>
                <w:lang w:val="fr-CA"/>
              </w:rPr>
            </w:pPr>
            <w:r w:rsidRPr="00911453">
              <w:rPr>
                <w:b/>
                <w:sz w:val="20"/>
                <w:szCs w:val="20"/>
                <w:lang w:val="fr-CA"/>
              </w:rPr>
              <w:tab/>
              <w:t>c. (35898)</w:t>
            </w:r>
          </w:p>
          <w:p w:rsidR="00CC45AC" w:rsidRPr="00911453" w:rsidRDefault="00CC45AC" w:rsidP="00CC45AC">
            <w:pPr>
              <w:rPr>
                <w:b/>
                <w:sz w:val="20"/>
                <w:szCs w:val="20"/>
                <w:lang w:val="fr-CA"/>
              </w:rPr>
            </w:pPr>
          </w:p>
          <w:p w:rsidR="00CC45AC" w:rsidRPr="00911453" w:rsidRDefault="00CC45AC" w:rsidP="00CC45AC">
            <w:pPr>
              <w:rPr>
                <w:b/>
                <w:sz w:val="20"/>
                <w:szCs w:val="20"/>
                <w:lang w:val="fr-CA"/>
              </w:rPr>
            </w:pPr>
            <w:r w:rsidRPr="00911453">
              <w:rPr>
                <w:b/>
                <w:sz w:val="20"/>
                <w:szCs w:val="20"/>
                <w:lang w:val="fr-CA"/>
              </w:rPr>
              <w:t>Syndicat de l’enseignement de la r</w:t>
            </w:r>
            <w:r>
              <w:rPr>
                <w:b/>
                <w:sz w:val="20"/>
                <w:szCs w:val="20"/>
                <w:lang w:val="fr-CA"/>
              </w:rPr>
              <w:t>é</w:t>
            </w:r>
            <w:r w:rsidRPr="00911453">
              <w:rPr>
                <w:b/>
                <w:sz w:val="20"/>
                <w:szCs w:val="20"/>
                <w:lang w:val="fr-CA"/>
              </w:rPr>
              <w:t>gion de Laval</w:t>
            </w:r>
            <w:r>
              <w:rPr>
                <w:b/>
                <w:sz w:val="20"/>
                <w:szCs w:val="20"/>
                <w:lang w:val="fr-CA"/>
              </w:rPr>
              <w:t xml:space="preserve"> </w:t>
            </w:r>
            <w:r w:rsidRPr="00911453">
              <w:rPr>
                <w:b/>
                <w:sz w:val="20"/>
                <w:szCs w:val="20"/>
                <w:lang w:val="fr-CA"/>
              </w:rPr>
              <w:t xml:space="preserve"> et a</w:t>
            </w:r>
            <w:r>
              <w:rPr>
                <w:b/>
                <w:sz w:val="20"/>
                <w:szCs w:val="20"/>
                <w:lang w:val="fr-CA"/>
              </w:rPr>
              <w:t>utre</w:t>
            </w:r>
            <w:r w:rsidRPr="00911453">
              <w:rPr>
                <w:b/>
                <w:sz w:val="20"/>
                <w:szCs w:val="20"/>
                <w:lang w:val="fr-CA"/>
              </w:rPr>
              <w:t xml:space="preserve"> (</w:t>
            </w:r>
            <w:r>
              <w:rPr>
                <w:b/>
                <w:sz w:val="20"/>
                <w:szCs w:val="20"/>
                <w:lang w:val="fr-CA"/>
              </w:rPr>
              <w:t>Qc</w:t>
            </w:r>
            <w:r w:rsidRPr="00911453">
              <w:rPr>
                <w:b/>
                <w:sz w:val="20"/>
                <w:szCs w:val="20"/>
                <w:lang w:val="fr-CA"/>
              </w:rPr>
              <w:t>)</w:t>
            </w:r>
          </w:p>
          <w:p w:rsidR="00CC45AC" w:rsidRPr="00911453" w:rsidRDefault="00CC45AC" w:rsidP="00CC45AC">
            <w:pPr>
              <w:rPr>
                <w:sz w:val="20"/>
                <w:szCs w:val="20"/>
                <w:lang w:val="fr-CA"/>
              </w:rPr>
            </w:pPr>
          </w:p>
          <w:p w:rsidR="00CC45AC" w:rsidRPr="00911453" w:rsidRDefault="00CC45AC" w:rsidP="00CC45AC">
            <w:pPr>
              <w:rPr>
                <w:sz w:val="20"/>
                <w:szCs w:val="20"/>
                <w:lang w:val="fr-CA"/>
              </w:rPr>
            </w:pPr>
            <w:r w:rsidRPr="00911453">
              <w:rPr>
                <w:sz w:val="20"/>
                <w:szCs w:val="20"/>
                <w:lang w:val="fr-CA"/>
              </w:rPr>
              <w:t>(</w:t>
            </w:r>
            <w:r>
              <w:rPr>
                <w:sz w:val="20"/>
                <w:szCs w:val="20"/>
                <w:lang w:val="fr-CA"/>
              </w:rPr>
              <w:t>Autorisation</w:t>
            </w:r>
            <w:r w:rsidRPr="00911453">
              <w:rPr>
                <w:sz w:val="20"/>
                <w:szCs w:val="20"/>
                <w:lang w:val="fr-CA"/>
              </w:rPr>
              <w:t>)</w:t>
            </w:r>
          </w:p>
          <w:p w:rsidR="00CC45AC" w:rsidRPr="00911453" w:rsidRDefault="00CC45AC" w:rsidP="00CC45AC">
            <w:pPr>
              <w:rPr>
                <w:sz w:val="20"/>
                <w:szCs w:val="20"/>
                <w:lang w:val="fr-CA"/>
              </w:rPr>
            </w:pPr>
          </w:p>
          <w:p w:rsidR="0086340B" w:rsidRPr="00130B0E" w:rsidRDefault="008A5B26" w:rsidP="00CC45AC">
            <w:pPr>
              <w:rPr>
                <w:sz w:val="20"/>
                <w:szCs w:val="20"/>
                <w:lang w:val="fr-CA"/>
              </w:rPr>
            </w:pPr>
            <w:r>
              <w:rPr>
                <w:sz w:val="20"/>
                <w:szCs w:val="20"/>
                <w:lang w:val="fr-CA"/>
              </w:rPr>
              <w:pict>
                <v:rect id="_x0000_i1077" style="width:106.1pt;height:1pt" o:hrpct="500" o:hralign="center" o:hrstd="t" o:hrnoshade="t" o:hr="t" fillcolor="black [3213]" stroked="f"/>
              </w:pict>
            </w:r>
          </w:p>
        </w:tc>
      </w:tr>
      <w:tr w:rsidR="00CC45AC" w:rsidRPr="00130B0E" w:rsidTr="005F1ED8">
        <w:trPr>
          <w:cantSplit/>
        </w:trPr>
        <w:tc>
          <w:tcPr>
            <w:tcW w:w="2206" w:type="pct"/>
            <w:tcMar>
              <w:left w:w="0" w:type="dxa"/>
              <w:right w:w="0" w:type="dxa"/>
            </w:tcMar>
          </w:tcPr>
          <w:p w:rsidR="00CC45AC" w:rsidRPr="00D63335" w:rsidRDefault="00CC45AC" w:rsidP="00CC45AC">
            <w:pPr>
              <w:rPr>
                <w:sz w:val="20"/>
                <w:szCs w:val="20"/>
                <w:lang w:val="fr-CA"/>
              </w:rPr>
            </w:pPr>
            <w:r w:rsidRPr="00D63335">
              <w:rPr>
                <w:sz w:val="20"/>
                <w:szCs w:val="20"/>
                <w:lang w:val="fr-CA"/>
              </w:rPr>
              <w:t>1</w:t>
            </w:r>
            <w:r>
              <w:rPr>
                <w:sz w:val="20"/>
                <w:szCs w:val="20"/>
                <w:lang w:val="fr-CA"/>
              </w:rPr>
              <w:t>4</w:t>
            </w:r>
            <w:r w:rsidRPr="00D63335">
              <w:rPr>
                <w:sz w:val="20"/>
                <w:szCs w:val="20"/>
                <w:lang w:val="fr-CA"/>
              </w:rPr>
              <w:t>.</w:t>
            </w:r>
            <w:r>
              <w:rPr>
                <w:sz w:val="20"/>
                <w:szCs w:val="20"/>
                <w:lang w:val="fr-CA"/>
              </w:rPr>
              <w:t>0</w:t>
            </w:r>
            <w:r w:rsidRPr="00D63335">
              <w:rPr>
                <w:sz w:val="20"/>
                <w:szCs w:val="20"/>
                <w:lang w:val="fr-CA"/>
              </w:rPr>
              <w:t>1.201</w:t>
            </w:r>
            <w:r>
              <w:rPr>
                <w:sz w:val="20"/>
                <w:szCs w:val="20"/>
                <w:lang w:val="fr-CA"/>
              </w:rPr>
              <w:t>5</w:t>
            </w:r>
          </w:p>
          <w:p w:rsidR="00CC45AC" w:rsidRPr="00D63335" w:rsidRDefault="00CC45AC" w:rsidP="00CC45AC">
            <w:pPr>
              <w:rPr>
                <w:sz w:val="20"/>
                <w:szCs w:val="20"/>
                <w:lang w:val="fr-CA"/>
              </w:rPr>
            </w:pPr>
          </w:p>
          <w:p w:rsidR="00CC45AC" w:rsidRPr="00D63335" w:rsidRDefault="00CC45AC" w:rsidP="00CC45AC">
            <w:pPr>
              <w:rPr>
                <w:b/>
                <w:sz w:val="20"/>
                <w:szCs w:val="20"/>
                <w:lang w:val="fr-CA"/>
              </w:rPr>
            </w:pPr>
            <w:r>
              <w:rPr>
                <w:b/>
                <w:sz w:val="20"/>
                <w:szCs w:val="20"/>
                <w:lang w:val="fr-CA"/>
              </w:rPr>
              <w:t>Sa Majesté la Reine</w:t>
            </w:r>
          </w:p>
          <w:p w:rsidR="00CC45AC" w:rsidRPr="00D63335" w:rsidRDefault="00CC45AC" w:rsidP="00CC45AC">
            <w:pPr>
              <w:rPr>
                <w:b/>
                <w:sz w:val="20"/>
                <w:szCs w:val="20"/>
                <w:lang w:val="fr-CA"/>
              </w:rPr>
            </w:pPr>
          </w:p>
          <w:p w:rsidR="00CC45AC" w:rsidRPr="00D63335" w:rsidRDefault="00CC45AC" w:rsidP="00CC45AC">
            <w:pPr>
              <w:rPr>
                <w:b/>
                <w:sz w:val="20"/>
                <w:szCs w:val="20"/>
                <w:lang w:val="fr-CA"/>
              </w:rPr>
            </w:pPr>
            <w:r w:rsidRPr="00D63335">
              <w:rPr>
                <w:b/>
                <w:sz w:val="20"/>
                <w:szCs w:val="20"/>
                <w:lang w:val="fr-CA"/>
              </w:rPr>
              <w:tab/>
              <w:t>c. (</w:t>
            </w:r>
            <w:r>
              <w:rPr>
                <w:b/>
                <w:sz w:val="20"/>
                <w:szCs w:val="20"/>
                <w:lang w:val="fr-CA"/>
              </w:rPr>
              <w:t>36001</w:t>
            </w:r>
            <w:r w:rsidRPr="00D63335">
              <w:rPr>
                <w:b/>
                <w:sz w:val="20"/>
                <w:szCs w:val="20"/>
                <w:lang w:val="fr-CA"/>
              </w:rPr>
              <w:t>)</w:t>
            </w:r>
          </w:p>
          <w:p w:rsidR="00CC45AC" w:rsidRPr="00D63335" w:rsidRDefault="00CC45AC" w:rsidP="00CC45AC">
            <w:pPr>
              <w:rPr>
                <w:b/>
                <w:sz w:val="20"/>
                <w:szCs w:val="20"/>
                <w:lang w:val="fr-CA"/>
              </w:rPr>
            </w:pPr>
          </w:p>
          <w:p w:rsidR="00CC45AC" w:rsidRPr="003B3977" w:rsidRDefault="00CC45AC" w:rsidP="00CC45AC">
            <w:pPr>
              <w:rPr>
                <w:b/>
                <w:sz w:val="20"/>
                <w:szCs w:val="20"/>
                <w:lang w:val="fr-CA"/>
              </w:rPr>
            </w:pPr>
            <w:r>
              <w:rPr>
                <w:b/>
                <w:sz w:val="20"/>
                <w:szCs w:val="20"/>
                <w:lang w:val="fr-CA"/>
              </w:rPr>
              <w:t>Tommy L</w:t>
            </w:r>
            <w:r w:rsidRPr="003B3977">
              <w:rPr>
                <w:b/>
                <w:sz w:val="20"/>
                <w:szCs w:val="20"/>
                <w:lang w:val="fr-CA"/>
              </w:rPr>
              <w:t>a</w:t>
            </w:r>
            <w:r>
              <w:rPr>
                <w:b/>
                <w:sz w:val="20"/>
                <w:szCs w:val="20"/>
                <w:lang w:val="fr-CA"/>
              </w:rPr>
              <w:t>c</w:t>
            </w:r>
            <w:r w:rsidRPr="003B3977">
              <w:rPr>
                <w:b/>
                <w:sz w:val="20"/>
                <w:szCs w:val="20"/>
                <w:lang w:val="fr-CA"/>
              </w:rPr>
              <w:t>a</w:t>
            </w:r>
            <w:r>
              <w:rPr>
                <w:b/>
                <w:sz w:val="20"/>
                <w:szCs w:val="20"/>
                <w:lang w:val="fr-CA"/>
              </w:rPr>
              <w:t xml:space="preserve">sse </w:t>
            </w:r>
            <w:r w:rsidRPr="003B3977">
              <w:rPr>
                <w:b/>
                <w:sz w:val="20"/>
                <w:szCs w:val="20"/>
                <w:lang w:val="fr-CA"/>
              </w:rPr>
              <w:t>(</w:t>
            </w:r>
            <w:r>
              <w:rPr>
                <w:b/>
                <w:sz w:val="20"/>
                <w:szCs w:val="20"/>
                <w:lang w:val="fr-CA"/>
              </w:rPr>
              <w:t>Qc</w:t>
            </w:r>
            <w:r w:rsidRPr="003B3977">
              <w:rPr>
                <w:b/>
                <w:sz w:val="20"/>
                <w:szCs w:val="20"/>
                <w:lang w:val="fr-CA"/>
              </w:rPr>
              <w:t>)</w:t>
            </w:r>
          </w:p>
          <w:p w:rsidR="00CC45AC" w:rsidRPr="003B3977" w:rsidRDefault="00CC45AC" w:rsidP="00CC45AC">
            <w:pPr>
              <w:rPr>
                <w:sz w:val="20"/>
                <w:szCs w:val="20"/>
                <w:lang w:val="fr-CA"/>
              </w:rPr>
            </w:pPr>
          </w:p>
          <w:p w:rsidR="00CC45AC" w:rsidRPr="003B3977" w:rsidRDefault="00CC45AC" w:rsidP="00CC45AC">
            <w:pPr>
              <w:rPr>
                <w:sz w:val="20"/>
                <w:szCs w:val="20"/>
              </w:rPr>
            </w:pPr>
            <w:r w:rsidRPr="003B3977">
              <w:rPr>
                <w:sz w:val="20"/>
                <w:szCs w:val="20"/>
              </w:rPr>
              <w:t>(A</w:t>
            </w:r>
            <w:r>
              <w:rPr>
                <w:sz w:val="20"/>
                <w:szCs w:val="20"/>
              </w:rPr>
              <w:t>utori</w:t>
            </w:r>
            <w:r w:rsidRPr="003B3977">
              <w:rPr>
                <w:sz w:val="20"/>
                <w:szCs w:val="20"/>
              </w:rPr>
              <w:t>s</w:t>
            </w:r>
            <w:r>
              <w:rPr>
                <w:sz w:val="20"/>
                <w:szCs w:val="20"/>
              </w:rPr>
              <w:t>ati</w:t>
            </w:r>
            <w:r w:rsidRPr="003B3977">
              <w:rPr>
                <w:sz w:val="20"/>
                <w:szCs w:val="20"/>
              </w:rPr>
              <w:t>o</w:t>
            </w:r>
            <w:r>
              <w:rPr>
                <w:sz w:val="20"/>
                <w:szCs w:val="20"/>
              </w:rPr>
              <w:t>n</w:t>
            </w:r>
            <w:r w:rsidRPr="003B3977">
              <w:rPr>
                <w:sz w:val="20"/>
                <w:szCs w:val="20"/>
              </w:rPr>
              <w:t>)</w:t>
            </w:r>
          </w:p>
          <w:p w:rsidR="00CC45AC" w:rsidRPr="003B3977" w:rsidRDefault="00CC45AC" w:rsidP="00CC45AC">
            <w:pPr>
              <w:rPr>
                <w:sz w:val="20"/>
                <w:szCs w:val="20"/>
              </w:rPr>
            </w:pPr>
          </w:p>
          <w:p w:rsidR="00CC45AC" w:rsidRDefault="008A5B26" w:rsidP="00CC45AC">
            <w:pPr>
              <w:rPr>
                <w:sz w:val="20"/>
                <w:szCs w:val="20"/>
              </w:rPr>
            </w:pPr>
            <w:r>
              <w:rPr>
                <w:sz w:val="20"/>
                <w:szCs w:val="20"/>
                <w:lang w:val="fr-CA"/>
              </w:rPr>
              <w:pict>
                <v:rect id="_x0000_i1078" style="width:106.1pt;height:1pt" o:hrpct="500" o:hralign="center" o:hrstd="t" o:hrnoshade="t" o:hr="t" fillcolor="black [3213]" stroked="f"/>
              </w:pict>
            </w:r>
          </w:p>
        </w:tc>
        <w:tc>
          <w:tcPr>
            <w:tcW w:w="588" w:type="pct"/>
          </w:tcPr>
          <w:p w:rsidR="00CC45AC" w:rsidRDefault="00CC45AC" w:rsidP="005F1ED8">
            <w:pPr>
              <w:jc w:val="center"/>
              <w:rPr>
                <w:sz w:val="20"/>
                <w:szCs w:val="20"/>
              </w:rPr>
            </w:pPr>
          </w:p>
          <w:p w:rsidR="00CC45AC" w:rsidRDefault="00CC45AC" w:rsidP="005F1ED8">
            <w:pPr>
              <w:jc w:val="center"/>
              <w:rPr>
                <w:sz w:val="20"/>
                <w:szCs w:val="20"/>
              </w:rPr>
            </w:pPr>
          </w:p>
          <w:p w:rsidR="00CC45AC" w:rsidRDefault="00CC45AC" w:rsidP="005F1ED8">
            <w:pPr>
              <w:jc w:val="center"/>
              <w:rPr>
                <w:sz w:val="20"/>
                <w:szCs w:val="20"/>
              </w:rPr>
            </w:pPr>
          </w:p>
          <w:p w:rsidR="00CC45AC" w:rsidRDefault="00CC45AC" w:rsidP="005F1ED8">
            <w:pPr>
              <w:jc w:val="center"/>
              <w:rPr>
                <w:sz w:val="20"/>
                <w:szCs w:val="20"/>
              </w:rPr>
            </w:pPr>
          </w:p>
          <w:p w:rsidR="00CC45AC" w:rsidRDefault="00CC45AC" w:rsidP="005F1ED8">
            <w:pPr>
              <w:jc w:val="center"/>
              <w:rPr>
                <w:sz w:val="20"/>
                <w:szCs w:val="20"/>
              </w:rPr>
            </w:pPr>
          </w:p>
          <w:p w:rsidR="00CC45AC" w:rsidRDefault="00CC45AC" w:rsidP="005F1ED8">
            <w:pPr>
              <w:jc w:val="center"/>
              <w:rPr>
                <w:sz w:val="20"/>
                <w:szCs w:val="20"/>
              </w:rPr>
            </w:pPr>
          </w:p>
          <w:p w:rsidR="00CC45AC" w:rsidRDefault="00CC45AC" w:rsidP="005F1ED8">
            <w:pPr>
              <w:jc w:val="center"/>
              <w:rPr>
                <w:sz w:val="20"/>
                <w:szCs w:val="20"/>
              </w:rPr>
            </w:pPr>
          </w:p>
          <w:p w:rsidR="00CC45AC" w:rsidRDefault="00CC45AC" w:rsidP="005F1ED8">
            <w:pPr>
              <w:jc w:val="center"/>
              <w:rPr>
                <w:sz w:val="20"/>
                <w:szCs w:val="20"/>
              </w:rPr>
            </w:pPr>
          </w:p>
          <w:p w:rsidR="00CC45AC" w:rsidRDefault="00CC45AC" w:rsidP="005F1ED8">
            <w:pPr>
              <w:jc w:val="center"/>
              <w:rPr>
                <w:sz w:val="20"/>
                <w:szCs w:val="20"/>
              </w:rPr>
            </w:pPr>
          </w:p>
          <w:p w:rsidR="00CC45AC" w:rsidRDefault="00CC45AC" w:rsidP="005F1ED8">
            <w:pPr>
              <w:jc w:val="center"/>
              <w:rPr>
                <w:sz w:val="20"/>
                <w:szCs w:val="20"/>
              </w:rPr>
            </w:pPr>
          </w:p>
          <w:p w:rsidR="00CC45AC" w:rsidRDefault="00CC45AC" w:rsidP="005F1ED8">
            <w:pPr>
              <w:jc w:val="center"/>
              <w:rPr>
                <w:sz w:val="20"/>
                <w:szCs w:val="20"/>
              </w:rPr>
            </w:pPr>
          </w:p>
          <w:p w:rsidR="00CC45AC" w:rsidRPr="003B3977" w:rsidRDefault="00CC45AC" w:rsidP="005F1ED8">
            <w:pPr>
              <w:jc w:val="center"/>
              <w:rPr>
                <w:sz w:val="20"/>
                <w:szCs w:val="20"/>
              </w:rPr>
            </w:pPr>
          </w:p>
        </w:tc>
        <w:tc>
          <w:tcPr>
            <w:tcW w:w="2206" w:type="pct"/>
          </w:tcPr>
          <w:p w:rsidR="00CC45AC" w:rsidRPr="00130B0E" w:rsidRDefault="00CC45AC"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021805"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021805" w:rsidRDefault="003643E6" w:rsidP="007C47C2">
      <w:pPr>
        <w:widowControl w:val="0"/>
        <w:rPr>
          <w:sz w:val="20"/>
          <w:szCs w:val="20"/>
        </w:rPr>
      </w:pPr>
      <w:r w:rsidRPr="00021805">
        <w:rPr>
          <w:sz w:val="20"/>
          <w:szCs w:val="20"/>
        </w:rPr>
        <w:t>16</w:t>
      </w:r>
      <w:r w:rsidR="007C47C2" w:rsidRPr="00021805">
        <w:rPr>
          <w:sz w:val="20"/>
          <w:szCs w:val="20"/>
        </w:rPr>
        <w:t>.0</w:t>
      </w:r>
      <w:r w:rsidRPr="00021805">
        <w:rPr>
          <w:sz w:val="20"/>
          <w:szCs w:val="20"/>
        </w:rPr>
        <w:t>1</w:t>
      </w:r>
      <w:r w:rsidR="007C47C2" w:rsidRPr="00021805">
        <w:rPr>
          <w:sz w:val="20"/>
          <w:szCs w:val="20"/>
        </w:rPr>
        <w:t>.201</w:t>
      </w:r>
      <w:r w:rsidRPr="00021805">
        <w:rPr>
          <w:sz w:val="20"/>
          <w:szCs w:val="20"/>
        </w:rPr>
        <w:t>5</w:t>
      </w:r>
    </w:p>
    <w:p w:rsidR="007C47C2" w:rsidRPr="00021805" w:rsidRDefault="007C47C2" w:rsidP="007C47C2">
      <w:pPr>
        <w:widowControl w:val="0"/>
        <w:rPr>
          <w:sz w:val="20"/>
          <w:szCs w:val="20"/>
        </w:rPr>
      </w:pPr>
    </w:p>
    <w:p w:rsidR="003643E6" w:rsidRPr="0019441A" w:rsidRDefault="003643E6" w:rsidP="003643E6">
      <w:pPr>
        <w:widowControl w:val="0"/>
        <w:ind w:left="720" w:hanging="720"/>
        <w:rPr>
          <w:sz w:val="20"/>
          <w:szCs w:val="20"/>
          <w:u w:val="single"/>
        </w:rPr>
      </w:pPr>
      <w:r w:rsidRPr="0019441A">
        <w:rPr>
          <w:sz w:val="20"/>
          <w:szCs w:val="20"/>
        </w:rPr>
        <w:t xml:space="preserve">Coram: </w:t>
      </w:r>
      <w:r w:rsidRPr="0019441A">
        <w:rPr>
          <w:sz w:val="20"/>
          <w:szCs w:val="20"/>
        </w:rPr>
        <w:tab/>
      </w:r>
      <w:r w:rsidRPr="0019441A">
        <w:rPr>
          <w:sz w:val="20"/>
          <w:szCs w:val="20"/>
          <w:u w:val="single"/>
        </w:rPr>
        <w:t>McLachlin C.J. and Abella, Rothstein, Cromwell, Moldaver, Karakatsanis, Wagner, Gascon and Côté JJ.</w:t>
      </w:r>
    </w:p>
    <w:p w:rsidR="007C47C2" w:rsidRPr="00021805" w:rsidRDefault="007C47C2" w:rsidP="007C47C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32A86" w:rsidTr="00911453">
        <w:tc>
          <w:tcPr>
            <w:tcW w:w="4380" w:type="dxa"/>
            <w:tcMar>
              <w:left w:w="0" w:type="dxa"/>
              <w:right w:w="0" w:type="dxa"/>
            </w:tcMar>
          </w:tcPr>
          <w:p w:rsidR="00046374" w:rsidRDefault="003643E6" w:rsidP="003643E6">
            <w:pPr>
              <w:rPr>
                <w:b/>
                <w:iCs/>
                <w:sz w:val="20"/>
                <w:szCs w:val="20"/>
              </w:rPr>
            </w:pPr>
            <w:r w:rsidRPr="0019441A">
              <w:rPr>
                <w:b/>
                <w:iCs/>
                <w:sz w:val="20"/>
                <w:szCs w:val="20"/>
              </w:rPr>
              <w:t xml:space="preserve">Donald Jerry Barabash </w:t>
            </w:r>
          </w:p>
          <w:p w:rsidR="00046374" w:rsidRDefault="00046374" w:rsidP="003643E6">
            <w:pPr>
              <w:rPr>
                <w:b/>
                <w:iCs/>
                <w:sz w:val="20"/>
                <w:szCs w:val="20"/>
              </w:rPr>
            </w:pPr>
          </w:p>
          <w:p w:rsidR="00046374" w:rsidRDefault="00046374" w:rsidP="003643E6">
            <w:pPr>
              <w:rPr>
                <w:b/>
                <w:iCs/>
                <w:sz w:val="20"/>
                <w:szCs w:val="20"/>
              </w:rPr>
            </w:pPr>
            <w:r>
              <w:rPr>
                <w:b/>
                <w:iCs/>
                <w:sz w:val="20"/>
                <w:szCs w:val="20"/>
              </w:rPr>
              <w:tab/>
            </w:r>
            <w:r w:rsidR="003643E6" w:rsidRPr="0019441A">
              <w:rPr>
                <w:b/>
                <w:iCs/>
                <w:sz w:val="20"/>
                <w:szCs w:val="20"/>
              </w:rPr>
              <w:t xml:space="preserve">v. </w:t>
            </w:r>
            <w:r w:rsidRPr="0019441A">
              <w:rPr>
                <w:sz w:val="20"/>
                <w:szCs w:val="20"/>
              </w:rPr>
              <w:t>(</w:t>
            </w:r>
            <w:hyperlink r:id="rId54" w:history="1">
              <w:r w:rsidRPr="0019441A">
                <w:rPr>
                  <w:rStyle w:val="Hyperlink"/>
                  <w:sz w:val="20"/>
                  <w:szCs w:val="20"/>
                </w:rPr>
                <w:t>35977</w:t>
              </w:r>
            </w:hyperlink>
            <w:r w:rsidRPr="0019441A">
              <w:rPr>
                <w:sz w:val="20"/>
                <w:szCs w:val="20"/>
              </w:rPr>
              <w:t>)</w:t>
            </w:r>
          </w:p>
          <w:p w:rsidR="00046374" w:rsidRDefault="00046374" w:rsidP="003643E6">
            <w:pPr>
              <w:rPr>
                <w:b/>
                <w:iCs/>
                <w:sz w:val="20"/>
                <w:szCs w:val="20"/>
              </w:rPr>
            </w:pPr>
          </w:p>
          <w:p w:rsidR="003643E6" w:rsidRPr="0019441A" w:rsidRDefault="003643E6" w:rsidP="003643E6">
            <w:pPr>
              <w:rPr>
                <w:b/>
                <w:sz w:val="20"/>
                <w:szCs w:val="20"/>
              </w:rPr>
            </w:pPr>
            <w:r w:rsidRPr="0019441A">
              <w:rPr>
                <w:b/>
                <w:iCs/>
                <w:sz w:val="20"/>
                <w:szCs w:val="20"/>
              </w:rPr>
              <w:t xml:space="preserve">Her Majesty the Queen </w:t>
            </w:r>
            <w:r w:rsidRPr="00046374">
              <w:rPr>
                <w:b/>
                <w:sz w:val="20"/>
                <w:szCs w:val="20"/>
              </w:rPr>
              <w:t>(Alta.) (Criminal) (As</w:t>
            </w:r>
            <w:r w:rsidR="00046374">
              <w:rPr>
                <w:b/>
                <w:sz w:val="20"/>
                <w:szCs w:val="20"/>
              </w:rPr>
              <w:t> </w:t>
            </w:r>
            <w:r w:rsidRPr="00046374">
              <w:rPr>
                <w:b/>
                <w:sz w:val="20"/>
                <w:szCs w:val="20"/>
              </w:rPr>
              <w:t>of</w:t>
            </w:r>
            <w:r w:rsidR="00046374">
              <w:rPr>
                <w:b/>
                <w:sz w:val="20"/>
                <w:szCs w:val="20"/>
              </w:rPr>
              <w:t> </w:t>
            </w:r>
            <w:r w:rsidRPr="00046374">
              <w:rPr>
                <w:b/>
                <w:sz w:val="20"/>
                <w:szCs w:val="20"/>
              </w:rPr>
              <w:t>Right)</w:t>
            </w:r>
            <w:r w:rsidRPr="0019441A">
              <w:rPr>
                <w:sz w:val="20"/>
                <w:szCs w:val="20"/>
              </w:rPr>
              <w:t xml:space="preserve"> </w:t>
            </w:r>
          </w:p>
          <w:p w:rsidR="003643E6" w:rsidRDefault="003643E6" w:rsidP="003643E6">
            <w:pPr>
              <w:rPr>
                <w:b/>
                <w:iCs/>
                <w:sz w:val="20"/>
                <w:szCs w:val="20"/>
              </w:rPr>
            </w:pPr>
          </w:p>
          <w:p w:rsidR="00046374" w:rsidRDefault="00046374" w:rsidP="003643E6">
            <w:pPr>
              <w:rPr>
                <w:b/>
                <w:iCs/>
                <w:sz w:val="20"/>
                <w:szCs w:val="20"/>
              </w:rPr>
            </w:pPr>
            <w:r>
              <w:rPr>
                <w:b/>
                <w:iCs/>
                <w:sz w:val="20"/>
                <w:szCs w:val="20"/>
              </w:rPr>
              <w:t xml:space="preserve">- and between - </w:t>
            </w:r>
          </w:p>
          <w:p w:rsidR="00046374" w:rsidRPr="0019441A" w:rsidRDefault="00046374" w:rsidP="003643E6">
            <w:pPr>
              <w:rPr>
                <w:b/>
                <w:iCs/>
                <w:sz w:val="20"/>
                <w:szCs w:val="20"/>
              </w:rPr>
            </w:pPr>
          </w:p>
          <w:p w:rsidR="00046374" w:rsidRDefault="003643E6" w:rsidP="003643E6">
            <w:pPr>
              <w:rPr>
                <w:b/>
                <w:iCs/>
                <w:sz w:val="20"/>
                <w:szCs w:val="20"/>
              </w:rPr>
            </w:pPr>
            <w:r w:rsidRPr="0019441A">
              <w:rPr>
                <w:b/>
                <w:iCs/>
                <w:sz w:val="20"/>
                <w:szCs w:val="20"/>
              </w:rPr>
              <w:t xml:space="preserve">Shane Gordon Rollison </w:t>
            </w:r>
          </w:p>
          <w:p w:rsidR="00046374" w:rsidRDefault="00046374" w:rsidP="003643E6">
            <w:pPr>
              <w:rPr>
                <w:b/>
                <w:iCs/>
                <w:sz w:val="20"/>
                <w:szCs w:val="20"/>
              </w:rPr>
            </w:pPr>
          </w:p>
          <w:p w:rsidR="00046374" w:rsidRDefault="00046374" w:rsidP="003643E6">
            <w:pPr>
              <w:rPr>
                <w:b/>
                <w:iCs/>
                <w:sz w:val="20"/>
                <w:szCs w:val="20"/>
              </w:rPr>
            </w:pPr>
            <w:r>
              <w:rPr>
                <w:b/>
                <w:iCs/>
                <w:sz w:val="20"/>
                <w:szCs w:val="20"/>
              </w:rPr>
              <w:tab/>
            </w:r>
            <w:r w:rsidR="003643E6" w:rsidRPr="0019441A">
              <w:rPr>
                <w:b/>
                <w:iCs/>
                <w:sz w:val="20"/>
                <w:szCs w:val="20"/>
              </w:rPr>
              <w:t xml:space="preserve">v. </w:t>
            </w:r>
            <w:r w:rsidRPr="0019441A">
              <w:rPr>
                <w:sz w:val="20"/>
                <w:szCs w:val="20"/>
              </w:rPr>
              <w:t>(</w:t>
            </w:r>
            <w:hyperlink r:id="rId55" w:history="1">
              <w:r w:rsidRPr="0019441A">
                <w:rPr>
                  <w:rStyle w:val="Hyperlink"/>
                  <w:sz w:val="20"/>
                  <w:szCs w:val="20"/>
                </w:rPr>
                <w:t>36064</w:t>
              </w:r>
            </w:hyperlink>
            <w:r w:rsidRPr="0019441A">
              <w:rPr>
                <w:sz w:val="20"/>
                <w:szCs w:val="20"/>
              </w:rPr>
              <w:t>)</w:t>
            </w:r>
          </w:p>
          <w:p w:rsidR="00046374" w:rsidRDefault="00046374" w:rsidP="003643E6">
            <w:pPr>
              <w:rPr>
                <w:b/>
                <w:iCs/>
                <w:sz w:val="20"/>
                <w:szCs w:val="20"/>
              </w:rPr>
            </w:pPr>
          </w:p>
          <w:p w:rsidR="007C47C2" w:rsidRPr="00EA0658" w:rsidRDefault="003643E6" w:rsidP="00046374">
            <w:pPr>
              <w:rPr>
                <w:sz w:val="20"/>
                <w:szCs w:val="20"/>
                <w:lang w:val="fr-CA"/>
              </w:rPr>
            </w:pPr>
            <w:r w:rsidRPr="0019441A">
              <w:rPr>
                <w:b/>
                <w:iCs/>
                <w:sz w:val="20"/>
                <w:szCs w:val="20"/>
              </w:rPr>
              <w:t xml:space="preserve">Her Majesty the Queen </w:t>
            </w:r>
            <w:r w:rsidRPr="00046374">
              <w:rPr>
                <w:b/>
                <w:sz w:val="20"/>
                <w:szCs w:val="20"/>
              </w:rPr>
              <w:t>(Alta.) (Criminal) (As</w:t>
            </w:r>
            <w:r w:rsidR="00046374">
              <w:rPr>
                <w:b/>
                <w:sz w:val="20"/>
                <w:szCs w:val="20"/>
              </w:rPr>
              <w:t> </w:t>
            </w:r>
            <w:r w:rsidRPr="00046374">
              <w:rPr>
                <w:b/>
                <w:sz w:val="20"/>
                <w:szCs w:val="20"/>
              </w:rPr>
              <w:t>of</w:t>
            </w:r>
            <w:r w:rsidR="00046374">
              <w:rPr>
                <w:b/>
                <w:sz w:val="20"/>
                <w:szCs w:val="20"/>
              </w:rPr>
              <w:t> </w:t>
            </w:r>
            <w:r w:rsidRPr="00046374">
              <w:rPr>
                <w:b/>
                <w:sz w:val="20"/>
                <w:szCs w:val="20"/>
              </w:rPr>
              <w:t>Right)</w:t>
            </w:r>
            <w:r w:rsidRPr="0019441A">
              <w:rPr>
                <w:sz w:val="20"/>
                <w:szCs w:val="20"/>
              </w:rPr>
              <w:t xml:space="preserve"> </w:t>
            </w:r>
            <w:r w:rsidR="007C47C2" w:rsidRPr="00E75133">
              <w:rPr>
                <w:sz w:val="20"/>
                <w:szCs w:val="20"/>
                <w:lang w:val="fr-CA"/>
              </w:rPr>
              <w:t xml:space="preserve"> </w:t>
            </w:r>
          </w:p>
        </w:tc>
        <w:tc>
          <w:tcPr>
            <w:tcW w:w="720" w:type="dxa"/>
            <w:tcMar>
              <w:left w:w="0" w:type="dxa"/>
              <w:right w:w="0" w:type="dxa"/>
            </w:tcMar>
          </w:tcPr>
          <w:p w:rsidR="007C47C2" w:rsidRPr="00EA0658" w:rsidRDefault="007C47C2" w:rsidP="00911453">
            <w:pPr>
              <w:widowControl w:val="0"/>
              <w:jc w:val="center"/>
              <w:rPr>
                <w:sz w:val="20"/>
                <w:szCs w:val="20"/>
                <w:lang w:val="fr-CA"/>
              </w:rPr>
            </w:pPr>
          </w:p>
        </w:tc>
        <w:tc>
          <w:tcPr>
            <w:tcW w:w="4380" w:type="dxa"/>
            <w:tcMar>
              <w:left w:w="0" w:type="dxa"/>
              <w:right w:w="0" w:type="dxa"/>
            </w:tcMar>
          </w:tcPr>
          <w:p w:rsidR="00587209" w:rsidRPr="003C46D7" w:rsidRDefault="00587209" w:rsidP="00587209">
            <w:pPr>
              <w:jc w:val="both"/>
              <w:rPr>
                <w:sz w:val="20"/>
                <w:szCs w:val="20"/>
                <w:lang w:val="en-US"/>
              </w:rPr>
            </w:pPr>
            <w:r w:rsidRPr="003C46D7">
              <w:rPr>
                <w:sz w:val="20"/>
                <w:szCs w:val="20"/>
                <w:lang w:val="en-US"/>
              </w:rPr>
              <w:t>Peter J. Royal, Q.C.</w:t>
            </w:r>
            <w:r>
              <w:rPr>
                <w:sz w:val="20"/>
                <w:szCs w:val="20"/>
                <w:lang w:val="en-US"/>
              </w:rPr>
              <w:t xml:space="preserve"> f</w:t>
            </w:r>
            <w:r w:rsidRPr="003C46D7">
              <w:rPr>
                <w:sz w:val="20"/>
                <w:szCs w:val="20"/>
                <w:lang w:val="en-US"/>
              </w:rPr>
              <w:t xml:space="preserve">or the </w:t>
            </w:r>
            <w:r>
              <w:rPr>
                <w:sz w:val="20"/>
                <w:szCs w:val="20"/>
                <w:lang w:val="en-US"/>
              </w:rPr>
              <w:t>a</w:t>
            </w:r>
            <w:r w:rsidRPr="003C46D7">
              <w:rPr>
                <w:sz w:val="20"/>
                <w:szCs w:val="20"/>
                <w:lang w:val="en-US"/>
              </w:rPr>
              <w:t>ppellant (35977).</w:t>
            </w:r>
          </w:p>
          <w:p w:rsidR="00587209" w:rsidRPr="003C46D7" w:rsidRDefault="00587209" w:rsidP="00587209">
            <w:pPr>
              <w:jc w:val="both"/>
              <w:rPr>
                <w:sz w:val="20"/>
                <w:szCs w:val="20"/>
                <w:lang w:val="en-US"/>
              </w:rPr>
            </w:pPr>
          </w:p>
          <w:p w:rsidR="00587209" w:rsidRPr="003C46D7" w:rsidRDefault="00587209" w:rsidP="00587209">
            <w:pPr>
              <w:jc w:val="both"/>
              <w:rPr>
                <w:sz w:val="20"/>
                <w:szCs w:val="20"/>
                <w:lang w:val="en-US"/>
              </w:rPr>
            </w:pPr>
            <w:r w:rsidRPr="003C46D7">
              <w:rPr>
                <w:sz w:val="20"/>
                <w:szCs w:val="20"/>
                <w:lang w:val="en-US"/>
              </w:rPr>
              <w:t>Diana C. Goldie</w:t>
            </w:r>
            <w:r>
              <w:rPr>
                <w:sz w:val="20"/>
                <w:szCs w:val="20"/>
                <w:lang w:val="en-US"/>
              </w:rPr>
              <w:t xml:space="preserve"> and </w:t>
            </w:r>
            <w:r w:rsidRPr="003C46D7">
              <w:rPr>
                <w:sz w:val="20"/>
                <w:szCs w:val="20"/>
                <w:lang w:val="en-US"/>
              </w:rPr>
              <w:t>Thomas Slade</w:t>
            </w:r>
            <w:r>
              <w:rPr>
                <w:sz w:val="20"/>
                <w:szCs w:val="20"/>
                <w:lang w:val="en-US"/>
              </w:rPr>
              <w:t xml:space="preserve"> f</w:t>
            </w:r>
            <w:r w:rsidRPr="003C46D7">
              <w:rPr>
                <w:sz w:val="20"/>
                <w:szCs w:val="20"/>
                <w:lang w:val="en-US"/>
              </w:rPr>
              <w:t xml:space="preserve">or the </w:t>
            </w:r>
            <w:r>
              <w:rPr>
                <w:sz w:val="20"/>
                <w:szCs w:val="20"/>
                <w:lang w:val="en-US"/>
              </w:rPr>
              <w:t>a</w:t>
            </w:r>
            <w:r w:rsidRPr="003C46D7">
              <w:rPr>
                <w:sz w:val="20"/>
                <w:szCs w:val="20"/>
                <w:lang w:val="en-US"/>
              </w:rPr>
              <w:t>ppellant (36064).</w:t>
            </w:r>
          </w:p>
          <w:p w:rsidR="00587209" w:rsidRPr="003C46D7" w:rsidRDefault="00587209" w:rsidP="00587209">
            <w:pPr>
              <w:jc w:val="both"/>
              <w:rPr>
                <w:sz w:val="20"/>
                <w:szCs w:val="20"/>
                <w:lang w:val="en-US"/>
              </w:rPr>
            </w:pPr>
          </w:p>
          <w:p w:rsidR="00587209" w:rsidRPr="003C46D7" w:rsidRDefault="00587209" w:rsidP="00587209">
            <w:pPr>
              <w:jc w:val="both"/>
              <w:rPr>
                <w:sz w:val="20"/>
                <w:szCs w:val="20"/>
                <w:lang w:val="en-US"/>
              </w:rPr>
            </w:pPr>
            <w:r w:rsidRPr="003C46D7">
              <w:rPr>
                <w:sz w:val="20"/>
                <w:szCs w:val="20"/>
                <w:lang w:val="en-US"/>
              </w:rPr>
              <w:t>Alexi N. Wood</w:t>
            </w:r>
            <w:r>
              <w:rPr>
                <w:sz w:val="20"/>
                <w:szCs w:val="20"/>
                <w:lang w:val="en-US"/>
              </w:rPr>
              <w:t xml:space="preserve"> and </w:t>
            </w:r>
            <w:r w:rsidRPr="003C46D7">
              <w:rPr>
                <w:sz w:val="20"/>
                <w:szCs w:val="20"/>
                <w:lang w:val="en-US"/>
              </w:rPr>
              <w:t>Kate Southwell</w:t>
            </w:r>
            <w:r>
              <w:rPr>
                <w:sz w:val="20"/>
                <w:szCs w:val="20"/>
                <w:lang w:val="en-US"/>
              </w:rPr>
              <w:t xml:space="preserve"> f</w:t>
            </w:r>
            <w:r w:rsidRPr="003C46D7">
              <w:rPr>
                <w:sz w:val="20"/>
                <w:szCs w:val="20"/>
                <w:lang w:val="en-US"/>
              </w:rPr>
              <w:t xml:space="preserve">or the Intervener </w:t>
            </w:r>
            <w:r w:rsidRPr="003C46D7">
              <w:rPr>
                <w:sz w:val="20"/>
                <w:szCs w:val="20"/>
              </w:rPr>
              <w:t>Canadian Civil Liberties Association</w:t>
            </w:r>
            <w:r w:rsidRPr="003C46D7">
              <w:rPr>
                <w:sz w:val="20"/>
                <w:szCs w:val="20"/>
                <w:lang w:val="en-US"/>
              </w:rPr>
              <w:t xml:space="preserve"> (35977 -36064).</w:t>
            </w:r>
          </w:p>
          <w:p w:rsidR="00587209" w:rsidRPr="003C46D7" w:rsidRDefault="00587209" w:rsidP="00587209">
            <w:pPr>
              <w:jc w:val="both"/>
              <w:rPr>
                <w:sz w:val="20"/>
                <w:szCs w:val="20"/>
                <w:lang w:val="en-US"/>
              </w:rPr>
            </w:pPr>
          </w:p>
          <w:p w:rsidR="00587209" w:rsidRPr="003C46D7" w:rsidRDefault="00587209" w:rsidP="00587209">
            <w:pPr>
              <w:jc w:val="both"/>
              <w:rPr>
                <w:sz w:val="20"/>
                <w:szCs w:val="20"/>
                <w:lang w:val="en-US"/>
              </w:rPr>
            </w:pPr>
            <w:r w:rsidRPr="003C46D7">
              <w:rPr>
                <w:sz w:val="20"/>
                <w:szCs w:val="20"/>
                <w:lang w:val="en-US"/>
              </w:rPr>
              <w:t>Jolaine Antonio</w:t>
            </w:r>
            <w:r>
              <w:rPr>
                <w:sz w:val="20"/>
                <w:szCs w:val="20"/>
                <w:lang w:val="en-US"/>
              </w:rPr>
              <w:t xml:space="preserve"> and </w:t>
            </w:r>
            <w:r w:rsidRPr="003C46D7">
              <w:rPr>
                <w:sz w:val="20"/>
                <w:szCs w:val="20"/>
                <w:lang w:val="en-US"/>
              </w:rPr>
              <w:t>Julie Morgan</w:t>
            </w:r>
            <w:r>
              <w:rPr>
                <w:sz w:val="20"/>
                <w:szCs w:val="20"/>
                <w:lang w:val="en-US"/>
              </w:rPr>
              <w:t xml:space="preserve"> f</w:t>
            </w:r>
            <w:r w:rsidRPr="003C46D7">
              <w:rPr>
                <w:sz w:val="20"/>
                <w:szCs w:val="20"/>
                <w:lang w:val="en-US"/>
              </w:rPr>
              <w:t xml:space="preserve">or the </w:t>
            </w:r>
            <w:r>
              <w:rPr>
                <w:sz w:val="20"/>
                <w:szCs w:val="20"/>
                <w:lang w:val="en-US"/>
              </w:rPr>
              <w:t>r</w:t>
            </w:r>
            <w:r w:rsidRPr="003C46D7">
              <w:rPr>
                <w:sz w:val="20"/>
                <w:szCs w:val="20"/>
                <w:lang w:val="en-US"/>
              </w:rPr>
              <w:t>espondent (35977-36064).</w:t>
            </w:r>
          </w:p>
          <w:p w:rsidR="00587209" w:rsidRPr="003C46D7" w:rsidRDefault="00587209" w:rsidP="00587209">
            <w:pPr>
              <w:jc w:val="both"/>
              <w:rPr>
                <w:sz w:val="20"/>
                <w:szCs w:val="20"/>
                <w:lang w:val="en-US"/>
              </w:rPr>
            </w:pPr>
          </w:p>
          <w:p w:rsidR="00587209" w:rsidRPr="003C46D7" w:rsidRDefault="00587209" w:rsidP="00587209">
            <w:pPr>
              <w:jc w:val="both"/>
              <w:rPr>
                <w:sz w:val="20"/>
                <w:szCs w:val="20"/>
                <w:lang w:val="en-US"/>
              </w:rPr>
            </w:pPr>
            <w:r w:rsidRPr="003C46D7">
              <w:rPr>
                <w:sz w:val="20"/>
                <w:szCs w:val="20"/>
                <w:lang w:val="en-US"/>
              </w:rPr>
              <w:t>Jeffrey G. Johnston</w:t>
            </w:r>
            <w:r>
              <w:rPr>
                <w:sz w:val="20"/>
                <w:szCs w:val="20"/>
                <w:lang w:val="en-US"/>
              </w:rPr>
              <w:t xml:space="preserve"> f</w:t>
            </w:r>
            <w:r w:rsidRPr="003C46D7">
              <w:rPr>
                <w:sz w:val="20"/>
                <w:szCs w:val="20"/>
                <w:lang w:val="en-US"/>
              </w:rPr>
              <w:t xml:space="preserve">or the </w:t>
            </w:r>
            <w:r>
              <w:rPr>
                <w:sz w:val="20"/>
                <w:szCs w:val="20"/>
                <w:lang w:val="en-US"/>
              </w:rPr>
              <w:t>i</w:t>
            </w:r>
            <w:r w:rsidRPr="003C46D7">
              <w:rPr>
                <w:sz w:val="20"/>
                <w:szCs w:val="20"/>
                <w:lang w:val="en-US"/>
              </w:rPr>
              <w:t xml:space="preserve">ntervener </w:t>
            </w:r>
            <w:r w:rsidRPr="003C46D7">
              <w:rPr>
                <w:sz w:val="20"/>
                <w:szCs w:val="20"/>
              </w:rPr>
              <w:t>Attorney General of Canada</w:t>
            </w:r>
            <w:r w:rsidRPr="003C46D7">
              <w:rPr>
                <w:sz w:val="20"/>
                <w:szCs w:val="20"/>
                <w:lang w:val="en-US"/>
              </w:rPr>
              <w:t xml:space="preserve"> (35977 -36064).</w:t>
            </w:r>
          </w:p>
          <w:p w:rsidR="00587209" w:rsidRPr="003C46D7" w:rsidRDefault="00587209" w:rsidP="00587209">
            <w:pPr>
              <w:jc w:val="both"/>
              <w:rPr>
                <w:sz w:val="20"/>
                <w:szCs w:val="20"/>
              </w:rPr>
            </w:pPr>
          </w:p>
          <w:p w:rsidR="00587209" w:rsidRPr="003C46D7" w:rsidRDefault="00587209" w:rsidP="00587209">
            <w:pPr>
              <w:jc w:val="both"/>
              <w:rPr>
                <w:sz w:val="20"/>
                <w:szCs w:val="20"/>
                <w:lang w:val="en-US"/>
              </w:rPr>
            </w:pPr>
            <w:r w:rsidRPr="003C46D7">
              <w:rPr>
                <w:sz w:val="20"/>
                <w:szCs w:val="20"/>
                <w:lang w:val="en-US"/>
              </w:rPr>
              <w:t>Christine Bartlett-Hughes</w:t>
            </w:r>
            <w:r>
              <w:rPr>
                <w:sz w:val="20"/>
                <w:szCs w:val="20"/>
                <w:lang w:val="en-US"/>
              </w:rPr>
              <w:t xml:space="preserve"> and </w:t>
            </w:r>
            <w:r w:rsidRPr="003C46D7">
              <w:rPr>
                <w:sz w:val="20"/>
                <w:szCs w:val="20"/>
                <w:lang w:val="en-US"/>
              </w:rPr>
              <w:t>Lisa Henderson</w:t>
            </w:r>
            <w:r>
              <w:rPr>
                <w:sz w:val="20"/>
                <w:szCs w:val="20"/>
                <w:lang w:val="en-US"/>
              </w:rPr>
              <w:t xml:space="preserve"> f</w:t>
            </w:r>
            <w:r w:rsidRPr="003C46D7">
              <w:rPr>
                <w:sz w:val="20"/>
                <w:szCs w:val="20"/>
                <w:lang w:val="en-US"/>
              </w:rPr>
              <w:t xml:space="preserve">or the </w:t>
            </w:r>
            <w:r>
              <w:rPr>
                <w:sz w:val="20"/>
                <w:szCs w:val="20"/>
                <w:lang w:val="en-US"/>
              </w:rPr>
              <w:t>i</w:t>
            </w:r>
            <w:r w:rsidRPr="003C46D7">
              <w:rPr>
                <w:sz w:val="20"/>
                <w:szCs w:val="20"/>
                <w:lang w:val="en-US"/>
              </w:rPr>
              <w:t xml:space="preserve">ntervener </w:t>
            </w:r>
            <w:r w:rsidRPr="003C46D7">
              <w:rPr>
                <w:sz w:val="20"/>
                <w:szCs w:val="20"/>
              </w:rPr>
              <w:t>Attorney General of Ontario</w:t>
            </w:r>
            <w:r w:rsidRPr="003C46D7">
              <w:rPr>
                <w:sz w:val="20"/>
                <w:szCs w:val="20"/>
                <w:lang w:val="en-US"/>
              </w:rPr>
              <w:t xml:space="preserve"> (35977 -36064).</w:t>
            </w:r>
          </w:p>
          <w:p w:rsidR="00587209" w:rsidRPr="003C46D7" w:rsidRDefault="00587209" w:rsidP="00587209">
            <w:pPr>
              <w:jc w:val="both"/>
              <w:rPr>
                <w:sz w:val="20"/>
                <w:szCs w:val="20"/>
              </w:rPr>
            </w:pPr>
          </w:p>
          <w:p w:rsidR="007C47C2" w:rsidRPr="00EA0658" w:rsidRDefault="00587209" w:rsidP="00587209">
            <w:pPr>
              <w:widowControl w:val="0"/>
              <w:jc w:val="both"/>
              <w:rPr>
                <w:sz w:val="20"/>
                <w:szCs w:val="20"/>
                <w:lang w:val="fr-CA"/>
              </w:rPr>
            </w:pPr>
            <w:r w:rsidRPr="003C46D7">
              <w:rPr>
                <w:sz w:val="20"/>
                <w:szCs w:val="20"/>
                <w:lang w:val="en-US"/>
              </w:rPr>
              <w:t>David Matas</w:t>
            </w:r>
            <w:r>
              <w:rPr>
                <w:sz w:val="20"/>
                <w:szCs w:val="20"/>
                <w:lang w:val="en-US"/>
              </w:rPr>
              <w:t xml:space="preserve"> and </w:t>
            </w:r>
            <w:r w:rsidRPr="003C46D7">
              <w:rPr>
                <w:sz w:val="20"/>
                <w:szCs w:val="20"/>
              </w:rPr>
              <w:t>Monique St. Germain</w:t>
            </w:r>
            <w:r>
              <w:rPr>
                <w:sz w:val="20"/>
                <w:szCs w:val="20"/>
              </w:rPr>
              <w:t xml:space="preserve"> f</w:t>
            </w:r>
            <w:r w:rsidRPr="003C46D7">
              <w:rPr>
                <w:sz w:val="20"/>
                <w:szCs w:val="20"/>
                <w:lang w:val="en-US"/>
              </w:rPr>
              <w:t xml:space="preserve">or the </w:t>
            </w:r>
            <w:r>
              <w:rPr>
                <w:sz w:val="20"/>
                <w:szCs w:val="20"/>
                <w:lang w:val="en-US"/>
              </w:rPr>
              <w:t>i</w:t>
            </w:r>
            <w:r w:rsidRPr="003C46D7">
              <w:rPr>
                <w:sz w:val="20"/>
                <w:szCs w:val="20"/>
                <w:lang w:val="en-US"/>
              </w:rPr>
              <w:t xml:space="preserve">nterveners </w:t>
            </w:r>
            <w:r w:rsidRPr="003C46D7">
              <w:rPr>
                <w:sz w:val="20"/>
                <w:szCs w:val="20"/>
              </w:rPr>
              <w:t>Beyond Borders et al.</w:t>
            </w:r>
            <w:r w:rsidRPr="003C46D7">
              <w:rPr>
                <w:sz w:val="20"/>
                <w:szCs w:val="20"/>
                <w:lang w:val="en-US"/>
              </w:rPr>
              <w:t xml:space="preserve"> (35977 -36064).</w:t>
            </w:r>
          </w:p>
        </w:tc>
      </w:tr>
    </w:tbl>
    <w:p w:rsidR="007C47C2" w:rsidRPr="00EA0658" w:rsidRDefault="007C47C2" w:rsidP="007C47C2">
      <w:pPr>
        <w:widowControl w:val="0"/>
        <w:rPr>
          <w:sz w:val="20"/>
          <w:szCs w:val="20"/>
          <w:lang w:val="fr-CA"/>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21805" w:rsidTr="00911453">
        <w:tc>
          <w:tcPr>
            <w:tcW w:w="4380" w:type="dxa"/>
            <w:tcMar>
              <w:left w:w="0" w:type="dxa"/>
              <w:right w:w="0" w:type="dxa"/>
            </w:tcMar>
          </w:tcPr>
          <w:p w:rsidR="007C47C2" w:rsidRPr="00CC4D84" w:rsidRDefault="007C47C2" w:rsidP="00911453">
            <w:pPr>
              <w:widowControl w:val="0"/>
              <w:jc w:val="both"/>
              <w:rPr>
                <w:b/>
                <w:sz w:val="20"/>
                <w:szCs w:val="20"/>
                <w:u w:val="single"/>
              </w:rPr>
            </w:pPr>
            <w:r w:rsidRPr="00CC4D84">
              <w:rPr>
                <w:b/>
                <w:sz w:val="20"/>
                <w:szCs w:val="20"/>
                <w:u w:val="single"/>
              </w:rPr>
              <w:t>Nature of the case</w:t>
            </w:r>
            <w:r w:rsidR="00046374">
              <w:rPr>
                <w:b/>
                <w:sz w:val="20"/>
                <w:szCs w:val="20"/>
                <w:u w:val="single"/>
              </w:rPr>
              <w:t xml:space="preserve"> - 35977</w:t>
            </w:r>
            <w:r w:rsidRPr="00CC4D84">
              <w:rPr>
                <w:b/>
                <w:sz w:val="20"/>
                <w:szCs w:val="20"/>
                <w:u w:val="single"/>
              </w:rPr>
              <w:t>:</w:t>
            </w:r>
          </w:p>
          <w:p w:rsidR="007C47C2" w:rsidRPr="001A663B" w:rsidRDefault="007C47C2" w:rsidP="00911453">
            <w:pPr>
              <w:widowControl w:val="0"/>
              <w:jc w:val="both"/>
              <w:rPr>
                <w:b/>
                <w:sz w:val="20"/>
                <w:szCs w:val="20"/>
              </w:rPr>
            </w:pPr>
          </w:p>
          <w:p w:rsidR="00E54E0B" w:rsidRPr="00AA5940" w:rsidRDefault="00E54E0B" w:rsidP="00E54E0B">
            <w:pPr>
              <w:widowControl w:val="0"/>
              <w:jc w:val="both"/>
              <w:rPr>
                <w:smallCaps/>
                <w:sz w:val="20"/>
                <w:szCs w:val="20"/>
              </w:rPr>
            </w:pPr>
            <w:r w:rsidRPr="00AA5940">
              <w:rPr>
                <w:smallCaps/>
                <w:sz w:val="20"/>
                <w:szCs w:val="20"/>
              </w:rPr>
              <w:t xml:space="preserve">(Publication </w:t>
            </w:r>
            <w:r>
              <w:rPr>
                <w:smallCaps/>
                <w:sz w:val="20"/>
                <w:szCs w:val="20"/>
              </w:rPr>
              <w:t>B</w:t>
            </w:r>
            <w:r w:rsidRPr="00AA5940">
              <w:rPr>
                <w:smallCaps/>
                <w:sz w:val="20"/>
                <w:szCs w:val="20"/>
              </w:rPr>
              <w:t xml:space="preserve">an in </w:t>
            </w:r>
            <w:r>
              <w:rPr>
                <w:smallCaps/>
                <w:sz w:val="20"/>
                <w:szCs w:val="20"/>
              </w:rPr>
              <w:t>C</w:t>
            </w:r>
            <w:r w:rsidRPr="00AA5940">
              <w:rPr>
                <w:smallCaps/>
                <w:sz w:val="20"/>
                <w:szCs w:val="20"/>
              </w:rPr>
              <w:t>ase)</w:t>
            </w:r>
          </w:p>
          <w:p w:rsidR="00E54E0B" w:rsidRDefault="00E54E0B" w:rsidP="00E54E0B">
            <w:pPr>
              <w:widowControl w:val="0"/>
              <w:jc w:val="both"/>
              <w:rPr>
                <w:sz w:val="20"/>
                <w:szCs w:val="20"/>
              </w:rPr>
            </w:pPr>
          </w:p>
          <w:p w:rsidR="00E54E0B" w:rsidRPr="00AA5940" w:rsidRDefault="00E54E0B" w:rsidP="00E54E0B">
            <w:pPr>
              <w:widowControl w:val="0"/>
              <w:jc w:val="both"/>
              <w:rPr>
                <w:sz w:val="20"/>
                <w:szCs w:val="20"/>
              </w:rPr>
            </w:pPr>
          </w:p>
          <w:p w:rsidR="007C47C2" w:rsidRPr="00C1697B" w:rsidRDefault="00E54E0B" w:rsidP="00E54E0B">
            <w:pPr>
              <w:widowControl w:val="0"/>
              <w:jc w:val="both"/>
              <w:rPr>
                <w:b/>
                <w:sz w:val="20"/>
                <w:szCs w:val="20"/>
              </w:rPr>
            </w:pPr>
            <w:r w:rsidRPr="00AA5940">
              <w:rPr>
                <w:sz w:val="20"/>
                <w:szCs w:val="20"/>
              </w:rPr>
              <w:t xml:space="preserve">Criminal law - Making and possessing child pornography - Private use exception - Application of </w:t>
            </w:r>
            <w:r w:rsidRPr="00AA5940">
              <w:rPr>
                <w:i/>
                <w:sz w:val="20"/>
                <w:szCs w:val="20"/>
              </w:rPr>
              <w:t>R. v. Sharpe</w:t>
            </w:r>
            <w:r w:rsidRPr="00AA5940">
              <w:rPr>
                <w:sz w:val="20"/>
                <w:szCs w:val="20"/>
              </w:rPr>
              <w:t xml:space="preserve">, 2001 SCC 2, [2001] 1 S.C.R. 45, and </w:t>
            </w:r>
            <w:r w:rsidRPr="00AA5940">
              <w:rPr>
                <w:i/>
                <w:sz w:val="20"/>
                <w:szCs w:val="20"/>
              </w:rPr>
              <w:t>R. v. Cockell</w:t>
            </w:r>
            <w:r w:rsidRPr="00AA5940">
              <w:rPr>
                <w:sz w:val="20"/>
                <w:szCs w:val="20"/>
              </w:rPr>
              <w:t xml:space="preserve">, 2013 ABCA 112 - Whether the trial judge properly interpreted the “private use exception” contemplated in </w:t>
            </w:r>
            <w:r w:rsidRPr="00AA5940">
              <w:rPr>
                <w:i/>
                <w:sz w:val="20"/>
                <w:szCs w:val="20"/>
              </w:rPr>
              <w:t>Sharpe</w:t>
            </w:r>
            <w:r w:rsidRPr="00AA5940">
              <w:rPr>
                <w:sz w:val="20"/>
                <w:szCs w:val="20"/>
              </w:rPr>
              <w:t>.</w:t>
            </w:r>
          </w:p>
        </w:tc>
        <w:tc>
          <w:tcPr>
            <w:tcW w:w="720" w:type="dxa"/>
            <w:tcMar>
              <w:left w:w="0" w:type="dxa"/>
              <w:right w:w="0" w:type="dxa"/>
            </w:tcMar>
          </w:tcPr>
          <w:p w:rsidR="007C47C2" w:rsidRPr="00C1697B" w:rsidRDefault="007C47C2" w:rsidP="00911453">
            <w:pPr>
              <w:widowControl w:val="0"/>
              <w:jc w:val="center"/>
              <w:rPr>
                <w:sz w:val="20"/>
                <w:szCs w:val="20"/>
              </w:rPr>
            </w:pPr>
          </w:p>
        </w:tc>
        <w:tc>
          <w:tcPr>
            <w:tcW w:w="4380" w:type="dxa"/>
            <w:tcMar>
              <w:left w:w="0" w:type="dxa"/>
              <w:right w:w="0" w:type="dxa"/>
            </w:tcMar>
          </w:tcPr>
          <w:p w:rsidR="007C47C2" w:rsidRPr="00CC4D84" w:rsidRDefault="007C47C2" w:rsidP="00911453">
            <w:pPr>
              <w:widowControl w:val="0"/>
              <w:jc w:val="both"/>
              <w:rPr>
                <w:b/>
                <w:sz w:val="20"/>
                <w:szCs w:val="20"/>
                <w:u w:val="single"/>
                <w:lang w:val="fr-CA"/>
              </w:rPr>
            </w:pPr>
            <w:r w:rsidRPr="00CC4D84">
              <w:rPr>
                <w:b/>
                <w:sz w:val="20"/>
                <w:szCs w:val="20"/>
                <w:u w:val="single"/>
                <w:lang w:val="fr-CA"/>
              </w:rPr>
              <w:t xml:space="preserve">Nature de la cause </w:t>
            </w:r>
            <w:r w:rsidR="00901F96">
              <w:rPr>
                <w:b/>
                <w:sz w:val="20"/>
                <w:szCs w:val="20"/>
                <w:u w:val="single"/>
                <w:lang w:val="fr-CA"/>
              </w:rPr>
              <w:t>-</w:t>
            </w:r>
            <w:r w:rsidR="00046374">
              <w:rPr>
                <w:b/>
                <w:sz w:val="20"/>
                <w:szCs w:val="20"/>
                <w:u w:val="single"/>
                <w:lang w:val="fr-CA"/>
              </w:rPr>
              <w:t xml:space="preserve"> 35977 </w:t>
            </w:r>
            <w:r w:rsidRPr="00CC4D84">
              <w:rPr>
                <w:b/>
                <w:sz w:val="20"/>
                <w:szCs w:val="20"/>
                <w:u w:val="single"/>
                <w:lang w:val="fr-CA"/>
              </w:rPr>
              <w:t>:</w:t>
            </w:r>
          </w:p>
          <w:p w:rsidR="007C47C2" w:rsidRPr="00C1697B" w:rsidRDefault="007C47C2" w:rsidP="00911453">
            <w:pPr>
              <w:widowControl w:val="0"/>
              <w:jc w:val="both"/>
              <w:rPr>
                <w:sz w:val="20"/>
                <w:szCs w:val="20"/>
                <w:lang w:val="fr-CA"/>
              </w:rPr>
            </w:pPr>
          </w:p>
          <w:p w:rsidR="00E54E0B" w:rsidRPr="007B2F71" w:rsidRDefault="00E54E0B" w:rsidP="00E54E0B">
            <w:pPr>
              <w:widowControl w:val="0"/>
              <w:jc w:val="both"/>
              <w:rPr>
                <w:smallCaps/>
                <w:sz w:val="20"/>
                <w:szCs w:val="20"/>
                <w:lang w:val="fr-CA"/>
              </w:rPr>
            </w:pPr>
            <w:r w:rsidRPr="007B2F71">
              <w:rPr>
                <w:smallCaps/>
                <w:sz w:val="20"/>
                <w:szCs w:val="20"/>
                <w:lang w:val="fr-CA"/>
              </w:rPr>
              <w:t>Ordonnance de non-publication dans le dossier)</w:t>
            </w:r>
          </w:p>
          <w:p w:rsidR="00E54E0B" w:rsidRPr="007B2F71" w:rsidRDefault="00E54E0B" w:rsidP="00E54E0B">
            <w:pPr>
              <w:widowControl w:val="0"/>
              <w:jc w:val="both"/>
              <w:rPr>
                <w:sz w:val="20"/>
                <w:szCs w:val="20"/>
                <w:lang w:val="fr-CA"/>
              </w:rPr>
            </w:pPr>
          </w:p>
          <w:p w:rsidR="007C47C2" w:rsidRPr="00C1697B" w:rsidRDefault="00E54E0B" w:rsidP="00E54E0B">
            <w:pPr>
              <w:widowControl w:val="0"/>
              <w:jc w:val="both"/>
              <w:rPr>
                <w:sz w:val="20"/>
                <w:szCs w:val="20"/>
                <w:lang w:val="fr-CA"/>
              </w:rPr>
            </w:pPr>
            <w:r w:rsidRPr="007B2F71">
              <w:rPr>
                <w:sz w:val="20"/>
                <w:szCs w:val="20"/>
                <w:lang w:val="fr-CA"/>
              </w:rPr>
              <w:t xml:space="preserve">Droit criminel - Production et possession de pornographie juvénile - Exception en matière d’usage personnel - Application de </w:t>
            </w:r>
            <w:r w:rsidRPr="007B2F71">
              <w:rPr>
                <w:i/>
                <w:sz w:val="20"/>
                <w:szCs w:val="20"/>
                <w:lang w:val="fr-CA"/>
              </w:rPr>
              <w:t>R. c. Sharpe</w:t>
            </w:r>
            <w:r w:rsidRPr="007B2F71">
              <w:rPr>
                <w:sz w:val="20"/>
                <w:szCs w:val="20"/>
                <w:lang w:val="fr-CA"/>
              </w:rPr>
              <w:t xml:space="preserve">, 2001 CSC 2, [2001] 1 R.C.S. 45 et de </w:t>
            </w:r>
            <w:r w:rsidRPr="007B2F71">
              <w:rPr>
                <w:i/>
                <w:sz w:val="20"/>
                <w:szCs w:val="20"/>
                <w:lang w:val="fr-CA"/>
              </w:rPr>
              <w:t>R. c. Cockell</w:t>
            </w:r>
            <w:r w:rsidRPr="007B2F71">
              <w:rPr>
                <w:sz w:val="20"/>
                <w:szCs w:val="20"/>
                <w:lang w:val="fr-CA"/>
              </w:rPr>
              <w:t xml:space="preserve">, 2013 ABCA 112 - Le juge du procès a-t-il correctement interprété l’« exception en matière d’usage personnel » dont il est question dans </w:t>
            </w:r>
            <w:r w:rsidRPr="007B2F71">
              <w:rPr>
                <w:i/>
                <w:sz w:val="20"/>
                <w:szCs w:val="20"/>
                <w:lang w:val="fr-CA"/>
              </w:rPr>
              <w:t>Sharpe</w:t>
            </w:r>
            <w:r w:rsidRPr="007B2F71">
              <w:rPr>
                <w:sz w:val="20"/>
                <w:szCs w:val="20"/>
                <w:lang w:val="fr-CA"/>
              </w:rPr>
              <w:t>?</w:t>
            </w:r>
          </w:p>
        </w:tc>
      </w:tr>
    </w:tbl>
    <w:p w:rsidR="007C47C2"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46374" w:rsidRPr="00021805" w:rsidTr="00046374">
        <w:tc>
          <w:tcPr>
            <w:tcW w:w="4380" w:type="dxa"/>
            <w:tcMar>
              <w:left w:w="0" w:type="dxa"/>
              <w:right w:w="0" w:type="dxa"/>
            </w:tcMar>
          </w:tcPr>
          <w:p w:rsidR="00046374" w:rsidRPr="00CC4D84" w:rsidRDefault="00046374" w:rsidP="00046374">
            <w:pPr>
              <w:widowControl w:val="0"/>
              <w:jc w:val="both"/>
              <w:rPr>
                <w:b/>
                <w:sz w:val="20"/>
                <w:szCs w:val="20"/>
                <w:u w:val="single"/>
              </w:rPr>
            </w:pPr>
            <w:r w:rsidRPr="00CC4D84">
              <w:rPr>
                <w:b/>
                <w:sz w:val="20"/>
                <w:szCs w:val="20"/>
                <w:u w:val="single"/>
              </w:rPr>
              <w:t>Nature of the case</w:t>
            </w:r>
            <w:r>
              <w:rPr>
                <w:b/>
                <w:sz w:val="20"/>
                <w:szCs w:val="20"/>
                <w:u w:val="single"/>
              </w:rPr>
              <w:t xml:space="preserve"> </w:t>
            </w:r>
            <w:r w:rsidR="00901F96">
              <w:rPr>
                <w:b/>
                <w:sz w:val="20"/>
                <w:szCs w:val="20"/>
                <w:u w:val="single"/>
              </w:rPr>
              <w:t xml:space="preserve">- </w:t>
            </w:r>
            <w:r>
              <w:rPr>
                <w:b/>
                <w:sz w:val="20"/>
                <w:szCs w:val="20"/>
                <w:u w:val="single"/>
              </w:rPr>
              <w:t>36064</w:t>
            </w:r>
            <w:r w:rsidRPr="00CC4D84">
              <w:rPr>
                <w:b/>
                <w:sz w:val="20"/>
                <w:szCs w:val="20"/>
                <w:u w:val="single"/>
              </w:rPr>
              <w:t>:</w:t>
            </w:r>
          </w:p>
          <w:p w:rsidR="00046374" w:rsidRPr="001A663B" w:rsidRDefault="00046374" w:rsidP="00046374">
            <w:pPr>
              <w:widowControl w:val="0"/>
              <w:jc w:val="both"/>
              <w:rPr>
                <w:b/>
                <w:sz w:val="20"/>
                <w:szCs w:val="20"/>
              </w:rPr>
            </w:pPr>
          </w:p>
          <w:p w:rsidR="00E54E0B" w:rsidRPr="00287506" w:rsidRDefault="00E54E0B" w:rsidP="00E54E0B">
            <w:pPr>
              <w:widowControl w:val="0"/>
              <w:jc w:val="both"/>
              <w:rPr>
                <w:smallCaps/>
                <w:sz w:val="20"/>
                <w:szCs w:val="20"/>
              </w:rPr>
            </w:pPr>
            <w:r w:rsidRPr="00287506">
              <w:rPr>
                <w:smallCaps/>
                <w:sz w:val="20"/>
                <w:szCs w:val="20"/>
              </w:rPr>
              <w:t xml:space="preserve">(Publication </w:t>
            </w:r>
            <w:r>
              <w:rPr>
                <w:smallCaps/>
                <w:sz w:val="20"/>
                <w:szCs w:val="20"/>
              </w:rPr>
              <w:t>B</w:t>
            </w:r>
            <w:r w:rsidRPr="00287506">
              <w:rPr>
                <w:smallCaps/>
                <w:sz w:val="20"/>
                <w:szCs w:val="20"/>
              </w:rPr>
              <w:t xml:space="preserve">an in </w:t>
            </w:r>
            <w:r>
              <w:rPr>
                <w:smallCaps/>
                <w:sz w:val="20"/>
                <w:szCs w:val="20"/>
              </w:rPr>
              <w:t>C</w:t>
            </w:r>
            <w:r w:rsidRPr="00287506">
              <w:rPr>
                <w:smallCaps/>
                <w:sz w:val="20"/>
                <w:szCs w:val="20"/>
              </w:rPr>
              <w:t>ase)</w:t>
            </w:r>
          </w:p>
          <w:p w:rsidR="00E54E0B" w:rsidRDefault="00E54E0B" w:rsidP="00E54E0B">
            <w:pPr>
              <w:widowControl w:val="0"/>
              <w:jc w:val="both"/>
              <w:rPr>
                <w:sz w:val="20"/>
                <w:szCs w:val="20"/>
              </w:rPr>
            </w:pPr>
          </w:p>
          <w:p w:rsidR="00E54E0B" w:rsidRPr="00287506" w:rsidRDefault="00E54E0B" w:rsidP="00E54E0B">
            <w:pPr>
              <w:widowControl w:val="0"/>
              <w:jc w:val="both"/>
              <w:rPr>
                <w:sz w:val="20"/>
                <w:szCs w:val="20"/>
              </w:rPr>
            </w:pPr>
          </w:p>
          <w:p w:rsidR="00046374" w:rsidRPr="00C1697B" w:rsidRDefault="00E54E0B" w:rsidP="00E54E0B">
            <w:pPr>
              <w:widowControl w:val="0"/>
              <w:jc w:val="both"/>
              <w:rPr>
                <w:b/>
                <w:sz w:val="20"/>
                <w:szCs w:val="20"/>
              </w:rPr>
            </w:pPr>
            <w:r w:rsidRPr="00287506">
              <w:rPr>
                <w:sz w:val="20"/>
                <w:szCs w:val="20"/>
              </w:rPr>
              <w:t xml:space="preserve">Criminal law - Making child pornography - Private use exception - Application of </w:t>
            </w:r>
            <w:r w:rsidRPr="00287506">
              <w:rPr>
                <w:i/>
                <w:sz w:val="20"/>
                <w:szCs w:val="20"/>
              </w:rPr>
              <w:t>R. v. Sharpe</w:t>
            </w:r>
            <w:r w:rsidRPr="00287506">
              <w:rPr>
                <w:sz w:val="20"/>
                <w:szCs w:val="20"/>
              </w:rPr>
              <w:t xml:space="preserve">, 2001 SCC 2, [2001] 1 S.C.R. 45, and </w:t>
            </w:r>
            <w:r w:rsidRPr="00287506">
              <w:rPr>
                <w:i/>
                <w:sz w:val="20"/>
                <w:szCs w:val="20"/>
              </w:rPr>
              <w:t>R. v. Cockell</w:t>
            </w:r>
            <w:r w:rsidRPr="00287506">
              <w:rPr>
                <w:sz w:val="20"/>
                <w:szCs w:val="20"/>
              </w:rPr>
              <w:t xml:space="preserve">, 2013 ABCA 112 - Whether the trial judge properly interpreted the “private use exception” contemplated in </w:t>
            </w:r>
            <w:r w:rsidRPr="00287506">
              <w:rPr>
                <w:i/>
                <w:sz w:val="20"/>
                <w:szCs w:val="20"/>
              </w:rPr>
              <w:t>Sharpe</w:t>
            </w:r>
            <w:r w:rsidRPr="00287506">
              <w:rPr>
                <w:sz w:val="20"/>
                <w:szCs w:val="20"/>
              </w:rPr>
              <w:t>.</w:t>
            </w:r>
          </w:p>
        </w:tc>
        <w:tc>
          <w:tcPr>
            <w:tcW w:w="720" w:type="dxa"/>
            <w:tcMar>
              <w:left w:w="0" w:type="dxa"/>
              <w:right w:w="0" w:type="dxa"/>
            </w:tcMar>
          </w:tcPr>
          <w:p w:rsidR="00046374" w:rsidRPr="00C1697B" w:rsidRDefault="00046374" w:rsidP="00046374">
            <w:pPr>
              <w:widowControl w:val="0"/>
              <w:jc w:val="center"/>
              <w:rPr>
                <w:sz w:val="20"/>
                <w:szCs w:val="20"/>
              </w:rPr>
            </w:pPr>
          </w:p>
        </w:tc>
        <w:tc>
          <w:tcPr>
            <w:tcW w:w="4380" w:type="dxa"/>
            <w:tcMar>
              <w:left w:w="0" w:type="dxa"/>
              <w:right w:w="0" w:type="dxa"/>
            </w:tcMar>
          </w:tcPr>
          <w:p w:rsidR="00046374" w:rsidRPr="00CC4D84" w:rsidRDefault="00046374" w:rsidP="00046374">
            <w:pPr>
              <w:widowControl w:val="0"/>
              <w:jc w:val="both"/>
              <w:rPr>
                <w:b/>
                <w:sz w:val="20"/>
                <w:szCs w:val="20"/>
                <w:u w:val="single"/>
                <w:lang w:val="fr-CA"/>
              </w:rPr>
            </w:pPr>
            <w:r w:rsidRPr="00CC4D84">
              <w:rPr>
                <w:b/>
                <w:sz w:val="20"/>
                <w:szCs w:val="20"/>
                <w:u w:val="single"/>
                <w:lang w:val="fr-CA"/>
              </w:rPr>
              <w:t xml:space="preserve">Nature de la cause </w:t>
            </w:r>
            <w:r w:rsidR="00901F96">
              <w:rPr>
                <w:b/>
                <w:sz w:val="20"/>
                <w:szCs w:val="20"/>
                <w:u w:val="single"/>
                <w:lang w:val="fr-CA"/>
              </w:rPr>
              <w:t>-</w:t>
            </w:r>
            <w:r>
              <w:rPr>
                <w:b/>
                <w:sz w:val="20"/>
                <w:szCs w:val="20"/>
                <w:u w:val="single"/>
                <w:lang w:val="fr-CA"/>
              </w:rPr>
              <w:t xml:space="preserve"> 36064 </w:t>
            </w:r>
            <w:r w:rsidRPr="00CC4D84">
              <w:rPr>
                <w:b/>
                <w:sz w:val="20"/>
                <w:szCs w:val="20"/>
                <w:u w:val="single"/>
                <w:lang w:val="fr-CA"/>
              </w:rPr>
              <w:t>:</w:t>
            </w:r>
          </w:p>
          <w:p w:rsidR="00046374" w:rsidRPr="00C1697B" w:rsidRDefault="00046374" w:rsidP="00046374">
            <w:pPr>
              <w:widowControl w:val="0"/>
              <w:jc w:val="both"/>
              <w:rPr>
                <w:sz w:val="20"/>
                <w:szCs w:val="20"/>
                <w:lang w:val="fr-CA"/>
              </w:rPr>
            </w:pPr>
          </w:p>
          <w:p w:rsidR="00E54E0B" w:rsidRPr="00382C09" w:rsidRDefault="00E54E0B" w:rsidP="00E54E0B">
            <w:pPr>
              <w:widowControl w:val="0"/>
              <w:jc w:val="both"/>
              <w:rPr>
                <w:smallCaps/>
                <w:sz w:val="20"/>
                <w:szCs w:val="20"/>
                <w:lang w:val="fr-CA"/>
              </w:rPr>
            </w:pPr>
            <w:r w:rsidRPr="00382C09">
              <w:rPr>
                <w:smallCaps/>
                <w:sz w:val="20"/>
                <w:szCs w:val="20"/>
                <w:lang w:val="fr-CA"/>
              </w:rPr>
              <w:t>(Ordonnance de non-publication dans le dossier)</w:t>
            </w:r>
          </w:p>
          <w:p w:rsidR="00E54E0B" w:rsidRPr="00382C09" w:rsidRDefault="00E54E0B" w:rsidP="00E54E0B">
            <w:pPr>
              <w:widowControl w:val="0"/>
              <w:jc w:val="both"/>
              <w:rPr>
                <w:sz w:val="20"/>
                <w:szCs w:val="20"/>
                <w:lang w:val="fr-CA"/>
              </w:rPr>
            </w:pPr>
          </w:p>
          <w:p w:rsidR="00046374" w:rsidRPr="00C1697B" w:rsidRDefault="00E54E0B" w:rsidP="00427C99">
            <w:pPr>
              <w:widowControl w:val="0"/>
              <w:jc w:val="both"/>
              <w:rPr>
                <w:sz w:val="20"/>
                <w:szCs w:val="20"/>
                <w:lang w:val="fr-CA"/>
              </w:rPr>
            </w:pPr>
            <w:r w:rsidRPr="00382C09">
              <w:rPr>
                <w:sz w:val="20"/>
                <w:szCs w:val="20"/>
                <w:lang w:val="fr-CA"/>
              </w:rPr>
              <w:t xml:space="preserve">Droit criminel - Production de pornographie juvénile - Exception en matière d’usage personnel - Application de </w:t>
            </w:r>
            <w:r w:rsidRPr="00382C09">
              <w:rPr>
                <w:i/>
                <w:sz w:val="20"/>
                <w:szCs w:val="20"/>
                <w:lang w:val="fr-CA"/>
              </w:rPr>
              <w:t>R. c. Sharpe</w:t>
            </w:r>
            <w:r w:rsidRPr="00382C09">
              <w:rPr>
                <w:sz w:val="20"/>
                <w:szCs w:val="20"/>
                <w:lang w:val="fr-CA"/>
              </w:rPr>
              <w:t xml:space="preserve">, 2001 CSC 2, [2001] 1 R.C.S. 45 et de </w:t>
            </w:r>
            <w:r w:rsidRPr="00382C09">
              <w:rPr>
                <w:i/>
                <w:sz w:val="20"/>
                <w:szCs w:val="20"/>
                <w:lang w:val="fr-CA"/>
              </w:rPr>
              <w:t>R. c. Cockell</w:t>
            </w:r>
            <w:r w:rsidRPr="00382C09">
              <w:rPr>
                <w:sz w:val="20"/>
                <w:szCs w:val="20"/>
                <w:lang w:val="fr-CA"/>
              </w:rPr>
              <w:t xml:space="preserve">, 2013 ABCA 112 - Le juge du procès a-t-il correctement interprété l’« exception en matière d’usage personnel » dont il est question dans </w:t>
            </w:r>
            <w:r w:rsidRPr="00382C09">
              <w:rPr>
                <w:i/>
                <w:sz w:val="20"/>
                <w:szCs w:val="20"/>
                <w:lang w:val="fr-CA"/>
              </w:rPr>
              <w:t>Sharpe</w:t>
            </w:r>
            <w:r w:rsidRPr="00382C09">
              <w:rPr>
                <w:sz w:val="20"/>
                <w:szCs w:val="20"/>
                <w:lang w:val="fr-CA"/>
              </w:rPr>
              <w:t>?</w:t>
            </w:r>
          </w:p>
        </w:tc>
      </w:tr>
    </w:tbl>
    <w:p w:rsidR="00046374" w:rsidRDefault="00046374" w:rsidP="007C47C2">
      <w:pPr>
        <w:widowControl w:val="0"/>
        <w:rPr>
          <w:sz w:val="20"/>
          <w:szCs w:val="20"/>
          <w:lang w:val="fr-CA"/>
        </w:rPr>
      </w:pPr>
    </w:p>
    <w:p w:rsidR="002A27D1" w:rsidRDefault="008A5B26" w:rsidP="002A27D1">
      <w:pPr>
        <w:widowControl w:val="0"/>
        <w:rPr>
          <w:sz w:val="20"/>
          <w:szCs w:val="20"/>
        </w:rPr>
      </w:pPr>
      <w:r>
        <w:rPr>
          <w:sz w:val="20"/>
          <w:szCs w:val="20"/>
          <w:lang w:val="fr-CA"/>
        </w:rPr>
        <w:pict>
          <v:rect id="_x0000_i1081" style="width:2in;height:1pt" o:hrpct="0" o:hralign="center" o:hrstd="t" o:hrnoshade="t" o:hr="t" fillcolor="black [3213]" stroked="f"/>
        </w:pict>
      </w:r>
    </w:p>
    <w:p w:rsidR="002A27D1" w:rsidRDefault="002A27D1" w:rsidP="002A27D1">
      <w:pPr>
        <w:widowControl w:val="0"/>
        <w:rPr>
          <w:sz w:val="20"/>
          <w:szCs w:val="20"/>
        </w:rPr>
      </w:pPr>
    </w:p>
    <w:p w:rsidR="003643E6" w:rsidRPr="00021805" w:rsidRDefault="003643E6" w:rsidP="003643E6">
      <w:pPr>
        <w:widowControl w:val="0"/>
        <w:rPr>
          <w:sz w:val="20"/>
          <w:szCs w:val="20"/>
        </w:rPr>
      </w:pPr>
      <w:r w:rsidRPr="00021805">
        <w:rPr>
          <w:sz w:val="20"/>
          <w:szCs w:val="20"/>
        </w:rPr>
        <w:t>19.01.2015</w:t>
      </w:r>
    </w:p>
    <w:p w:rsidR="003643E6" w:rsidRPr="00021805" w:rsidRDefault="003643E6" w:rsidP="003643E6">
      <w:pPr>
        <w:widowControl w:val="0"/>
        <w:rPr>
          <w:sz w:val="20"/>
          <w:szCs w:val="20"/>
        </w:rPr>
      </w:pPr>
    </w:p>
    <w:p w:rsidR="00644732" w:rsidRPr="004309F4" w:rsidRDefault="00644732" w:rsidP="00644732">
      <w:pPr>
        <w:widowControl w:val="0"/>
        <w:ind w:left="720" w:hanging="720"/>
        <w:rPr>
          <w:sz w:val="20"/>
          <w:szCs w:val="20"/>
          <w:u w:val="single"/>
        </w:rPr>
      </w:pPr>
      <w:r w:rsidRPr="004309F4">
        <w:rPr>
          <w:sz w:val="20"/>
          <w:szCs w:val="20"/>
        </w:rPr>
        <w:t xml:space="preserve">Coram: </w:t>
      </w:r>
      <w:r w:rsidRPr="004309F4">
        <w:rPr>
          <w:sz w:val="20"/>
          <w:szCs w:val="20"/>
        </w:rPr>
        <w:tab/>
      </w:r>
      <w:r w:rsidRPr="004309F4">
        <w:rPr>
          <w:sz w:val="20"/>
          <w:szCs w:val="20"/>
          <w:u w:val="single"/>
        </w:rPr>
        <w:t>McLachlin C.J. and Rothstein, Cromwell, Moldaver, Wagner, Gascon and Côté JJ.</w:t>
      </w:r>
    </w:p>
    <w:p w:rsidR="003643E6" w:rsidRPr="00021805" w:rsidRDefault="003643E6" w:rsidP="003643E6">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643E6" w:rsidRPr="00587209" w:rsidTr="00644732">
        <w:tc>
          <w:tcPr>
            <w:tcW w:w="4380" w:type="dxa"/>
            <w:tcMar>
              <w:left w:w="0" w:type="dxa"/>
              <w:right w:w="0" w:type="dxa"/>
            </w:tcMar>
          </w:tcPr>
          <w:p w:rsidR="00046374" w:rsidRDefault="00644732" w:rsidP="00644732">
            <w:pPr>
              <w:rPr>
                <w:b/>
                <w:iCs/>
                <w:sz w:val="20"/>
                <w:szCs w:val="20"/>
              </w:rPr>
            </w:pPr>
            <w:r w:rsidRPr="00644732">
              <w:rPr>
                <w:b/>
                <w:iCs/>
                <w:sz w:val="20"/>
                <w:szCs w:val="20"/>
              </w:rPr>
              <w:t xml:space="preserve">Stuart Olson Dominion Construction Ltd, formerly known as Dominion Construction Company Inc. </w:t>
            </w:r>
          </w:p>
          <w:p w:rsidR="00046374" w:rsidRDefault="00046374" w:rsidP="00644732">
            <w:pPr>
              <w:rPr>
                <w:b/>
                <w:iCs/>
                <w:sz w:val="20"/>
                <w:szCs w:val="20"/>
              </w:rPr>
            </w:pPr>
          </w:p>
          <w:p w:rsidR="00046374" w:rsidRDefault="00046374" w:rsidP="00644732">
            <w:pPr>
              <w:rPr>
                <w:b/>
                <w:iCs/>
                <w:sz w:val="20"/>
                <w:szCs w:val="20"/>
              </w:rPr>
            </w:pPr>
            <w:r>
              <w:rPr>
                <w:b/>
                <w:iCs/>
                <w:sz w:val="20"/>
                <w:szCs w:val="20"/>
              </w:rPr>
              <w:tab/>
            </w:r>
            <w:r w:rsidR="00644732" w:rsidRPr="00644732">
              <w:rPr>
                <w:b/>
                <w:iCs/>
                <w:sz w:val="20"/>
                <w:szCs w:val="20"/>
              </w:rPr>
              <w:t xml:space="preserve">v. </w:t>
            </w:r>
            <w:r w:rsidRPr="00644732">
              <w:rPr>
                <w:sz w:val="20"/>
                <w:szCs w:val="20"/>
              </w:rPr>
              <w:t>(</w:t>
            </w:r>
            <w:hyperlink r:id="rId56" w:history="1">
              <w:r w:rsidRPr="00644732">
                <w:rPr>
                  <w:color w:val="0000FF"/>
                  <w:sz w:val="20"/>
                  <w:szCs w:val="20"/>
                  <w:u w:val="single"/>
                </w:rPr>
                <w:t>35777</w:t>
              </w:r>
            </w:hyperlink>
            <w:r w:rsidRPr="00644732">
              <w:rPr>
                <w:sz w:val="20"/>
                <w:szCs w:val="20"/>
              </w:rPr>
              <w:t>)</w:t>
            </w:r>
          </w:p>
          <w:p w:rsidR="00046374" w:rsidRDefault="00046374" w:rsidP="00644732">
            <w:pPr>
              <w:rPr>
                <w:b/>
                <w:iCs/>
                <w:sz w:val="20"/>
                <w:szCs w:val="20"/>
              </w:rPr>
            </w:pPr>
          </w:p>
          <w:p w:rsidR="003643E6" w:rsidRPr="00EA0658" w:rsidRDefault="00644732" w:rsidP="00046374">
            <w:pPr>
              <w:rPr>
                <w:sz w:val="20"/>
                <w:szCs w:val="20"/>
                <w:lang w:val="fr-CA"/>
              </w:rPr>
            </w:pPr>
            <w:r w:rsidRPr="00046374">
              <w:rPr>
                <w:b/>
                <w:iCs/>
                <w:sz w:val="20"/>
                <w:szCs w:val="20"/>
              </w:rPr>
              <w:t xml:space="preserve">Structal Heavy Steel, A Division of Canam Group Inc. </w:t>
            </w:r>
            <w:r w:rsidRPr="00046374">
              <w:rPr>
                <w:b/>
                <w:sz w:val="20"/>
                <w:szCs w:val="20"/>
              </w:rPr>
              <w:t>(Man.) (Civil) (By Leave)</w:t>
            </w:r>
            <w:r w:rsidRPr="00644732">
              <w:rPr>
                <w:sz w:val="20"/>
                <w:szCs w:val="20"/>
              </w:rPr>
              <w:t xml:space="preserve"> </w:t>
            </w:r>
            <w:r w:rsidR="003643E6" w:rsidRPr="00E75133">
              <w:rPr>
                <w:sz w:val="20"/>
                <w:szCs w:val="20"/>
                <w:lang w:val="fr-CA"/>
              </w:rPr>
              <w:t xml:space="preserve"> </w:t>
            </w:r>
          </w:p>
        </w:tc>
        <w:tc>
          <w:tcPr>
            <w:tcW w:w="720" w:type="dxa"/>
            <w:tcMar>
              <w:left w:w="0" w:type="dxa"/>
              <w:right w:w="0" w:type="dxa"/>
            </w:tcMar>
          </w:tcPr>
          <w:p w:rsidR="003643E6" w:rsidRPr="00EA0658" w:rsidRDefault="003643E6" w:rsidP="00644732">
            <w:pPr>
              <w:widowControl w:val="0"/>
              <w:jc w:val="center"/>
              <w:rPr>
                <w:sz w:val="20"/>
                <w:szCs w:val="20"/>
                <w:lang w:val="fr-CA"/>
              </w:rPr>
            </w:pPr>
          </w:p>
        </w:tc>
        <w:tc>
          <w:tcPr>
            <w:tcW w:w="4380" w:type="dxa"/>
            <w:tcMar>
              <w:left w:w="0" w:type="dxa"/>
              <w:right w:w="0" w:type="dxa"/>
            </w:tcMar>
          </w:tcPr>
          <w:p w:rsidR="00587209" w:rsidRPr="00BB5548" w:rsidRDefault="00587209" w:rsidP="00587209">
            <w:pPr>
              <w:tabs>
                <w:tab w:val="left" w:pos="-2970"/>
              </w:tabs>
              <w:jc w:val="both"/>
              <w:rPr>
                <w:sz w:val="20"/>
                <w:szCs w:val="20"/>
                <w:lang w:val="en-US"/>
              </w:rPr>
            </w:pPr>
            <w:r w:rsidRPr="00BB5548">
              <w:rPr>
                <w:sz w:val="20"/>
                <w:szCs w:val="20"/>
                <w:lang w:val="en-US"/>
              </w:rPr>
              <w:t>Dave Hill</w:t>
            </w:r>
            <w:r>
              <w:rPr>
                <w:sz w:val="20"/>
                <w:szCs w:val="20"/>
                <w:lang w:val="en-US"/>
              </w:rPr>
              <w:t xml:space="preserve">, </w:t>
            </w:r>
            <w:r w:rsidRPr="00BB5548">
              <w:rPr>
                <w:sz w:val="20"/>
                <w:szCs w:val="20"/>
                <w:lang w:val="en-US"/>
              </w:rPr>
              <w:t>Derek Olson</w:t>
            </w:r>
            <w:r>
              <w:rPr>
                <w:sz w:val="20"/>
                <w:szCs w:val="20"/>
                <w:lang w:val="en-US"/>
              </w:rPr>
              <w:t xml:space="preserve"> and </w:t>
            </w:r>
            <w:r w:rsidRPr="00BB5548">
              <w:rPr>
                <w:sz w:val="20"/>
                <w:szCs w:val="20"/>
                <w:lang w:val="en-US"/>
              </w:rPr>
              <w:t>Michael Weinstein</w:t>
            </w:r>
            <w:r>
              <w:rPr>
                <w:sz w:val="20"/>
                <w:szCs w:val="20"/>
                <w:lang w:val="en-US"/>
              </w:rPr>
              <w:t xml:space="preserve"> f</w:t>
            </w:r>
            <w:r w:rsidRPr="00BB5548">
              <w:rPr>
                <w:sz w:val="20"/>
                <w:szCs w:val="20"/>
                <w:lang w:val="en-US"/>
              </w:rPr>
              <w:t xml:space="preserve">or the </w:t>
            </w:r>
            <w:r>
              <w:rPr>
                <w:sz w:val="20"/>
                <w:szCs w:val="20"/>
                <w:lang w:val="en-US"/>
              </w:rPr>
              <w:t>a</w:t>
            </w:r>
            <w:r w:rsidRPr="00BB5548">
              <w:rPr>
                <w:sz w:val="20"/>
                <w:szCs w:val="20"/>
                <w:lang w:val="en-US"/>
              </w:rPr>
              <w:t>ppellant.</w:t>
            </w:r>
          </w:p>
          <w:p w:rsidR="00587209" w:rsidRPr="00BB5548" w:rsidRDefault="00587209" w:rsidP="00587209">
            <w:pPr>
              <w:tabs>
                <w:tab w:val="left" w:pos="-2970"/>
              </w:tabs>
              <w:jc w:val="both"/>
              <w:rPr>
                <w:sz w:val="20"/>
                <w:szCs w:val="20"/>
                <w:lang w:val="en-US"/>
              </w:rPr>
            </w:pPr>
          </w:p>
          <w:p w:rsidR="003643E6" w:rsidRPr="00587209" w:rsidRDefault="00587209" w:rsidP="00587209">
            <w:pPr>
              <w:widowControl w:val="0"/>
              <w:jc w:val="both"/>
              <w:rPr>
                <w:sz w:val="20"/>
                <w:szCs w:val="20"/>
              </w:rPr>
            </w:pPr>
            <w:r w:rsidRPr="00BB5548">
              <w:rPr>
                <w:sz w:val="20"/>
                <w:szCs w:val="20"/>
                <w:lang w:val="en-US"/>
              </w:rPr>
              <w:t>Kevin T. Williams</w:t>
            </w:r>
            <w:r>
              <w:rPr>
                <w:sz w:val="20"/>
                <w:szCs w:val="20"/>
                <w:lang w:val="en-US"/>
              </w:rPr>
              <w:t xml:space="preserve"> and </w:t>
            </w:r>
            <w:r w:rsidRPr="00BB5548">
              <w:rPr>
                <w:sz w:val="20"/>
                <w:szCs w:val="20"/>
                <w:lang w:val="en-US"/>
              </w:rPr>
              <w:t>Kyla A. Pedersen</w:t>
            </w:r>
            <w:r>
              <w:rPr>
                <w:sz w:val="20"/>
                <w:szCs w:val="20"/>
                <w:lang w:val="en-US"/>
              </w:rPr>
              <w:t xml:space="preserve"> f</w:t>
            </w:r>
            <w:r w:rsidRPr="00BB5548">
              <w:rPr>
                <w:sz w:val="20"/>
                <w:szCs w:val="20"/>
                <w:lang w:val="en-US"/>
              </w:rPr>
              <w:t xml:space="preserve">or the </w:t>
            </w:r>
            <w:r>
              <w:rPr>
                <w:sz w:val="20"/>
                <w:szCs w:val="20"/>
                <w:lang w:val="en-US"/>
              </w:rPr>
              <w:t>r</w:t>
            </w:r>
            <w:r w:rsidRPr="00BB5548">
              <w:rPr>
                <w:sz w:val="20"/>
                <w:szCs w:val="20"/>
                <w:lang w:val="en-US"/>
              </w:rPr>
              <w:t>espondent.</w:t>
            </w:r>
          </w:p>
        </w:tc>
      </w:tr>
    </w:tbl>
    <w:p w:rsidR="003643E6" w:rsidRPr="00587209" w:rsidRDefault="003643E6" w:rsidP="003643E6">
      <w:pPr>
        <w:widowControl w:val="0"/>
        <w:rPr>
          <w:sz w:val="20"/>
          <w:szCs w:val="20"/>
        </w:rPr>
      </w:pPr>
    </w:p>
    <w:p w:rsidR="003643E6" w:rsidRPr="0085476B" w:rsidRDefault="003643E6" w:rsidP="003643E6">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3643E6" w:rsidRDefault="003643E6" w:rsidP="003643E6"/>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643E6" w:rsidRPr="00032A86" w:rsidTr="00644732">
        <w:tc>
          <w:tcPr>
            <w:tcW w:w="4380" w:type="dxa"/>
            <w:tcMar>
              <w:left w:w="0" w:type="dxa"/>
              <w:right w:w="0" w:type="dxa"/>
            </w:tcMar>
          </w:tcPr>
          <w:p w:rsidR="003643E6" w:rsidRPr="00CC4D84" w:rsidRDefault="003643E6" w:rsidP="00644732">
            <w:pPr>
              <w:widowControl w:val="0"/>
              <w:jc w:val="both"/>
              <w:rPr>
                <w:b/>
                <w:sz w:val="20"/>
                <w:szCs w:val="20"/>
                <w:u w:val="single"/>
              </w:rPr>
            </w:pPr>
            <w:r w:rsidRPr="00CC4D84">
              <w:rPr>
                <w:b/>
                <w:sz w:val="20"/>
                <w:szCs w:val="20"/>
                <w:u w:val="single"/>
              </w:rPr>
              <w:t>Nature of the case:</w:t>
            </w:r>
          </w:p>
          <w:p w:rsidR="003643E6" w:rsidRPr="001A663B" w:rsidRDefault="003643E6" w:rsidP="00644732">
            <w:pPr>
              <w:widowControl w:val="0"/>
              <w:jc w:val="both"/>
              <w:rPr>
                <w:b/>
                <w:sz w:val="20"/>
                <w:szCs w:val="20"/>
              </w:rPr>
            </w:pPr>
          </w:p>
          <w:p w:rsidR="003643E6" w:rsidRPr="00C1697B" w:rsidRDefault="00F67B96" w:rsidP="00644732">
            <w:pPr>
              <w:widowControl w:val="0"/>
              <w:jc w:val="both"/>
              <w:rPr>
                <w:b/>
                <w:sz w:val="20"/>
                <w:szCs w:val="20"/>
              </w:rPr>
            </w:pPr>
            <w:r w:rsidRPr="000C4B4F">
              <w:rPr>
                <w:sz w:val="20"/>
                <w:szCs w:val="20"/>
              </w:rPr>
              <w:t xml:space="preserve">Commercial law - Construction law - Liens - Whether the filing of a lien bond in court in the full amount of a subcontractor’s lien claim extinguishes the contractor’s obligation to that subcontractor under the trust provisions of </w:t>
            </w:r>
            <w:r w:rsidRPr="000C4B4F">
              <w:rPr>
                <w:i/>
                <w:sz w:val="20"/>
                <w:szCs w:val="20"/>
              </w:rPr>
              <w:t>The Builders’ Lien Act</w:t>
            </w:r>
            <w:r w:rsidRPr="000C4B4F">
              <w:rPr>
                <w:sz w:val="20"/>
                <w:szCs w:val="20"/>
              </w:rPr>
              <w:t xml:space="preserve"> - </w:t>
            </w:r>
            <w:r w:rsidRPr="000C4B4F">
              <w:rPr>
                <w:i/>
                <w:sz w:val="20"/>
                <w:szCs w:val="20"/>
              </w:rPr>
              <w:t>The Builders’ Lien Act</w:t>
            </w:r>
            <w:r w:rsidRPr="000C4B4F">
              <w:rPr>
                <w:sz w:val="20"/>
                <w:szCs w:val="20"/>
              </w:rPr>
              <w:t>, C.C.S.M. c. B91.</w:t>
            </w:r>
          </w:p>
        </w:tc>
        <w:tc>
          <w:tcPr>
            <w:tcW w:w="720" w:type="dxa"/>
            <w:tcMar>
              <w:left w:w="0" w:type="dxa"/>
              <w:right w:w="0" w:type="dxa"/>
            </w:tcMar>
          </w:tcPr>
          <w:p w:rsidR="003643E6" w:rsidRPr="00C1697B" w:rsidRDefault="003643E6" w:rsidP="00644732">
            <w:pPr>
              <w:widowControl w:val="0"/>
              <w:jc w:val="center"/>
              <w:rPr>
                <w:sz w:val="20"/>
                <w:szCs w:val="20"/>
              </w:rPr>
            </w:pPr>
          </w:p>
        </w:tc>
        <w:tc>
          <w:tcPr>
            <w:tcW w:w="4380" w:type="dxa"/>
            <w:tcMar>
              <w:left w:w="0" w:type="dxa"/>
              <w:right w:w="0" w:type="dxa"/>
            </w:tcMar>
          </w:tcPr>
          <w:p w:rsidR="003643E6" w:rsidRPr="00CC4D84" w:rsidRDefault="003643E6" w:rsidP="00644732">
            <w:pPr>
              <w:widowControl w:val="0"/>
              <w:jc w:val="both"/>
              <w:rPr>
                <w:b/>
                <w:sz w:val="20"/>
                <w:szCs w:val="20"/>
                <w:u w:val="single"/>
                <w:lang w:val="fr-CA"/>
              </w:rPr>
            </w:pPr>
            <w:r w:rsidRPr="00CC4D84">
              <w:rPr>
                <w:b/>
                <w:sz w:val="20"/>
                <w:szCs w:val="20"/>
                <w:u w:val="single"/>
                <w:lang w:val="fr-CA"/>
              </w:rPr>
              <w:t>Nature de la cause :</w:t>
            </w:r>
          </w:p>
          <w:p w:rsidR="003643E6" w:rsidRPr="00C1697B" w:rsidRDefault="003643E6" w:rsidP="00644732">
            <w:pPr>
              <w:widowControl w:val="0"/>
              <w:jc w:val="both"/>
              <w:rPr>
                <w:sz w:val="20"/>
                <w:szCs w:val="20"/>
                <w:lang w:val="fr-CA"/>
              </w:rPr>
            </w:pPr>
          </w:p>
          <w:p w:rsidR="003643E6" w:rsidRPr="00C1697B" w:rsidRDefault="00F67B96" w:rsidP="00644732">
            <w:pPr>
              <w:widowControl w:val="0"/>
              <w:jc w:val="both"/>
              <w:rPr>
                <w:sz w:val="20"/>
                <w:szCs w:val="20"/>
                <w:lang w:val="fr-CA"/>
              </w:rPr>
            </w:pPr>
            <w:r w:rsidRPr="00967594">
              <w:rPr>
                <w:sz w:val="20"/>
                <w:szCs w:val="20"/>
                <w:lang w:val="fr-CA"/>
              </w:rPr>
              <w:t xml:space="preserve">Droit commercial - Droit de la construction - Privilèges - Le dépôt au tribunal d’un cautionnement tenant lieu de privilège pour le plein montant de la revendication de privilège du sous-traitant a-t-il pour effet d’éteindre l’obligation de l’entrepreneur envers ce sous-traitant en application des dispositions fiduciaires de la </w:t>
            </w:r>
            <w:r w:rsidRPr="00967594">
              <w:rPr>
                <w:i/>
                <w:sz w:val="20"/>
                <w:szCs w:val="20"/>
                <w:lang w:val="fr-CA"/>
              </w:rPr>
              <w:t>Loi sur le privilège du constructeur</w:t>
            </w:r>
            <w:r w:rsidRPr="00967594">
              <w:rPr>
                <w:sz w:val="20"/>
                <w:szCs w:val="20"/>
                <w:lang w:val="fr-CA"/>
              </w:rPr>
              <w:t xml:space="preserve">? - </w:t>
            </w:r>
            <w:r w:rsidRPr="00967594">
              <w:rPr>
                <w:i/>
                <w:sz w:val="20"/>
                <w:szCs w:val="20"/>
                <w:lang w:val="fr-CA"/>
              </w:rPr>
              <w:t>Loi sur le privilège du constructeur</w:t>
            </w:r>
            <w:r w:rsidRPr="00967594">
              <w:rPr>
                <w:sz w:val="20"/>
                <w:szCs w:val="20"/>
                <w:lang w:val="fr-CA"/>
              </w:rPr>
              <w:t>, C.P.L.M. ch. B91.</w:t>
            </w:r>
          </w:p>
        </w:tc>
      </w:tr>
    </w:tbl>
    <w:p w:rsidR="003643E6" w:rsidRDefault="003643E6" w:rsidP="003643E6">
      <w:pPr>
        <w:widowControl w:val="0"/>
        <w:rPr>
          <w:sz w:val="20"/>
          <w:szCs w:val="20"/>
          <w:lang w:val="fr-CA"/>
        </w:rPr>
      </w:pPr>
    </w:p>
    <w:p w:rsidR="003643E6" w:rsidRDefault="008A5B26" w:rsidP="003643E6">
      <w:pPr>
        <w:widowControl w:val="0"/>
        <w:rPr>
          <w:sz w:val="20"/>
          <w:szCs w:val="20"/>
        </w:rPr>
      </w:pPr>
      <w:r>
        <w:rPr>
          <w:sz w:val="20"/>
          <w:szCs w:val="20"/>
          <w:lang w:val="fr-CA"/>
        </w:rPr>
        <w:pict>
          <v:rect id="_x0000_i1082" style="width:2in;height:1pt" o:hrpct="0" o:hralign="center" o:hrstd="t" o:hrnoshade="t" o:hr="t" fillcolor="black [3213]" stroked="f"/>
        </w:pict>
      </w:r>
    </w:p>
    <w:p w:rsidR="003643E6" w:rsidRDefault="003643E6" w:rsidP="003643E6">
      <w:pPr>
        <w:widowControl w:val="0"/>
        <w:rPr>
          <w:sz w:val="20"/>
          <w:szCs w:val="20"/>
        </w:rPr>
      </w:pPr>
    </w:p>
    <w:p w:rsidR="003643E6" w:rsidRPr="00021805" w:rsidRDefault="00644732" w:rsidP="003643E6">
      <w:pPr>
        <w:widowControl w:val="0"/>
        <w:rPr>
          <w:sz w:val="20"/>
          <w:szCs w:val="20"/>
        </w:rPr>
      </w:pPr>
      <w:r w:rsidRPr="00021805">
        <w:rPr>
          <w:sz w:val="20"/>
          <w:szCs w:val="20"/>
        </w:rPr>
        <w:t>20</w:t>
      </w:r>
      <w:r w:rsidR="003643E6" w:rsidRPr="00021805">
        <w:rPr>
          <w:sz w:val="20"/>
          <w:szCs w:val="20"/>
        </w:rPr>
        <w:t>.01.2015</w:t>
      </w:r>
    </w:p>
    <w:p w:rsidR="003643E6" w:rsidRPr="00021805" w:rsidRDefault="003643E6" w:rsidP="003643E6">
      <w:pPr>
        <w:widowControl w:val="0"/>
        <w:rPr>
          <w:sz w:val="20"/>
          <w:szCs w:val="20"/>
        </w:rPr>
      </w:pPr>
    </w:p>
    <w:p w:rsidR="00046374" w:rsidRPr="00A64FFA" w:rsidRDefault="00046374" w:rsidP="00046374">
      <w:pPr>
        <w:widowControl w:val="0"/>
        <w:ind w:left="720" w:hanging="720"/>
        <w:rPr>
          <w:sz w:val="20"/>
          <w:szCs w:val="20"/>
          <w:u w:val="single"/>
        </w:rPr>
      </w:pPr>
      <w:r w:rsidRPr="00A64FFA">
        <w:rPr>
          <w:sz w:val="20"/>
          <w:szCs w:val="20"/>
        </w:rPr>
        <w:t xml:space="preserve">Coram: </w:t>
      </w:r>
      <w:r w:rsidRPr="00A64FFA">
        <w:rPr>
          <w:sz w:val="20"/>
          <w:szCs w:val="20"/>
        </w:rPr>
        <w:tab/>
      </w:r>
      <w:r w:rsidRPr="00A64FFA">
        <w:rPr>
          <w:sz w:val="20"/>
          <w:szCs w:val="20"/>
          <w:u w:val="single"/>
        </w:rPr>
        <w:t>McLachlin C.J. and Abella, Rothstein, Cromwell, Moldaver, Karakatsanis, Wagner, Gascon and Côté JJ.</w:t>
      </w:r>
    </w:p>
    <w:p w:rsidR="003643E6" w:rsidRPr="00021805" w:rsidRDefault="003643E6" w:rsidP="003643E6">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643E6" w:rsidRPr="00587209" w:rsidTr="00644732">
        <w:tc>
          <w:tcPr>
            <w:tcW w:w="4380" w:type="dxa"/>
            <w:tcMar>
              <w:left w:w="0" w:type="dxa"/>
              <w:right w:w="0" w:type="dxa"/>
            </w:tcMar>
          </w:tcPr>
          <w:p w:rsidR="00046374" w:rsidRPr="00021805" w:rsidRDefault="00046374" w:rsidP="00046374">
            <w:pPr>
              <w:rPr>
                <w:b/>
                <w:iCs/>
                <w:sz w:val="20"/>
                <w:szCs w:val="20"/>
                <w:lang w:val="fr-CA"/>
              </w:rPr>
            </w:pPr>
            <w:r w:rsidRPr="00021805">
              <w:rPr>
                <w:b/>
                <w:iCs/>
                <w:sz w:val="20"/>
                <w:szCs w:val="20"/>
                <w:lang w:val="fr-CA"/>
              </w:rPr>
              <w:t xml:space="preserve">Robert T. Strickland et al. </w:t>
            </w:r>
          </w:p>
          <w:p w:rsidR="00046374" w:rsidRPr="00021805" w:rsidRDefault="00046374" w:rsidP="00046374">
            <w:pPr>
              <w:rPr>
                <w:b/>
                <w:iCs/>
                <w:sz w:val="20"/>
                <w:szCs w:val="20"/>
                <w:lang w:val="fr-CA"/>
              </w:rPr>
            </w:pPr>
          </w:p>
          <w:p w:rsidR="00046374" w:rsidRDefault="00046374" w:rsidP="00046374">
            <w:pPr>
              <w:rPr>
                <w:b/>
                <w:iCs/>
                <w:sz w:val="20"/>
                <w:szCs w:val="20"/>
              </w:rPr>
            </w:pPr>
            <w:r w:rsidRPr="00021805">
              <w:rPr>
                <w:b/>
                <w:iCs/>
                <w:sz w:val="20"/>
                <w:szCs w:val="20"/>
                <w:lang w:val="fr-CA"/>
              </w:rPr>
              <w:tab/>
            </w:r>
            <w:r w:rsidRPr="00A64FFA">
              <w:rPr>
                <w:b/>
                <w:iCs/>
                <w:sz w:val="20"/>
                <w:szCs w:val="20"/>
              </w:rPr>
              <w:t xml:space="preserve">v. </w:t>
            </w:r>
            <w:r w:rsidRPr="00A64FFA">
              <w:rPr>
                <w:sz w:val="20"/>
                <w:szCs w:val="20"/>
              </w:rPr>
              <w:t>(</w:t>
            </w:r>
            <w:hyperlink r:id="rId57" w:history="1">
              <w:r w:rsidRPr="00A64FFA">
                <w:rPr>
                  <w:rStyle w:val="Hyperlink"/>
                  <w:sz w:val="20"/>
                  <w:szCs w:val="20"/>
                </w:rPr>
                <w:t>35808</w:t>
              </w:r>
            </w:hyperlink>
            <w:r w:rsidRPr="00A64FFA">
              <w:rPr>
                <w:sz w:val="20"/>
                <w:szCs w:val="20"/>
              </w:rPr>
              <w:t>)</w:t>
            </w:r>
          </w:p>
          <w:p w:rsidR="00046374" w:rsidRDefault="00046374" w:rsidP="00046374">
            <w:pPr>
              <w:rPr>
                <w:b/>
                <w:iCs/>
                <w:sz w:val="20"/>
                <w:szCs w:val="20"/>
              </w:rPr>
            </w:pPr>
          </w:p>
          <w:p w:rsidR="003643E6" w:rsidRPr="00EA0658" w:rsidRDefault="00046374" w:rsidP="00046374">
            <w:pPr>
              <w:rPr>
                <w:sz w:val="20"/>
                <w:szCs w:val="20"/>
                <w:lang w:val="fr-CA"/>
              </w:rPr>
            </w:pPr>
            <w:r w:rsidRPr="00046374">
              <w:rPr>
                <w:b/>
                <w:iCs/>
                <w:sz w:val="20"/>
                <w:szCs w:val="20"/>
              </w:rPr>
              <w:t xml:space="preserve">Attorney General of Canada </w:t>
            </w:r>
            <w:r w:rsidRPr="00046374">
              <w:rPr>
                <w:b/>
                <w:sz w:val="20"/>
                <w:szCs w:val="20"/>
              </w:rPr>
              <w:t>(F.C.) (Civil) (By Leave)</w:t>
            </w:r>
            <w:r w:rsidRPr="00A64FFA">
              <w:rPr>
                <w:sz w:val="20"/>
                <w:szCs w:val="20"/>
              </w:rPr>
              <w:t xml:space="preserve"> </w:t>
            </w:r>
          </w:p>
        </w:tc>
        <w:tc>
          <w:tcPr>
            <w:tcW w:w="720" w:type="dxa"/>
            <w:tcMar>
              <w:left w:w="0" w:type="dxa"/>
              <w:right w:w="0" w:type="dxa"/>
            </w:tcMar>
          </w:tcPr>
          <w:p w:rsidR="003643E6" w:rsidRPr="00EA0658" w:rsidRDefault="003643E6" w:rsidP="00644732">
            <w:pPr>
              <w:widowControl w:val="0"/>
              <w:jc w:val="center"/>
              <w:rPr>
                <w:sz w:val="20"/>
                <w:szCs w:val="20"/>
                <w:lang w:val="fr-CA"/>
              </w:rPr>
            </w:pPr>
          </w:p>
        </w:tc>
        <w:tc>
          <w:tcPr>
            <w:tcW w:w="4380" w:type="dxa"/>
            <w:tcMar>
              <w:left w:w="0" w:type="dxa"/>
              <w:right w:w="0" w:type="dxa"/>
            </w:tcMar>
          </w:tcPr>
          <w:p w:rsidR="00587209" w:rsidRPr="008A4573" w:rsidRDefault="00587209" w:rsidP="00587209">
            <w:pPr>
              <w:tabs>
                <w:tab w:val="left" w:pos="-2970"/>
              </w:tabs>
              <w:jc w:val="both"/>
              <w:rPr>
                <w:sz w:val="20"/>
                <w:szCs w:val="20"/>
                <w:lang w:val="en-US"/>
              </w:rPr>
            </w:pPr>
            <w:r w:rsidRPr="008A4573">
              <w:rPr>
                <w:sz w:val="20"/>
                <w:szCs w:val="20"/>
                <w:lang w:val="en-US"/>
              </w:rPr>
              <w:t>Glenn Solomon, Q.C.</w:t>
            </w:r>
            <w:r>
              <w:rPr>
                <w:sz w:val="20"/>
                <w:szCs w:val="20"/>
                <w:lang w:val="en-US"/>
              </w:rPr>
              <w:t xml:space="preserve"> and </w:t>
            </w:r>
            <w:r w:rsidRPr="008A4573">
              <w:rPr>
                <w:sz w:val="20"/>
                <w:szCs w:val="20"/>
                <w:lang w:val="en-US"/>
              </w:rPr>
              <w:t>Laura Warner</w:t>
            </w:r>
            <w:r>
              <w:rPr>
                <w:sz w:val="20"/>
                <w:szCs w:val="20"/>
                <w:lang w:val="en-US"/>
              </w:rPr>
              <w:t xml:space="preserve"> f</w:t>
            </w:r>
            <w:r w:rsidRPr="008A4573">
              <w:rPr>
                <w:sz w:val="20"/>
                <w:szCs w:val="20"/>
                <w:lang w:val="en-US"/>
              </w:rPr>
              <w:t xml:space="preserve">or the </w:t>
            </w:r>
            <w:r>
              <w:rPr>
                <w:sz w:val="20"/>
                <w:szCs w:val="20"/>
                <w:lang w:val="en-US"/>
              </w:rPr>
              <w:t>a</w:t>
            </w:r>
            <w:r w:rsidRPr="008A4573">
              <w:rPr>
                <w:sz w:val="20"/>
                <w:szCs w:val="20"/>
                <w:lang w:val="en-US"/>
              </w:rPr>
              <w:t>ppellant.</w:t>
            </w:r>
          </w:p>
          <w:p w:rsidR="00587209" w:rsidRPr="008A4573" w:rsidRDefault="00587209" w:rsidP="00587209">
            <w:pPr>
              <w:tabs>
                <w:tab w:val="left" w:pos="-2970"/>
              </w:tabs>
              <w:jc w:val="both"/>
              <w:rPr>
                <w:sz w:val="20"/>
                <w:szCs w:val="20"/>
                <w:lang w:val="en-US"/>
              </w:rPr>
            </w:pPr>
          </w:p>
          <w:p w:rsidR="003643E6" w:rsidRPr="00587209" w:rsidRDefault="00587209" w:rsidP="00587209">
            <w:pPr>
              <w:widowControl w:val="0"/>
              <w:jc w:val="both"/>
              <w:rPr>
                <w:sz w:val="20"/>
                <w:szCs w:val="20"/>
              </w:rPr>
            </w:pPr>
            <w:r w:rsidRPr="008A4573">
              <w:rPr>
                <w:sz w:val="20"/>
                <w:szCs w:val="20"/>
                <w:lang w:val="en-US"/>
              </w:rPr>
              <w:t>Anne M. Turley</w:t>
            </w:r>
            <w:r>
              <w:rPr>
                <w:sz w:val="20"/>
                <w:szCs w:val="20"/>
                <w:lang w:val="en-US"/>
              </w:rPr>
              <w:t xml:space="preserve"> and </w:t>
            </w:r>
            <w:r w:rsidRPr="008A4573">
              <w:rPr>
                <w:sz w:val="20"/>
                <w:szCs w:val="20"/>
                <w:lang w:val="en-US"/>
              </w:rPr>
              <w:t>Catherine A. Lawrence</w:t>
            </w:r>
            <w:r>
              <w:rPr>
                <w:sz w:val="20"/>
                <w:szCs w:val="20"/>
                <w:lang w:val="en-US"/>
              </w:rPr>
              <w:t xml:space="preserve"> f</w:t>
            </w:r>
            <w:r w:rsidRPr="008A4573">
              <w:rPr>
                <w:sz w:val="20"/>
                <w:szCs w:val="20"/>
                <w:lang w:val="en-US"/>
              </w:rPr>
              <w:t xml:space="preserve">or the </w:t>
            </w:r>
            <w:r>
              <w:rPr>
                <w:sz w:val="20"/>
                <w:szCs w:val="20"/>
                <w:lang w:val="en-US"/>
              </w:rPr>
              <w:t>r</w:t>
            </w:r>
            <w:r w:rsidRPr="008A4573">
              <w:rPr>
                <w:sz w:val="20"/>
                <w:szCs w:val="20"/>
                <w:lang w:val="en-US"/>
              </w:rPr>
              <w:t>espondent.</w:t>
            </w:r>
          </w:p>
        </w:tc>
      </w:tr>
    </w:tbl>
    <w:p w:rsidR="003643E6" w:rsidRPr="00587209" w:rsidRDefault="003643E6" w:rsidP="003643E6">
      <w:pPr>
        <w:widowControl w:val="0"/>
        <w:rPr>
          <w:sz w:val="20"/>
          <w:szCs w:val="20"/>
        </w:rPr>
      </w:pPr>
    </w:p>
    <w:p w:rsidR="003643E6" w:rsidRPr="0085476B" w:rsidRDefault="003643E6" w:rsidP="003643E6">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3643E6" w:rsidRDefault="003643E6" w:rsidP="003643E6"/>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643E6" w:rsidRPr="00021805" w:rsidTr="00644732">
        <w:tc>
          <w:tcPr>
            <w:tcW w:w="4380" w:type="dxa"/>
            <w:tcMar>
              <w:left w:w="0" w:type="dxa"/>
              <w:right w:w="0" w:type="dxa"/>
            </w:tcMar>
          </w:tcPr>
          <w:p w:rsidR="003643E6" w:rsidRPr="00CC4D84" w:rsidRDefault="003643E6" w:rsidP="00644732">
            <w:pPr>
              <w:widowControl w:val="0"/>
              <w:jc w:val="both"/>
              <w:rPr>
                <w:b/>
                <w:sz w:val="20"/>
                <w:szCs w:val="20"/>
                <w:u w:val="single"/>
              </w:rPr>
            </w:pPr>
            <w:r w:rsidRPr="00CC4D84">
              <w:rPr>
                <w:b/>
                <w:sz w:val="20"/>
                <w:szCs w:val="20"/>
                <w:u w:val="single"/>
              </w:rPr>
              <w:t>Nature of the case:</w:t>
            </w:r>
          </w:p>
          <w:p w:rsidR="003643E6" w:rsidRPr="001A663B" w:rsidRDefault="003643E6" w:rsidP="00644732">
            <w:pPr>
              <w:widowControl w:val="0"/>
              <w:jc w:val="both"/>
              <w:rPr>
                <w:b/>
                <w:sz w:val="20"/>
                <w:szCs w:val="20"/>
              </w:rPr>
            </w:pPr>
          </w:p>
          <w:p w:rsidR="003643E6" w:rsidRPr="00C1697B" w:rsidRDefault="00F67B96" w:rsidP="00644732">
            <w:pPr>
              <w:widowControl w:val="0"/>
              <w:jc w:val="both"/>
              <w:rPr>
                <w:b/>
                <w:sz w:val="20"/>
                <w:szCs w:val="20"/>
              </w:rPr>
            </w:pPr>
            <w:r w:rsidRPr="008A1983">
              <w:rPr>
                <w:sz w:val="20"/>
                <w:szCs w:val="20"/>
              </w:rPr>
              <w:t xml:space="preserve">Administrative law - Judicial Review - Jurisdiction to review the validity of federal subordinate legislation on an administrative law basis - Scope of Federal Court discretion to decline jurisdiction - </w:t>
            </w:r>
            <w:r w:rsidRPr="008A1983">
              <w:rPr>
                <w:i/>
                <w:sz w:val="20"/>
                <w:szCs w:val="20"/>
              </w:rPr>
              <w:t>Federal Courts Act</w:t>
            </w:r>
            <w:r w:rsidRPr="008A1983">
              <w:rPr>
                <w:sz w:val="20"/>
                <w:szCs w:val="20"/>
              </w:rPr>
              <w:t xml:space="preserve">, R.S.C. 1985, c. F-7, ss. 18 and 18.1 - Did the courts below err in concluding that the provincial superior courts have concurrent jurisdiction over these proceedings? - Did the courts below err in using judicial discretion to override clear legislative intent? - Did the courts below err in concluding that the </w:t>
            </w:r>
            <w:r w:rsidRPr="008A1983">
              <w:rPr>
                <w:sz w:val="20"/>
                <w:szCs w:val="20"/>
              </w:rPr>
              <w:lastRenderedPageBreak/>
              <w:t>appellants had access to an adequate alternative remedy?</w:t>
            </w:r>
          </w:p>
        </w:tc>
        <w:tc>
          <w:tcPr>
            <w:tcW w:w="720" w:type="dxa"/>
            <w:tcMar>
              <w:left w:w="0" w:type="dxa"/>
              <w:right w:w="0" w:type="dxa"/>
            </w:tcMar>
          </w:tcPr>
          <w:p w:rsidR="003643E6" w:rsidRPr="00C1697B" w:rsidRDefault="003643E6" w:rsidP="00644732">
            <w:pPr>
              <w:widowControl w:val="0"/>
              <w:jc w:val="center"/>
              <w:rPr>
                <w:sz w:val="20"/>
                <w:szCs w:val="20"/>
              </w:rPr>
            </w:pPr>
          </w:p>
        </w:tc>
        <w:tc>
          <w:tcPr>
            <w:tcW w:w="4380" w:type="dxa"/>
            <w:tcMar>
              <w:left w:w="0" w:type="dxa"/>
              <w:right w:w="0" w:type="dxa"/>
            </w:tcMar>
          </w:tcPr>
          <w:p w:rsidR="003643E6" w:rsidRPr="00CC4D84" w:rsidRDefault="003643E6" w:rsidP="00644732">
            <w:pPr>
              <w:widowControl w:val="0"/>
              <w:jc w:val="both"/>
              <w:rPr>
                <w:b/>
                <w:sz w:val="20"/>
                <w:szCs w:val="20"/>
                <w:u w:val="single"/>
                <w:lang w:val="fr-CA"/>
              </w:rPr>
            </w:pPr>
            <w:r w:rsidRPr="00CC4D84">
              <w:rPr>
                <w:b/>
                <w:sz w:val="20"/>
                <w:szCs w:val="20"/>
                <w:u w:val="single"/>
                <w:lang w:val="fr-CA"/>
              </w:rPr>
              <w:t>Nature de la cause :</w:t>
            </w:r>
          </w:p>
          <w:p w:rsidR="003643E6" w:rsidRPr="00C1697B" w:rsidRDefault="003643E6" w:rsidP="00644732">
            <w:pPr>
              <w:widowControl w:val="0"/>
              <w:jc w:val="both"/>
              <w:rPr>
                <w:sz w:val="20"/>
                <w:szCs w:val="20"/>
                <w:lang w:val="fr-CA"/>
              </w:rPr>
            </w:pPr>
          </w:p>
          <w:p w:rsidR="003643E6" w:rsidRPr="00C1697B" w:rsidRDefault="00F67B96" w:rsidP="00644732">
            <w:pPr>
              <w:widowControl w:val="0"/>
              <w:jc w:val="both"/>
              <w:rPr>
                <w:sz w:val="20"/>
                <w:szCs w:val="20"/>
                <w:lang w:val="fr-CA"/>
              </w:rPr>
            </w:pPr>
            <w:r w:rsidRPr="00993C67">
              <w:rPr>
                <w:sz w:val="20"/>
                <w:szCs w:val="20"/>
                <w:lang w:val="fr-CA"/>
              </w:rPr>
              <w:t xml:space="preserve">Droit administratif - Contrôle judiciaire - Pouvoir d’examiner la validité d’un texte législatif subordonné du gouvernement fédéral pour des raisons de droit administratif - Étendue du pouvoir discrétionnaire de la Cour fédérale de décliner compétence - </w:t>
            </w:r>
            <w:r w:rsidRPr="00993C67">
              <w:rPr>
                <w:i/>
                <w:sz w:val="20"/>
                <w:szCs w:val="20"/>
                <w:lang w:val="fr-CA"/>
              </w:rPr>
              <w:t>Loi sur les Cours fédérales</w:t>
            </w:r>
            <w:r w:rsidRPr="00993C67">
              <w:rPr>
                <w:sz w:val="20"/>
                <w:szCs w:val="20"/>
                <w:lang w:val="fr-CA"/>
              </w:rPr>
              <w:t xml:space="preserve">, L.R.C. 1985, ch. F-7, art. 18 et 18.1 - Les juridictions inférieures ont-elles eu tort de conclure que les cours supérieures provinciales avaient compétence concurrente en l’espèce? - Les juridictions inférieures ont-elles eu tort d’exercer leur </w:t>
            </w:r>
            <w:r w:rsidRPr="00993C67">
              <w:rPr>
                <w:sz w:val="20"/>
                <w:szCs w:val="20"/>
                <w:lang w:val="fr-CA"/>
              </w:rPr>
              <w:lastRenderedPageBreak/>
              <w:t>pouvoir discrétionnaire pour passer outre à l’intention claire du législateur? - Les juridictions inférieures ont-elles eu tort de conclure que les appelants disposaient d’un autre recours approprié?</w:t>
            </w:r>
          </w:p>
        </w:tc>
      </w:tr>
    </w:tbl>
    <w:p w:rsidR="003643E6" w:rsidRDefault="003643E6" w:rsidP="003643E6">
      <w:pPr>
        <w:widowControl w:val="0"/>
        <w:rPr>
          <w:sz w:val="20"/>
          <w:szCs w:val="20"/>
          <w:lang w:val="fr-CA"/>
        </w:rPr>
      </w:pPr>
    </w:p>
    <w:p w:rsidR="003643E6" w:rsidRDefault="008A5B26" w:rsidP="003643E6">
      <w:pPr>
        <w:widowControl w:val="0"/>
        <w:rPr>
          <w:sz w:val="20"/>
          <w:szCs w:val="20"/>
        </w:rPr>
      </w:pPr>
      <w:r>
        <w:rPr>
          <w:sz w:val="20"/>
          <w:szCs w:val="20"/>
          <w:lang w:val="fr-CA"/>
        </w:rPr>
        <w:pict>
          <v:rect id="_x0000_i1083" style="width:2in;height:1pt" o:hrpct="0" o:hralign="center" o:hrstd="t" o:hrnoshade="t" o:hr="t" fillcolor="black [3213]" stroked="f"/>
        </w:pict>
      </w:r>
    </w:p>
    <w:p w:rsidR="003643E6" w:rsidRDefault="003643E6" w:rsidP="003643E6">
      <w:pPr>
        <w:widowControl w:val="0"/>
        <w:rPr>
          <w:sz w:val="20"/>
          <w:szCs w:val="20"/>
        </w:rPr>
      </w:pPr>
    </w:p>
    <w:p w:rsidR="003643E6" w:rsidRPr="00C97437" w:rsidRDefault="00046374" w:rsidP="003643E6">
      <w:pPr>
        <w:widowControl w:val="0"/>
        <w:rPr>
          <w:sz w:val="20"/>
          <w:szCs w:val="20"/>
          <w:lang w:val="fr-CA"/>
        </w:rPr>
      </w:pPr>
      <w:r>
        <w:rPr>
          <w:sz w:val="20"/>
          <w:szCs w:val="20"/>
          <w:lang w:val="fr-CA"/>
        </w:rPr>
        <w:t>2</w:t>
      </w:r>
      <w:r w:rsidR="003643E6">
        <w:rPr>
          <w:sz w:val="20"/>
          <w:szCs w:val="20"/>
          <w:lang w:val="fr-CA"/>
        </w:rPr>
        <w:t>1</w:t>
      </w:r>
      <w:r w:rsidR="003643E6" w:rsidRPr="00C97437">
        <w:rPr>
          <w:sz w:val="20"/>
          <w:szCs w:val="20"/>
          <w:lang w:val="fr-CA"/>
        </w:rPr>
        <w:t>.0</w:t>
      </w:r>
      <w:r w:rsidR="003643E6">
        <w:rPr>
          <w:sz w:val="20"/>
          <w:szCs w:val="20"/>
          <w:lang w:val="fr-CA"/>
        </w:rPr>
        <w:t>1</w:t>
      </w:r>
      <w:r w:rsidR="003643E6" w:rsidRPr="00C97437">
        <w:rPr>
          <w:sz w:val="20"/>
          <w:szCs w:val="20"/>
          <w:lang w:val="fr-CA"/>
        </w:rPr>
        <w:t>.201</w:t>
      </w:r>
      <w:r w:rsidR="003643E6">
        <w:rPr>
          <w:sz w:val="20"/>
          <w:szCs w:val="20"/>
          <w:lang w:val="fr-CA"/>
        </w:rPr>
        <w:t>5</w:t>
      </w:r>
    </w:p>
    <w:p w:rsidR="003643E6" w:rsidRDefault="003643E6" w:rsidP="003643E6">
      <w:pPr>
        <w:widowControl w:val="0"/>
        <w:rPr>
          <w:sz w:val="20"/>
          <w:szCs w:val="20"/>
          <w:lang w:val="fr-CA"/>
        </w:rPr>
      </w:pPr>
    </w:p>
    <w:p w:rsidR="00046374" w:rsidRPr="00EC238D" w:rsidRDefault="00046374" w:rsidP="00046374">
      <w:pPr>
        <w:ind w:left="720" w:hanging="720"/>
        <w:rPr>
          <w:sz w:val="20"/>
          <w:szCs w:val="20"/>
          <w:u w:val="single"/>
          <w:lang w:val="fr-CA"/>
        </w:rPr>
      </w:pPr>
      <w:r w:rsidRPr="00EC238D">
        <w:rPr>
          <w:sz w:val="20"/>
          <w:szCs w:val="20"/>
          <w:lang w:val="fr-CA"/>
        </w:rPr>
        <w:t>Coram:</w:t>
      </w:r>
      <w:r w:rsidRPr="00EC238D">
        <w:rPr>
          <w:sz w:val="20"/>
          <w:szCs w:val="20"/>
          <w:lang w:val="fr-CA"/>
        </w:rPr>
        <w:tab/>
      </w:r>
      <w:r w:rsidRPr="00EC238D">
        <w:rPr>
          <w:sz w:val="20"/>
          <w:szCs w:val="20"/>
          <w:u w:val="single"/>
          <w:lang w:val="fr-CA"/>
        </w:rPr>
        <w:t>La juge en chef McLachlin et les juges Abella, Rothstein, Moldaver, Karakatsanis, Wagner et Gascon</w:t>
      </w:r>
    </w:p>
    <w:p w:rsidR="003643E6" w:rsidRPr="00C97437" w:rsidRDefault="003643E6" w:rsidP="003643E6">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643E6" w:rsidRPr="005B5748" w:rsidTr="00644732">
        <w:tc>
          <w:tcPr>
            <w:tcW w:w="4380" w:type="dxa"/>
            <w:tcMar>
              <w:left w:w="0" w:type="dxa"/>
              <w:right w:w="0" w:type="dxa"/>
            </w:tcMar>
          </w:tcPr>
          <w:p w:rsidR="00046374" w:rsidRDefault="00046374" w:rsidP="00046374">
            <w:pPr>
              <w:jc w:val="both"/>
              <w:rPr>
                <w:b/>
                <w:iCs/>
                <w:sz w:val="20"/>
                <w:szCs w:val="20"/>
                <w:lang w:val="fr-CA"/>
              </w:rPr>
            </w:pPr>
            <w:r w:rsidRPr="00EC238D">
              <w:rPr>
                <w:b/>
                <w:iCs/>
                <w:sz w:val="20"/>
                <w:szCs w:val="20"/>
                <w:lang w:val="fr-CA"/>
              </w:rPr>
              <w:t xml:space="preserve">Commission scolaire francophone du Yukon, district scolaire #23 </w:t>
            </w:r>
          </w:p>
          <w:p w:rsidR="00046374" w:rsidRDefault="00046374" w:rsidP="00046374">
            <w:pPr>
              <w:jc w:val="both"/>
              <w:rPr>
                <w:b/>
                <w:iCs/>
                <w:sz w:val="20"/>
                <w:szCs w:val="20"/>
                <w:lang w:val="fr-CA"/>
              </w:rPr>
            </w:pPr>
          </w:p>
          <w:p w:rsidR="00046374" w:rsidRDefault="00046374" w:rsidP="00046374">
            <w:pPr>
              <w:jc w:val="both"/>
              <w:rPr>
                <w:b/>
                <w:iCs/>
                <w:sz w:val="20"/>
                <w:szCs w:val="20"/>
                <w:lang w:val="fr-CA"/>
              </w:rPr>
            </w:pPr>
            <w:r>
              <w:rPr>
                <w:b/>
                <w:iCs/>
                <w:sz w:val="20"/>
                <w:szCs w:val="20"/>
                <w:lang w:val="fr-CA"/>
              </w:rPr>
              <w:tab/>
            </w:r>
            <w:r w:rsidRPr="00EC238D">
              <w:rPr>
                <w:b/>
                <w:iCs/>
                <w:sz w:val="20"/>
                <w:szCs w:val="20"/>
                <w:lang w:val="fr-CA"/>
              </w:rPr>
              <w:t xml:space="preserve">c. </w:t>
            </w:r>
            <w:r w:rsidRPr="00EC238D">
              <w:rPr>
                <w:sz w:val="20"/>
                <w:szCs w:val="20"/>
                <w:lang w:val="fr-CA"/>
              </w:rPr>
              <w:t>(</w:t>
            </w:r>
            <w:hyperlink r:id="rId58" w:history="1">
              <w:r w:rsidRPr="00EC238D">
                <w:rPr>
                  <w:rStyle w:val="Hyperlink"/>
                  <w:sz w:val="20"/>
                  <w:szCs w:val="20"/>
                  <w:lang w:val="fr-CA"/>
                </w:rPr>
                <w:t>35823</w:t>
              </w:r>
            </w:hyperlink>
            <w:r w:rsidRPr="00EC238D">
              <w:rPr>
                <w:sz w:val="20"/>
                <w:szCs w:val="20"/>
                <w:lang w:val="fr-CA"/>
              </w:rPr>
              <w:t>)</w:t>
            </w:r>
          </w:p>
          <w:p w:rsidR="00046374" w:rsidRDefault="00046374" w:rsidP="00046374">
            <w:pPr>
              <w:jc w:val="both"/>
              <w:rPr>
                <w:b/>
                <w:iCs/>
                <w:sz w:val="20"/>
                <w:szCs w:val="20"/>
                <w:lang w:val="fr-CA"/>
              </w:rPr>
            </w:pPr>
          </w:p>
          <w:p w:rsidR="003643E6" w:rsidRPr="00EA0658" w:rsidRDefault="00046374" w:rsidP="00046374">
            <w:pPr>
              <w:jc w:val="both"/>
              <w:rPr>
                <w:sz w:val="20"/>
                <w:szCs w:val="20"/>
                <w:lang w:val="fr-CA"/>
              </w:rPr>
            </w:pPr>
            <w:r w:rsidRPr="00046374">
              <w:rPr>
                <w:b/>
                <w:iCs/>
                <w:sz w:val="20"/>
                <w:szCs w:val="20"/>
                <w:lang w:val="fr-CA"/>
              </w:rPr>
              <w:t xml:space="preserve">Procureur générale du Territoire du Yukon </w:t>
            </w:r>
            <w:r w:rsidRPr="00046374">
              <w:rPr>
                <w:b/>
                <w:sz w:val="20"/>
                <w:szCs w:val="20"/>
                <w:lang w:val="fr-CA"/>
              </w:rPr>
              <w:t>(Yn) (Civile) (Autorisation)</w:t>
            </w:r>
          </w:p>
        </w:tc>
        <w:tc>
          <w:tcPr>
            <w:tcW w:w="720" w:type="dxa"/>
            <w:tcMar>
              <w:left w:w="0" w:type="dxa"/>
              <w:right w:w="0" w:type="dxa"/>
            </w:tcMar>
          </w:tcPr>
          <w:p w:rsidR="003643E6" w:rsidRPr="00EA0658" w:rsidRDefault="003643E6" w:rsidP="00644732">
            <w:pPr>
              <w:widowControl w:val="0"/>
              <w:jc w:val="center"/>
              <w:rPr>
                <w:sz w:val="20"/>
                <w:szCs w:val="20"/>
                <w:lang w:val="fr-CA"/>
              </w:rPr>
            </w:pPr>
          </w:p>
        </w:tc>
        <w:tc>
          <w:tcPr>
            <w:tcW w:w="4380" w:type="dxa"/>
            <w:tcMar>
              <w:left w:w="0" w:type="dxa"/>
              <w:right w:w="0" w:type="dxa"/>
            </w:tcMar>
          </w:tcPr>
          <w:p w:rsidR="005B5748" w:rsidRDefault="005B5748" w:rsidP="005B5748">
            <w:pPr>
              <w:jc w:val="both"/>
              <w:rPr>
                <w:sz w:val="20"/>
                <w:szCs w:val="20"/>
                <w:lang w:val="fr-CA"/>
              </w:rPr>
            </w:pPr>
            <w:r w:rsidRPr="00DE7B02">
              <w:rPr>
                <w:sz w:val="20"/>
                <w:szCs w:val="20"/>
                <w:lang w:val="fr-CA"/>
              </w:rPr>
              <w:t>Roger J.F. Lepage</w:t>
            </w:r>
            <w:r>
              <w:rPr>
                <w:sz w:val="20"/>
                <w:szCs w:val="20"/>
                <w:lang w:val="fr-CA"/>
              </w:rPr>
              <w:t xml:space="preserve">, </w:t>
            </w:r>
            <w:r w:rsidRPr="00DE7B02">
              <w:rPr>
                <w:sz w:val="20"/>
                <w:szCs w:val="20"/>
                <w:lang w:val="fr-CA"/>
              </w:rPr>
              <w:t>Francis P. Poulin</w:t>
            </w:r>
            <w:r>
              <w:rPr>
                <w:sz w:val="20"/>
                <w:szCs w:val="20"/>
                <w:lang w:val="fr-CA"/>
              </w:rPr>
              <w:t xml:space="preserve"> et </w:t>
            </w:r>
            <w:r w:rsidRPr="00DE7B02">
              <w:rPr>
                <w:sz w:val="20"/>
                <w:szCs w:val="20"/>
                <w:lang w:val="fr-CA"/>
              </w:rPr>
              <w:t>André Poulin-Denis</w:t>
            </w:r>
            <w:r>
              <w:rPr>
                <w:sz w:val="20"/>
                <w:szCs w:val="20"/>
                <w:lang w:val="fr-CA"/>
              </w:rPr>
              <w:t xml:space="preserve"> p</w:t>
            </w:r>
            <w:r w:rsidRPr="00DE7B02">
              <w:rPr>
                <w:sz w:val="20"/>
                <w:szCs w:val="20"/>
                <w:lang w:val="fr-CA"/>
              </w:rPr>
              <w:t>our l’appelante</w:t>
            </w:r>
            <w:r>
              <w:rPr>
                <w:sz w:val="20"/>
                <w:szCs w:val="20"/>
                <w:lang w:val="fr-CA"/>
              </w:rPr>
              <w:t>.</w:t>
            </w:r>
          </w:p>
          <w:p w:rsidR="005B5748" w:rsidRPr="00DE7B02" w:rsidRDefault="005B5748" w:rsidP="005B5748">
            <w:pPr>
              <w:jc w:val="both"/>
              <w:rPr>
                <w:sz w:val="20"/>
                <w:szCs w:val="20"/>
                <w:lang w:val="fr-CA"/>
              </w:rPr>
            </w:pPr>
          </w:p>
          <w:p w:rsidR="005B5748" w:rsidRPr="00DE7B02" w:rsidRDefault="005B5748" w:rsidP="005B5748">
            <w:pPr>
              <w:jc w:val="both"/>
              <w:rPr>
                <w:sz w:val="20"/>
                <w:szCs w:val="20"/>
                <w:lang w:val="fr-CA"/>
              </w:rPr>
            </w:pPr>
            <w:r w:rsidRPr="00DE7B02">
              <w:rPr>
                <w:sz w:val="20"/>
                <w:szCs w:val="20"/>
                <w:lang w:val="fr-CA"/>
              </w:rPr>
              <w:t>Pascale Giguère</w:t>
            </w:r>
            <w:r>
              <w:rPr>
                <w:sz w:val="20"/>
                <w:szCs w:val="20"/>
                <w:lang w:val="fr-CA"/>
              </w:rPr>
              <w:t xml:space="preserve"> et </w:t>
            </w:r>
            <w:r w:rsidRPr="00DE7B02">
              <w:rPr>
                <w:sz w:val="20"/>
                <w:szCs w:val="20"/>
                <w:lang w:val="fr-CA"/>
              </w:rPr>
              <w:t>Mathew Croitoru</w:t>
            </w:r>
            <w:r>
              <w:rPr>
                <w:sz w:val="20"/>
                <w:szCs w:val="20"/>
                <w:lang w:val="fr-CA"/>
              </w:rPr>
              <w:t xml:space="preserve"> p</w:t>
            </w:r>
            <w:r w:rsidRPr="00DE7B02">
              <w:rPr>
                <w:sz w:val="20"/>
                <w:szCs w:val="20"/>
                <w:lang w:val="fr-CA"/>
              </w:rPr>
              <w:t>our l’intervenante</w:t>
            </w:r>
            <w:r>
              <w:rPr>
                <w:sz w:val="20"/>
                <w:szCs w:val="20"/>
                <w:lang w:val="fr-CA"/>
              </w:rPr>
              <w:t xml:space="preserve"> </w:t>
            </w:r>
            <w:r w:rsidRPr="00DE7B02">
              <w:rPr>
                <w:sz w:val="20"/>
                <w:szCs w:val="20"/>
                <w:lang w:val="fr-CA"/>
              </w:rPr>
              <w:t>Commissaire aux langues officielles du Canada</w:t>
            </w:r>
            <w:r>
              <w:rPr>
                <w:sz w:val="20"/>
                <w:szCs w:val="20"/>
                <w:lang w:val="fr-CA"/>
              </w:rPr>
              <w:t>.</w:t>
            </w:r>
          </w:p>
          <w:p w:rsidR="005B5748" w:rsidRPr="00DE7B02" w:rsidRDefault="005B5748" w:rsidP="005B5748">
            <w:pPr>
              <w:jc w:val="both"/>
              <w:rPr>
                <w:sz w:val="20"/>
                <w:szCs w:val="20"/>
                <w:lang w:val="fr-CA"/>
              </w:rPr>
            </w:pPr>
          </w:p>
          <w:p w:rsidR="005B5748" w:rsidRPr="00DE7B02" w:rsidRDefault="005B5748" w:rsidP="005B5748">
            <w:pPr>
              <w:jc w:val="both"/>
              <w:rPr>
                <w:sz w:val="20"/>
                <w:szCs w:val="20"/>
                <w:lang w:val="fr-CA"/>
              </w:rPr>
            </w:pPr>
            <w:r w:rsidRPr="00DE7B02">
              <w:rPr>
                <w:sz w:val="20"/>
                <w:szCs w:val="20"/>
                <w:lang w:val="fr-CA"/>
              </w:rPr>
              <w:t>Rob Grant</w:t>
            </w:r>
            <w:r>
              <w:rPr>
                <w:sz w:val="20"/>
                <w:szCs w:val="20"/>
                <w:lang w:val="fr-CA"/>
              </w:rPr>
              <w:t xml:space="preserve">, </w:t>
            </w:r>
            <w:r w:rsidRPr="00DE7B02">
              <w:rPr>
                <w:sz w:val="20"/>
                <w:szCs w:val="20"/>
                <w:lang w:val="fr-CA"/>
              </w:rPr>
              <w:t>Maxine Vincelette</w:t>
            </w:r>
            <w:r>
              <w:rPr>
                <w:sz w:val="20"/>
                <w:szCs w:val="20"/>
                <w:lang w:val="fr-CA"/>
              </w:rPr>
              <w:t xml:space="preserve"> et </w:t>
            </w:r>
            <w:r w:rsidRPr="00DE7B02">
              <w:rPr>
                <w:sz w:val="20"/>
                <w:szCs w:val="20"/>
                <w:lang w:val="fr-CA"/>
              </w:rPr>
              <w:t>David P. Taylor</w:t>
            </w:r>
            <w:r>
              <w:rPr>
                <w:sz w:val="20"/>
                <w:szCs w:val="20"/>
                <w:lang w:val="fr-CA"/>
              </w:rPr>
              <w:t xml:space="preserve"> p</w:t>
            </w:r>
            <w:r w:rsidRPr="00DE7B02">
              <w:rPr>
                <w:sz w:val="20"/>
                <w:szCs w:val="20"/>
                <w:lang w:val="fr-CA"/>
              </w:rPr>
              <w:t>our les intervenants</w:t>
            </w:r>
            <w:r>
              <w:rPr>
                <w:sz w:val="20"/>
                <w:szCs w:val="20"/>
                <w:lang w:val="fr-CA"/>
              </w:rPr>
              <w:t xml:space="preserve"> </w:t>
            </w:r>
            <w:r w:rsidRPr="00DE7B02">
              <w:rPr>
                <w:sz w:val="20"/>
                <w:szCs w:val="20"/>
                <w:lang w:val="fr-CA"/>
              </w:rPr>
              <w:t>Conseil scolaire francophone de la Colombie-Britannique et a</w:t>
            </w:r>
            <w:r>
              <w:rPr>
                <w:sz w:val="20"/>
                <w:szCs w:val="20"/>
                <w:lang w:val="fr-CA"/>
              </w:rPr>
              <w:t>utre.</w:t>
            </w:r>
          </w:p>
          <w:p w:rsidR="005B5748" w:rsidRPr="00DE7B02" w:rsidRDefault="005B5748" w:rsidP="005B5748">
            <w:pPr>
              <w:ind w:left="2880" w:firstLine="720"/>
              <w:jc w:val="both"/>
              <w:rPr>
                <w:sz w:val="20"/>
                <w:szCs w:val="20"/>
                <w:lang w:val="fr-CA"/>
              </w:rPr>
            </w:pPr>
          </w:p>
          <w:p w:rsidR="005B5748" w:rsidRPr="00DE7B02" w:rsidRDefault="005B5748" w:rsidP="005B5748">
            <w:pPr>
              <w:jc w:val="both"/>
              <w:rPr>
                <w:sz w:val="20"/>
                <w:szCs w:val="20"/>
                <w:lang w:val="fr-CA"/>
              </w:rPr>
            </w:pPr>
            <w:r w:rsidRPr="00DE7B02">
              <w:rPr>
                <w:sz w:val="20"/>
                <w:szCs w:val="20"/>
                <w:lang w:val="fr-CA"/>
              </w:rPr>
              <w:t>Nicolas M. Rouleau</w:t>
            </w:r>
            <w:r>
              <w:rPr>
                <w:sz w:val="20"/>
                <w:szCs w:val="20"/>
                <w:lang w:val="fr-CA"/>
              </w:rPr>
              <w:t xml:space="preserve"> et </w:t>
            </w:r>
            <w:r w:rsidRPr="00DE7B02">
              <w:rPr>
                <w:sz w:val="20"/>
                <w:szCs w:val="20"/>
                <w:lang w:val="fr-CA"/>
              </w:rPr>
              <w:t>Sylvain Rouleau</w:t>
            </w:r>
            <w:r>
              <w:rPr>
                <w:sz w:val="20"/>
                <w:szCs w:val="20"/>
                <w:lang w:val="fr-CA"/>
              </w:rPr>
              <w:t xml:space="preserve"> p</w:t>
            </w:r>
            <w:r w:rsidRPr="00DE7B02">
              <w:rPr>
                <w:sz w:val="20"/>
                <w:szCs w:val="20"/>
                <w:lang w:val="fr-CA"/>
              </w:rPr>
              <w:t>our l’intervenante</w:t>
            </w:r>
            <w:r>
              <w:rPr>
                <w:sz w:val="20"/>
                <w:szCs w:val="20"/>
                <w:lang w:val="fr-CA"/>
              </w:rPr>
              <w:t xml:space="preserve"> </w:t>
            </w:r>
            <w:r w:rsidRPr="00DE7B02">
              <w:rPr>
                <w:sz w:val="20"/>
                <w:szCs w:val="20"/>
                <w:lang w:val="fr-CA"/>
              </w:rPr>
              <w:t>Fédération des parents francophones de l'Alberta</w:t>
            </w:r>
            <w:r>
              <w:rPr>
                <w:sz w:val="20"/>
                <w:szCs w:val="20"/>
                <w:lang w:val="fr-CA"/>
              </w:rPr>
              <w:t>.</w:t>
            </w:r>
          </w:p>
          <w:p w:rsidR="005B5748" w:rsidRPr="00DE7B02" w:rsidRDefault="005B5748" w:rsidP="005B5748">
            <w:pPr>
              <w:jc w:val="both"/>
              <w:rPr>
                <w:sz w:val="20"/>
                <w:szCs w:val="20"/>
                <w:lang w:val="fr-CA"/>
              </w:rPr>
            </w:pPr>
          </w:p>
          <w:p w:rsidR="005B5748" w:rsidRPr="00DE7B02" w:rsidRDefault="005B5748" w:rsidP="005B5748">
            <w:pPr>
              <w:jc w:val="both"/>
              <w:rPr>
                <w:sz w:val="20"/>
                <w:szCs w:val="20"/>
                <w:lang w:val="fr-CA"/>
              </w:rPr>
            </w:pPr>
            <w:r w:rsidRPr="00DE7B02">
              <w:rPr>
                <w:sz w:val="20"/>
                <w:szCs w:val="20"/>
                <w:lang w:val="fr-CA"/>
              </w:rPr>
              <w:t>Mark C. Power</w:t>
            </w:r>
            <w:r>
              <w:rPr>
                <w:sz w:val="20"/>
                <w:szCs w:val="20"/>
                <w:lang w:val="fr-CA"/>
              </w:rPr>
              <w:t xml:space="preserve"> et </w:t>
            </w:r>
            <w:r w:rsidRPr="00DE7B02">
              <w:rPr>
                <w:sz w:val="20"/>
                <w:szCs w:val="20"/>
                <w:lang w:val="fr-CA"/>
              </w:rPr>
              <w:t>Justin Dubois</w:t>
            </w:r>
            <w:r>
              <w:rPr>
                <w:sz w:val="20"/>
                <w:szCs w:val="20"/>
                <w:lang w:val="fr-CA"/>
              </w:rPr>
              <w:t xml:space="preserve"> p</w:t>
            </w:r>
            <w:r w:rsidRPr="00DE7B02">
              <w:rPr>
                <w:sz w:val="20"/>
                <w:szCs w:val="20"/>
                <w:lang w:val="fr-CA"/>
              </w:rPr>
              <w:t>our l’intervenante</w:t>
            </w:r>
            <w:r>
              <w:rPr>
                <w:sz w:val="20"/>
                <w:szCs w:val="20"/>
                <w:lang w:val="fr-CA"/>
              </w:rPr>
              <w:t xml:space="preserve"> </w:t>
            </w:r>
            <w:r w:rsidRPr="00DE7B02">
              <w:rPr>
                <w:sz w:val="20"/>
                <w:szCs w:val="20"/>
                <w:lang w:val="fr-CA"/>
              </w:rPr>
              <w:t>Fédération nationale des conseils scolaires francophones et a</w:t>
            </w:r>
            <w:r>
              <w:rPr>
                <w:sz w:val="20"/>
                <w:szCs w:val="20"/>
                <w:lang w:val="fr-CA"/>
              </w:rPr>
              <w:t>utre.</w:t>
            </w:r>
          </w:p>
          <w:p w:rsidR="005B5748" w:rsidRPr="00DE7B02" w:rsidRDefault="005B5748" w:rsidP="005B5748">
            <w:pPr>
              <w:jc w:val="both"/>
              <w:rPr>
                <w:sz w:val="20"/>
                <w:szCs w:val="20"/>
                <w:lang w:val="fr-CA"/>
              </w:rPr>
            </w:pPr>
          </w:p>
          <w:p w:rsidR="005B5748" w:rsidRPr="00DE7B02" w:rsidRDefault="005B5748" w:rsidP="005B5748">
            <w:pPr>
              <w:jc w:val="both"/>
              <w:rPr>
                <w:sz w:val="20"/>
                <w:szCs w:val="20"/>
                <w:lang w:val="fr-CA"/>
              </w:rPr>
            </w:pPr>
            <w:r w:rsidRPr="00DE7B02">
              <w:rPr>
                <w:sz w:val="20"/>
                <w:szCs w:val="20"/>
                <w:lang w:val="fr-CA"/>
              </w:rPr>
              <w:t>François Baril</w:t>
            </w:r>
            <w:r>
              <w:rPr>
                <w:sz w:val="20"/>
                <w:szCs w:val="20"/>
                <w:lang w:val="fr-CA"/>
              </w:rPr>
              <w:t xml:space="preserve">, </w:t>
            </w:r>
            <w:r w:rsidRPr="00DE7B02">
              <w:rPr>
                <w:sz w:val="20"/>
                <w:szCs w:val="20"/>
                <w:lang w:val="fr-CA"/>
              </w:rPr>
              <w:t>Maxime Faille</w:t>
            </w:r>
            <w:r>
              <w:rPr>
                <w:sz w:val="20"/>
                <w:szCs w:val="20"/>
                <w:lang w:val="fr-CA"/>
              </w:rPr>
              <w:t xml:space="preserve"> et </w:t>
            </w:r>
            <w:r w:rsidRPr="00DE7B02">
              <w:rPr>
                <w:sz w:val="20"/>
                <w:szCs w:val="20"/>
                <w:lang w:val="fr-CA"/>
              </w:rPr>
              <w:t>Mark Pindera</w:t>
            </w:r>
            <w:r>
              <w:rPr>
                <w:sz w:val="20"/>
                <w:szCs w:val="20"/>
                <w:lang w:val="fr-CA"/>
              </w:rPr>
              <w:t xml:space="preserve"> p</w:t>
            </w:r>
            <w:r w:rsidRPr="00DE7B02">
              <w:rPr>
                <w:sz w:val="20"/>
                <w:szCs w:val="20"/>
                <w:lang w:val="fr-CA"/>
              </w:rPr>
              <w:t>our l’intimée</w:t>
            </w:r>
            <w:r>
              <w:rPr>
                <w:sz w:val="20"/>
                <w:szCs w:val="20"/>
                <w:lang w:val="fr-CA"/>
              </w:rPr>
              <w:t>.</w:t>
            </w:r>
          </w:p>
          <w:p w:rsidR="005B5748" w:rsidRPr="00DE7B02" w:rsidRDefault="005B5748" w:rsidP="005B5748">
            <w:pPr>
              <w:jc w:val="both"/>
              <w:rPr>
                <w:sz w:val="20"/>
                <w:szCs w:val="20"/>
                <w:lang w:val="fr-CA"/>
              </w:rPr>
            </w:pPr>
          </w:p>
          <w:p w:rsidR="005B5748" w:rsidRPr="00DE7B02" w:rsidRDefault="005B5748" w:rsidP="005B5748">
            <w:pPr>
              <w:jc w:val="both"/>
              <w:rPr>
                <w:sz w:val="20"/>
                <w:szCs w:val="20"/>
                <w:lang w:val="fr-CA"/>
              </w:rPr>
            </w:pPr>
            <w:r w:rsidRPr="00DE7B02">
              <w:rPr>
                <w:sz w:val="20"/>
                <w:szCs w:val="20"/>
                <w:lang w:val="fr-CA"/>
              </w:rPr>
              <w:t>Dominique A. Jobin</w:t>
            </w:r>
            <w:r>
              <w:rPr>
                <w:sz w:val="20"/>
                <w:szCs w:val="20"/>
                <w:lang w:val="fr-CA"/>
              </w:rPr>
              <w:t xml:space="preserve"> pou</w:t>
            </w:r>
            <w:r w:rsidRPr="00DE7B02">
              <w:rPr>
                <w:sz w:val="20"/>
                <w:szCs w:val="20"/>
                <w:lang w:val="fr-CA"/>
              </w:rPr>
              <w:t>r l’intervenante</w:t>
            </w:r>
            <w:r>
              <w:rPr>
                <w:sz w:val="20"/>
                <w:szCs w:val="20"/>
                <w:lang w:val="fr-CA"/>
              </w:rPr>
              <w:t xml:space="preserve"> </w:t>
            </w:r>
            <w:r w:rsidRPr="00DE7B02">
              <w:rPr>
                <w:sz w:val="20"/>
                <w:szCs w:val="20"/>
                <w:lang w:val="fr-CA"/>
              </w:rPr>
              <w:t>Procureure générale du Québec</w:t>
            </w:r>
            <w:r>
              <w:rPr>
                <w:sz w:val="20"/>
                <w:szCs w:val="20"/>
                <w:lang w:val="fr-CA"/>
              </w:rPr>
              <w:t>.</w:t>
            </w:r>
          </w:p>
          <w:p w:rsidR="005B5748" w:rsidRPr="00DE7B02" w:rsidRDefault="005B5748" w:rsidP="005B5748">
            <w:pPr>
              <w:jc w:val="both"/>
              <w:rPr>
                <w:sz w:val="20"/>
                <w:szCs w:val="20"/>
                <w:lang w:val="fr-CA"/>
              </w:rPr>
            </w:pPr>
          </w:p>
          <w:p w:rsidR="005B5748" w:rsidRPr="00DE7B02" w:rsidRDefault="005B5748" w:rsidP="005B5748">
            <w:pPr>
              <w:jc w:val="both"/>
              <w:rPr>
                <w:sz w:val="20"/>
                <w:szCs w:val="20"/>
                <w:lang w:val="en-US"/>
              </w:rPr>
            </w:pPr>
            <w:r w:rsidRPr="00DE7B02">
              <w:rPr>
                <w:sz w:val="20"/>
                <w:szCs w:val="20"/>
              </w:rPr>
              <w:t xml:space="preserve">Karrie Wolfe for the </w:t>
            </w:r>
            <w:r>
              <w:rPr>
                <w:sz w:val="20"/>
                <w:szCs w:val="20"/>
              </w:rPr>
              <w:t>i</w:t>
            </w:r>
            <w:r w:rsidRPr="00DE7B02">
              <w:rPr>
                <w:sz w:val="20"/>
                <w:szCs w:val="20"/>
              </w:rPr>
              <w:t>ntervener</w:t>
            </w:r>
            <w:r>
              <w:rPr>
                <w:sz w:val="20"/>
                <w:szCs w:val="20"/>
              </w:rPr>
              <w:t xml:space="preserve"> </w:t>
            </w:r>
            <w:r w:rsidRPr="00DE7B02">
              <w:rPr>
                <w:sz w:val="20"/>
                <w:szCs w:val="20"/>
                <w:lang w:val="en-US"/>
              </w:rPr>
              <w:t>Attorney General of British Columbia</w:t>
            </w:r>
            <w:r>
              <w:rPr>
                <w:sz w:val="20"/>
                <w:szCs w:val="20"/>
                <w:lang w:val="en-US"/>
              </w:rPr>
              <w:t>.</w:t>
            </w:r>
          </w:p>
          <w:p w:rsidR="005B5748" w:rsidRPr="00DE7B02" w:rsidRDefault="005B5748" w:rsidP="005B5748">
            <w:pPr>
              <w:jc w:val="both"/>
              <w:rPr>
                <w:sz w:val="20"/>
                <w:szCs w:val="20"/>
                <w:lang w:val="en-US"/>
              </w:rPr>
            </w:pPr>
          </w:p>
          <w:p w:rsidR="005B5748" w:rsidRPr="00DE7B02" w:rsidRDefault="005B5748" w:rsidP="005B5748">
            <w:pPr>
              <w:jc w:val="both"/>
              <w:rPr>
                <w:sz w:val="20"/>
                <w:szCs w:val="20"/>
                <w:lang w:val="en-US"/>
              </w:rPr>
            </w:pPr>
            <w:r w:rsidRPr="00DE7B02">
              <w:rPr>
                <w:sz w:val="20"/>
                <w:szCs w:val="20"/>
                <w:lang w:val="en-US"/>
              </w:rPr>
              <w:t>Alan F. Jacobson</w:t>
            </w:r>
            <w:r>
              <w:rPr>
                <w:sz w:val="20"/>
                <w:szCs w:val="20"/>
                <w:lang w:val="en-US"/>
              </w:rPr>
              <w:t xml:space="preserve"> and </w:t>
            </w:r>
            <w:r w:rsidRPr="00DE7B02">
              <w:rPr>
                <w:sz w:val="20"/>
                <w:szCs w:val="20"/>
                <w:lang w:val="en-US"/>
              </w:rPr>
              <w:t>Barbara C. Mysko</w:t>
            </w:r>
            <w:r>
              <w:rPr>
                <w:sz w:val="20"/>
                <w:szCs w:val="20"/>
                <w:lang w:val="en-US"/>
              </w:rPr>
              <w:t xml:space="preserve"> f</w:t>
            </w:r>
            <w:r w:rsidRPr="00DE7B02">
              <w:rPr>
                <w:sz w:val="20"/>
                <w:szCs w:val="20"/>
                <w:lang w:val="en-US"/>
              </w:rPr>
              <w:t xml:space="preserve">or the </w:t>
            </w:r>
            <w:r>
              <w:rPr>
                <w:sz w:val="20"/>
                <w:szCs w:val="20"/>
                <w:lang w:val="en-US"/>
              </w:rPr>
              <w:t>i</w:t>
            </w:r>
            <w:r w:rsidRPr="00DE7B02">
              <w:rPr>
                <w:sz w:val="20"/>
                <w:szCs w:val="20"/>
                <w:lang w:val="en-US"/>
              </w:rPr>
              <w:t>ntervener</w:t>
            </w:r>
            <w:r>
              <w:rPr>
                <w:sz w:val="20"/>
                <w:szCs w:val="20"/>
                <w:lang w:val="en-US"/>
              </w:rPr>
              <w:t xml:space="preserve"> </w:t>
            </w:r>
            <w:r w:rsidRPr="00DE7B02">
              <w:rPr>
                <w:sz w:val="20"/>
                <w:szCs w:val="20"/>
                <w:lang w:val="en-US"/>
              </w:rPr>
              <w:t>Attorney General of Saskatchewan</w:t>
            </w:r>
            <w:r>
              <w:rPr>
                <w:sz w:val="20"/>
                <w:szCs w:val="20"/>
                <w:lang w:val="en-US"/>
              </w:rPr>
              <w:t>.</w:t>
            </w:r>
          </w:p>
          <w:p w:rsidR="005B5748" w:rsidRPr="00DE7B02" w:rsidRDefault="005B5748" w:rsidP="005B5748">
            <w:pPr>
              <w:jc w:val="both"/>
              <w:rPr>
                <w:sz w:val="20"/>
                <w:szCs w:val="20"/>
                <w:lang w:val="en-US"/>
              </w:rPr>
            </w:pPr>
          </w:p>
          <w:p w:rsidR="003643E6" w:rsidRPr="005B5748" w:rsidRDefault="005B5748" w:rsidP="005B5748">
            <w:pPr>
              <w:widowControl w:val="0"/>
              <w:jc w:val="both"/>
              <w:rPr>
                <w:sz w:val="20"/>
                <w:szCs w:val="20"/>
              </w:rPr>
            </w:pPr>
            <w:r w:rsidRPr="00DE7B02">
              <w:rPr>
                <w:sz w:val="20"/>
                <w:szCs w:val="20"/>
                <w:lang w:val="en-US"/>
              </w:rPr>
              <w:t>Guy Régimbald</w:t>
            </w:r>
            <w:r>
              <w:rPr>
                <w:sz w:val="20"/>
                <w:szCs w:val="20"/>
                <w:lang w:val="en-US"/>
              </w:rPr>
              <w:t xml:space="preserve"> f</w:t>
            </w:r>
            <w:r w:rsidRPr="00DE7B02">
              <w:rPr>
                <w:sz w:val="20"/>
                <w:szCs w:val="20"/>
                <w:lang w:val="en-US"/>
              </w:rPr>
              <w:t xml:space="preserve">or the </w:t>
            </w:r>
            <w:r>
              <w:rPr>
                <w:sz w:val="20"/>
                <w:szCs w:val="20"/>
                <w:lang w:val="en-US"/>
              </w:rPr>
              <w:t>i</w:t>
            </w:r>
            <w:r w:rsidRPr="00DE7B02">
              <w:rPr>
                <w:sz w:val="20"/>
                <w:szCs w:val="20"/>
                <w:lang w:val="en-US"/>
              </w:rPr>
              <w:t>ntervener</w:t>
            </w:r>
            <w:r>
              <w:rPr>
                <w:sz w:val="20"/>
                <w:szCs w:val="20"/>
                <w:lang w:val="en-US"/>
              </w:rPr>
              <w:t xml:space="preserve"> </w:t>
            </w:r>
            <w:r w:rsidRPr="00DE7B02">
              <w:rPr>
                <w:sz w:val="20"/>
                <w:szCs w:val="20"/>
                <w:lang w:val="en-US"/>
              </w:rPr>
              <w:t>Attorney General of the NorthwestTerritories</w:t>
            </w:r>
            <w:r>
              <w:rPr>
                <w:sz w:val="20"/>
                <w:szCs w:val="20"/>
                <w:lang w:val="en-US"/>
              </w:rPr>
              <w:t>.</w:t>
            </w:r>
          </w:p>
        </w:tc>
      </w:tr>
    </w:tbl>
    <w:p w:rsidR="003643E6" w:rsidRPr="005B5748" w:rsidRDefault="003643E6" w:rsidP="003643E6">
      <w:pPr>
        <w:widowControl w:val="0"/>
        <w:rPr>
          <w:sz w:val="20"/>
          <w:szCs w:val="20"/>
        </w:rPr>
      </w:pPr>
    </w:p>
    <w:p w:rsidR="003643E6" w:rsidRPr="0085476B" w:rsidRDefault="003643E6" w:rsidP="003643E6">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3643E6" w:rsidRDefault="003643E6" w:rsidP="003643E6"/>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643E6" w:rsidRPr="00021805" w:rsidTr="00644732">
        <w:tc>
          <w:tcPr>
            <w:tcW w:w="4380" w:type="dxa"/>
            <w:tcMar>
              <w:left w:w="0" w:type="dxa"/>
              <w:right w:w="0" w:type="dxa"/>
            </w:tcMar>
          </w:tcPr>
          <w:p w:rsidR="003643E6" w:rsidRPr="00CC4D84" w:rsidRDefault="003643E6" w:rsidP="00644732">
            <w:pPr>
              <w:widowControl w:val="0"/>
              <w:jc w:val="both"/>
              <w:rPr>
                <w:b/>
                <w:sz w:val="20"/>
                <w:szCs w:val="20"/>
                <w:u w:val="single"/>
              </w:rPr>
            </w:pPr>
            <w:r w:rsidRPr="00CC4D84">
              <w:rPr>
                <w:b/>
                <w:sz w:val="20"/>
                <w:szCs w:val="20"/>
                <w:u w:val="single"/>
              </w:rPr>
              <w:t>Nature of the case:</w:t>
            </w:r>
          </w:p>
          <w:p w:rsidR="003643E6" w:rsidRPr="001A663B" w:rsidRDefault="003643E6" w:rsidP="00644732">
            <w:pPr>
              <w:widowControl w:val="0"/>
              <w:jc w:val="both"/>
              <w:rPr>
                <w:b/>
                <w:sz w:val="20"/>
                <w:szCs w:val="20"/>
              </w:rPr>
            </w:pPr>
          </w:p>
          <w:p w:rsidR="00786F3E" w:rsidRPr="00BE6493" w:rsidRDefault="00786F3E" w:rsidP="00786F3E">
            <w:pPr>
              <w:widowControl w:val="0"/>
              <w:jc w:val="both"/>
              <w:rPr>
                <w:smallCaps/>
                <w:sz w:val="20"/>
                <w:szCs w:val="20"/>
              </w:rPr>
            </w:pPr>
            <w:r w:rsidRPr="00BE6493">
              <w:rPr>
                <w:smallCaps/>
                <w:sz w:val="20"/>
                <w:szCs w:val="20"/>
              </w:rPr>
              <w:t>Publication Ban  in Case</w:t>
            </w:r>
          </w:p>
          <w:p w:rsidR="00786F3E" w:rsidRDefault="00786F3E" w:rsidP="00786F3E">
            <w:pPr>
              <w:widowControl w:val="0"/>
              <w:jc w:val="both"/>
              <w:rPr>
                <w:sz w:val="20"/>
                <w:szCs w:val="20"/>
              </w:rPr>
            </w:pPr>
          </w:p>
          <w:p w:rsidR="00702955" w:rsidRPr="00BE6493" w:rsidRDefault="00702955" w:rsidP="00786F3E">
            <w:pPr>
              <w:widowControl w:val="0"/>
              <w:jc w:val="both"/>
              <w:rPr>
                <w:sz w:val="20"/>
                <w:szCs w:val="20"/>
              </w:rPr>
            </w:pPr>
          </w:p>
          <w:p w:rsidR="003643E6" w:rsidRPr="00C1697B" w:rsidRDefault="00786F3E" w:rsidP="00786F3E">
            <w:pPr>
              <w:widowControl w:val="0"/>
              <w:jc w:val="both"/>
              <w:rPr>
                <w:b/>
                <w:sz w:val="20"/>
                <w:szCs w:val="20"/>
              </w:rPr>
            </w:pPr>
            <w:r w:rsidRPr="00BE6493">
              <w:rPr>
                <w:sz w:val="20"/>
                <w:szCs w:val="20"/>
              </w:rPr>
              <w:t xml:space="preserve">Canadian Charter of Rights - Official languages - Courts - Judges - Bias - Right to manage admissions </w:t>
            </w:r>
            <w:r w:rsidRPr="00BE6493">
              <w:rPr>
                <w:sz w:val="20"/>
                <w:szCs w:val="20"/>
              </w:rPr>
              <w:lastRenderedPageBreak/>
              <w:t xml:space="preserve">to schools of French linguistic minority population - School board’s right to obtain communications and services in French from Yukon government - Whether Court of Appeal erred in applying reasonable apprehension of bias test and in concluding that judge’s conduct during trial and involvement with community organization raised such apprehension - Whether Court of Appeal erred in deciding issues related to right to manage admissions and school board’s right to receive services and communications in French despite fact that it had set aside trial judge’s findings of fact - Whether ss. 2, 5 and 9 of </w:t>
            </w:r>
            <w:r w:rsidRPr="00BE6493">
              <w:rPr>
                <w:i/>
                <w:sz w:val="20"/>
                <w:szCs w:val="20"/>
              </w:rPr>
              <w:t>French Language Instruction Regulation</w:t>
            </w:r>
            <w:r w:rsidRPr="00BE6493">
              <w:rPr>
                <w:sz w:val="20"/>
                <w:szCs w:val="20"/>
              </w:rPr>
              <w:t xml:space="preserve"> contrary to s. 23 of </w:t>
            </w:r>
            <w:r w:rsidRPr="00BE6493">
              <w:rPr>
                <w:i/>
                <w:sz w:val="20"/>
                <w:szCs w:val="20"/>
              </w:rPr>
              <w:t>Charter</w:t>
            </w:r>
            <w:r w:rsidRPr="00BE6493">
              <w:rPr>
                <w:sz w:val="20"/>
                <w:szCs w:val="20"/>
              </w:rPr>
              <w:t xml:space="preserve"> - If so, whether infringement is reasonable limit prescribed by law as can be demonstrably justified in free and democratic society under s. 1 of </w:t>
            </w:r>
            <w:r w:rsidRPr="00BE6493">
              <w:rPr>
                <w:i/>
                <w:sz w:val="20"/>
                <w:szCs w:val="20"/>
              </w:rPr>
              <w:t>Charter</w:t>
            </w:r>
            <w:r w:rsidRPr="00BE6493">
              <w:rPr>
                <w:sz w:val="20"/>
                <w:szCs w:val="20"/>
              </w:rPr>
              <w:t xml:space="preserve"> - </w:t>
            </w:r>
            <w:r w:rsidRPr="00BE6493">
              <w:rPr>
                <w:i/>
                <w:sz w:val="20"/>
                <w:szCs w:val="20"/>
              </w:rPr>
              <w:t>French Language Instruction Regulation</w:t>
            </w:r>
            <w:r w:rsidRPr="00BE6493">
              <w:rPr>
                <w:sz w:val="20"/>
                <w:szCs w:val="20"/>
              </w:rPr>
              <w:t xml:space="preserve">, YOIC 1996/099 - </w:t>
            </w:r>
            <w:r w:rsidRPr="00BE6493">
              <w:rPr>
                <w:i/>
                <w:sz w:val="20"/>
                <w:szCs w:val="20"/>
              </w:rPr>
              <w:t>Canadian Charter of Rights and Freedoms</w:t>
            </w:r>
            <w:r w:rsidRPr="00BE6493">
              <w:rPr>
                <w:sz w:val="20"/>
                <w:szCs w:val="20"/>
              </w:rPr>
              <w:t xml:space="preserve">, s. 23 - </w:t>
            </w:r>
            <w:r w:rsidRPr="00BE6493">
              <w:rPr>
                <w:i/>
                <w:sz w:val="20"/>
                <w:szCs w:val="20"/>
              </w:rPr>
              <w:t>Languages Act</w:t>
            </w:r>
            <w:r w:rsidRPr="00BE6493">
              <w:rPr>
                <w:sz w:val="20"/>
                <w:szCs w:val="20"/>
              </w:rPr>
              <w:t>, R.S.Y. 2002, c. 133, ss. 6 and 9.</w:t>
            </w:r>
          </w:p>
        </w:tc>
        <w:tc>
          <w:tcPr>
            <w:tcW w:w="720" w:type="dxa"/>
            <w:tcMar>
              <w:left w:w="0" w:type="dxa"/>
              <w:right w:w="0" w:type="dxa"/>
            </w:tcMar>
          </w:tcPr>
          <w:p w:rsidR="003643E6" w:rsidRPr="00C1697B" w:rsidRDefault="003643E6" w:rsidP="00644732">
            <w:pPr>
              <w:widowControl w:val="0"/>
              <w:jc w:val="center"/>
              <w:rPr>
                <w:sz w:val="20"/>
                <w:szCs w:val="20"/>
              </w:rPr>
            </w:pPr>
          </w:p>
        </w:tc>
        <w:tc>
          <w:tcPr>
            <w:tcW w:w="4380" w:type="dxa"/>
            <w:tcMar>
              <w:left w:w="0" w:type="dxa"/>
              <w:right w:w="0" w:type="dxa"/>
            </w:tcMar>
          </w:tcPr>
          <w:p w:rsidR="003643E6" w:rsidRPr="00CC4D84" w:rsidRDefault="003643E6" w:rsidP="00644732">
            <w:pPr>
              <w:widowControl w:val="0"/>
              <w:jc w:val="both"/>
              <w:rPr>
                <w:b/>
                <w:sz w:val="20"/>
                <w:szCs w:val="20"/>
                <w:u w:val="single"/>
                <w:lang w:val="fr-CA"/>
              </w:rPr>
            </w:pPr>
            <w:r w:rsidRPr="00CC4D84">
              <w:rPr>
                <w:b/>
                <w:sz w:val="20"/>
                <w:szCs w:val="20"/>
                <w:u w:val="single"/>
                <w:lang w:val="fr-CA"/>
              </w:rPr>
              <w:t>Nature de la cause :</w:t>
            </w:r>
          </w:p>
          <w:p w:rsidR="003643E6" w:rsidRPr="00C1697B" w:rsidRDefault="003643E6" w:rsidP="00644732">
            <w:pPr>
              <w:widowControl w:val="0"/>
              <w:jc w:val="both"/>
              <w:rPr>
                <w:sz w:val="20"/>
                <w:szCs w:val="20"/>
                <w:lang w:val="fr-CA"/>
              </w:rPr>
            </w:pPr>
          </w:p>
          <w:p w:rsidR="00702955" w:rsidRPr="00196DF2" w:rsidRDefault="00702955" w:rsidP="00702955">
            <w:pPr>
              <w:widowControl w:val="0"/>
              <w:jc w:val="both"/>
              <w:rPr>
                <w:smallCaps/>
                <w:sz w:val="20"/>
                <w:szCs w:val="20"/>
                <w:lang w:val="fr-CA"/>
              </w:rPr>
            </w:pPr>
            <w:r w:rsidRPr="00196DF2">
              <w:rPr>
                <w:smallCaps/>
                <w:sz w:val="20"/>
                <w:szCs w:val="20"/>
                <w:lang w:val="fr-CA"/>
              </w:rPr>
              <w:t>Ordonnance de non-publication dans le dossier</w:t>
            </w:r>
          </w:p>
          <w:p w:rsidR="00702955" w:rsidRPr="00196DF2" w:rsidRDefault="00702955" w:rsidP="00702955">
            <w:pPr>
              <w:widowControl w:val="0"/>
              <w:jc w:val="both"/>
              <w:rPr>
                <w:sz w:val="20"/>
                <w:szCs w:val="20"/>
                <w:lang w:val="fr-CA"/>
              </w:rPr>
            </w:pPr>
          </w:p>
          <w:p w:rsidR="003643E6" w:rsidRPr="00C1697B" w:rsidRDefault="00702955" w:rsidP="00702955">
            <w:pPr>
              <w:widowControl w:val="0"/>
              <w:jc w:val="both"/>
              <w:rPr>
                <w:sz w:val="20"/>
                <w:szCs w:val="20"/>
                <w:lang w:val="fr-CA"/>
              </w:rPr>
            </w:pPr>
            <w:r w:rsidRPr="00196DF2">
              <w:rPr>
                <w:sz w:val="20"/>
                <w:szCs w:val="20"/>
                <w:lang w:val="fr-FR"/>
              </w:rPr>
              <w:t xml:space="preserve">Charte canadienne des droits - Langues officielles - Tribunaux - Juges - Partialité - Droit de gestion relativement aux admissions aux écoles de la minorité </w:t>
            </w:r>
            <w:r w:rsidRPr="00196DF2">
              <w:rPr>
                <w:sz w:val="20"/>
                <w:szCs w:val="20"/>
                <w:lang w:val="fr-FR"/>
              </w:rPr>
              <w:lastRenderedPageBreak/>
              <w:t xml:space="preserve">francophone - Droit d’une commission scolaire d’obtenir des communications et services en français du gouvernement du Yukon - La Cour d’appel a-t-elle erré dans son application du test de crainte raisonnable de partialité et en concluant que le comportement du juge lors du procès et son implication auprès d’un organisme communautaire soulevaient une telle crainte? - La Cour d’appel a-t-elle erré en tranchant des questions relatives au droit de gestion des admissions et au droit de la commission scolaire de recevoir des services et communications en français malgré le fait qu’elle avait écarté les conclusions de fait du juge de première instance - Les articles 2, 5 et 9 du </w:t>
            </w:r>
            <w:r w:rsidRPr="00196DF2">
              <w:rPr>
                <w:i/>
                <w:sz w:val="20"/>
                <w:szCs w:val="20"/>
                <w:lang w:val="fr-FR"/>
              </w:rPr>
              <w:t>Règlement sur l’instruction en français</w:t>
            </w:r>
            <w:r w:rsidRPr="00196DF2">
              <w:rPr>
                <w:sz w:val="20"/>
                <w:szCs w:val="20"/>
                <w:lang w:val="fr-FR"/>
              </w:rPr>
              <w:t xml:space="preserve"> contreviennent-ils à l’art. 23 de la </w:t>
            </w:r>
            <w:r w:rsidRPr="00196DF2">
              <w:rPr>
                <w:i/>
                <w:sz w:val="20"/>
                <w:szCs w:val="20"/>
                <w:lang w:val="fr-FR"/>
              </w:rPr>
              <w:t>Charte</w:t>
            </w:r>
            <w:r w:rsidRPr="00196DF2">
              <w:rPr>
                <w:sz w:val="20"/>
                <w:szCs w:val="20"/>
                <w:lang w:val="fr-FR"/>
              </w:rPr>
              <w:t xml:space="preserve">? - Dans l’affirmative, s’agit-il d’une atteinte portée par une règle de droit dans des limites qui sont raisonnables et dont la justification peut se démontrer dans une société libre et démocratique suivant l’article premier de la </w:t>
            </w:r>
            <w:r w:rsidRPr="00196DF2">
              <w:rPr>
                <w:i/>
                <w:sz w:val="20"/>
                <w:szCs w:val="20"/>
                <w:lang w:val="fr-FR"/>
              </w:rPr>
              <w:t>Charte</w:t>
            </w:r>
            <w:r w:rsidRPr="00196DF2">
              <w:rPr>
                <w:sz w:val="20"/>
                <w:szCs w:val="20"/>
                <w:lang w:val="fr-FR"/>
              </w:rPr>
              <w:t xml:space="preserve">? - </w:t>
            </w:r>
            <w:r w:rsidRPr="00196DF2">
              <w:rPr>
                <w:i/>
                <w:sz w:val="20"/>
                <w:szCs w:val="20"/>
                <w:lang w:val="fr-FR"/>
              </w:rPr>
              <w:t>Règlement sur l’instruction en français</w:t>
            </w:r>
            <w:r w:rsidRPr="00196DF2">
              <w:rPr>
                <w:sz w:val="20"/>
                <w:szCs w:val="20"/>
                <w:lang w:val="fr-FR"/>
              </w:rPr>
              <w:t xml:space="preserve">, YD 1996/099 - </w:t>
            </w:r>
            <w:r w:rsidRPr="00196DF2">
              <w:rPr>
                <w:i/>
                <w:sz w:val="20"/>
                <w:szCs w:val="20"/>
                <w:lang w:val="fr-FR"/>
              </w:rPr>
              <w:t>Charte canadienne des droits et libertés</w:t>
            </w:r>
            <w:r w:rsidRPr="00196DF2">
              <w:rPr>
                <w:sz w:val="20"/>
                <w:szCs w:val="20"/>
                <w:lang w:val="fr-FR"/>
              </w:rPr>
              <w:t xml:space="preserve">, art. 23 - </w:t>
            </w:r>
            <w:r w:rsidRPr="00196DF2">
              <w:rPr>
                <w:i/>
                <w:sz w:val="20"/>
                <w:szCs w:val="20"/>
                <w:lang w:val="fr-FR"/>
              </w:rPr>
              <w:t>Loi sur les langues</w:t>
            </w:r>
            <w:r w:rsidRPr="00196DF2">
              <w:rPr>
                <w:sz w:val="20"/>
                <w:szCs w:val="20"/>
                <w:lang w:val="fr-FR"/>
              </w:rPr>
              <w:t>, L.R.Y. 2002, ch. 133, art. 6 et 9.</w:t>
            </w:r>
          </w:p>
        </w:tc>
      </w:tr>
    </w:tbl>
    <w:p w:rsidR="003643E6" w:rsidRDefault="003643E6" w:rsidP="003643E6">
      <w:pPr>
        <w:widowControl w:val="0"/>
        <w:rPr>
          <w:sz w:val="20"/>
          <w:szCs w:val="20"/>
          <w:lang w:val="fr-CA"/>
        </w:rPr>
      </w:pPr>
    </w:p>
    <w:p w:rsidR="003643E6" w:rsidRDefault="008A5B26" w:rsidP="003643E6">
      <w:pPr>
        <w:widowControl w:val="0"/>
        <w:rPr>
          <w:sz w:val="20"/>
          <w:szCs w:val="20"/>
        </w:rPr>
      </w:pPr>
      <w:r>
        <w:rPr>
          <w:sz w:val="20"/>
          <w:szCs w:val="20"/>
          <w:lang w:val="fr-CA"/>
        </w:rPr>
        <w:pict>
          <v:rect id="_x0000_i1084" style="width:2in;height:1pt" o:hrpct="0" o:hralign="center" o:hrstd="t" o:hrnoshade="t" o:hr="t" fillcolor="black [3213]" stroked="f"/>
        </w:pict>
      </w:r>
    </w:p>
    <w:p w:rsidR="003643E6" w:rsidRDefault="003643E6" w:rsidP="003643E6">
      <w:pPr>
        <w:widowControl w:val="0"/>
        <w:rPr>
          <w:sz w:val="20"/>
          <w:szCs w:val="20"/>
        </w:rPr>
      </w:pPr>
    </w:p>
    <w:p w:rsidR="003643E6" w:rsidRDefault="003643E6" w:rsidP="002A27D1">
      <w:pPr>
        <w:widowControl w:val="0"/>
        <w:rPr>
          <w:sz w:val="20"/>
          <w:szCs w:val="20"/>
        </w:rPr>
      </w:pPr>
    </w:p>
    <w:p w:rsidR="003643E6" w:rsidRDefault="003643E6" w:rsidP="002A27D1">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02180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021805" w:rsidRDefault="0052229C" w:rsidP="0052229C">
      <w:pPr>
        <w:rPr>
          <w:b/>
          <w:sz w:val="20"/>
          <w:szCs w:val="20"/>
        </w:rPr>
      </w:pPr>
      <w:r w:rsidRPr="00021805">
        <w:rPr>
          <w:b/>
          <w:sz w:val="20"/>
          <w:szCs w:val="20"/>
        </w:rPr>
        <w:t xml:space="preserve">JANUARY </w:t>
      </w:r>
      <w:r w:rsidR="00A46B08" w:rsidRPr="00021805">
        <w:rPr>
          <w:b/>
          <w:sz w:val="20"/>
          <w:szCs w:val="20"/>
        </w:rPr>
        <w:t>22</w:t>
      </w:r>
      <w:r w:rsidRPr="00021805">
        <w:rPr>
          <w:b/>
          <w:sz w:val="20"/>
          <w:szCs w:val="20"/>
        </w:rPr>
        <w:t>, 201</w:t>
      </w:r>
      <w:r w:rsidR="00A46B08" w:rsidRPr="00021805">
        <w:rPr>
          <w:b/>
          <w:sz w:val="20"/>
          <w:szCs w:val="20"/>
        </w:rPr>
        <w:t>5</w:t>
      </w:r>
      <w:r w:rsidRPr="00021805">
        <w:rPr>
          <w:b/>
          <w:sz w:val="20"/>
          <w:szCs w:val="20"/>
        </w:rPr>
        <w:t xml:space="preserve"> / LE </w:t>
      </w:r>
      <w:r w:rsidR="00A46B08" w:rsidRPr="00021805">
        <w:rPr>
          <w:b/>
          <w:sz w:val="20"/>
          <w:szCs w:val="20"/>
        </w:rPr>
        <w:t>22</w:t>
      </w:r>
      <w:r w:rsidRPr="00021805">
        <w:rPr>
          <w:b/>
          <w:sz w:val="20"/>
          <w:szCs w:val="20"/>
        </w:rPr>
        <w:t xml:space="preserve"> JANVIER 201</w:t>
      </w:r>
      <w:r w:rsidR="00A46B08" w:rsidRPr="00021805">
        <w:rPr>
          <w:b/>
          <w:sz w:val="20"/>
          <w:szCs w:val="20"/>
        </w:rPr>
        <w:t>5</w:t>
      </w:r>
    </w:p>
    <w:p w:rsidR="0052229C" w:rsidRPr="00021805" w:rsidRDefault="0052229C" w:rsidP="0052229C">
      <w:pPr>
        <w:rPr>
          <w:sz w:val="20"/>
          <w:szCs w:val="20"/>
        </w:rPr>
      </w:pPr>
    </w:p>
    <w:p w:rsidR="006C043D" w:rsidRPr="0053011B" w:rsidRDefault="00D5130B" w:rsidP="006C043D">
      <w:pPr>
        <w:ind w:left="1440" w:hanging="1440"/>
        <w:jc w:val="both"/>
        <w:rPr>
          <w:sz w:val="20"/>
          <w:szCs w:val="20"/>
        </w:rPr>
      </w:pPr>
      <w:r w:rsidRPr="0053011B">
        <w:rPr>
          <w:b/>
          <w:sz w:val="20"/>
          <w:szCs w:val="20"/>
        </w:rPr>
        <w:fldChar w:fldCharType="begin"/>
      </w:r>
      <w:r w:rsidR="006C043D" w:rsidRPr="0053011B">
        <w:rPr>
          <w:b/>
          <w:sz w:val="20"/>
          <w:szCs w:val="20"/>
        </w:rPr>
        <w:instrText xml:space="preserve"> SEQ CHAPTER \h \r 1</w:instrText>
      </w:r>
      <w:r w:rsidRPr="0053011B">
        <w:rPr>
          <w:b/>
          <w:sz w:val="20"/>
          <w:szCs w:val="20"/>
        </w:rPr>
        <w:fldChar w:fldCharType="end"/>
      </w:r>
      <w:r w:rsidR="006C043D" w:rsidRPr="0053011B">
        <w:rPr>
          <w:b/>
          <w:sz w:val="20"/>
          <w:szCs w:val="20"/>
        </w:rPr>
        <w:t>35314</w:t>
      </w:r>
      <w:r w:rsidR="006C043D" w:rsidRPr="0053011B">
        <w:rPr>
          <w:sz w:val="20"/>
          <w:szCs w:val="20"/>
        </w:rPr>
        <w:tab/>
      </w:r>
      <w:r w:rsidR="006C043D" w:rsidRPr="0053011B">
        <w:rPr>
          <w:b/>
          <w:sz w:val="20"/>
          <w:szCs w:val="20"/>
          <w:u w:val="single"/>
        </w:rPr>
        <w:t>Tervita Corporation, Complete Environmental Inc. and Babkirk Land Services Inc. v. Commissioner of Competition</w:t>
      </w:r>
      <w:r w:rsidR="006C043D" w:rsidRPr="0053011B">
        <w:rPr>
          <w:b/>
          <w:sz w:val="20"/>
          <w:szCs w:val="20"/>
        </w:rPr>
        <w:t xml:space="preserve"> </w:t>
      </w:r>
      <w:r w:rsidR="006C043D" w:rsidRPr="0053011B">
        <w:rPr>
          <w:sz w:val="20"/>
          <w:szCs w:val="20"/>
        </w:rPr>
        <w:t>(F.C.)</w:t>
      </w:r>
    </w:p>
    <w:p w:rsidR="006C043D" w:rsidRPr="0053011B" w:rsidRDefault="006C043D" w:rsidP="006C043D">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53011B">
        <w:rPr>
          <w:b/>
          <w:sz w:val="20"/>
          <w:szCs w:val="20"/>
        </w:rPr>
        <w:t>2015 SCC 3 / 2015 CSC 3</w:t>
      </w:r>
    </w:p>
    <w:p w:rsidR="006C043D" w:rsidRPr="0053011B" w:rsidRDefault="006C043D" w:rsidP="006C043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6C043D" w:rsidRPr="0053011B" w:rsidRDefault="006C043D" w:rsidP="006C043D">
      <w:pPr>
        <w:ind w:left="1440" w:hanging="1440"/>
        <w:rPr>
          <w:sz w:val="20"/>
          <w:szCs w:val="20"/>
          <w:u w:val="single"/>
        </w:rPr>
      </w:pPr>
      <w:r w:rsidRPr="0053011B">
        <w:rPr>
          <w:sz w:val="20"/>
          <w:szCs w:val="20"/>
        </w:rPr>
        <w:t>Coram:</w:t>
      </w:r>
      <w:r w:rsidRPr="0053011B">
        <w:rPr>
          <w:sz w:val="20"/>
          <w:szCs w:val="20"/>
        </w:rPr>
        <w:tab/>
      </w:r>
      <w:r w:rsidRPr="0053011B">
        <w:rPr>
          <w:sz w:val="20"/>
          <w:szCs w:val="20"/>
          <w:u w:val="single"/>
        </w:rPr>
        <w:t>McLachlin C.J. and Abella, Rothstein, Cromwell, Moldaver, Karakatsanis and Wagner JJ.</w:t>
      </w:r>
    </w:p>
    <w:p w:rsidR="006C043D" w:rsidRPr="0053011B" w:rsidRDefault="006C043D" w:rsidP="006C043D">
      <w:pPr>
        <w:ind w:left="1440" w:hanging="1440"/>
        <w:rPr>
          <w:sz w:val="20"/>
          <w:szCs w:val="20"/>
          <w:u w:val="single"/>
        </w:rPr>
      </w:pPr>
    </w:p>
    <w:p w:rsidR="006C043D" w:rsidRPr="0053011B" w:rsidRDefault="006C043D" w:rsidP="006C043D">
      <w:pPr>
        <w:jc w:val="both"/>
        <w:rPr>
          <w:sz w:val="20"/>
          <w:szCs w:val="20"/>
          <w:lang w:val="fr-CA"/>
        </w:rPr>
      </w:pPr>
      <w:r w:rsidRPr="0053011B">
        <w:rPr>
          <w:sz w:val="20"/>
          <w:szCs w:val="20"/>
        </w:rPr>
        <w:t xml:space="preserve">The appeal from the judgment of the Federal Court of Appeal, Numbers A-302-12 and A-457-12, 2013 FCA 28, dated February 11, 2013, heard on March 27, 2014, is allowed. The divestiture order of the Competition Tribunal is set aside and the application pursuant to s. 92 of the </w:t>
      </w:r>
      <w:r w:rsidRPr="0053011B">
        <w:rPr>
          <w:i/>
          <w:iCs/>
          <w:sz w:val="20"/>
          <w:szCs w:val="20"/>
        </w:rPr>
        <w:t>Competition Act</w:t>
      </w:r>
      <w:r w:rsidRPr="0053011B">
        <w:rPr>
          <w:iCs/>
          <w:sz w:val="20"/>
          <w:szCs w:val="20"/>
        </w:rPr>
        <w:t>,</w:t>
      </w:r>
      <w:r w:rsidRPr="0053011B">
        <w:rPr>
          <w:i/>
          <w:iCs/>
          <w:sz w:val="20"/>
          <w:szCs w:val="20"/>
        </w:rPr>
        <w:t xml:space="preserve"> </w:t>
      </w:r>
      <w:r w:rsidRPr="0053011B">
        <w:rPr>
          <w:sz w:val="20"/>
          <w:szCs w:val="20"/>
        </w:rPr>
        <w:t xml:space="preserve">R.S.C. 1985, c. C-34, made by the Commissioner of Competition is dismissed. Costs in this Court and in the Federal Court of Appeal are awarded to the appellants. </w:t>
      </w:r>
      <w:r w:rsidRPr="0053011B">
        <w:rPr>
          <w:sz w:val="20"/>
          <w:szCs w:val="20"/>
          <w:lang w:val="fr-CA"/>
        </w:rPr>
        <w:t>Karakatsanis J. is dissenting.</w:t>
      </w:r>
    </w:p>
    <w:p w:rsidR="006C043D" w:rsidRPr="0053011B" w:rsidRDefault="006C043D" w:rsidP="006C043D">
      <w:pPr>
        <w:jc w:val="both"/>
        <w:rPr>
          <w:sz w:val="20"/>
          <w:szCs w:val="20"/>
          <w:lang w:val="fr-CA"/>
        </w:rPr>
      </w:pPr>
    </w:p>
    <w:p w:rsidR="006C043D" w:rsidRPr="0053011B" w:rsidRDefault="006C043D" w:rsidP="006C043D">
      <w:pPr>
        <w:jc w:val="both"/>
        <w:rPr>
          <w:rFonts w:eastAsia="Calibri"/>
          <w:sz w:val="20"/>
          <w:szCs w:val="20"/>
          <w:lang w:val="fr-CA"/>
        </w:rPr>
      </w:pPr>
      <w:r w:rsidRPr="0053011B">
        <w:rPr>
          <w:rFonts w:eastAsia="Calibri"/>
          <w:sz w:val="20"/>
          <w:szCs w:val="20"/>
          <w:lang w:val="fr-CA"/>
        </w:rPr>
        <w:t>L’appel interjeté contre l’arrêt de la Cour d’appel fédérale, numéros A-302-12 et A-457-12, 2013 CAF 28, en date du 11 février 2013, entendu le 27 mars 2014, est accueilli. L’ordonnance de dessaisissement prononcée par le Tribunal de la concurrence est infirmée et la demande fondée sur l’art. 92 de la Loi sur la concurrence, L.R.C. 1985, c. C-34, présentée par la commissaire de la concurrence est rejetée. Les dépens devant la Cour et devant la Cour d’appel fédérale sont accordés aux appelantes. La juge Karakatsanis est dissidente.</w:t>
      </w:r>
    </w:p>
    <w:p w:rsidR="0052229C" w:rsidRDefault="0052229C" w:rsidP="0052229C">
      <w:pPr>
        <w:rPr>
          <w:sz w:val="20"/>
          <w:szCs w:val="20"/>
        </w:rPr>
      </w:pPr>
    </w:p>
    <w:p w:rsidR="0052229C" w:rsidRPr="003B3977" w:rsidRDefault="008A5B26" w:rsidP="0052229C">
      <w:pPr>
        <w:spacing w:line="0" w:lineRule="atLeast"/>
        <w:rPr>
          <w:sz w:val="20"/>
          <w:szCs w:val="20"/>
        </w:rPr>
      </w:pPr>
      <w:r>
        <w:rPr>
          <w:b/>
          <w:sz w:val="20"/>
          <w:szCs w:val="20"/>
        </w:rPr>
        <w:pict>
          <v:rect id="_x0000_i1087"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247161" w:rsidRDefault="00247161" w:rsidP="0052229C">
      <w:pPr>
        <w:ind w:left="1440" w:hanging="1440"/>
        <w:jc w:val="both"/>
        <w:rPr>
          <w:rFonts w:eastAsia="Calibri"/>
          <w:i/>
          <w:sz w:val="20"/>
          <w:szCs w:val="20"/>
          <w:lang w:val="fr-CA"/>
        </w:rPr>
      </w:pPr>
      <w:r w:rsidRPr="002D16FA">
        <w:rPr>
          <w:i/>
          <w:sz w:val="20"/>
          <w:szCs w:val="20"/>
        </w:rPr>
        <w:t>Tervita Corporation et al. v. Commissioner of Competition</w:t>
      </w:r>
      <w:r w:rsidRPr="002D16FA">
        <w:rPr>
          <w:sz w:val="20"/>
          <w:szCs w:val="20"/>
        </w:rPr>
        <w:t xml:space="preserve"> (F.C.) (</w:t>
      </w:r>
      <w:hyperlink r:id="rId71" w:history="1">
        <w:r w:rsidRPr="002D16FA">
          <w:rPr>
            <w:rStyle w:val="Hyperlink"/>
            <w:sz w:val="20"/>
            <w:szCs w:val="20"/>
          </w:rPr>
          <w:t>35314</w:t>
        </w:r>
      </w:hyperlink>
      <w:r w:rsidRPr="002D16FA">
        <w:rPr>
          <w:sz w:val="20"/>
          <w:szCs w:val="20"/>
        </w:rPr>
        <w:t>)</w:t>
      </w:r>
    </w:p>
    <w:p w:rsidR="00247161" w:rsidRPr="00D76AD5" w:rsidRDefault="00247161" w:rsidP="00247161">
      <w:pPr>
        <w:jc w:val="both"/>
        <w:rPr>
          <w:b/>
          <w:sz w:val="20"/>
          <w:szCs w:val="20"/>
        </w:rPr>
      </w:pPr>
      <w:r w:rsidRPr="00D76AD5">
        <w:rPr>
          <w:b/>
          <w:sz w:val="20"/>
          <w:szCs w:val="20"/>
        </w:rPr>
        <w:t xml:space="preserve">Indexed as:  </w:t>
      </w:r>
      <w:r w:rsidRPr="00247161">
        <w:rPr>
          <w:rStyle w:val="SCCAppellantForIndexChar"/>
          <w:rFonts w:eastAsiaTheme="minorHAnsi"/>
          <w:sz w:val="20"/>
          <w:lang w:val="en-CA"/>
        </w:rPr>
        <w:t>Tervita Corp. </w:t>
      </w:r>
      <w:r w:rsidRPr="00D76AD5">
        <w:rPr>
          <w:b/>
          <w:i/>
          <w:sz w:val="20"/>
          <w:szCs w:val="20"/>
        </w:rPr>
        <w:t>v.</w:t>
      </w:r>
      <w:r w:rsidRPr="00D76AD5">
        <w:rPr>
          <w:b/>
          <w:sz w:val="20"/>
          <w:szCs w:val="20"/>
        </w:rPr>
        <w:t xml:space="preserve"> Canada (</w:t>
      </w:r>
      <w:r w:rsidRPr="00D76AD5">
        <w:rPr>
          <w:rStyle w:val="SCCRespondentForIndexChar"/>
          <w:rFonts w:eastAsiaTheme="minorHAnsi"/>
          <w:sz w:val="20"/>
        </w:rPr>
        <w:t>Commissioner of Competition)</w:t>
      </w:r>
      <w:r w:rsidR="001C418E">
        <w:rPr>
          <w:rStyle w:val="SCCRespondentForIndexChar"/>
          <w:rFonts w:eastAsiaTheme="minorHAnsi"/>
          <w:sz w:val="20"/>
        </w:rPr>
        <w:t xml:space="preserve"> /</w:t>
      </w:r>
    </w:p>
    <w:p w:rsidR="001C418E" w:rsidRPr="00F23C6A" w:rsidRDefault="001C418E" w:rsidP="001C418E">
      <w:pPr>
        <w:jc w:val="both"/>
        <w:rPr>
          <w:b/>
          <w:sz w:val="20"/>
          <w:szCs w:val="20"/>
          <w:lang w:val="fr-CA"/>
        </w:rPr>
      </w:pPr>
      <w:r w:rsidRPr="00F23C6A">
        <w:rPr>
          <w:b/>
          <w:sz w:val="20"/>
          <w:szCs w:val="20"/>
          <w:lang w:val="fr-CA"/>
        </w:rPr>
        <w:t>Répertorié : </w:t>
      </w:r>
      <w:r w:rsidRPr="00F23C6A">
        <w:rPr>
          <w:rStyle w:val="SCCAppellantForIndexChar"/>
          <w:rFonts w:eastAsiaTheme="minorHAnsi"/>
          <w:sz w:val="20"/>
        </w:rPr>
        <w:t>Tervita Corp. </w:t>
      </w:r>
      <w:r w:rsidRPr="00F23C6A">
        <w:rPr>
          <w:b/>
          <w:i/>
          <w:sz w:val="20"/>
          <w:szCs w:val="20"/>
          <w:lang w:val="fr-CA"/>
        </w:rPr>
        <w:t>c.</w:t>
      </w:r>
      <w:r w:rsidRPr="00F23C6A">
        <w:rPr>
          <w:b/>
          <w:sz w:val="20"/>
          <w:szCs w:val="20"/>
          <w:lang w:val="fr-CA"/>
        </w:rPr>
        <w:t xml:space="preserve"> Canada (</w:t>
      </w:r>
      <w:r w:rsidRPr="00F23C6A">
        <w:rPr>
          <w:rStyle w:val="SCCRespondentForIndexChar"/>
          <w:rFonts w:eastAsiaTheme="minorHAnsi"/>
          <w:sz w:val="20"/>
          <w:lang w:val="fr-CA"/>
        </w:rPr>
        <w:t>Commissaire de la concurrence)</w:t>
      </w:r>
    </w:p>
    <w:p w:rsidR="0052229C" w:rsidRPr="001C418E" w:rsidRDefault="0052229C" w:rsidP="0052229C">
      <w:pPr>
        <w:pStyle w:val="SCCSystemYear"/>
        <w:jc w:val="both"/>
        <w:rPr>
          <w:sz w:val="20"/>
        </w:rPr>
      </w:pPr>
      <w:r w:rsidRPr="001C418E">
        <w:rPr>
          <w:sz w:val="20"/>
        </w:rPr>
        <w:t>Neutral citation:  201</w:t>
      </w:r>
      <w:r w:rsidR="00020DC3" w:rsidRPr="001C418E">
        <w:rPr>
          <w:sz w:val="20"/>
        </w:rPr>
        <w:t>5</w:t>
      </w:r>
      <w:r w:rsidRPr="001C418E">
        <w:rPr>
          <w:sz w:val="20"/>
        </w:rPr>
        <w:t xml:space="preserve"> SCC </w:t>
      </w:r>
      <w:r w:rsidR="001C418E" w:rsidRPr="001C418E">
        <w:rPr>
          <w:sz w:val="20"/>
        </w:rPr>
        <w:t>3</w:t>
      </w:r>
      <w:r w:rsidRPr="001C418E">
        <w:rPr>
          <w:sz w:val="20"/>
        </w:rPr>
        <w:t xml:space="preserve"> / Référence neutre : 201</w:t>
      </w:r>
      <w:r w:rsidR="00020DC3" w:rsidRPr="001C418E">
        <w:rPr>
          <w:sz w:val="20"/>
        </w:rPr>
        <w:t>5</w:t>
      </w:r>
      <w:r w:rsidRPr="001C418E">
        <w:rPr>
          <w:sz w:val="20"/>
        </w:rPr>
        <w:t xml:space="preserve"> CSC </w:t>
      </w:r>
      <w:r w:rsidR="001C418E">
        <w:rPr>
          <w:sz w:val="20"/>
        </w:rPr>
        <w:t>3</w:t>
      </w:r>
    </w:p>
    <w:p w:rsidR="0052229C" w:rsidRPr="001C418E" w:rsidRDefault="0052229C" w:rsidP="0052229C">
      <w:pPr>
        <w:rPr>
          <w:rFonts w:cs="Times New Roman"/>
          <w:sz w:val="20"/>
          <w:szCs w:val="20"/>
          <w:lang w:val="fr-CA"/>
        </w:rPr>
      </w:pPr>
      <w:r w:rsidRPr="001C418E">
        <w:rPr>
          <w:rFonts w:cs="Times New Roman"/>
          <w:sz w:val="20"/>
          <w:szCs w:val="20"/>
          <w:lang w:val="fr-CA"/>
        </w:rPr>
        <w:t xml:space="preserve">Hearing:  </w:t>
      </w:r>
      <w:r w:rsidR="001C418E">
        <w:rPr>
          <w:rFonts w:cs="Times New Roman"/>
          <w:sz w:val="20"/>
          <w:szCs w:val="20"/>
          <w:lang w:val="fr-CA"/>
        </w:rPr>
        <w:t xml:space="preserve">March </w:t>
      </w:r>
      <w:r w:rsidRPr="001C418E">
        <w:rPr>
          <w:rFonts w:cs="Times New Roman"/>
          <w:sz w:val="20"/>
          <w:szCs w:val="20"/>
          <w:lang w:val="fr-CA"/>
        </w:rPr>
        <w:t>2</w:t>
      </w:r>
      <w:r w:rsidR="001C418E">
        <w:rPr>
          <w:rFonts w:cs="Times New Roman"/>
          <w:sz w:val="20"/>
          <w:szCs w:val="20"/>
          <w:lang w:val="fr-CA"/>
        </w:rPr>
        <w:t>7</w:t>
      </w:r>
      <w:r w:rsidRPr="001C418E">
        <w:rPr>
          <w:rFonts w:cs="Times New Roman"/>
          <w:sz w:val="20"/>
          <w:szCs w:val="20"/>
          <w:lang w:val="fr-CA"/>
        </w:rPr>
        <w:t>, 201</w:t>
      </w:r>
      <w:r w:rsidR="00020DC3" w:rsidRPr="001C418E">
        <w:rPr>
          <w:rFonts w:cs="Times New Roman"/>
          <w:sz w:val="20"/>
          <w:szCs w:val="20"/>
          <w:lang w:val="fr-CA"/>
        </w:rPr>
        <w:t>4</w:t>
      </w:r>
      <w:r w:rsidRPr="001C418E">
        <w:rPr>
          <w:rFonts w:cs="Times New Roman"/>
          <w:sz w:val="20"/>
          <w:szCs w:val="20"/>
          <w:lang w:val="fr-CA"/>
        </w:rPr>
        <w:t xml:space="preserve"> / Judgment:  January </w:t>
      </w:r>
      <w:r w:rsidR="001C418E" w:rsidRPr="001C418E">
        <w:rPr>
          <w:rFonts w:cs="Times New Roman"/>
          <w:sz w:val="20"/>
          <w:szCs w:val="20"/>
          <w:lang w:val="fr-CA"/>
        </w:rPr>
        <w:t>22</w:t>
      </w:r>
      <w:r w:rsidRPr="001C418E">
        <w:rPr>
          <w:rFonts w:cs="Times New Roman"/>
          <w:sz w:val="20"/>
          <w:szCs w:val="20"/>
          <w:lang w:val="fr-CA"/>
        </w:rPr>
        <w:t>, 201</w:t>
      </w:r>
      <w:r w:rsidR="00020DC3" w:rsidRPr="001C418E">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2</w:t>
      </w:r>
      <w:r w:rsidR="001C418E">
        <w:rPr>
          <w:rFonts w:cs="Times New Roman"/>
          <w:sz w:val="20"/>
          <w:szCs w:val="20"/>
          <w:lang w:val="fr-CA"/>
        </w:rPr>
        <w:t>7 m</w:t>
      </w:r>
      <w:r>
        <w:rPr>
          <w:rFonts w:cs="Times New Roman"/>
          <w:sz w:val="20"/>
          <w:szCs w:val="20"/>
          <w:lang w:val="fr-CA"/>
        </w:rPr>
        <w:t>a</w:t>
      </w:r>
      <w:r w:rsidRPr="003B3977">
        <w:rPr>
          <w:rFonts w:cs="Times New Roman"/>
          <w:sz w:val="20"/>
          <w:szCs w:val="20"/>
          <w:lang w:val="fr-CA"/>
        </w:rPr>
        <w:t>r</w:t>
      </w:r>
      <w:r w:rsidR="001C418E">
        <w:rPr>
          <w:rFonts w:cs="Times New Roman"/>
          <w:sz w:val="20"/>
          <w:szCs w:val="20"/>
          <w:lang w:val="fr-CA"/>
        </w:rPr>
        <w:t>s</w:t>
      </w:r>
      <w:r w:rsidRPr="003B3977">
        <w:rPr>
          <w:rFonts w:cs="Times New Roman"/>
          <w:sz w:val="20"/>
          <w:szCs w:val="20"/>
          <w:lang w:val="fr-CA"/>
        </w:rPr>
        <w:t xml:space="preserve"> 201</w:t>
      </w:r>
      <w:r w:rsidR="00020DC3">
        <w:rPr>
          <w:rFonts w:cs="Times New Roman"/>
          <w:sz w:val="20"/>
          <w:szCs w:val="20"/>
          <w:lang w:val="fr-CA"/>
        </w:rPr>
        <w:t>4</w:t>
      </w:r>
      <w:r w:rsidRPr="003B3977">
        <w:rPr>
          <w:rFonts w:cs="Times New Roman"/>
          <w:sz w:val="20"/>
          <w:szCs w:val="20"/>
          <w:lang w:val="fr-CA"/>
        </w:rPr>
        <w:t xml:space="preserve"> / Jugement : Le </w:t>
      </w:r>
      <w:r w:rsidR="001C418E">
        <w:rPr>
          <w:rFonts w:cs="Times New Roman"/>
          <w:sz w:val="20"/>
          <w:szCs w:val="20"/>
          <w:lang w:val="fr-CA"/>
        </w:rPr>
        <w:t>22</w:t>
      </w:r>
      <w:r>
        <w:rPr>
          <w:rFonts w:cs="Times New Roman"/>
          <w:sz w:val="20"/>
          <w:szCs w:val="20"/>
          <w:lang w:val="fr-CA"/>
        </w:rPr>
        <w:t xml:space="preserve"> janvi</w:t>
      </w:r>
      <w:r w:rsidRPr="003B3977">
        <w:rPr>
          <w:rFonts w:cs="Times New Roman"/>
          <w:sz w:val="20"/>
          <w:szCs w:val="20"/>
          <w:lang w:val="fr-CA"/>
        </w:rPr>
        <w:t>e</w:t>
      </w:r>
      <w:r>
        <w:rPr>
          <w:rFonts w:cs="Times New Roman"/>
          <w:sz w:val="20"/>
          <w:szCs w:val="20"/>
          <w:lang w:val="fr-CA"/>
        </w:rPr>
        <w:t>r</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8A5B26" w:rsidP="005C6840">
      <w:pPr>
        <w:rPr>
          <w:rFonts w:cs="Times New Roman"/>
          <w:sz w:val="20"/>
          <w:szCs w:val="20"/>
          <w:lang w:val="fr-CA"/>
        </w:rPr>
      </w:pPr>
      <w:r>
        <w:rPr>
          <w:rFonts w:cs="Times New Roman"/>
          <w:i/>
          <w:sz w:val="20"/>
          <w:szCs w:val="20"/>
        </w:rPr>
        <w:pict>
          <v:rect id="_x0000_i1090"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1C418E" w:rsidRPr="00D76AD5" w:rsidRDefault="001C418E" w:rsidP="001C418E">
      <w:pPr>
        <w:jc w:val="both"/>
        <w:rPr>
          <w:sz w:val="20"/>
          <w:szCs w:val="20"/>
        </w:rPr>
      </w:pPr>
      <w:r w:rsidRPr="00D76AD5">
        <w:rPr>
          <w:sz w:val="20"/>
          <w:szCs w:val="20"/>
        </w:rPr>
        <w:t>Present:  McLachlin C.J. and Abella, Rothstein, Cromwell, Moldaver, Karakatsanis and Wagner JJ.</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i/>
          <w:sz w:val="20"/>
        </w:rPr>
      </w:pPr>
      <w:r w:rsidRPr="00D76AD5">
        <w:rPr>
          <w:sz w:val="20"/>
        </w:rPr>
        <w:tab/>
      </w:r>
      <w:r w:rsidRPr="00D76AD5">
        <w:rPr>
          <w:i/>
          <w:sz w:val="20"/>
        </w:rPr>
        <w:t>Competition — Mergers — Review — Commissioner of Competition opposing merger on ground that merger likely to prevent competition substantially — Merged parties raising statutory efficiencies defence — Competition Tribunal rejecting defence and making divestiture order — Proper legal test for determining when merger gives rise to substantial prevention of competition under Competition Act — Proper approach to statutory efficiencies defence — Content of Commissioner’s burden for purposes of efficiencies defence — Whether merger likely to prevent competition substantially — Whether gains in efficiency resulting from merger greater than and offset anti</w:t>
      </w:r>
      <w:r w:rsidRPr="00D76AD5">
        <w:rPr>
          <w:i/>
          <w:sz w:val="20"/>
        </w:rPr>
        <w:noBreakHyphen/>
        <w:t>competitive effects of merger — Competition Act, R.S.C. 1985, c. C</w:t>
      </w:r>
      <w:r w:rsidRPr="00D76AD5">
        <w:rPr>
          <w:i/>
          <w:sz w:val="20"/>
        </w:rPr>
        <w:noBreakHyphen/>
        <w:t>34, ss. 92, 96.</w:t>
      </w:r>
    </w:p>
    <w:p w:rsidR="001C418E" w:rsidRDefault="001C418E" w:rsidP="001C418E">
      <w:pPr>
        <w:pStyle w:val="SCCNormalDoubleSpacing"/>
        <w:spacing w:line="240" w:lineRule="auto"/>
        <w:rPr>
          <w:i/>
          <w:sz w:val="20"/>
        </w:rPr>
      </w:pPr>
    </w:p>
    <w:p w:rsidR="001C418E" w:rsidRPr="00D76AD5" w:rsidRDefault="001C418E" w:rsidP="001C418E">
      <w:pPr>
        <w:pStyle w:val="SCCNormalDoubleSpacing"/>
        <w:spacing w:line="240" w:lineRule="auto"/>
        <w:rPr>
          <w:i/>
          <w:sz w:val="20"/>
        </w:rPr>
      </w:pPr>
      <w:r w:rsidRPr="00D76AD5">
        <w:rPr>
          <w:i/>
          <w:sz w:val="20"/>
        </w:rPr>
        <w:tab/>
        <w:t>Administrative law — Appeals — Standard of review — Competition Tribunal — Standard of review applicable to tribunal’s determinations of questions of law arising under Competition Act, R.S.C. 1985, c. C</w:t>
      </w:r>
      <w:r w:rsidRPr="00D76AD5">
        <w:rPr>
          <w:i/>
          <w:sz w:val="20"/>
        </w:rPr>
        <w:noBreakHyphen/>
        <w:t>34 — Whether statutory language in appeal provision rebuts presumption that standard of reasonableness applies to tribunal’s interpretation of own statute — Competition Tribunal Act, R.S.C. 1985, c. 19 (2nd supp.), s. 13(1).</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t xml:space="preserve">Four permits for the operation of secure landfills for the disposal of hazardous waste generated by oil and gas operations have been issued in Northeastern British Columbia.  T holds two permits and operates two landfills pursuant to them.  A third permit is held by an Aboriginal community but the landfill has not yet been constructed.  The fourth permit is held by B, a wholly owned subsidiary of C.  When T acquired C, the Commissioner of Competition (the “Commissioner”) opposed the transaction on the ground that it was likely to substantially prevent competition in secure landfill services in Northeastern British Columbia.  The Commissioner asked the Competition Tribunal (the “Tribunal”) to order, pursuant to s. 92 of the </w:t>
      </w:r>
      <w:r w:rsidRPr="00D76AD5">
        <w:rPr>
          <w:i/>
          <w:sz w:val="20"/>
        </w:rPr>
        <w:t>Competition Act</w:t>
      </w:r>
      <w:r w:rsidRPr="00D76AD5">
        <w:rPr>
          <w:sz w:val="20"/>
        </w:rPr>
        <w:t>, R.S.C. 1985, c. C</w:t>
      </w:r>
      <w:r w:rsidRPr="00D76AD5">
        <w:rPr>
          <w:sz w:val="20"/>
        </w:rPr>
        <w:noBreakHyphen/>
        <w:t xml:space="preserve">34 (the “Act”), that the transaction be dissolved, or in the alternative, that T divest itself of B or C.  </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t>Pursuant to s. 92 of the Act, the Tribunal found that the merger was likely to prevent competition substantially in the relevant market.  It further found that the efficiencies gained by the merger were not greater than and would not offset the anti</w:t>
      </w:r>
      <w:r w:rsidRPr="00D76AD5">
        <w:rPr>
          <w:sz w:val="20"/>
        </w:rPr>
        <w:noBreakHyphen/>
        <w:t>competitive effects of the merger, such that T had failed to bring itself within the efficiencies exception contained in s. 96 of the Act.  The Tribunal ordered T to divest itself of B.  The Federal Court of Appeal upheld the Tribunal’s conclusion that the merger would likely substantially prevent competition.  With respect to the s. 96 efficiencies defence, the court held that the Tribunal erred in a number of respects.  However, in its fresh assessment of the matter, the court concluded that the merger only provided marginal gains in efficiency which were not significant enough to approve a merger under s. 96.  As a result, the court dismissed the appeal.</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r>
      <w:r w:rsidRPr="00D76AD5">
        <w:rPr>
          <w:rStyle w:val="QuoteChar"/>
          <w:sz w:val="20"/>
        </w:rPr>
        <w:t>Held (Karakatsanis J. dissenting):</w:t>
      </w:r>
      <w:r w:rsidRPr="00D76AD5">
        <w:rPr>
          <w:sz w:val="20"/>
        </w:rPr>
        <w:t xml:space="preserve">  The appeal should be allowed, the divestiture order set aside and the s. 92 application dismissed.</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r>
      <w:r w:rsidRPr="00D76AD5">
        <w:rPr>
          <w:i/>
          <w:sz w:val="20"/>
        </w:rPr>
        <w:t>Per</w:t>
      </w:r>
      <w:r w:rsidRPr="00D76AD5">
        <w:rPr>
          <w:sz w:val="20"/>
        </w:rPr>
        <w:t xml:space="preserve"> McLachlin C.J. and </w:t>
      </w:r>
      <w:r w:rsidRPr="00D76AD5">
        <w:rPr>
          <w:b/>
          <w:sz w:val="20"/>
        </w:rPr>
        <w:t>Rothstein</w:t>
      </w:r>
      <w:r w:rsidRPr="00D76AD5">
        <w:rPr>
          <w:sz w:val="20"/>
        </w:rPr>
        <w:t xml:space="preserve">, Cromwell, Moldaver and Wagner JJ.:  While a standard of reasonableness presumptively applies in this case because the questions at issue are questions of law arising under the Tribunal’s home statute, that presumption is rebutted.  </w:t>
      </w:r>
      <w:r w:rsidRPr="00D76AD5">
        <w:rPr>
          <w:sz w:val="20"/>
          <w:lang w:val="en-US"/>
        </w:rPr>
        <w:t xml:space="preserve">The appeal provision in the </w:t>
      </w:r>
      <w:r w:rsidRPr="00D76AD5">
        <w:rPr>
          <w:i/>
          <w:sz w:val="20"/>
          <w:lang w:val="en-US"/>
        </w:rPr>
        <w:t>Competition Tribunal Act</w:t>
      </w:r>
      <w:r w:rsidRPr="00D76AD5">
        <w:rPr>
          <w:sz w:val="20"/>
          <w:lang w:val="en-US"/>
        </w:rPr>
        <w:t xml:space="preserve">, R.S.C. 1985, c. 19 (2nd Supp.), </w:t>
      </w:r>
      <w:r w:rsidRPr="00D76AD5">
        <w:rPr>
          <w:sz w:val="20"/>
        </w:rPr>
        <w:t>evidences a clear Parliamentary intention that decisions of the Tribunal be reviewed on a less than deferential standard, supporting the view that questions of law should be reviewed for correctness and questions of fact and mixed law and fact for reasonableness.</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t xml:space="preserve">The concern under the “prevention” branch of s. 92 of the Act is that a firm with market power will use a merger to prevent competition that could otherwise arise in a contestable market.  To determine whether a merger gives </w:t>
      </w:r>
      <w:r w:rsidRPr="00D76AD5">
        <w:rPr>
          <w:sz w:val="20"/>
        </w:rPr>
        <w:lastRenderedPageBreak/>
        <w:t>rise to a substantial prevention of competition under s. 92(1), the Tribunal must look to the “but for” market condition to assess the competitive landscape that would likely exist if there was no merger.  First, it is necessary to identify the firm or firms the merger would prevent from independently entering the market.  Typically, the potential competitor will be one of the merged parties: the acquired firm or the acquiring firm.  The potential entry of the acquired firm will be the focus of the analysis when, but for the merger, it would likely have entered the relevant market.  The potential entry of the acquiring firm will be the focus of the analysis when, but for the merger, the acquiring firm would have entered the relevant market independently or through the acquisition and expansion of a smaller firm.</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t>Second, it is necessary to examine the “but for” market condition to see if, absent the merger, the potential competitor would have likely entered the market and if so whether the effect of that competitor’s entry on the market would likely be substantial.  If the independent entry has no effect on the market power of the acquiring firm then the merger cannot be said to prevent competition substantially.  At this stage of the analysis, any factor that could influence entry upon which evidence has been adduced should be considered, such as the plans and assets of that merging party, current and expected market conditions, and other factors listed in s. 93 of the Act.  The timeframe for entry must be discernible.  In other words, there must be evidence of when the merging party is realistically expected to enter the market in absence of the merger.  That evidence must be sufficient to meet the “likely” test on a balance of probabilities, keeping in mind that the further into the future the Tribunal looks, the more difficult it will be to meet the test.  The inherent time delay that a new entrant, facing certain barriers and acting diligently to overcome them, could be expected to experience when trying to enter the market is an important consideration, but should not support an effort to look farther into the future than the evidence supports.  As for whether a potential competitor’s entry into the market will have a substantial effect, it is necessary to assess a variety of dimensions of competition including price and output, as well as the degree and duration of any effect it would have on the market.  Section 93 of the Act provides a non</w:t>
      </w:r>
      <w:r w:rsidRPr="00D76AD5">
        <w:rPr>
          <w:sz w:val="20"/>
        </w:rPr>
        <w:noBreakHyphen/>
        <w:t>exhaustive list of factors that may be considered.</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t>In the present case, the Tribunal’s conclusion that the merger is likely to substantially prevent competition is correct.  It used a forward</w:t>
      </w:r>
      <w:r w:rsidRPr="00D76AD5">
        <w:rPr>
          <w:sz w:val="20"/>
        </w:rPr>
        <w:noBreakHyphen/>
        <w:t xml:space="preserve">looking “but for” analysis, identified the acquired party as the focus of the analysis, and assessed whether, but for the merger, the acquired party would likely have entered the relevant market in a manner sufficient to compete with T.  The Tribunal did not speculate; rather, it made findings of fact based on the abundant evidence before it.  While the Tribunal’s treatment of the asserted 10 percent reduction in prices that would allegedly have been realized in absence of the merger was flawed, there was sufficient other evidence upon which it could find a substantial prevention of competition as a result of the merger.  </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t>As section 92 of the Act is engaged, it is necessary to determine whether the s. 96 efficiencies defence applies to prevent the making of an order under s. 92.  The defence requires an analysis of whether the efficiency gains of the merger, which result from the integration of resources, outweigh the anti</w:t>
      </w:r>
      <w:r w:rsidRPr="00D76AD5">
        <w:rPr>
          <w:sz w:val="20"/>
        </w:rPr>
        <w:noBreakHyphen/>
        <w:t>competitive effects, which result from the decrease in or absence of competition in the relevant geographic and product market.  The Commissioner has the burden of proving the anti</w:t>
      </w:r>
      <w:r w:rsidRPr="00D76AD5">
        <w:rPr>
          <w:sz w:val="20"/>
        </w:rPr>
        <w:noBreakHyphen/>
        <w:t>competitive effects, and the merging parties bear the onus of proving the remaining elements of the defence.  There are different possible methodologies for the comparative exercise under s. 96, two of which have been the subject of judicial consideration in Canada: the “total surplus standard” which involves quantifying the deadweight loss which will result from a merger, and the “balancing weights standard” under which the Tribunal weighs the effects of the merger on consumers against the effects of the merger on the shareholders of the merged entity.  Because the Act does not set out which methodology should be used, the Tribunal has the flexibility to make the ultimate choice of methodology in view of the particular circumstances of each merger.</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t>While section 96 does give primacy to economic efficiency, it is not without limitation.  Not all economic efficiencies should be taken into account under s. 96.  A distinction should be drawn between efficiencies claimed because a merging party would be able to bring those efficiencies into being faster than would be the case but for the merger (“early</w:t>
      </w:r>
      <w:r w:rsidRPr="00D76AD5">
        <w:rPr>
          <w:sz w:val="20"/>
        </w:rPr>
        <w:noBreakHyphen/>
        <w:t>mover efficiencies”), and efficiencies that a merging party could realize sooner than a competitor only because the competitor would be delayed in implementing those efficiencies because of legal proceedings associated with a divestiture order (“order implementation efficiencies”).  Efficiencies that are the result of the regulatory process of the Act are not cognizable under s. 96, because they result from the operation and application of the legal framework regulating competition law in Canada, rather than from the merger itself.  On the other hand, early</w:t>
      </w:r>
      <w:r w:rsidRPr="00D76AD5">
        <w:rPr>
          <w:sz w:val="20"/>
        </w:rPr>
        <w:noBreakHyphen/>
        <w:t>mover efficiencies are cognizable under s. 96, because they are real economic efficiencies that are caused by the merger.  In this case, however, the classification of the one</w:t>
      </w:r>
      <w:r w:rsidRPr="00D76AD5">
        <w:rPr>
          <w:sz w:val="20"/>
        </w:rPr>
        <w:noBreakHyphen/>
        <w:t xml:space="preserve">year transportation and market efficiency gains claimed by T as either </w:t>
      </w:r>
      <w:r w:rsidRPr="00D76AD5">
        <w:rPr>
          <w:sz w:val="20"/>
        </w:rPr>
        <w:lastRenderedPageBreak/>
        <w:t>early</w:t>
      </w:r>
      <w:r w:rsidRPr="00D76AD5">
        <w:rPr>
          <w:sz w:val="20"/>
        </w:rPr>
        <w:noBreakHyphen/>
        <w:t>mover efficiencies or order implementation efficiencies would not be dispositive because the efficiencies were not ultimately realized by T.</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t>In its consideration of the efficiencies defence, the Tribunal should consider all available quantitative and qualitative evidence.  It is the Commissioner’s burden to quantify all quantifiable anti</w:t>
      </w:r>
      <w:r w:rsidRPr="00D76AD5">
        <w:rPr>
          <w:sz w:val="20"/>
        </w:rPr>
        <w:noBreakHyphen/>
        <w:t>competitive effects.  Effects that can be quantified should be quantified, even as estimates, provided such estimates are grounded in evidence that can be challenged and weighed.  If effects are realistically measurable, failure to at least estimate the quantification of those effects will not result in the effects being assessed on a qualitative basis.  Effects will only be considered qualitatively if they cannot be quantitatively estimated.  This approach minimizes the degree of subjective judgment necessary in the analysis and enables the Tribunal to make the most objective assessment possible in the circumstances.</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t>Here, the Commissioner did not quantify quantifiable anti</w:t>
      </w:r>
      <w:r w:rsidRPr="00D76AD5">
        <w:rPr>
          <w:sz w:val="20"/>
        </w:rPr>
        <w:noBreakHyphen/>
        <w:t>competitive effects and therefore failed to meet her burden under s. 96.  Specifically, there is no price elasticity information which means that the possible range of deadweight loss resulting from the merger is unknown.  To permit the Tribunal to consider the price decrease evidence without the rest of the information necessary to quantify deadweight loss admits far too much subjectivity into the analysis, with no guarantee that the Tribunal will have enough information to ensure that a subjective assessment would align with what would actually be observed if the effect were properly quantified.  As a result, those quantifiable anti</w:t>
      </w:r>
      <w:r w:rsidRPr="00D76AD5">
        <w:rPr>
          <w:sz w:val="20"/>
        </w:rPr>
        <w:noBreakHyphen/>
        <w:t>competitive effects should be assigned zero weight.  In setting the weight of these effects at undetermined, the Federal Court of Appeal allowed for subjective judgment to overtake the analysis.  Its “undetermined” approach also raises concerns of fairness to the merging parties, in that it places them in the impossible position of having to demonstrate that the efficiency gains exceed and offset an amount that is undetermined.  Under this approach, requiring the merging parties to prove the remaining elements of the defence on a balance of probabilities becomes an unfair exercise as they do not know the case they have to meet.</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t>The balancing test under s. 96 mandates a flexible but objectively reasonable approach by which the Tribunal must determine both quantitative and qualitative aspects of the merger, and then weigh and balance those aspects.  The test may be framed as a two</w:t>
      </w:r>
      <w:r w:rsidRPr="00D76AD5">
        <w:rPr>
          <w:sz w:val="20"/>
        </w:rPr>
        <w:noBreakHyphen/>
        <w:t>step inquiry.  First, the quantitative efficiencies of the merger should be compared against the quantitative anti</w:t>
      </w:r>
      <w:r w:rsidRPr="00D76AD5">
        <w:rPr>
          <w:sz w:val="20"/>
        </w:rPr>
        <w:noBreakHyphen/>
        <w:t>competitive effects.  Where the quantitative anti</w:t>
      </w:r>
      <w:r w:rsidRPr="00D76AD5">
        <w:rPr>
          <w:sz w:val="20"/>
        </w:rPr>
        <w:noBreakHyphen/>
        <w:t>competitive effects outweigh the quantitative efficiencies, this step will in most cases be dispositive, and the defence will not apply.  Under the second step, the qualitative efficiencies should be balanced against the qualitative anti</w:t>
      </w:r>
      <w:r w:rsidRPr="00D76AD5">
        <w:rPr>
          <w:sz w:val="20"/>
        </w:rPr>
        <w:noBreakHyphen/>
        <w:t>competitive effects, and a final determination must be made as to whether the total efficiencies offset the total anti</w:t>
      </w:r>
      <w:r w:rsidRPr="00D76AD5">
        <w:rPr>
          <w:sz w:val="20"/>
        </w:rPr>
        <w:noBreakHyphen/>
        <w:t>competitive effects of the merger at issue.  However, despite the flexibility the Tribunal has in applying this balancing approach, more than marginal efficiency gains should not be required for the defence to apply.  The words of the Act do not provide a basis for requiring this kind of threshold.  Nor does the statutory context of s. 96(1) indicate that it should be read to include a threshold significance requirement.  As a result, the Federal Court of Appeal erred in holding that an anti</w:t>
      </w:r>
      <w:r w:rsidRPr="00D76AD5">
        <w:rPr>
          <w:sz w:val="20"/>
        </w:rPr>
        <w:noBreakHyphen/>
        <w:t xml:space="preserve">competitive merger cannot be approved under s. 96 if only marginal or insignificant gains in efficiency result from that merger.  </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t>In this case, the Commissioner did not meet her burden to prove the anti</w:t>
      </w:r>
      <w:r w:rsidRPr="00D76AD5">
        <w:rPr>
          <w:sz w:val="20"/>
        </w:rPr>
        <w:noBreakHyphen/>
        <w:t xml:space="preserve">competitive effects, and as such, the weight given to the quantifiable effects is zero.  There are no proven qualitative effects.  T, however, established overhead efficiency gains resulting from B’s obtaining access to T’s administrative and operating functions.  These proven gains meet the “greater than and offset” requirement, and the efficiencies defence has therefore been made out. </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r>
      <w:r w:rsidRPr="00D76AD5">
        <w:rPr>
          <w:i/>
          <w:sz w:val="20"/>
        </w:rPr>
        <w:t>Per</w:t>
      </w:r>
      <w:r w:rsidRPr="00D76AD5">
        <w:rPr>
          <w:sz w:val="20"/>
        </w:rPr>
        <w:t xml:space="preserve"> </w:t>
      </w:r>
      <w:r w:rsidRPr="00D76AD5">
        <w:rPr>
          <w:b/>
          <w:sz w:val="20"/>
        </w:rPr>
        <w:t>Abella </w:t>
      </w:r>
      <w:r w:rsidRPr="00D76AD5">
        <w:rPr>
          <w:sz w:val="20"/>
        </w:rPr>
        <w:t xml:space="preserve">J.:  The applicable standard of review in this case is reasonableness, not correctness.  Following the case of </w:t>
      </w:r>
      <w:r w:rsidRPr="00D76AD5">
        <w:rPr>
          <w:i/>
          <w:sz w:val="20"/>
        </w:rPr>
        <w:t>Pezim v. British Columbia (Superintendent of Brokers)</w:t>
      </w:r>
      <w:r w:rsidRPr="00D76AD5">
        <w:rPr>
          <w:sz w:val="20"/>
        </w:rPr>
        <w:t>, [1994] 2 S.C.R. 557, which introduced a new edifice for the review of specialized tribunals, the jurisprudence of this Court has developed into a presumption that, regardless of the presence or absence of either a right of appeal or a privative clause, when a tribunal is interpreting its home statute, reasonableness applies.  While the statutory language granting the right of appeal in this case may be different from the language granting the right of appeal in other cases where this Court has applied a reasonableness standard, it is not sufficiently different to undermine the established principle of deference to tribunal expertise in the interpretation of the tribunal’s own statute.  Using such language to trump the deference owed to tribunal expertise, elevates the factor of statutory language to a preeminent and determinative status we have long denied it.  To apply correctness in this case represents a reversion to the pre</w:t>
      </w:r>
      <w:r w:rsidRPr="00D76AD5">
        <w:rPr>
          <w:sz w:val="20"/>
        </w:rPr>
        <w:noBreakHyphen/>
      </w:r>
      <w:r w:rsidRPr="00D76AD5">
        <w:rPr>
          <w:i/>
          <w:sz w:val="20"/>
        </w:rPr>
        <w:t>Pezim</w:t>
      </w:r>
      <w:r w:rsidRPr="00D76AD5">
        <w:rPr>
          <w:sz w:val="20"/>
        </w:rPr>
        <w:t xml:space="preserve"> era, undermines the statutorily</w:t>
      </w:r>
      <w:r w:rsidRPr="00D76AD5">
        <w:rPr>
          <w:sz w:val="20"/>
        </w:rPr>
        <w:noBreakHyphen/>
        <w:t>recognized expertise of the Tribunal, and constitutes an inexplicable variation from the Court’s jurisprudence that is certain to engender the very ‘standard of review’ confusion that inspired this Court to try to weave the strands together in the first place.  Applying the reasonableness standard, the Tribunal’s interpretation of s. 96 of the Act was unreasonable.</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r>
      <w:r w:rsidRPr="00D76AD5">
        <w:rPr>
          <w:i/>
          <w:sz w:val="20"/>
        </w:rPr>
        <w:t>Per</w:t>
      </w:r>
      <w:r w:rsidRPr="00D76AD5">
        <w:rPr>
          <w:sz w:val="20"/>
        </w:rPr>
        <w:t xml:space="preserve"> </w:t>
      </w:r>
      <w:r w:rsidRPr="00D76AD5">
        <w:rPr>
          <w:b/>
          <w:sz w:val="20"/>
        </w:rPr>
        <w:t>Karakatsanis</w:t>
      </w:r>
      <w:r w:rsidRPr="00D76AD5">
        <w:rPr>
          <w:sz w:val="20"/>
        </w:rPr>
        <w:t> J. (dissenting):  T was not entitled to the benefit of the s. 96 efficiencies defence.  Efficiencies and effects should be quantified wherever reasonably possible in the s. 96 analysis, and the assessment of qualitative effects should be objectively reasonable, supported by evidence and clear reasoning. However, the need for “reasonable objectivity” does not justify a hierarchical approach to quantitative and qualitative aspects under the efficiencies defence; nor should qualitative effects be of lesser importance than quantitative effects.  The statutory language of the Act does not distinguish between quantitative and qualitative efficiencies, and many of the wide</w:t>
      </w:r>
      <w:r w:rsidRPr="00D76AD5">
        <w:rPr>
          <w:sz w:val="20"/>
        </w:rPr>
        <w:noBreakHyphen/>
        <w:t>ranging purposes of the Act set out in s. 1.1 may not be quantifiable.  Indeed, many important anti</w:t>
      </w:r>
      <w:r w:rsidRPr="00D76AD5">
        <w:rPr>
          <w:sz w:val="20"/>
        </w:rPr>
        <w:noBreakHyphen/>
        <w:t xml:space="preserve">competitive effects of a merger may be qualitative in nature, and in some cases, those qualitative effects may be determinative in the s. 96 analysis.  The legislation mandates a purposive analysis, and the relative significance of qualitative and quantitative gains or effects can only be determined in the circumstances of each case.  It is neither helpful nor necessary to predetermine their relative role and importance in the s. 96 defence.  </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t>The Federal Court of Appeal’s view that the s. 96 analysis is at heart about balancing overall efficiency gains against overall anti</w:t>
      </w:r>
      <w:r w:rsidRPr="00D76AD5">
        <w:rPr>
          <w:sz w:val="20"/>
        </w:rPr>
        <w:noBreakHyphen/>
        <w:t>competitive effects is an approach that provides an appropriate level of flexibility, given that efficiencies and anti</w:t>
      </w:r>
      <w:r w:rsidRPr="00D76AD5">
        <w:rPr>
          <w:sz w:val="20"/>
        </w:rPr>
        <w:noBreakHyphen/>
        <w:t xml:space="preserve">competitive effects will not always be easy to measure.  The s. 96 framework enables the expert Tribunal to holistically assess the entirety of the evidence before it, rather than artificially bifurcating the analysis of qualitative and quantitative effects that may, in some cases, more helpfully be analyzed together.  </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t>Further, while the Commissioner bears the evidentiary burden to lead evidence of the anti</w:t>
      </w:r>
      <w:r w:rsidRPr="00D76AD5">
        <w:rPr>
          <w:sz w:val="20"/>
        </w:rPr>
        <w:noBreakHyphen/>
        <w:t>competitive effects of a merger, and bears the risk that the failure to fully quantify such effects where possible may render the evidence insufficient to counter the evidence of efficiency gains, the failure to quantify quantifiable anti</w:t>
      </w:r>
      <w:r w:rsidRPr="00D76AD5">
        <w:rPr>
          <w:sz w:val="20"/>
        </w:rPr>
        <w:noBreakHyphen/>
        <w:t>competitive effects does not invalidate the evidence that established there was a known anti</w:t>
      </w:r>
      <w:r w:rsidRPr="00D76AD5">
        <w:rPr>
          <w:sz w:val="20"/>
        </w:rPr>
        <w:noBreakHyphen/>
        <w:t>competitive effect of undetermined extent.  Relevant evidence is generally admissible, and the failure to lead the best evidence available goes to weight, not admissibility.  Neither the statutory language of the Act nor its purpose or context require that an anti</w:t>
      </w:r>
      <w:r w:rsidRPr="00D76AD5">
        <w:rPr>
          <w:sz w:val="20"/>
        </w:rPr>
        <w:noBreakHyphen/>
        <w:t>competitive effect of undetermined weight become irrelevant or inadmissible.</w:t>
      </w:r>
    </w:p>
    <w:p w:rsidR="001C418E" w:rsidRDefault="001C418E" w:rsidP="001C418E">
      <w:pPr>
        <w:pStyle w:val="SCCNormalDoubleSpacing"/>
        <w:spacing w:line="240" w:lineRule="auto"/>
        <w:rPr>
          <w:sz w:val="20"/>
        </w:rPr>
      </w:pPr>
    </w:p>
    <w:p w:rsidR="001C418E" w:rsidRDefault="001C418E" w:rsidP="001C418E">
      <w:pPr>
        <w:pStyle w:val="SCCNormalDoubleSpacing"/>
        <w:spacing w:line="240" w:lineRule="auto"/>
        <w:rPr>
          <w:sz w:val="20"/>
        </w:rPr>
      </w:pPr>
      <w:r w:rsidRPr="00D76AD5">
        <w:rPr>
          <w:sz w:val="20"/>
        </w:rPr>
        <w:tab/>
        <w:t>The Federal Court of Appeal was entitled to conclude that the Tribunal’s finding that prices would have been 10 percent lower in the relevant area in the absence of a merger amounted to evidence of a known anti</w:t>
      </w:r>
      <w:r w:rsidRPr="00D76AD5">
        <w:rPr>
          <w:sz w:val="20"/>
        </w:rPr>
        <w:noBreakHyphen/>
        <w:t>competitive effect of undetermined weight.  The court was also in a position to accept that T’s pre</w:t>
      </w:r>
      <w:r w:rsidRPr="00D76AD5">
        <w:rPr>
          <w:sz w:val="20"/>
        </w:rPr>
        <w:noBreakHyphen/>
        <w:t>existing monopoly was likely to magnify the anti</w:t>
      </w:r>
      <w:r w:rsidRPr="00D76AD5">
        <w:rPr>
          <w:sz w:val="20"/>
        </w:rPr>
        <w:noBreakHyphen/>
        <w:t>competitive effects of the merger.  Ultimately, the court was entitled to find that the proven efficiency gains were marginal to the point of being negligible and did not likely exceed the known (but undetermined) anti</w:t>
      </w:r>
      <w:r w:rsidRPr="00D76AD5">
        <w:rPr>
          <w:sz w:val="20"/>
        </w:rPr>
        <w:noBreakHyphen/>
        <w:t>competitive effects.</w:t>
      </w:r>
    </w:p>
    <w:p w:rsidR="001C418E" w:rsidRDefault="001C418E" w:rsidP="001C418E">
      <w:pPr>
        <w:pStyle w:val="SCCNormalDoubleSpacing"/>
        <w:spacing w:line="240" w:lineRule="auto"/>
        <w:rPr>
          <w:sz w:val="20"/>
        </w:rPr>
      </w:pPr>
    </w:p>
    <w:p w:rsidR="001C418E" w:rsidRPr="00D76AD5" w:rsidRDefault="001C418E" w:rsidP="001C418E">
      <w:pPr>
        <w:pStyle w:val="SCCNormalDoubleSpacing"/>
        <w:spacing w:line="240" w:lineRule="auto"/>
        <w:rPr>
          <w:sz w:val="20"/>
        </w:rPr>
      </w:pPr>
      <w:r w:rsidRPr="00D76AD5">
        <w:rPr>
          <w:sz w:val="20"/>
        </w:rPr>
        <w:tab/>
        <w:t>APPEAL from a judgment of the Federal Court of Appeal (Evans, Stratas and Mainville JJ.A.), 2013 FCA 28, 446 N.R. 261, 360 D.L.R. (4th) 717, [2013] F.C.J. No. 557 (QL), 2013 CarswellNat 1400, affirming a decision of the Competition Tribunal, [2012] C.C.T.D. No. 14 (QL), 2012 CarswellNat 4409, 2012 Comp. Trib. 14 (online:  http://www.ct-tc.</w:t>
      </w:r>
      <w:r w:rsidR="007D3324">
        <w:rPr>
          <w:sz w:val="20"/>
        </w:rPr>
        <w:t>ca</w:t>
      </w:r>
      <w:r w:rsidRPr="00D76AD5">
        <w:rPr>
          <w:sz w:val="20"/>
        </w:rPr>
        <w:t>/CMFiles/CT-2011-002_Reasons%20for%20Order</w:t>
      </w:r>
    </w:p>
    <w:p w:rsidR="001C418E" w:rsidRPr="00D76AD5" w:rsidRDefault="001C418E" w:rsidP="001C418E">
      <w:pPr>
        <w:pStyle w:val="SCCNormalDoubleSpacing"/>
        <w:spacing w:line="240" w:lineRule="auto"/>
        <w:rPr>
          <w:sz w:val="20"/>
        </w:rPr>
      </w:pPr>
      <w:r w:rsidRPr="00D76AD5">
        <w:rPr>
          <w:sz w:val="20"/>
        </w:rPr>
        <w:t>%20and%20Order_189_38_5-29-2012_5291.pdf).  Appeal allowed, Karakatsanis J. dissenting.</w:t>
      </w:r>
    </w:p>
    <w:p w:rsidR="001C418E" w:rsidRDefault="001C418E" w:rsidP="001C418E">
      <w:pPr>
        <w:pStyle w:val="SCCNormalDoubleSpacing"/>
        <w:spacing w:line="240" w:lineRule="auto"/>
        <w:rPr>
          <w:rStyle w:val="SCCCounselNameChar"/>
          <w:sz w:val="20"/>
        </w:rPr>
      </w:pPr>
    </w:p>
    <w:p w:rsidR="001C418E" w:rsidRPr="00D76AD5" w:rsidRDefault="001C418E" w:rsidP="001C418E">
      <w:pPr>
        <w:pStyle w:val="SCCNormalDoubleSpacing"/>
        <w:spacing w:line="240" w:lineRule="auto"/>
        <w:rPr>
          <w:sz w:val="20"/>
        </w:rPr>
      </w:pPr>
      <w:r w:rsidRPr="00D76AD5">
        <w:rPr>
          <w:rStyle w:val="SCCCounselNameChar"/>
          <w:sz w:val="20"/>
        </w:rPr>
        <w:tab/>
        <w:t>John B. Laskin</w:t>
      </w:r>
      <w:r w:rsidRPr="001C418E">
        <w:rPr>
          <w:rStyle w:val="SCCCounselSeparatorChar"/>
          <w:sz w:val="20"/>
          <w:lang w:val="en-CA"/>
        </w:rPr>
        <w:t xml:space="preserve">, </w:t>
      </w:r>
      <w:r w:rsidRPr="00D76AD5">
        <w:rPr>
          <w:rStyle w:val="SCCCounselNameChar"/>
          <w:sz w:val="20"/>
        </w:rPr>
        <w:t>Linda M. Plumpton, Dany H. Assaf</w:t>
      </w:r>
      <w:r w:rsidRPr="001C418E">
        <w:rPr>
          <w:rStyle w:val="SCCCounselSeparatorChar"/>
          <w:sz w:val="20"/>
          <w:lang w:val="en-CA"/>
        </w:rPr>
        <w:t xml:space="preserve"> and </w:t>
      </w:r>
      <w:r w:rsidRPr="00D76AD5">
        <w:rPr>
          <w:rStyle w:val="SCCCounselNameChar"/>
          <w:sz w:val="20"/>
        </w:rPr>
        <w:t>Crawford G. Smith</w:t>
      </w:r>
      <w:r w:rsidRPr="00D76AD5">
        <w:rPr>
          <w:rStyle w:val="SCCCounselPartyRoleChar"/>
          <w:sz w:val="20"/>
        </w:rPr>
        <w:t>, for the appellants.</w:t>
      </w:r>
    </w:p>
    <w:p w:rsidR="001C418E" w:rsidRDefault="001C418E" w:rsidP="001C418E">
      <w:pPr>
        <w:pStyle w:val="SCCNormalDoubleSpacing"/>
        <w:spacing w:line="240" w:lineRule="auto"/>
        <w:rPr>
          <w:rStyle w:val="SCCCounselNameChar"/>
          <w:sz w:val="20"/>
        </w:rPr>
      </w:pPr>
    </w:p>
    <w:p w:rsidR="001C418E" w:rsidRPr="00D76AD5" w:rsidRDefault="001C418E" w:rsidP="001C418E">
      <w:pPr>
        <w:pStyle w:val="SCCNormalDoubleSpacing"/>
        <w:spacing w:line="240" w:lineRule="auto"/>
        <w:rPr>
          <w:sz w:val="20"/>
        </w:rPr>
      </w:pPr>
      <w:r w:rsidRPr="00D76AD5">
        <w:rPr>
          <w:rStyle w:val="SCCCounselNameChar"/>
          <w:sz w:val="20"/>
        </w:rPr>
        <w:tab/>
        <w:t>Christopher Rupar</w:t>
      </w:r>
      <w:r w:rsidRPr="001C418E">
        <w:rPr>
          <w:rStyle w:val="SCCCounselSeparatorChar"/>
          <w:sz w:val="20"/>
          <w:lang w:val="en-CA"/>
        </w:rPr>
        <w:t xml:space="preserve">, </w:t>
      </w:r>
      <w:r w:rsidRPr="00D76AD5">
        <w:rPr>
          <w:rStyle w:val="SCCCounselNameChar"/>
          <w:sz w:val="20"/>
        </w:rPr>
        <w:t>John Tyhurst</w:t>
      </w:r>
      <w:r w:rsidRPr="001C418E">
        <w:rPr>
          <w:rStyle w:val="SCCCounselSeparatorChar"/>
          <w:sz w:val="20"/>
          <w:lang w:val="en-CA"/>
        </w:rPr>
        <w:t xml:space="preserve"> and </w:t>
      </w:r>
      <w:r w:rsidRPr="00D76AD5">
        <w:rPr>
          <w:rStyle w:val="SCCCounselNameChar"/>
          <w:sz w:val="20"/>
        </w:rPr>
        <w:t>Jonathan Hood</w:t>
      </w:r>
      <w:r w:rsidRPr="00D76AD5">
        <w:rPr>
          <w:rStyle w:val="SCCCounselPartyRoleChar"/>
          <w:sz w:val="20"/>
        </w:rPr>
        <w:t>, for the respondent.</w:t>
      </w:r>
    </w:p>
    <w:p w:rsidR="001C418E" w:rsidRDefault="001C418E" w:rsidP="001C418E">
      <w:pPr>
        <w:pStyle w:val="SCCLawFirm"/>
        <w:spacing w:line="240" w:lineRule="auto"/>
        <w:rPr>
          <w:sz w:val="20"/>
        </w:rPr>
      </w:pPr>
    </w:p>
    <w:p w:rsidR="001C418E" w:rsidRPr="00D76AD5" w:rsidRDefault="001C418E" w:rsidP="001C418E">
      <w:pPr>
        <w:pStyle w:val="SCCLawFirm"/>
        <w:spacing w:line="240" w:lineRule="auto"/>
        <w:rPr>
          <w:sz w:val="20"/>
        </w:rPr>
      </w:pPr>
      <w:r w:rsidRPr="00D76AD5">
        <w:rPr>
          <w:sz w:val="20"/>
        </w:rPr>
        <w:tab/>
        <w:t>Solicitors for the appellants:  Torys, Toronto.</w:t>
      </w:r>
    </w:p>
    <w:p w:rsidR="001C418E" w:rsidRDefault="001C418E" w:rsidP="001C418E">
      <w:pPr>
        <w:pStyle w:val="SCCLawFirm"/>
        <w:spacing w:line="240" w:lineRule="auto"/>
        <w:rPr>
          <w:sz w:val="20"/>
        </w:rPr>
      </w:pPr>
    </w:p>
    <w:p w:rsidR="001C418E" w:rsidRDefault="001C418E" w:rsidP="001C418E">
      <w:pPr>
        <w:pStyle w:val="SCCLawFirm"/>
        <w:spacing w:line="240" w:lineRule="auto"/>
        <w:rPr>
          <w:sz w:val="20"/>
        </w:rPr>
      </w:pPr>
      <w:r w:rsidRPr="00D76AD5">
        <w:rPr>
          <w:sz w:val="20"/>
        </w:rPr>
        <w:tab/>
        <w:t>Solicitor for the respondent:  Attorney General of Canada, Ottawa.</w:t>
      </w:r>
    </w:p>
    <w:p w:rsidR="0052229C" w:rsidRPr="001C418E" w:rsidRDefault="0052229C" w:rsidP="0052229C">
      <w:pPr>
        <w:rPr>
          <w:rFonts w:cs="Times New Roman"/>
          <w:sz w:val="20"/>
          <w:szCs w:val="20"/>
          <w:lang w:val="fr-CA"/>
        </w:rPr>
      </w:pPr>
      <w:r w:rsidRPr="001C418E">
        <w:rPr>
          <w:rFonts w:cs="Times New Roman"/>
          <w:sz w:val="20"/>
          <w:szCs w:val="20"/>
          <w:lang w:val="fr-CA"/>
        </w:rPr>
        <w:t>________________________</w:t>
      </w:r>
    </w:p>
    <w:p w:rsidR="0052229C" w:rsidRPr="001C418E" w:rsidRDefault="0052229C" w:rsidP="0052229C">
      <w:pPr>
        <w:rPr>
          <w:rFonts w:cs="Times New Roman"/>
          <w:sz w:val="20"/>
          <w:szCs w:val="20"/>
          <w:lang w:val="fr-CA"/>
        </w:rPr>
      </w:pPr>
    </w:p>
    <w:p w:rsidR="001C418E" w:rsidRPr="00F23C6A" w:rsidRDefault="001C418E" w:rsidP="001C418E">
      <w:pPr>
        <w:jc w:val="both"/>
        <w:rPr>
          <w:sz w:val="20"/>
          <w:szCs w:val="20"/>
          <w:lang w:val="fr-CA"/>
        </w:rPr>
      </w:pPr>
      <w:r w:rsidRPr="00F23C6A">
        <w:rPr>
          <w:sz w:val="20"/>
          <w:szCs w:val="20"/>
          <w:lang w:val="fr-CA"/>
        </w:rPr>
        <w:t>Présents : La juge en chef McLachlin et les juges Abella, Rothstein, Cromwell, Moldaver, Karakatsanis et Wagner.</w:t>
      </w:r>
    </w:p>
    <w:p w:rsidR="001C418E" w:rsidRDefault="001C418E" w:rsidP="001C418E">
      <w:pPr>
        <w:jc w:val="both"/>
        <w:rPr>
          <w:smallCaps/>
          <w:sz w:val="20"/>
          <w:lang w:val="fr-CA"/>
        </w:rPr>
      </w:pPr>
    </w:p>
    <w:p w:rsidR="001C418E" w:rsidRPr="00F23C6A" w:rsidRDefault="001C418E" w:rsidP="001C418E">
      <w:pPr>
        <w:pStyle w:val="SCCNormalDoubleSpacing"/>
        <w:spacing w:line="240" w:lineRule="auto"/>
        <w:rPr>
          <w:i/>
          <w:sz w:val="20"/>
          <w:lang w:val="fr-CA"/>
        </w:rPr>
      </w:pPr>
      <w:r w:rsidRPr="00F23C6A">
        <w:rPr>
          <w:sz w:val="20"/>
          <w:lang w:val="fr-CA"/>
        </w:rPr>
        <w:tab/>
      </w:r>
      <w:r w:rsidRPr="00F23C6A">
        <w:rPr>
          <w:i/>
          <w:sz w:val="20"/>
          <w:lang w:val="fr-CA"/>
        </w:rPr>
        <w:t xml:space="preserve">Concurrence — Fusionnements — Examen — Opposition de la commissaire de la concurrence à un fusionnement au motif qu’il aura vraisemblablement pour effet d’empêcher sensiblement la concurrence — Défense fondée sur les gains en efficience prévue par la loi invoquée par les parties fusionnées — Rejet de la défense par le Tribunal de la concurrence et prononcé d’une ordonnance de dessaisissement — Quel est le bon critère juridique pour </w:t>
      </w:r>
      <w:r w:rsidRPr="00F23C6A">
        <w:rPr>
          <w:i/>
          <w:sz w:val="20"/>
          <w:lang w:val="fr-CA"/>
        </w:rPr>
        <w:lastRenderedPageBreak/>
        <w:t>déterminer si le fusionnement empêche sensiblement la concurrence aux termes de la Loi sur la concurrence? — Comment faut</w:t>
      </w:r>
      <w:r w:rsidRPr="00F23C6A">
        <w:rPr>
          <w:i/>
          <w:sz w:val="20"/>
          <w:lang w:val="fr-CA"/>
        </w:rPr>
        <w:noBreakHyphen/>
        <w:t>il envisager la défense fondée sur les gains en efficience prévue par la loi? — En quoi consiste le fardeau qui incombe à la commissaire relativement à la défense fondée sur les gains en efficience? — Le fusionnement aura</w:t>
      </w:r>
      <w:r w:rsidRPr="00F23C6A">
        <w:rPr>
          <w:i/>
          <w:sz w:val="20"/>
          <w:lang w:val="fr-CA"/>
        </w:rPr>
        <w:noBreakHyphen/>
        <w:t>t</w:t>
      </w:r>
      <w:r w:rsidRPr="00F23C6A">
        <w:rPr>
          <w:i/>
          <w:sz w:val="20"/>
          <w:lang w:val="fr-CA"/>
        </w:rPr>
        <w:noBreakHyphen/>
        <w:t>il vraisemblablement pour effet d’empêcher sensiblement la concurrence? — Les gains en efficience résultant du fusionnement surpassent</w:t>
      </w:r>
      <w:r w:rsidRPr="00F23C6A">
        <w:rPr>
          <w:i/>
          <w:sz w:val="20"/>
          <w:lang w:val="fr-CA"/>
        </w:rPr>
        <w:noBreakHyphen/>
        <w:t>ils et neutralisent</w:t>
      </w:r>
      <w:r w:rsidRPr="00F23C6A">
        <w:rPr>
          <w:i/>
          <w:sz w:val="20"/>
          <w:lang w:val="fr-CA"/>
        </w:rPr>
        <w:noBreakHyphen/>
        <w:t>ils les effets anticoncurrentiels du fusionnement? — Loi sur la concurrence, L.R.C. 1985, c. C</w:t>
      </w:r>
      <w:r w:rsidRPr="00F23C6A">
        <w:rPr>
          <w:i/>
          <w:sz w:val="20"/>
          <w:lang w:val="fr-CA"/>
        </w:rPr>
        <w:noBreakHyphen/>
        <w:t>34, art. 92, 96.</w:t>
      </w:r>
    </w:p>
    <w:p w:rsidR="001C418E" w:rsidRDefault="001C418E" w:rsidP="001C418E">
      <w:pPr>
        <w:pStyle w:val="SCCNormalDoubleSpacing"/>
        <w:spacing w:line="240" w:lineRule="auto"/>
        <w:rPr>
          <w:i/>
          <w:sz w:val="20"/>
          <w:lang w:val="fr-CA"/>
        </w:rPr>
      </w:pPr>
    </w:p>
    <w:p w:rsidR="001C418E" w:rsidRPr="00F23C6A" w:rsidRDefault="001C418E" w:rsidP="001C418E">
      <w:pPr>
        <w:pStyle w:val="SCCNormalDoubleSpacing"/>
        <w:spacing w:line="240" w:lineRule="auto"/>
        <w:rPr>
          <w:i/>
          <w:sz w:val="20"/>
          <w:lang w:val="fr-CA"/>
        </w:rPr>
      </w:pPr>
      <w:r w:rsidRPr="00F23C6A">
        <w:rPr>
          <w:i/>
          <w:sz w:val="20"/>
          <w:lang w:val="fr-CA"/>
        </w:rPr>
        <w:tab/>
        <w:t>Droit administratif — Appels — Norme de contrôle — Tribunal de la concurrence — Norme de contrôle applicable aux décisions du tribunal sur des questions de droit qui concernent la Loi sur la concurrence, L.R.C. 1985, c. C</w:t>
      </w:r>
      <w:r w:rsidRPr="00F23C6A">
        <w:rPr>
          <w:i/>
          <w:sz w:val="20"/>
          <w:lang w:val="fr-CA"/>
        </w:rPr>
        <w:noBreakHyphen/>
        <w:t>34 — Le libellé de la disposition d’appel réfute</w:t>
      </w:r>
      <w:r w:rsidRPr="00F23C6A">
        <w:rPr>
          <w:i/>
          <w:sz w:val="20"/>
          <w:lang w:val="fr-CA"/>
        </w:rPr>
        <w:noBreakHyphen/>
        <w:t>t</w:t>
      </w:r>
      <w:r w:rsidRPr="00F23C6A">
        <w:rPr>
          <w:i/>
          <w:sz w:val="20"/>
          <w:lang w:val="fr-CA"/>
        </w:rPr>
        <w:noBreakHyphen/>
        <w:t>il la présomption selon laquelle la norme de la décision raisonnable s’applique à l’interprétation par le tribunal de sa loi constitutive? — Loi sur le Tribunal de la concurrence, L.R.C. 1985, c. 19 (2</w:t>
      </w:r>
      <w:r w:rsidRPr="00F23C6A">
        <w:rPr>
          <w:i/>
          <w:sz w:val="20"/>
          <w:vertAlign w:val="superscript"/>
          <w:lang w:val="fr-CA"/>
        </w:rPr>
        <w:t>e</w:t>
      </w:r>
      <w:r w:rsidRPr="00F23C6A">
        <w:rPr>
          <w:i/>
          <w:sz w:val="20"/>
          <w:lang w:val="fr-CA"/>
        </w:rPr>
        <w:t xml:space="preserve"> suppl.), art. 13(1).</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t>Quatre permis d’exploitation visant des sites d’enfouissement sécuritaire des déchets dangereux produits par des exploitations pétrolières et gazières ont été délivrés dans le Nord</w:t>
      </w:r>
      <w:r w:rsidRPr="00F23C6A">
        <w:rPr>
          <w:sz w:val="20"/>
          <w:lang w:val="fr-CA"/>
        </w:rPr>
        <w:noBreakHyphen/>
        <w:t>Est de la Colombie</w:t>
      </w:r>
      <w:r w:rsidRPr="00F23C6A">
        <w:rPr>
          <w:sz w:val="20"/>
          <w:lang w:val="fr-CA"/>
        </w:rPr>
        <w:noBreakHyphen/>
        <w:t>Britannique.  T est titulaire de deux de ces permis et exploite deux sites d’enfouissement conformément à ces permis.  Un troisième permis est détenu par une collectivité autochtone, mais les installations n’ont pas encore été construites.  Le quatrième permis est détenu par B, une filiale en propriété exclusive de C. Quand T a acquis C, la commissaire de la concurrence s’est opposée à cette opération, au motif qu’elle aurait vraisemblablement pour effet de nuire sensiblement à la concurrence dans les services d’enfouissement sécuritaire du Nord</w:t>
      </w:r>
      <w:r w:rsidRPr="00F23C6A">
        <w:rPr>
          <w:sz w:val="20"/>
          <w:lang w:val="fr-CA"/>
        </w:rPr>
        <w:noBreakHyphen/>
        <w:t>Est de la Colombie</w:t>
      </w:r>
      <w:r w:rsidRPr="00F23C6A">
        <w:rPr>
          <w:sz w:val="20"/>
          <w:lang w:val="fr-CA"/>
        </w:rPr>
        <w:noBreakHyphen/>
        <w:t xml:space="preserve">Britannique.  La commissaire a demandé au Tribunal de la concurrence (le « Tribunal ») d’ordonner l’annulation de la transaction en vertu de l’art. 92 de la </w:t>
      </w:r>
      <w:r w:rsidRPr="00F23C6A">
        <w:rPr>
          <w:i/>
          <w:sz w:val="20"/>
          <w:lang w:val="fr-CA"/>
        </w:rPr>
        <w:t>Loi sur la concurrence</w:t>
      </w:r>
      <w:r w:rsidRPr="00F23C6A">
        <w:rPr>
          <w:sz w:val="20"/>
          <w:lang w:val="fr-CA"/>
        </w:rPr>
        <w:t>, L.R.C. 1985, c. C</w:t>
      </w:r>
      <w:r w:rsidRPr="00F23C6A">
        <w:rPr>
          <w:sz w:val="20"/>
          <w:lang w:val="fr-CA"/>
        </w:rPr>
        <w:noBreakHyphen/>
        <w:t xml:space="preserve">34 (la « Loi ») ou, à titre subsidiaire, d’ordonner à T de se départir de B ou de C.  </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t>Le Tribunal</w:t>
      </w:r>
      <w:r w:rsidRPr="00F23C6A">
        <w:rPr>
          <w:rStyle w:val="SCCLowerCourtJudge"/>
          <w:sz w:val="20"/>
          <w:lang w:val="fr-CA"/>
        </w:rPr>
        <w:t xml:space="preserve"> a conclu, en vertu de l’art. 92, que le fusionnement aurait vraisemblablement pour effet d’empêcher sensiblement la concurrence dans le marché en cause.</w:t>
      </w:r>
      <w:r w:rsidRPr="00F23C6A">
        <w:rPr>
          <w:sz w:val="20"/>
          <w:lang w:val="fr-CA"/>
        </w:rPr>
        <w:t xml:space="preserve">  Il a statué en outre que les gains en efficience engendrés par le fusionnement ne surpassaient pas les effets anticoncurrentiels du fusionnement et ne les neutraliseraient pas, de telle sorte que T ne pouvait invoquer l’exception relative aux gains en efficience énoncée à l’art. 96 de la Loi.  Il a ordonné à T de se départir de B.  La Cour d’appel fédérale a confirmé la conclusion du Tribunal selon laquelle le fusionnement proposé aurait vraisemblablement pour effet d’empêcher sensiblement la concurrence.  Quant à la défense fondée sur les gains en efficience prévue à l’art. 96, de l’avis de la cour, le Tribunal s’était trompé à certains égards.  Toutefois, après une nouvelle appréciation de la question, la cour a conclu que le fusionnement avait seulement engendré des gains en efficience négligeables, qui n’étaient pas assez importants pour que le fusionnement soit approuvé sous le régime de l’art. 96. Par conséquent, la cour a rejeté l’appel. </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r>
      <w:r w:rsidRPr="00F23C6A">
        <w:rPr>
          <w:rStyle w:val="QuoteChar"/>
          <w:sz w:val="20"/>
          <w:lang w:val="fr-CA"/>
        </w:rPr>
        <w:t>Arrêt (la juge Karakatsanis est dissidente) :</w:t>
      </w:r>
      <w:r w:rsidRPr="00F23C6A">
        <w:rPr>
          <w:sz w:val="20"/>
          <w:lang w:val="fr-CA"/>
        </w:rPr>
        <w:t xml:space="preserve"> Le pourvoi est accueilli, l’ordonnance de dessaisissement est annulée et la demande présentée en vertu de l’art. 92 est rejetée.</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r>
      <w:r w:rsidRPr="00F23C6A">
        <w:rPr>
          <w:i/>
          <w:sz w:val="20"/>
          <w:lang w:val="fr-CA"/>
        </w:rPr>
        <w:t>La</w:t>
      </w:r>
      <w:r w:rsidRPr="00F23C6A">
        <w:rPr>
          <w:sz w:val="20"/>
          <w:lang w:val="fr-CA"/>
        </w:rPr>
        <w:t xml:space="preserve"> juge en chef McLachlin et les juges </w:t>
      </w:r>
      <w:r w:rsidRPr="00F23C6A">
        <w:rPr>
          <w:b/>
          <w:sz w:val="20"/>
          <w:lang w:val="fr-CA"/>
        </w:rPr>
        <w:t>Rothstein</w:t>
      </w:r>
      <w:r w:rsidRPr="00F23C6A">
        <w:rPr>
          <w:sz w:val="20"/>
          <w:lang w:val="fr-CA"/>
        </w:rPr>
        <w:t xml:space="preserve">, Cromwell, Moldaver et Wagner : Même si la norme de contrôle de la décision raisonnable est présumée applicable en l’espèce, car les questions en litige sont des questions de droit qui concernent la loi constitutive du Tribunal, cette présomption est réfutée.  La disposition d’appel de la </w:t>
      </w:r>
      <w:r w:rsidRPr="00F23C6A">
        <w:rPr>
          <w:i/>
          <w:sz w:val="20"/>
          <w:lang w:val="fr-CA"/>
        </w:rPr>
        <w:t>Loi sur le Tribunal de la concurrence</w:t>
      </w:r>
      <w:r w:rsidRPr="00F23C6A">
        <w:rPr>
          <w:sz w:val="20"/>
          <w:lang w:val="fr-CA"/>
        </w:rPr>
        <w:t>, L.R.C. 1985, c. 19 (2</w:t>
      </w:r>
      <w:r w:rsidRPr="00F23C6A">
        <w:rPr>
          <w:sz w:val="20"/>
          <w:vertAlign w:val="superscript"/>
          <w:lang w:val="fr-CA"/>
        </w:rPr>
        <w:t>e</w:t>
      </w:r>
      <w:r w:rsidRPr="00F23C6A">
        <w:rPr>
          <w:sz w:val="20"/>
          <w:lang w:val="fr-CA"/>
        </w:rPr>
        <w:t xml:space="preserve"> suppl.), témoigne de l’intention claire du législateur de ne pas imposer la retenue judiciaire dans le contrôle des décisions du Tribunal, ce qui appuie la thèse selon laquelle la norme de la décision correcte s’applique aux questions de droit et celle de la décision raisonnable aux questions mixtes de droit et de fait et aux questions de fait.  </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t>Le volet de l’art. 92 relatif à l’« empêchement » vise à prévenir qu’une entreprise possédant une puissance commerciale procède à un fusionnement pour empêcher la concurrence susceptible par ailleurs de s’exercer dans un marché contestable.  Pour déterminer si un fusionnement empêche sensiblement la concurrence, aux termes du par. 92(1), le Tribunal doit envisager l’état du marché, n’eût été le fusionnement, pour apprécier le paysage concurrentiel qui existerait vraisemblablement si le fusionnement n’avait pas eu lieu. Premièrement, il faut déterminer l’entreprise — ou les entreprises — que le fusionnement empêcherait d’entrer dans le marché de manière indépendante.  Le concurrent éventuel est habituellement une partie au fusionnement : l’entreprise acquise ou l’entreprise acquérante.  L’analyse est axée sur l’entrée potentielle dans le marché par la première lorsque, n’eût été le fusionnement, celle</w:t>
      </w:r>
      <w:r w:rsidRPr="00F23C6A">
        <w:rPr>
          <w:sz w:val="20"/>
          <w:lang w:val="fr-CA"/>
        </w:rPr>
        <w:noBreakHyphen/>
        <w:t xml:space="preserve">ci aurait vraisemblablement pénétré le marché en cause.  L’analyse est axée sur l’entrée potentielle dans le marché par la </w:t>
      </w:r>
      <w:r w:rsidRPr="00F23C6A">
        <w:rPr>
          <w:sz w:val="20"/>
          <w:lang w:val="fr-CA"/>
        </w:rPr>
        <w:lastRenderedPageBreak/>
        <w:t>seconde lorsque, n’eût été le fusionnement, celle</w:t>
      </w:r>
      <w:r w:rsidRPr="00F23C6A">
        <w:rPr>
          <w:sz w:val="20"/>
          <w:lang w:val="fr-CA"/>
        </w:rPr>
        <w:noBreakHyphen/>
        <w:t xml:space="preserve">ci aurait pénétré le marché en question de manière indépendante ou par le truchement de l’acquisition et de l’expansion d’une entreprise de plus petite taille.  </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t>Deuxièmement, il faut examiner l’état du marché pour voir si, n’eût été le fusionnement, le concurrent éventuel serait vraisemblablement entré dans le marché et, dans l’affirmative, si l’effet de la pénétration par le concurrent éventuel aurait vraisemblablement un effet sensible sur le marché.  Si la pénétration par le concurrent n’a aucun effet sur la puissance commerciale de l’entreprise acquérante, l’on ne peut dire du fusionnement qu’il a pour effet d’empêcher sensiblement la concurrence.  À cette étape de l’analyse, tous les éléments qui sont susceptibles d’influer sur cette pénétration du marché et à l’égard desquels une preuve a été produite doivent être pris en considération, comme les plans et éléments d’actif de la partie concernée, les conditions du marché actuelles et attendues et d’autres facteurs, énumérés à l’art. 93 de la Loi. Le délai de pénétration du marché doit être discernable. Autrement dit, il doit y avoir une preuve du moment où la partie au fusionnement aurait, de façon réaliste, pénétré le marché en l’absence du fusionnement.  La preuve doit être suffisante pour qu’il soit satisfait à la condition de « vraisemblance » selon la prépondérance des probabilités, mais il ne faut pas oublier que plus l’examen par le Tribunal porte loin dans le futur, plus il est difficile d’y satisfaire.  La période qu’un nouveau concurrent aux prises avec certains obstacles et qui agit avec diligence pour les surmonter pourrait voir s’écouler lorsqu’il tente de pénétrer le marché est certes un facteur important, mais ne permet toutefois pas d’envisager au</w:t>
      </w:r>
      <w:r w:rsidRPr="00F23C6A">
        <w:rPr>
          <w:sz w:val="20"/>
          <w:lang w:val="fr-CA"/>
        </w:rPr>
        <w:noBreakHyphen/>
        <w:t>delà de ce que la preuve appuie.  Quant à savoir si la pénétration du marché par un concurrent éventuel aura un effet sensible, il faut examiner diverses dimensions de la concurrence, dont le prix et les extrants, ainsi que l’ampleur et la durée de tout effet qu’elle aurait sur le marché.  L’article 93 de la Loi dresse une liste non exhaustive de facteurs dont il peut être tenu compte.</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t>En l’espèce, la conclusion du Tribunal selon laquelle le fusionnement aura vraisemblablement pour effet d’empêcher sensiblement la concurrence est correcte.  Il a procédé à une analyse prospective axée sur l’absence hypothétique, a mis la partie acquise au centre de l’analyse et a demandé si, n’eût été le fusionnement, la partie acquise aurait vraisemblablement pénétré le marché pertinent dans une mesure suffisante pour livrer concurrence à T.  Le Tribunal n’a fait aucune conjecture; il a plutôt tiré des conclusions de fait sur le fondement de la preuve abondante dont il disposait.  Si la caractérisation par le Tribunal de la soi</w:t>
      </w:r>
      <w:r w:rsidRPr="00F23C6A">
        <w:rPr>
          <w:sz w:val="20"/>
          <w:lang w:val="fr-CA"/>
        </w:rPr>
        <w:noBreakHyphen/>
        <w:t xml:space="preserve">disant baisse du prix de 10 p. 100 qui aurait été réalisée en l’absence du fusionnement était mal fondée, il disposait de suffisamment d’autres éléments de preuve pour conclure que le fusionnement empêcherait sensiblement la concurrence.  </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t>Étant donné qu’il est satisfait à l’art. 92 de la Loi, il y a lieu de déterminer si la défense fondée sur les gains en efficience prévue à l’art. 96 fait obstacle à l’ordonnance visée à l’art. 92.  La défense commande une analyse visant à déterminer si les gains en efficience qu’entraîne le fusionnement, résultant de l’intégration des ressources, surpassent les effets anticoncurrentiels qui découlent de la diminution ou de l’absence de concurrence dans le marché géographique et dans celui du produit en cause.  La commissaire est tenue de prouver les effets anticoncurrentiels; les parties au fusionnement assument quant à elles la charge de prouver les autres éléments de la défense.  Il existe diverses manières de procéder à l’exercice de comparaison qu’appelle l’art. 96; deux ont été examinés par les tribunaux au Canada : le critère du « surplus total », qui implique une quantification de la perte sèche qui découlera d’un fusionnement, et le critère des « coefficients pondérateurs » suivant lequel le Tribunal compare les effets du fusionnement sur les consommateurs et sur les actionnaires de l’entité fusionnée.  Comme la Loi ne précise pas la méthode à appliquer, le Tribunal jouit de la latitude requise pour décider en bout de ligne à la lumière des circonstances propres à chaque fusionnement.</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t xml:space="preserve">L’article 96 accorde effectivement la primauté à l’efficience de l’économie, mais il n’est pas dépourvu de limites.  Ce ne sont pas tous les gains en efficience économiques qui devraient être pris en considération dans l’analyse qu’appelle l’art. 96.  Il y a lieu de distinguer entre les gains en efficience qu’une partie au fusionnement prétend être en mesure de réaliser plus rapidement qu’en l’absence du fusionnement (« gains en efficience du premier arrivé ») et les gains en efficience qu’une partie au fusionnement pourrait réaliser plus tôt qu’un concurrent pour la seule raison que ce dernier devrait attendre la fin de la procédure de dessaisissement (« gains en efficience liés à l’exécution d’une ordonnance »).  Les gains en efficience qui résultent de l’application de la Loi ne peuvent être pris en compte au titre de l’art. 96, car ils découlent de l’exécution et de l’application du cadre qui réglemente le droit de la concurrence au Canada, plutôt que du fusionnement en soi.  En revanche, les gains en efficience du premier arrivé sont admissibles pour l’application de l’art. 96, car il s’agit de gains en efficience économiques qui résultent véritablement du fusionnement.  Néanmoins, en l’espèce, la classification de ces gains en efficience d’un an relatifs au transport et à </w:t>
      </w:r>
      <w:r w:rsidRPr="00F23C6A">
        <w:rPr>
          <w:sz w:val="20"/>
          <w:lang w:val="fr-CA"/>
        </w:rPr>
        <w:lastRenderedPageBreak/>
        <w:t xml:space="preserve">l’expansion du marché invoqués par T à titre de gains du premier arrivé ou de gains liés à l’exécution d’une ordonnance ne serait pas déterminante, puisque ces gains n’ont pas été réalisés.  </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t>Dans l’analyse de la défense fondée sur les gains en efficience, le Tribunal devrait prendre en considération tous les éléments quantitatifs et qualitatifs à sa disposition.  Il incombe à la commissaire de quantifier tous les effets anticoncurrentiels quantifiables.  Les effets qui peuvent être quantifiés devraient l’être, ou à tout le moins être estimés, dans la mesure où de telles estimations sont fondées sur une preuve qui peut être attaquée et soupesée.  L’omission d’en donner au moins une estimation quantitative, lorsqu’il est réalistement possible de le faire, ne donnera pas lieu à une analyse qualitative de ces effets.  Seuls les effets ne pouvant être estimés sur le plan quantitatif seront pris en considération sur le plan qualitatif.  Cette méthode réduit au minimum le jugement subjectif nécessaire dans l’analyse et permet au Tribunal d’effectuer l’évaluation la plus objective possible dans les circonstances.</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t xml:space="preserve">En l’espèce, la commissaire n’a pas quantifié les effets anticoncurrentiels quantifiables et, partant, elle ne s’est pas acquittée du fardeau que lui impose l’art. 96.  En particulier, sans données sur l’élasticité par rapport au prix, la fourchette possible de la perte sèche résultant du fusionnement est inconnue.  Permettre au Tribunal de tenir compte de la baisse des prix invoquée sans les autres données sur la perte sèche fait intervenir une trop grande subjectivité dans l’équation, et rien ne garantit qu’il dispose de données suffisantes pour vérifier si l’analyse subjective concorderait avec celle fondée sur des effets quantifiés en bonne et due forme.  Par conséquent, les effets anticoncurrentiels quantifiables doivent alors être jugés nuls.  En concluant que ces effets avaient une valeur indéterminée, la Cour d’appel fédérale a permis qu’un jugement subjectif dicte l’analyse.  La démarche de la Cour d’appel fédérale, qui a attribué une valeur « indéterminée », soulève aussi des questions d’équité à l’égard des parties au fusionnement en ce sens qu’on les met dans une situation insoutenable : démontrer que les gains en efficience surpassent et neutralisent une somme indéterminée.  Ainsi, exiger des parties au fusionnement qu’elles prouvent les autres éléments de la défense selon la prépondérance des probabilités devient un exercice inéquitable, car elles ignorent la preuve qui leur est opposée.  </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t xml:space="preserve">La pondération qu’exige l’art. 96 commande une méthode souple, mais objectivement raisonnable invitant le Tribunal à déterminer les aspects tant quantitatifs que qualitatifs du fusionnement, puis à les soupeser.  On peut concevoir le critère comme une analyse en deux étapes.  Dans un premier temps, il faut comparer les gains en efficience quantitatifs du fusionnement à ses effets anticoncurrentiels quantitatifs.  Si les effets anticoncurrentiels quantitatifs dépassent les gains en efficience quantitatifs, l’analyse prend alors fin dans la plupart des cas, et la défense ne s’appliquera pas.  Dans un deuxième temps, il faut mettre en balance les gains en efficience qualitatifs et les effets anticoncurrentiels qualitatifs et décider en dernière analyse si le total des gains en efficience neutralise le total des effets anticoncurrentiels du fusionnement en cause.  Cependant, en dépit de la latitude dont jouit le Tribunal lorsqu’il applique cette méthode de pondération, il ne faudrait pas exiger des gains en efficience plus que négligeables pour que la défense s’applique. Le libellé de la Loi ne permet pas d’exiger un tel seuil.  Le contexte législatif du par. 96(1) ne permet pas non plus que cette disposition soit assortie d’un seuil implicite.  La Cour d’appel fédérale a donc commis une erreur en statuant qu’un fusionnement anticoncurrentiel ne saurait être approuvé sous le régime de l’art. 96 si seuls des gains négligeables ou insignifiants en découlent.  </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t>En l’espèce, la commissaire ne s’est pas acquittée de la charge qui lui incombait de prouver l’existence d’effets anticoncurrentiels, de sorte qu’une valeur nulle a été accordée aux effets quantifiables.  Aucun effet anticoncurrentiel qualitatif n’a été établi.  Or, T a établi l’existence de gains en efficience liés à la baisse des coûts indirects qui découlent de l’obtention par B de l’accès aux fonctions administratives et opérationnelles de T.  Ces gains prouvés satisfont à la condition de surpassement et de neutralisation, et par conséquent, la défense fondée sur les gains en efficience a été établie.</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r>
      <w:r w:rsidRPr="00F23C6A">
        <w:rPr>
          <w:i/>
          <w:sz w:val="20"/>
          <w:lang w:val="fr-CA"/>
        </w:rPr>
        <w:t>La</w:t>
      </w:r>
      <w:r w:rsidRPr="00F23C6A">
        <w:rPr>
          <w:sz w:val="20"/>
          <w:lang w:val="fr-CA"/>
        </w:rPr>
        <w:t xml:space="preserve"> juge </w:t>
      </w:r>
      <w:r w:rsidRPr="00F23C6A">
        <w:rPr>
          <w:b/>
          <w:sz w:val="20"/>
          <w:lang w:val="fr-CA"/>
        </w:rPr>
        <w:t>Abella</w:t>
      </w:r>
      <w:r w:rsidRPr="00F23C6A">
        <w:rPr>
          <w:sz w:val="20"/>
          <w:lang w:val="fr-CA"/>
        </w:rPr>
        <w:t xml:space="preserve"> : La norme de contrôle judiciaire qui s’applique en l’espèce est celle de la décision raisonnable, et non celle de la décision correcte. Après l’arrêt </w:t>
      </w:r>
      <w:r w:rsidRPr="00F23C6A">
        <w:rPr>
          <w:i/>
          <w:sz w:val="20"/>
          <w:lang w:val="fr-CA"/>
        </w:rPr>
        <w:t>Pezim c. Colombie</w:t>
      </w:r>
      <w:r w:rsidRPr="00F23C6A">
        <w:rPr>
          <w:i/>
          <w:sz w:val="20"/>
          <w:lang w:val="fr-CA"/>
        </w:rPr>
        <w:noBreakHyphen/>
        <w:t>Britannique (Superintendent of Brokers)</w:t>
      </w:r>
      <w:r w:rsidRPr="00F23C6A">
        <w:rPr>
          <w:sz w:val="20"/>
          <w:lang w:val="fr-CA"/>
        </w:rPr>
        <w:t xml:space="preserve">, [1994] 2 R.C.S. 557, qui a jeté les bases d’un nouvel édifice de révision des décisions des tribunaux spécialisés, la jurisprudence de la Cour a créé une présomption selon laquelle, qu’il y ait ou non de droit d’appel ou de clause privative, dès lors qu’un tribunal administratif interprète sa propre loi constitutive, c’est la norme de la décision raisonnable qui s’applique.  Bien que le libellé de la disposition accordant le droit d’appel en l’espèce diffère de celui qui est en cause dans d’autres affaires où la Cour applique la norme de la décision raisonnable, il ne diffère pas suffisamment pour saper le principe établi, à savoir que la déférence s’impose à l’égard de l’interprétation par un tribunal expert de sa loi constitutive.  Invoquer ce genre de libellé pour supplanter la déférence que commande l’expertise du tribunal a pour </w:t>
      </w:r>
      <w:r w:rsidRPr="00F23C6A">
        <w:rPr>
          <w:sz w:val="20"/>
          <w:lang w:val="fr-CA"/>
        </w:rPr>
        <w:lastRenderedPageBreak/>
        <w:t xml:space="preserve">effet d’élever le facteur du libellé de la loi au rang d’élément prééminent et déterminant que nous avons longtemps refusé de lui reconnaître.  Appliquer la norme de la décision correcte en l’espèce constitue un retour à la situation antérieure à l’arrêt </w:t>
      </w:r>
      <w:r w:rsidRPr="00F23C6A">
        <w:rPr>
          <w:i/>
          <w:sz w:val="20"/>
          <w:lang w:val="fr-CA"/>
        </w:rPr>
        <w:t>Pezim</w:t>
      </w:r>
      <w:r w:rsidRPr="00F23C6A">
        <w:rPr>
          <w:sz w:val="20"/>
          <w:lang w:val="fr-CA"/>
        </w:rPr>
        <w:t>, sape l’expertise du Tribunal reconnue par le texte législatif et représente un écart inexplicable par rapport à la jurisprudence de la Cour qui va engendrer sans aucun doute la confusion relative à la « norme de contrôle » qui avait amené la Cour au départ à vouloir y mettre de l’ordre.  Si l’on applique la norme de la décision raisonnable, l’interprétation de l’art. 96 de la Loi par le Tribunal n’était pas raisonnable.</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r>
      <w:r w:rsidRPr="00F23C6A">
        <w:rPr>
          <w:i/>
          <w:sz w:val="20"/>
          <w:lang w:val="fr-CA"/>
        </w:rPr>
        <w:t>La</w:t>
      </w:r>
      <w:r w:rsidRPr="00F23C6A">
        <w:rPr>
          <w:sz w:val="20"/>
          <w:lang w:val="fr-CA"/>
        </w:rPr>
        <w:t xml:space="preserve"> juge </w:t>
      </w:r>
      <w:r w:rsidRPr="00F23C6A">
        <w:rPr>
          <w:b/>
          <w:sz w:val="20"/>
          <w:lang w:val="fr-CA"/>
        </w:rPr>
        <w:t>Karakatsanis</w:t>
      </w:r>
      <w:r w:rsidRPr="00F23C6A">
        <w:rPr>
          <w:sz w:val="20"/>
          <w:lang w:val="fr-CA"/>
        </w:rPr>
        <w:t xml:space="preserve"> (dissidente) : T n’avait pas le droit de se prévaloir de la défense fondée sur les gains en efficience en l’espèce.  Les gains en efficience et les effets anticoncurrentiels devraient être quantifiés chaque fois qu’il est raisonnablement possible de le faire dans le cadre de l’analyse que commande l’art. 96, et l’évaluation des effets qualitatifs devrait être objectivement raisonnable et étayée par des éléments de preuve et un raisonnement clair.  Toutefois, la nécessité d’une « objectivité raisonnable » ne saurait justifier une conception hiérarchique des aspects quantitatifs et qualitatifs qu’il faut évaluer au regard de la défense fondée sur les gains en efficience; et </w:t>
      </w:r>
      <w:r w:rsidRPr="00F23C6A">
        <w:rPr>
          <w:iCs/>
          <w:sz w:val="20"/>
          <w:lang w:val="fr-CA"/>
        </w:rPr>
        <w:t>les aspects qualitatifs ne jouent pas un rôle moins important que les effets quantitatifs</w:t>
      </w:r>
      <w:r w:rsidRPr="00F23C6A">
        <w:rPr>
          <w:sz w:val="20"/>
          <w:lang w:val="fr-CA"/>
        </w:rPr>
        <w:t>.  Le libellé de la Loi n’établit aucune distinction entre les gains en efficience quantitatifs et qualitatifs, et plusieurs des objets variés de Loi prévus à l’art. 1.1 peuvent ne pas être quantifiables.  En effet, il se peut que nombre d’effets anticoncurrentiels importants d’un fusionnement soient de nature qualitative et, dans certains cas, ces effets qualitatifs peuvent être déterminants dans l’analyse qu’appelle l’art. 96.  La loi prévoit une analyse téléologique, et l’importance relative des gains ou effets qualitatifs d’une part et quantitatifs d’autre part ne peut être déterminée qu’au cas par cas. Il n’est ni utile ni nécessaire de déterminer à l’avance le rôle et l’importance de chaque catégorie dans l’analyse visant à décider si la défense fondée sur l’art. 96 s’applique.</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t xml:space="preserve">L’avis de la Cour d’appel fédérale, selon qui l’analyse qu’appelle l’art. 96 porte essentiellement sur la pondération des gains en efficience toutes catégories confondues et des effets anticoncurrentiels toutes catégories confondues, permet une certaine souplesse, les gains en efficience et les effets anticoncurrentiels n’étant pas toujours faciles à mesurer.  Le cadre applicable à l’art. 96 permet au Tribunal expert d’évaluer globalement la preuve qui lui a été présentée plutôt que de scinder artificiellement l’analyse des effets qualitatifs et des effets quantitatifs. En effet, dans certains cas, il peut être plus utile de les analyser ensemble.  </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F23C6A">
        <w:rPr>
          <w:sz w:val="20"/>
          <w:lang w:val="fr-CA"/>
        </w:rPr>
        <w:tab/>
        <w:t>En outre, si la commissaire doit présenter des éléments de preuve sur les effets anticoncurrentiels du fusionnement et assume le risque qu’une quantification incomplète des effets quantifiables soit insuffisante pour réfuter la preuve des gains en efficience, la preuve ayant établi qu’il y avait un effet anticoncurrentiel connu d’une valeur indéterminée n’est pas invalidée du fait d’une quantification incomplète.  La preuve pertinente est généralement admissible, et le défaut de présenter la meilleure preuve possible influe sur le poids qui peut être accordé à cette preuve, non pas sur son admissibilité.  Ni le libellé de la Loi ni par ailleurs son objet ou son contexte ne font en sorte qu’un effet anticoncurrentiel d’une valeur indéterminée devienne non pertinent ou inadmissible.</w:t>
      </w:r>
    </w:p>
    <w:p w:rsidR="001C418E" w:rsidRDefault="001C418E" w:rsidP="001C418E">
      <w:pPr>
        <w:pStyle w:val="SCCNormalDoubleSpacing"/>
        <w:spacing w:line="240" w:lineRule="auto"/>
        <w:rPr>
          <w:sz w:val="20"/>
          <w:lang w:val="fr-CA"/>
        </w:rPr>
      </w:pPr>
    </w:p>
    <w:p w:rsidR="001C418E" w:rsidRDefault="001C418E" w:rsidP="001C418E">
      <w:pPr>
        <w:pStyle w:val="SCCNormalDoubleSpacing"/>
        <w:spacing w:line="240" w:lineRule="auto"/>
        <w:rPr>
          <w:sz w:val="20"/>
          <w:lang w:val="fr-CA"/>
        </w:rPr>
      </w:pPr>
      <w:r w:rsidRPr="00F23C6A">
        <w:rPr>
          <w:sz w:val="20"/>
          <w:lang w:val="fr-CA"/>
        </w:rPr>
        <w:tab/>
        <w:t>La Cour d’appel fédérale pouvait juger que la conclusion du Tribunal selon laquelle les prix auraient été inférieurs de 10 p. 100 dans la zone pertinente, n’eût été le fusionnement, constituait la preuve d’un effet anticoncurrentiel connu, mais d’une valeur indéterminée.  Elle pouvait également juger que le monopole préexistant de T aurait vraisemblablement pour effet d’amplifier les effets anticoncurrentiels du fusionnement.  Finalement, la cour pouvait conclure à bon droit que les gains en efficience établis étaient minimes au point d’être négligeables et n’excédaient vraisemblablement pas les effets anticoncurrentiels connus mais indéterminés.</w:t>
      </w:r>
    </w:p>
    <w:p w:rsidR="001C418E" w:rsidRDefault="001C418E" w:rsidP="001C418E">
      <w:pPr>
        <w:pStyle w:val="SCCNormalDoubleSpacing"/>
        <w:spacing w:line="240" w:lineRule="auto"/>
        <w:rPr>
          <w:sz w:val="20"/>
          <w:lang w:val="fr-CA"/>
        </w:rPr>
      </w:pPr>
    </w:p>
    <w:p w:rsidR="001C418E" w:rsidRPr="00F23C6A" w:rsidRDefault="001C418E" w:rsidP="001C418E">
      <w:pPr>
        <w:pStyle w:val="SCCNormalDoubleSpacing"/>
        <w:spacing w:line="240" w:lineRule="auto"/>
        <w:rPr>
          <w:sz w:val="20"/>
          <w:lang w:val="fr-CA"/>
        </w:rPr>
      </w:pPr>
      <w:r w:rsidRPr="001C418E">
        <w:rPr>
          <w:sz w:val="20"/>
          <w:lang w:val="fr-CA"/>
        </w:rPr>
        <w:tab/>
      </w:r>
      <w:r w:rsidRPr="00F23C6A">
        <w:rPr>
          <w:sz w:val="20"/>
          <w:lang w:val="fr-CA"/>
        </w:rPr>
        <w:t>POURVOI contre un arrêt de la Cour d’appel fédérale (les juges Evans, Stratas et Mainville), 2013 CAF 28, 446 N.R. 261, 360 D.L.R. (4th) 717, [2013] A.C.F. n</w:t>
      </w:r>
      <w:r w:rsidRPr="00F23C6A">
        <w:rPr>
          <w:sz w:val="20"/>
          <w:vertAlign w:val="superscript"/>
          <w:lang w:val="fr-CA"/>
        </w:rPr>
        <w:t>o</w:t>
      </w:r>
      <w:r w:rsidRPr="00F23C6A">
        <w:rPr>
          <w:sz w:val="20"/>
          <w:lang w:val="fr-CA"/>
        </w:rPr>
        <w:t> 557 (QL), 2013 CarswellNat 6936, qui a confirmé une décision du Tribunal de la concurrence, 2012 CACT 14 (CanLII), [2012] D.T.C.C. n</w:t>
      </w:r>
      <w:r w:rsidRPr="00F23C6A">
        <w:rPr>
          <w:sz w:val="20"/>
          <w:vertAlign w:val="superscript"/>
          <w:lang w:val="fr-CA"/>
        </w:rPr>
        <w:t>o</w:t>
      </w:r>
      <w:r w:rsidRPr="00F23C6A">
        <w:rPr>
          <w:sz w:val="20"/>
          <w:lang w:val="fr-CA"/>
        </w:rPr>
        <w:t> 14 (QL), 2012 CarswellNat 4409, 2012 Trib. conc. 14 (en ligne : http://www.ct-tc.</w:t>
      </w:r>
      <w:r w:rsidR="007D3324">
        <w:rPr>
          <w:sz w:val="20"/>
          <w:lang w:val="fr-CA"/>
        </w:rPr>
        <w:t>ca</w:t>
      </w:r>
      <w:r w:rsidRPr="00F23C6A">
        <w:rPr>
          <w:sz w:val="20"/>
          <w:lang w:val="fr-CA"/>
        </w:rPr>
        <w:t>/CMFiles/CT</w:t>
      </w:r>
    </w:p>
    <w:p w:rsidR="001C418E" w:rsidRPr="00F23C6A" w:rsidRDefault="001C418E" w:rsidP="001C418E">
      <w:pPr>
        <w:pStyle w:val="SCCNormalDoubleSpacing"/>
        <w:spacing w:line="240" w:lineRule="auto"/>
        <w:rPr>
          <w:sz w:val="20"/>
          <w:lang w:val="fr-CA"/>
        </w:rPr>
      </w:pPr>
      <w:r w:rsidRPr="00F23C6A">
        <w:rPr>
          <w:sz w:val="20"/>
          <w:lang w:val="fr-CA"/>
        </w:rPr>
        <w:t>-2011-002_Motifs%20de%20l’ordonnance%20et%20ordonnance%20(en%20anglais</w:t>
      </w:r>
    </w:p>
    <w:p w:rsidR="001C418E" w:rsidRPr="00F23C6A" w:rsidRDefault="001C418E" w:rsidP="001C418E">
      <w:pPr>
        <w:pStyle w:val="SCCNormalDoubleSpacing"/>
        <w:spacing w:line="240" w:lineRule="auto"/>
        <w:rPr>
          <w:sz w:val="20"/>
          <w:lang w:val="fr-CA"/>
        </w:rPr>
      </w:pPr>
      <w:r w:rsidRPr="00F23C6A">
        <w:rPr>
          <w:sz w:val="20"/>
          <w:lang w:val="fr-CA"/>
        </w:rPr>
        <w:t>%20seulement)_223_38_5-29-2012_5205.pdf). Pourvoi accueilli, la juge Karakatsanis est dissidente.</w:t>
      </w:r>
    </w:p>
    <w:p w:rsidR="001C418E" w:rsidRDefault="001C418E" w:rsidP="001C418E">
      <w:pPr>
        <w:pStyle w:val="SCCNormalDoubleSpacing"/>
        <w:spacing w:line="240" w:lineRule="auto"/>
        <w:rPr>
          <w:rStyle w:val="SCCCounselNameChar"/>
          <w:sz w:val="20"/>
          <w:lang w:val="fr-CA"/>
        </w:rPr>
      </w:pPr>
    </w:p>
    <w:p w:rsidR="001C418E" w:rsidRPr="00F23C6A" w:rsidRDefault="001C418E" w:rsidP="001C418E">
      <w:pPr>
        <w:pStyle w:val="SCCNormalDoubleSpacing"/>
        <w:spacing w:line="240" w:lineRule="auto"/>
        <w:rPr>
          <w:sz w:val="20"/>
          <w:lang w:val="fr-CA"/>
        </w:rPr>
      </w:pPr>
      <w:r w:rsidRPr="00F23C6A">
        <w:rPr>
          <w:rStyle w:val="SCCCounselNameChar"/>
          <w:sz w:val="20"/>
          <w:lang w:val="fr-CA"/>
        </w:rPr>
        <w:tab/>
        <w:t>John B. Laskin</w:t>
      </w:r>
      <w:r w:rsidRPr="00F23C6A">
        <w:rPr>
          <w:rStyle w:val="SCCCounselSeparatorChar"/>
          <w:sz w:val="20"/>
        </w:rPr>
        <w:t xml:space="preserve">, </w:t>
      </w:r>
      <w:r w:rsidRPr="00F23C6A">
        <w:rPr>
          <w:rStyle w:val="SCCCounselNameChar"/>
          <w:sz w:val="20"/>
          <w:lang w:val="fr-CA"/>
        </w:rPr>
        <w:t>Linda M. Plumpton, Dany H. Assaf</w:t>
      </w:r>
      <w:r w:rsidRPr="00F23C6A">
        <w:rPr>
          <w:rStyle w:val="SCCCounselSeparatorChar"/>
          <w:sz w:val="20"/>
        </w:rPr>
        <w:t xml:space="preserve"> et </w:t>
      </w:r>
      <w:r w:rsidRPr="00F23C6A">
        <w:rPr>
          <w:rStyle w:val="SCCCounselNameChar"/>
          <w:sz w:val="20"/>
          <w:lang w:val="fr-CA"/>
        </w:rPr>
        <w:t>Crawford G. Smith</w:t>
      </w:r>
      <w:r w:rsidRPr="00F23C6A">
        <w:rPr>
          <w:rStyle w:val="SCCCounselPartyRoleChar"/>
          <w:sz w:val="20"/>
          <w:lang w:val="fr-CA"/>
        </w:rPr>
        <w:t>, pour les appelantes.</w:t>
      </w:r>
    </w:p>
    <w:p w:rsidR="001C418E" w:rsidRDefault="001C418E" w:rsidP="001C418E">
      <w:pPr>
        <w:pStyle w:val="SCCNormalDoubleSpacing"/>
        <w:spacing w:line="240" w:lineRule="auto"/>
        <w:rPr>
          <w:rStyle w:val="SCCCounselNameChar"/>
          <w:sz w:val="20"/>
          <w:lang w:val="fr-CA"/>
        </w:rPr>
      </w:pPr>
    </w:p>
    <w:p w:rsidR="001C418E" w:rsidRPr="00F23C6A" w:rsidRDefault="001C418E" w:rsidP="001C418E">
      <w:pPr>
        <w:pStyle w:val="SCCNormalDoubleSpacing"/>
        <w:spacing w:line="240" w:lineRule="auto"/>
        <w:rPr>
          <w:sz w:val="20"/>
          <w:lang w:val="fr-CA"/>
        </w:rPr>
      </w:pPr>
      <w:r w:rsidRPr="00F23C6A">
        <w:rPr>
          <w:rStyle w:val="SCCCounselNameChar"/>
          <w:sz w:val="20"/>
          <w:lang w:val="fr-CA"/>
        </w:rPr>
        <w:tab/>
        <w:t>Christopher Rupar</w:t>
      </w:r>
      <w:r w:rsidRPr="00F23C6A">
        <w:rPr>
          <w:rStyle w:val="SCCCounselSeparatorChar"/>
          <w:sz w:val="20"/>
        </w:rPr>
        <w:t xml:space="preserve">, </w:t>
      </w:r>
      <w:r w:rsidRPr="00F23C6A">
        <w:rPr>
          <w:rStyle w:val="SCCCounselNameChar"/>
          <w:sz w:val="20"/>
          <w:lang w:val="fr-CA"/>
        </w:rPr>
        <w:t>John Tyhurst</w:t>
      </w:r>
      <w:r w:rsidRPr="00F23C6A">
        <w:rPr>
          <w:rStyle w:val="SCCCounselSeparatorChar"/>
          <w:sz w:val="20"/>
        </w:rPr>
        <w:t xml:space="preserve"> et </w:t>
      </w:r>
      <w:r w:rsidRPr="00F23C6A">
        <w:rPr>
          <w:rStyle w:val="SCCCounselNameChar"/>
          <w:sz w:val="20"/>
          <w:lang w:val="fr-CA"/>
        </w:rPr>
        <w:t>Jonathan Hood</w:t>
      </w:r>
      <w:r w:rsidRPr="00F23C6A">
        <w:rPr>
          <w:rStyle w:val="SCCCounselPartyRoleChar"/>
          <w:sz w:val="20"/>
          <w:lang w:val="fr-CA"/>
        </w:rPr>
        <w:t>, pour l’intimé.</w:t>
      </w:r>
    </w:p>
    <w:p w:rsidR="001C418E" w:rsidRDefault="001C418E" w:rsidP="001C418E">
      <w:pPr>
        <w:pStyle w:val="SCCLawFirm"/>
        <w:spacing w:line="240" w:lineRule="auto"/>
        <w:rPr>
          <w:sz w:val="20"/>
          <w:lang w:val="fr-CA"/>
        </w:rPr>
      </w:pPr>
    </w:p>
    <w:p w:rsidR="001C418E" w:rsidRPr="00F23C6A" w:rsidRDefault="001C418E" w:rsidP="001C418E">
      <w:pPr>
        <w:pStyle w:val="SCCLawFirm"/>
        <w:spacing w:line="240" w:lineRule="auto"/>
        <w:rPr>
          <w:sz w:val="20"/>
          <w:lang w:val="fr-CA"/>
        </w:rPr>
      </w:pPr>
      <w:r w:rsidRPr="00F23C6A">
        <w:rPr>
          <w:sz w:val="20"/>
          <w:lang w:val="fr-CA"/>
        </w:rPr>
        <w:lastRenderedPageBreak/>
        <w:tab/>
        <w:t>Procureurs des appelantes : Torys, Toronto.</w:t>
      </w:r>
    </w:p>
    <w:p w:rsidR="001C418E" w:rsidRDefault="001C418E" w:rsidP="001C418E">
      <w:pPr>
        <w:pStyle w:val="SCCLawFirm"/>
        <w:spacing w:line="240" w:lineRule="auto"/>
        <w:rPr>
          <w:sz w:val="20"/>
          <w:lang w:val="fr-CA"/>
        </w:rPr>
      </w:pPr>
    </w:p>
    <w:p w:rsidR="003B3977" w:rsidRDefault="001C418E" w:rsidP="001C418E">
      <w:pPr>
        <w:rPr>
          <w:sz w:val="20"/>
          <w:szCs w:val="20"/>
          <w:lang w:val="fr-CA"/>
        </w:rPr>
      </w:pPr>
      <w:r w:rsidRPr="00F23C6A">
        <w:rPr>
          <w:sz w:val="20"/>
          <w:szCs w:val="20"/>
          <w:lang w:val="fr-CA"/>
        </w:rPr>
        <w:tab/>
        <w:t>Procureur de l’intimé : Procureur général du Canada, Ottawa.</w:t>
      </w:r>
    </w:p>
    <w:p w:rsidR="001C418E" w:rsidRPr="001C418E" w:rsidRDefault="001C418E" w:rsidP="001C418E">
      <w:pPr>
        <w:rPr>
          <w:rFonts w:cs="Times New Roman"/>
          <w:sz w:val="20"/>
          <w:szCs w:val="20"/>
          <w:lang w:val="fr-CA"/>
        </w:rPr>
      </w:pPr>
    </w:p>
    <w:p w:rsidR="00902E51" w:rsidRDefault="008A5B26" w:rsidP="00902E51">
      <w:pPr>
        <w:rPr>
          <w:rFonts w:cs="Times New Roman"/>
          <w:sz w:val="20"/>
          <w:szCs w:val="20"/>
          <w:lang w:val="fr-CA"/>
        </w:rPr>
      </w:pPr>
      <w:r>
        <w:rPr>
          <w:rFonts w:cs="Times New Roman"/>
          <w:sz w:val="20"/>
          <w:szCs w:val="20"/>
          <w:lang w:val="fr-CA"/>
        </w:rPr>
        <w:pict>
          <v:rect id="_x0000_i1091"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576" w:footer="960" w:gutter="0"/>
          <w:cols w:space="720"/>
          <w:titlePg/>
          <w:docGrid w:linePitch="272"/>
        </w:sectPr>
      </w:pPr>
    </w:p>
    <w:p w:rsidR="008112A9" w:rsidRPr="002E0C7E" w:rsidRDefault="00D5130B"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911453">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11453">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11453">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11453">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11453">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11453">
            <w:pPr>
              <w:widowControl w:val="0"/>
              <w:jc w:val="center"/>
              <w:rPr>
                <w:rFonts w:ascii="Arial" w:hAnsi="Arial"/>
                <w:sz w:val="14"/>
              </w:rPr>
            </w:pPr>
            <w:r w:rsidRPr="002E0C7E">
              <w:rPr>
                <w:rFonts w:ascii="Arial" w:hAnsi="Arial"/>
                <w:b/>
                <w:sz w:val="14"/>
              </w:rPr>
              <w:t>DECEMBER - DÉCEMBRE</w:t>
            </w:r>
          </w:p>
        </w:tc>
      </w:tr>
      <w:tr w:rsidR="008112A9" w:rsidRPr="002E0C7E" w:rsidTr="0091145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M</w:t>
            </w:r>
          </w:p>
          <w:p w:rsidR="008112A9" w:rsidRPr="002E0C7E" w:rsidRDefault="008112A9" w:rsidP="00911453">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W</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F</w:t>
            </w:r>
          </w:p>
          <w:p w:rsidR="008112A9" w:rsidRPr="002E0C7E" w:rsidRDefault="008112A9" w:rsidP="00911453">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M</w:t>
            </w:r>
          </w:p>
          <w:p w:rsidR="008112A9" w:rsidRPr="002E0C7E" w:rsidRDefault="008112A9" w:rsidP="00911453">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W</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F</w:t>
            </w:r>
          </w:p>
          <w:p w:rsidR="008112A9" w:rsidRPr="002E0C7E" w:rsidRDefault="008112A9" w:rsidP="00911453">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M</w:t>
            </w:r>
          </w:p>
          <w:p w:rsidR="008112A9" w:rsidRPr="002E0C7E" w:rsidRDefault="008112A9" w:rsidP="00911453">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W</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F</w:t>
            </w:r>
          </w:p>
          <w:p w:rsidR="008112A9" w:rsidRPr="002E0C7E" w:rsidRDefault="008112A9" w:rsidP="00911453">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S</w:t>
            </w:r>
          </w:p>
        </w:tc>
      </w:tr>
      <w:tr w:rsidR="008112A9" w:rsidRPr="002E0C7E" w:rsidTr="0091145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911453">
            <w:pPr>
              <w:widowControl w:val="0"/>
              <w:jc w:val="center"/>
              <w:rPr>
                <w:rFonts w:ascii="Arial" w:hAnsi="Arial"/>
                <w:b/>
                <w:sz w:val="14"/>
              </w:rPr>
            </w:pPr>
            <w:r>
              <w:rPr>
                <w:rFonts w:ascii="Arial" w:hAnsi="Arial"/>
                <w:b/>
                <w:sz w:val="14"/>
              </w:rPr>
              <w:t>M</w:t>
            </w:r>
          </w:p>
          <w:p w:rsidR="008112A9" w:rsidRPr="002E0C7E" w:rsidRDefault="008112A9" w:rsidP="00911453">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6</w:t>
            </w:r>
          </w:p>
        </w:tc>
      </w:tr>
      <w:tr w:rsidR="008112A9" w:rsidRPr="002E0C7E" w:rsidTr="0091145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911453">
            <w:pPr>
              <w:widowControl w:val="0"/>
              <w:jc w:val="center"/>
              <w:rPr>
                <w:rFonts w:ascii="Arial" w:hAnsi="Arial"/>
                <w:b/>
                <w:sz w:val="14"/>
              </w:rPr>
            </w:pPr>
            <w:r>
              <w:rPr>
                <w:rFonts w:ascii="Arial" w:hAnsi="Arial"/>
                <w:b/>
                <w:sz w:val="14"/>
              </w:rPr>
              <w:t>M</w:t>
            </w:r>
          </w:p>
          <w:p w:rsidR="008112A9" w:rsidRPr="002E0C7E" w:rsidRDefault="008112A9" w:rsidP="00911453">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911453">
            <w:pPr>
              <w:widowControl w:val="0"/>
              <w:jc w:val="center"/>
              <w:rPr>
                <w:rFonts w:ascii="Arial" w:hAnsi="Arial"/>
                <w:b/>
                <w:sz w:val="14"/>
              </w:rPr>
            </w:pPr>
          </w:p>
          <w:p w:rsidR="008112A9" w:rsidRPr="002E0C7E" w:rsidRDefault="008112A9" w:rsidP="0091145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b/>
                <w:sz w:val="14"/>
              </w:rPr>
              <w:t>M</w:t>
            </w:r>
          </w:p>
          <w:p w:rsidR="008112A9" w:rsidRPr="002E0C7E" w:rsidRDefault="008112A9" w:rsidP="00911453">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13</w:t>
            </w:r>
          </w:p>
        </w:tc>
      </w:tr>
      <w:tr w:rsidR="008112A9" w:rsidRPr="002E0C7E" w:rsidTr="0091145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911453">
            <w:pPr>
              <w:widowControl w:val="0"/>
              <w:jc w:val="center"/>
              <w:rPr>
                <w:rFonts w:ascii="Arial" w:hAnsi="Arial"/>
                <w:b/>
                <w:sz w:val="14"/>
              </w:rPr>
            </w:pPr>
            <w:r>
              <w:rPr>
                <w:rFonts w:ascii="Arial" w:hAnsi="Arial"/>
                <w:b/>
                <w:sz w:val="14"/>
              </w:rPr>
              <w:t>H</w:t>
            </w: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911453">
            <w:pPr>
              <w:widowControl w:val="0"/>
              <w:jc w:val="center"/>
              <w:rPr>
                <w:rFonts w:ascii="Arial" w:hAnsi="Arial"/>
                <w:b/>
                <w:sz w:val="14"/>
              </w:rPr>
            </w:pPr>
            <w:r w:rsidRPr="004F066E">
              <w:rPr>
                <w:rFonts w:ascii="Arial" w:hAnsi="Arial"/>
                <w:b/>
                <w:sz w:val="14"/>
              </w:rPr>
              <w:t>H</w:t>
            </w:r>
          </w:p>
          <w:p w:rsidR="008112A9" w:rsidRPr="002E0C7E" w:rsidRDefault="008112A9" w:rsidP="00911453">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20</w:t>
            </w:r>
          </w:p>
        </w:tc>
      </w:tr>
      <w:tr w:rsidR="008112A9" w:rsidRPr="002E0C7E" w:rsidTr="0091145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911453">
            <w:pPr>
              <w:widowControl w:val="0"/>
              <w:jc w:val="center"/>
              <w:rPr>
                <w:rFonts w:ascii="Arial" w:hAnsi="Arial"/>
                <w:b/>
                <w:sz w:val="14"/>
              </w:rPr>
            </w:pPr>
          </w:p>
          <w:p w:rsidR="008112A9" w:rsidRPr="002E0C7E" w:rsidRDefault="008112A9" w:rsidP="00911453">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911453">
            <w:pPr>
              <w:widowControl w:val="0"/>
              <w:jc w:val="center"/>
              <w:rPr>
                <w:rFonts w:ascii="Arial" w:hAnsi="Arial"/>
                <w:b/>
                <w:sz w:val="14"/>
              </w:rPr>
            </w:pPr>
            <w:r>
              <w:rPr>
                <w:rFonts w:ascii="Arial" w:hAnsi="Arial"/>
                <w:b/>
                <w:sz w:val="14"/>
              </w:rPr>
              <w:t>H</w:t>
            </w:r>
          </w:p>
          <w:p w:rsidR="008112A9" w:rsidRPr="002E0C7E" w:rsidRDefault="008112A9" w:rsidP="00911453">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911453">
            <w:pPr>
              <w:widowControl w:val="0"/>
              <w:jc w:val="center"/>
              <w:rPr>
                <w:rFonts w:ascii="Arial" w:hAnsi="Arial"/>
                <w:b/>
                <w:sz w:val="14"/>
              </w:rPr>
            </w:pPr>
            <w:r>
              <w:rPr>
                <w:rFonts w:ascii="Arial" w:hAnsi="Arial"/>
                <w:b/>
                <w:sz w:val="14"/>
              </w:rPr>
              <w:t>H</w:t>
            </w:r>
          </w:p>
          <w:p w:rsidR="008112A9" w:rsidRPr="002E0C7E" w:rsidRDefault="008112A9" w:rsidP="00911453">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911453">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911453">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911453">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911453">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11453">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1145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11453">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1145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11453">
            <w:pPr>
              <w:widowControl w:val="0"/>
              <w:jc w:val="center"/>
              <w:rPr>
                <w:rFonts w:ascii="Arial" w:hAnsi="Arial"/>
                <w:sz w:val="14"/>
              </w:rPr>
            </w:pPr>
            <w:r w:rsidRPr="002E0C7E">
              <w:rPr>
                <w:rFonts w:ascii="Arial" w:hAnsi="Arial"/>
                <w:b/>
                <w:sz w:val="14"/>
              </w:rPr>
              <w:t>MARCH - MARS</w:t>
            </w:r>
          </w:p>
        </w:tc>
      </w:tr>
      <w:tr w:rsidR="008112A9" w:rsidRPr="002E0C7E" w:rsidTr="0091145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M</w:t>
            </w:r>
          </w:p>
          <w:p w:rsidR="008112A9" w:rsidRPr="002E0C7E" w:rsidRDefault="008112A9" w:rsidP="0091145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W</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F</w:t>
            </w:r>
          </w:p>
          <w:p w:rsidR="008112A9" w:rsidRPr="002E0C7E" w:rsidRDefault="008112A9" w:rsidP="0091145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M</w:t>
            </w:r>
          </w:p>
          <w:p w:rsidR="008112A9" w:rsidRPr="002E0C7E" w:rsidRDefault="008112A9" w:rsidP="0091145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W</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F</w:t>
            </w:r>
          </w:p>
          <w:p w:rsidR="008112A9" w:rsidRPr="002E0C7E" w:rsidRDefault="008112A9" w:rsidP="0091145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M</w:t>
            </w:r>
          </w:p>
          <w:p w:rsidR="008112A9" w:rsidRPr="002E0C7E" w:rsidRDefault="008112A9" w:rsidP="0091145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W</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F</w:t>
            </w:r>
          </w:p>
          <w:p w:rsidR="008112A9" w:rsidRPr="002E0C7E" w:rsidRDefault="008112A9" w:rsidP="00911453">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S</w:t>
            </w:r>
          </w:p>
        </w:tc>
      </w:tr>
      <w:tr w:rsidR="008112A9" w:rsidRPr="002E0C7E" w:rsidTr="0091145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911453">
            <w:pPr>
              <w:widowControl w:val="0"/>
              <w:jc w:val="center"/>
              <w:rPr>
                <w:rFonts w:ascii="Arial" w:hAnsi="Arial"/>
                <w:b/>
                <w:sz w:val="14"/>
              </w:rPr>
            </w:pPr>
          </w:p>
          <w:p w:rsidR="008112A9" w:rsidRPr="002E0C7E" w:rsidRDefault="008112A9" w:rsidP="00911453">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911453">
            <w:pPr>
              <w:widowControl w:val="0"/>
              <w:jc w:val="center"/>
              <w:rPr>
                <w:rFonts w:ascii="Arial" w:hAnsi="Arial"/>
                <w:b/>
                <w:sz w:val="14"/>
              </w:rPr>
            </w:pPr>
          </w:p>
          <w:p w:rsidR="008112A9" w:rsidRPr="002E0C7E" w:rsidRDefault="008112A9" w:rsidP="00911453">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911453">
            <w:pPr>
              <w:widowControl w:val="0"/>
              <w:jc w:val="center"/>
              <w:rPr>
                <w:rFonts w:ascii="Arial" w:hAnsi="Arial"/>
                <w:b/>
                <w:sz w:val="14"/>
              </w:rPr>
            </w:pPr>
            <w:r w:rsidRPr="004F066E">
              <w:rPr>
                <w:rFonts w:ascii="Arial" w:hAnsi="Arial"/>
                <w:b/>
                <w:sz w:val="14"/>
              </w:rPr>
              <w:t>H</w:t>
            </w:r>
          </w:p>
          <w:p w:rsidR="008112A9" w:rsidRPr="002E0C7E" w:rsidRDefault="008112A9" w:rsidP="00911453">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7</w:t>
            </w:r>
          </w:p>
        </w:tc>
      </w:tr>
      <w:tr w:rsidR="008112A9" w:rsidRPr="002E0C7E" w:rsidTr="0091145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911453">
            <w:pPr>
              <w:widowControl w:val="0"/>
              <w:jc w:val="center"/>
              <w:rPr>
                <w:rFonts w:ascii="Arial" w:hAnsi="Arial"/>
                <w:b/>
                <w:sz w:val="14"/>
              </w:rPr>
            </w:pPr>
            <w:r>
              <w:rPr>
                <w:rFonts w:ascii="Arial" w:hAnsi="Arial"/>
                <w:b/>
                <w:sz w:val="14"/>
              </w:rPr>
              <w:t>M</w:t>
            </w:r>
          </w:p>
          <w:p w:rsidR="008112A9" w:rsidRPr="002E0C7E" w:rsidRDefault="008112A9" w:rsidP="00911453">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14</w:t>
            </w:r>
          </w:p>
        </w:tc>
      </w:tr>
      <w:tr w:rsidR="008112A9" w:rsidRPr="002E0C7E" w:rsidTr="0091145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911453">
            <w:pPr>
              <w:widowControl w:val="0"/>
              <w:jc w:val="center"/>
              <w:rPr>
                <w:rFonts w:ascii="Arial" w:hAnsi="Arial"/>
                <w:b/>
                <w:sz w:val="14"/>
              </w:rPr>
            </w:pPr>
            <w:r>
              <w:rPr>
                <w:rFonts w:ascii="Arial" w:hAnsi="Arial"/>
                <w:b/>
                <w:sz w:val="14"/>
              </w:rPr>
              <w:t>M</w:t>
            </w: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911453">
            <w:pPr>
              <w:widowControl w:val="0"/>
              <w:jc w:val="center"/>
              <w:rPr>
                <w:rFonts w:ascii="Arial" w:hAnsi="Arial"/>
                <w:b/>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911453">
            <w:pPr>
              <w:widowControl w:val="0"/>
              <w:jc w:val="center"/>
              <w:rPr>
                <w:rFonts w:ascii="Arial" w:hAnsi="Arial"/>
                <w:b/>
                <w:sz w:val="14"/>
              </w:rPr>
            </w:pPr>
            <w:r w:rsidRPr="009900C5">
              <w:rPr>
                <w:rFonts w:ascii="Arial" w:hAnsi="Arial"/>
                <w:b/>
                <w:sz w:val="14"/>
              </w:rPr>
              <w:t>M</w:t>
            </w: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91145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911453">
            <w:pPr>
              <w:widowControl w:val="0"/>
              <w:jc w:val="center"/>
              <w:rPr>
                <w:rFonts w:ascii="Arial" w:hAnsi="Arial"/>
                <w:b/>
                <w:sz w:val="14"/>
              </w:rPr>
            </w:pPr>
          </w:p>
          <w:p w:rsidR="008112A9" w:rsidRPr="002E0C7E" w:rsidRDefault="008112A9" w:rsidP="0091145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91145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911453">
            <w:pPr>
              <w:widowControl w:val="0"/>
              <w:jc w:val="center"/>
              <w:rPr>
                <w:rFonts w:ascii="Arial" w:hAnsi="Arial"/>
                <w:b/>
                <w:sz w:val="14"/>
              </w:rPr>
            </w:pPr>
          </w:p>
          <w:p w:rsidR="008112A9" w:rsidRPr="002E0C7E" w:rsidRDefault="008112A9" w:rsidP="0091145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911453">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11453">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11453">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11453">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11453">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11453">
            <w:pPr>
              <w:widowControl w:val="0"/>
              <w:jc w:val="center"/>
              <w:rPr>
                <w:rFonts w:ascii="Arial" w:hAnsi="Arial"/>
                <w:sz w:val="14"/>
              </w:rPr>
            </w:pPr>
            <w:r w:rsidRPr="002E0C7E">
              <w:rPr>
                <w:rFonts w:ascii="Arial" w:hAnsi="Arial"/>
                <w:b/>
                <w:sz w:val="14"/>
              </w:rPr>
              <w:t>JUNE - JUIN</w:t>
            </w:r>
          </w:p>
        </w:tc>
      </w:tr>
      <w:tr w:rsidR="008112A9" w:rsidRPr="002E0C7E" w:rsidTr="0091145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M</w:t>
            </w:r>
          </w:p>
          <w:p w:rsidR="008112A9" w:rsidRPr="002E0C7E" w:rsidRDefault="008112A9" w:rsidP="0091145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W</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F</w:t>
            </w:r>
          </w:p>
          <w:p w:rsidR="008112A9" w:rsidRPr="002E0C7E" w:rsidRDefault="008112A9" w:rsidP="0091145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M</w:t>
            </w:r>
          </w:p>
          <w:p w:rsidR="008112A9" w:rsidRPr="002E0C7E" w:rsidRDefault="008112A9" w:rsidP="0091145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W</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F</w:t>
            </w:r>
          </w:p>
          <w:p w:rsidR="008112A9" w:rsidRPr="002E0C7E" w:rsidRDefault="008112A9" w:rsidP="0091145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S</w:t>
            </w:r>
          </w:p>
          <w:p w:rsidR="008112A9" w:rsidRPr="002E0C7E" w:rsidRDefault="008112A9" w:rsidP="0091145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M</w:t>
            </w:r>
          </w:p>
          <w:p w:rsidR="008112A9" w:rsidRPr="002E0C7E" w:rsidRDefault="008112A9" w:rsidP="0091145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W</w:t>
            </w:r>
          </w:p>
          <w:p w:rsidR="008112A9" w:rsidRPr="002E0C7E" w:rsidRDefault="008112A9" w:rsidP="009114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T</w:t>
            </w:r>
          </w:p>
          <w:p w:rsidR="008112A9" w:rsidRPr="002E0C7E" w:rsidRDefault="008112A9" w:rsidP="0091145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sidRPr="002E0C7E">
              <w:rPr>
                <w:rFonts w:ascii="Arial" w:hAnsi="Arial"/>
                <w:sz w:val="14"/>
              </w:rPr>
              <w:t>F</w:t>
            </w:r>
          </w:p>
          <w:p w:rsidR="008112A9" w:rsidRPr="002E0C7E" w:rsidRDefault="008112A9" w:rsidP="00911453">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r>
              <w:rPr>
                <w:rFonts w:ascii="Arial" w:hAnsi="Arial"/>
                <w:sz w:val="14"/>
              </w:rPr>
              <w:t>S</w:t>
            </w:r>
          </w:p>
          <w:p w:rsidR="008112A9" w:rsidRPr="002E0C7E" w:rsidRDefault="008112A9" w:rsidP="00911453">
            <w:pPr>
              <w:widowControl w:val="0"/>
              <w:jc w:val="center"/>
              <w:rPr>
                <w:rFonts w:ascii="Arial" w:hAnsi="Arial"/>
                <w:sz w:val="14"/>
              </w:rPr>
            </w:pPr>
            <w:r>
              <w:rPr>
                <w:rFonts w:ascii="Arial" w:hAnsi="Arial"/>
                <w:sz w:val="14"/>
              </w:rPr>
              <w:t>S</w:t>
            </w:r>
          </w:p>
        </w:tc>
      </w:tr>
      <w:tr w:rsidR="008112A9" w:rsidRPr="002E0C7E" w:rsidTr="0091145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911453">
            <w:pPr>
              <w:widowControl w:val="0"/>
              <w:jc w:val="center"/>
              <w:rPr>
                <w:rFonts w:ascii="Arial" w:hAnsi="Arial"/>
                <w:b/>
                <w:sz w:val="14"/>
              </w:rPr>
            </w:pPr>
            <w:r>
              <w:rPr>
                <w:rFonts w:ascii="Arial" w:hAnsi="Arial"/>
                <w:b/>
                <w:sz w:val="14"/>
              </w:rPr>
              <w:t>H</w:t>
            </w:r>
          </w:p>
          <w:p w:rsidR="008112A9" w:rsidRPr="002E0C7E" w:rsidRDefault="008112A9" w:rsidP="00911453">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b/>
                <w:sz w:val="14"/>
              </w:rPr>
            </w:pPr>
          </w:p>
          <w:p w:rsidR="008112A9" w:rsidRPr="002E0C7E" w:rsidRDefault="008112A9" w:rsidP="0091145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6</w:t>
            </w:r>
          </w:p>
        </w:tc>
      </w:tr>
      <w:tr w:rsidR="008112A9" w:rsidRPr="002E0C7E" w:rsidTr="0091145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911453">
            <w:pPr>
              <w:widowControl w:val="0"/>
              <w:jc w:val="center"/>
              <w:rPr>
                <w:rFonts w:ascii="Arial" w:hAnsi="Arial"/>
                <w:b/>
                <w:sz w:val="14"/>
              </w:rPr>
            </w:pPr>
            <w:r>
              <w:rPr>
                <w:rFonts w:ascii="Arial" w:hAnsi="Arial"/>
                <w:b/>
                <w:sz w:val="14"/>
              </w:rPr>
              <w:t>H</w:t>
            </w:r>
          </w:p>
          <w:p w:rsidR="008112A9" w:rsidRPr="002E0C7E" w:rsidRDefault="008112A9" w:rsidP="00911453">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911453">
            <w:pPr>
              <w:widowControl w:val="0"/>
              <w:jc w:val="center"/>
              <w:rPr>
                <w:rFonts w:ascii="Arial" w:hAnsi="Arial"/>
                <w:b/>
                <w:sz w:val="14"/>
              </w:rPr>
            </w:pPr>
            <w:r>
              <w:rPr>
                <w:rFonts w:ascii="Arial" w:hAnsi="Arial"/>
                <w:b/>
                <w:sz w:val="14"/>
              </w:rPr>
              <w:t>M</w:t>
            </w:r>
          </w:p>
          <w:p w:rsidR="008112A9" w:rsidRPr="002E0C7E" w:rsidRDefault="008112A9" w:rsidP="00911453">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13</w:t>
            </w:r>
          </w:p>
        </w:tc>
      </w:tr>
      <w:tr w:rsidR="008112A9" w:rsidRPr="002E0C7E" w:rsidTr="0091145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911453">
            <w:pPr>
              <w:widowControl w:val="0"/>
              <w:jc w:val="center"/>
              <w:rPr>
                <w:rFonts w:ascii="Arial" w:hAnsi="Arial"/>
                <w:b/>
                <w:sz w:val="14"/>
              </w:rPr>
            </w:pPr>
            <w:r>
              <w:rPr>
                <w:rFonts w:ascii="Arial" w:hAnsi="Arial"/>
                <w:b/>
                <w:sz w:val="14"/>
              </w:rPr>
              <w:t>M</w:t>
            </w: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911453">
            <w:pPr>
              <w:widowControl w:val="0"/>
              <w:jc w:val="center"/>
              <w:rPr>
                <w:rFonts w:ascii="Arial" w:hAnsi="Arial"/>
                <w:b/>
                <w:sz w:val="14"/>
              </w:rPr>
            </w:pPr>
          </w:p>
          <w:p w:rsidR="008112A9" w:rsidRPr="002E0C7E" w:rsidRDefault="008112A9" w:rsidP="00911453">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911453">
            <w:pPr>
              <w:widowControl w:val="0"/>
              <w:jc w:val="center"/>
              <w:rPr>
                <w:rFonts w:ascii="Arial" w:hAnsi="Arial"/>
                <w:b/>
                <w:sz w:val="14"/>
              </w:rPr>
            </w:pPr>
            <w:r w:rsidRPr="002453E3">
              <w:rPr>
                <w:rFonts w:ascii="Arial" w:hAnsi="Arial"/>
                <w:b/>
                <w:sz w:val="14"/>
              </w:rPr>
              <w:t>M</w:t>
            </w: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20</w:t>
            </w:r>
          </w:p>
        </w:tc>
      </w:tr>
      <w:tr w:rsidR="008112A9" w:rsidRPr="002E0C7E" w:rsidTr="0091145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911453">
            <w:pPr>
              <w:widowControl w:val="0"/>
              <w:jc w:val="center"/>
              <w:rPr>
                <w:rFonts w:ascii="Arial" w:hAnsi="Arial"/>
                <w:b/>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911453">
            <w:pPr>
              <w:widowControl w:val="0"/>
              <w:jc w:val="center"/>
              <w:rPr>
                <w:rFonts w:ascii="Arial" w:hAnsi="Arial"/>
                <w:b/>
                <w:sz w:val="14"/>
              </w:rPr>
            </w:pPr>
            <w:r>
              <w:rPr>
                <w:rFonts w:ascii="Arial" w:hAnsi="Arial"/>
                <w:b/>
                <w:sz w:val="14"/>
              </w:rPr>
              <w:t>H</w:t>
            </w:r>
          </w:p>
          <w:p w:rsidR="008112A9" w:rsidRPr="002E0C7E" w:rsidRDefault="008112A9" w:rsidP="00911453">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91145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911453">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911453">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11453">
            <w:pPr>
              <w:widowControl w:val="0"/>
              <w:jc w:val="center"/>
              <w:rPr>
                <w:rFonts w:ascii="Arial" w:hAnsi="Arial"/>
                <w:sz w:val="14"/>
              </w:rPr>
            </w:pPr>
          </w:p>
          <w:p w:rsidR="008112A9" w:rsidRPr="002E0C7E" w:rsidRDefault="008112A9" w:rsidP="00911453">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911453">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911453">
            <w:pPr>
              <w:widowControl w:val="0"/>
              <w:rPr>
                <w:rFonts w:ascii="Arial" w:hAnsi="Arial"/>
                <w:sz w:val="16"/>
              </w:rPr>
            </w:pPr>
            <w:r w:rsidRPr="002E0C7E">
              <w:rPr>
                <w:rFonts w:ascii="Arial" w:hAnsi="Arial"/>
                <w:sz w:val="16"/>
              </w:rPr>
              <w:t>Sittings of the court:</w:t>
            </w:r>
          </w:p>
          <w:p w:rsidR="008112A9" w:rsidRPr="002E0C7E" w:rsidRDefault="008112A9" w:rsidP="00911453">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911453">
            <w:pPr>
              <w:widowControl w:val="0"/>
              <w:rPr>
                <w:rFonts w:ascii="Arial" w:hAnsi="Arial"/>
                <w:sz w:val="16"/>
              </w:rPr>
            </w:pPr>
          </w:p>
          <w:p w:rsidR="008112A9" w:rsidRPr="002E0C7E" w:rsidRDefault="008112A9" w:rsidP="00911453">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9114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9114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9114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9114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9114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91145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9114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9114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9114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9114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91145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9114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9114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911453">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9114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8"/>
      <w:footerReference w:type="default" r:id="rId7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1A" w:rsidRDefault="00EE6F1A" w:rsidP="00A87207">
      <w:r>
        <w:separator/>
      </w:r>
    </w:p>
  </w:endnote>
  <w:endnote w:type="continuationSeparator" w:id="0">
    <w:p w:rsidR="00EE6F1A" w:rsidRDefault="00EE6F1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8A5B26">
    <w:pPr>
      <w:pStyle w:val="Footer"/>
      <w:rPr>
        <w:lang w:val="fr-CA"/>
      </w:rPr>
    </w:pPr>
    <w:r>
      <w:rPr>
        <w:lang w:val="fr-CA"/>
      </w:rPr>
      <w:pict>
        <v:rect id="_x0000_i1053" style="width:480.95pt;height:1pt" o:hralign="center" o:hrstd="t" o:hrnoshade="t" o:hr="t" fillcolor="black [3213]" stroked="f"/>
      </w:pict>
    </w:r>
  </w:p>
  <w:p w:rsidR="00EE6F1A" w:rsidRDefault="00EE6F1A" w:rsidP="00245129">
    <w:pPr>
      <w:tabs>
        <w:tab w:val="center" w:pos="4680"/>
      </w:tabs>
    </w:pPr>
    <w:r>
      <w:tab/>
    </w:r>
    <w:r w:rsidRPr="0009648D">
      <w:t xml:space="preserve">- </w:t>
    </w:r>
    <w:r w:rsidR="007D3324">
      <w:fldChar w:fldCharType="begin"/>
    </w:r>
    <w:r w:rsidR="007D3324">
      <w:instrText xml:space="preserve"> PAGE   \* MERGEFORMAT </w:instrText>
    </w:r>
    <w:r w:rsidR="007D3324">
      <w:fldChar w:fldCharType="separate"/>
    </w:r>
    <w:r w:rsidR="008A5B26">
      <w:rPr>
        <w:noProof/>
      </w:rPr>
      <w:t>106</w:t>
    </w:r>
    <w:r w:rsidR="007D3324">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6F1A" w:rsidRDefault="00EE6F1A">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8A5B26" w:rsidP="00755F22">
    <w:pPr>
      <w:tabs>
        <w:tab w:val="left" w:pos="-1440"/>
        <w:tab w:val="left" w:pos="-720"/>
      </w:tabs>
    </w:pPr>
    <w:r>
      <w:pict>
        <v:rect id="_x0000_i1074" style="width:480.95pt;height:1pt" o:hralign="center" o:hrstd="t" o:hrnoshade="t" o:hr="t" fillcolor="black [3213]" stroked="f"/>
      </w:pict>
    </w:r>
  </w:p>
  <w:p w:rsidR="00EE6F1A" w:rsidRDefault="00EE6F1A" w:rsidP="00EB2B90">
    <w:pPr>
      <w:tabs>
        <w:tab w:val="center" w:pos="4680"/>
      </w:tabs>
    </w:pPr>
    <w:r>
      <w:tab/>
      <w:t xml:space="preserve">- </w:t>
    </w:r>
    <w:r w:rsidR="007D3324">
      <w:fldChar w:fldCharType="begin"/>
    </w:r>
    <w:r w:rsidR="007D3324">
      <w:instrText xml:space="preserve"> PAGE   \* MERGEFORMAT </w:instrText>
    </w:r>
    <w:r w:rsidR="007D3324">
      <w:fldChar w:fldCharType="separate"/>
    </w:r>
    <w:r w:rsidR="008A5B26">
      <w:rPr>
        <w:noProof/>
      </w:rPr>
      <w:t>120</w:t>
    </w:r>
    <w:r w:rsidR="007D3324">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8A5B26" w:rsidP="00EB2B90">
    <w:pPr>
      <w:tabs>
        <w:tab w:val="center" w:pos="4680"/>
      </w:tabs>
    </w:pPr>
    <w:r>
      <w:pict>
        <v:rect id="_x0000_i1075" style="width:480.95pt;height:1pt" o:hralign="center" o:hrstd="t" o:hrnoshade="t" o:hr="t" fillcolor="black [3213]" stroked="f"/>
      </w:pict>
    </w:r>
  </w:p>
  <w:p w:rsidR="00EE6F1A" w:rsidRPr="0031432F" w:rsidRDefault="00EE6F1A" w:rsidP="00EB2B90">
    <w:pPr>
      <w:tabs>
        <w:tab w:val="center" w:pos="4680"/>
      </w:tabs>
    </w:pPr>
    <w:r>
      <w:tab/>
      <w:t xml:space="preserve">- </w:t>
    </w:r>
    <w:r w:rsidR="007D3324">
      <w:fldChar w:fldCharType="begin"/>
    </w:r>
    <w:r w:rsidR="007D3324">
      <w:instrText xml:space="preserve"> PAGE   \* MERGEFORMAT </w:instrText>
    </w:r>
    <w:r w:rsidR="007D3324">
      <w:fldChar w:fldCharType="separate"/>
    </w:r>
    <w:r w:rsidR="008A5B26">
      <w:rPr>
        <w:noProof/>
      </w:rPr>
      <w:t>117</w:t>
    </w:r>
    <w:r w:rsidR="007D3324">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6F1A" w:rsidRDefault="00EE6F1A">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8A5B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9" style="width:480.95pt;height:1pt" o:hralign="center" o:hrstd="t" o:hrnoshade="t" o:hr="t" fillcolor="black [3213]" stroked="f"/>
      </w:pict>
    </w:r>
  </w:p>
  <w:p w:rsidR="00EE6F1A" w:rsidRDefault="00EE6F1A" w:rsidP="00EB2B90">
    <w:pPr>
      <w:tabs>
        <w:tab w:val="center" w:pos="4680"/>
      </w:tabs>
    </w:pPr>
    <w:r>
      <w:tab/>
      <w:t xml:space="preserve">- </w:t>
    </w:r>
    <w:r w:rsidR="007D3324">
      <w:fldChar w:fldCharType="begin"/>
    </w:r>
    <w:r w:rsidR="007D3324">
      <w:instrText xml:space="preserve"> PAGE   \* MERGEFORMAT </w:instrText>
    </w:r>
    <w:r w:rsidR="007D3324">
      <w:fldChar w:fldCharType="separate"/>
    </w:r>
    <w:r>
      <w:rPr>
        <w:noProof/>
      </w:rPr>
      <w:t>524</w:t>
    </w:r>
    <w:r w:rsidR="007D3324">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8A5B26">
    <w:pPr>
      <w:pStyle w:val="Footer"/>
      <w:rPr>
        <w:lang w:val="fr-CA"/>
      </w:rPr>
    </w:pPr>
    <w:r>
      <w:rPr>
        <w:lang w:val="fr-CA"/>
      </w:rPr>
      <w:pict>
        <v:rect id="_x0000_i1080" style="width:480.95pt;height:1pt" o:hralign="center" o:hrstd="t" o:hrnoshade="t" o:hr="t" fillcolor="black [3213]" stroked="f"/>
      </w:pict>
    </w:r>
  </w:p>
  <w:p w:rsidR="00EE6F1A" w:rsidRDefault="00EE6F1A" w:rsidP="00EB2B90">
    <w:pPr>
      <w:tabs>
        <w:tab w:val="center" w:pos="4680"/>
      </w:tabs>
    </w:pPr>
    <w:r>
      <w:tab/>
      <w:t xml:space="preserve">- </w:t>
    </w:r>
    <w:r w:rsidR="007D3324">
      <w:fldChar w:fldCharType="begin"/>
    </w:r>
    <w:r w:rsidR="007D3324">
      <w:instrText xml:space="preserve"> PAGE   \* MERGEFORMAT </w:instrText>
    </w:r>
    <w:r w:rsidR="007D3324">
      <w:fldChar w:fldCharType="separate"/>
    </w:r>
    <w:r w:rsidR="008A5B26">
      <w:rPr>
        <w:noProof/>
      </w:rPr>
      <w:t>135</w:t>
    </w:r>
    <w:r w:rsidR="007D3324">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6F1A" w:rsidRDefault="00EE6F1A">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8A5B26" w:rsidP="00732DB7">
    <w:r>
      <w:pict>
        <v:rect id="_x0000_i1085" style="width:480.95pt;height:1pt" o:hralign="center" o:hrstd="t" o:hrnoshade="t" o:hr="t" fillcolor="black" stroked="f"/>
      </w:pict>
    </w:r>
  </w:p>
  <w:p w:rsidR="00EE6F1A" w:rsidRDefault="00EE6F1A">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8A5B26">
    <w:pPr>
      <w:pStyle w:val="Footer"/>
    </w:pPr>
    <w:r>
      <w:pict>
        <v:rect id="_x0000_i1086" style="width:480.95pt;height:1pt" o:hralign="center" o:hrstd="t" o:hrnoshade="t" o:hr="t" fillcolor="black" stroked="f"/>
      </w:pict>
    </w:r>
  </w:p>
  <w:p w:rsidR="00EE6F1A" w:rsidRPr="00283C52" w:rsidRDefault="00EE6F1A">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6F1A" w:rsidRDefault="00EE6F1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8A5B26" w:rsidP="00732DB7">
    <w:r>
      <w:pict>
        <v:rect id="_x0000_i1088" style="width:480.95pt;height:1pt" o:hralign="center" o:hrstd="t" o:hrnoshade="t" o:hr="t" fillcolor="black" stroked="f"/>
      </w:pict>
    </w:r>
  </w:p>
  <w:p w:rsidR="00EE6F1A" w:rsidRDefault="00EE6F1A">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8A5B26">
    <w:pPr>
      <w:pStyle w:val="Footer"/>
    </w:pPr>
    <w:r>
      <w:pict>
        <v:rect id="_x0000_i1089" style="width:480.95pt;height:1pt" o:hralign="center" o:hrstd="t" o:hrnoshade="t" o:hr="t" fillcolor="black [3213]" stroked="f"/>
      </w:pict>
    </w:r>
  </w:p>
  <w:p w:rsidR="00EE6F1A" w:rsidRPr="003C2C0F" w:rsidRDefault="00EE6F1A" w:rsidP="00697C62">
    <w:pPr>
      <w:tabs>
        <w:tab w:val="center" w:pos="4680"/>
      </w:tabs>
    </w:pPr>
    <w:r>
      <w:tab/>
      <w:t xml:space="preserve">- </w:t>
    </w:r>
    <w:r w:rsidR="007D3324">
      <w:fldChar w:fldCharType="begin"/>
    </w:r>
    <w:r w:rsidR="007D3324">
      <w:instrText xml:space="preserve"> PAGE   \* MERGEFORMAT </w:instrText>
    </w:r>
    <w:r w:rsidR="007D3324">
      <w:fldChar w:fldCharType="separate"/>
    </w:r>
    <w:r w:rsidR="008A5B26">
      <w:rPr>
        <w:noProof/>
      </w:rPr>
      <w:t>140</w:t>
    </w:r>
    <w:r w:rsidR="007D3324">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6F1A" w:rsidRDefault="00EE6F1A">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6F1A" w:rsidRDefault="008A5B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2" style="width:480.95pt;height:1pt" o:hralign="center" o:hrstd="t" o:hrnoshade="t" o:hr="t" fillcolor="black [3213]" stroked="f"/>
      </w:pict>
    </w:r>
  </w:p>
  <w:p w:rsidR="00EE6F1A" w:rsidRDefault="00EE6F1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A5B26">
      <w:rPr>
        <w:noProof/>
        <w:szCs w:val="24"/>
      </w:rPr>
      <w:t>149</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8A5B26" w:rsidP="00782AE4">
    <w:pPr>
      <w:tabs>
        <w:tab w:val="center" w:pos="4680"/>
      </w:tabs>
    </w:pPr>
    <w:r>
      <w:pict>
        <v:rect id="_x0000_i1093" style="width:480.95pt;height:1pt" o:hralign="center" o:hrstd="t" o:hrnoshade="t" o:hr="t" fillcolor="black [3213]" stroked="f"/>
      </w:pict>
    </w:r>
  </w:p>
  <w:p w:rsidR="00EE6F1A" w:rsidRDefault="00EE6F1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A5B26">
      <w:rPr>
        <w:noProof/>
        <w:szCs w:val="24"/>
      </w:rPr>
      <w:t>141</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Pr="00924065" w:rsidRDefault="00EE6F1A"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8A5B26" w:rsidP="00A87207">
    <w:pPr>
      <w:pStyle w:val="Footer"/>
    </w:pPr>
    <w:r>
      <w:pict>
        <v:rect id="_x0000_i1035" style="width:480.95pt;height:1pt" o:hralign="center" o:hrstd="t" o:hrnoshade="t" o:hr="t" fillcolor="black [3213]" stroked="f"/>
      </w:pict>
    </w:r>
  </w:p>
  <w:p w:rsidR="00EE6F1A" w:rsidRPr="00B7374B" w:rsidRDefault="00EE6F1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A5B26">
      <w:rPr>
        <w:noProof/>
        <w:szCs w:val="24"/>
      </w:rPr>
      <w:t>104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8A5B26" w:rsidP="00755F22">
    <w:pPr>
      <w:tabs>
        <w:tab w:val="left" w:pos="-1440"/>
        <w:tab w:val="left" w:pos="-720"/>
      </w:tabs>
    </w:pPr>
    <w:r>
      <w:pict>
        <v:rect id="_x0000_i1036" style="width:480.95pt;height:1pt" o:hralign="center" o:hrstd="t" o:hrnoshade="t" o:hr="t" fillcolor="black [3213]" stroked="f"/>
      </w:pict>
    </w:r>
  </w:p>
  <w:p w:rsidR="00EE6F1A" w:rsidRPr="00954D22" w:rsidRDefault="00EE6F1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A5B26">
      <w:rPr>
        <w:noProof/>
        <w:szCs w:val="24"/>
      </w:rPr>
      <w:t>103</w:t>
    </w:r>
    <w:r>
      <w:rPr>
        <w:szCs w:val="24"/>
      </w:rPr>
      <w:fldChar w:fldCharType="end"/>
    </w:r>
    <w:r w:rsidRPr="00954D22">
      <w:rPr>
        <w:szCs w:val="24"/>
      </w:rPr>
      <w:t xml:space="preserve"> -</w:t>
    </w:r>
  </w:p>
  <w:p w:rsidR="00EE6F1A" w:rsidRDefault="00EE6F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8A5B26" w:rsidP="00A87207">
    <w:pPr>
      <w:pStyle w:val="Footer"/>
    </w:pPr>
    <w:r>
      <w:pict>
        <v:rect id="_x0000_i1038" style="width:480.95pt;height:1pt" o:hralign="center" o:hrstd="t" o:hrnoshade="t" o:hr="t" fillcolor="black [3213]" stroked="f"/>
      </w:pict>
    </w:r>
  </w:p>
  <w:p w:rsidR="00EE6F1A" w:rsidRPr="00B7374B" w:rsidRDefault="00EE6F1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106</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8A5B2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EE6F1A" w:rsidRPr="00954D22" w:rsidRDefault="00EE6F1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A5B26">
      <w:rPr>
        <w:noProof/>
        <w:szCs w:val="24"/>
      </w:rPr>
      <w:t>105</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6F1A" w:rsidRDefault="00EE6F1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8A5B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EE6F1A" w:rsidRPr="0009648D" w:rsidRDefault="00EE6F1A" w:rsidP="00ED7E83">
    <w:pPr>
      <w:tabs>
        <w:tab w:val="center" w:pos="4680"/>
      </w:tabs>
    </w:pPr>
    <w:r>
      <w:tab/>
    </w:r>
    <w:r w:rsidRPr="0009648D">
      <w:t xml:space="preserve">- </w:t>
    </w:r>
    <w:r w:rsidR="007D3324">
      <w:fldChar w:fldCharType="begin"/>
    </w:r>
    <w:r w:rsidR="007D3324">
      <w:instrText xml:space="preserve"> PAGE   \* MERGEFORMAT </w:instrText>
    </w:r>
    <w:r w:rsidR="007D3324">
      <w:fldChar w:fldCharType="separate"/>
    </w:r>
    <w:r w:rsidR="008A5B26">
      <w:rPr>
        <w:noProof/>
      </w:rPr>
      <w:t>116</w:t>
    </w:r>
    <w:r w:rsidR="007D3324">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1A" w:rsidRDefault="00EE6F1A" w:rsidP="00A87207">
      <w:r>
        <w:separator/>
      </w:r>
    </w:p>
  </w:footnote>
  <w:footnote w:type="continuationSeparator" w:id="0">
    <w:p w:rsidR="00EE6F1A" w:rsidRDefault="00EE6F1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E6F1A">
      <w:tc>
        <w:tcPr>
          <w:tcW w:w="4230" w:type="dxa"/>
          <w:tcMar>
            <w:left w:w="0" w:type="dxa"/>
            <w:right w:w="0" w:type="dxa"/>
          </w:tcMar>
        </w:tcPr>
        <w:p w:rsidR="00EE6F1A"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E6F1A" w:rsidRDefault="00EE6F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E6F1A" w:rsidRDefault="00EE6F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E6F1A">
      <w:trPr>
        <w:gridAfter w:val="2"/>
        <w:wAfter w:w="5250" w:type="dxa"/>
      </w:trPr>
      <w:tc>
        <w:tcPr>
          <w:tcW w:w="4230" w:type="dxa"/>
          <w:tcMar>
            <w:left w:w="0" w:type="dxa"/>
            <w:right w:w="0" w:type="dxa"/>
          </w:tcMar>
        </w:tcPr>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E6F1A" w:rsidRPr="00755F22" w:rsidTr="00245129">
      <w:tc>
        <w:tcPr>
          <w:tcW w:w="4230" w:type="dxa"/>
          <w:tcMar>
            <w:left w:w="0" w:type="dxa"/>
            <w:right w:w="0" w:type="dxa"/>
          </w:tcMar>
        </w:tcPr>
        <w:p w:rsidR="00EE6F1A" w:rsidRPr="00755F22" w:rsidRDefault="00EE6F1A" w:rsidP="00831CA9">
          <w:pPr>
            <w:keepNext/>
            <w:keepLines/>
            <w:rPr>
              <w:sz w:val="20"/>
              <w:szCs w:val="20"/>
            </w:rPr>
          </w:pPr>
          <w:r w:rsidRPr="00755F22">
            <w:rPr>
              <w:sz w:val="20"/>
              <w:szCs w:val="20"/>
            </w:rPr>
            <w:t>MOTIONS</w:t>
          </w:r>
        </w:p>
      </w:tc>
      <w:tc>
        <w:tcPr>
          <w:tcW w:w="1170" w:type="dxa"/>
          <w:tcMar>
            <w:left w:w="0" w:type="dxa"/>
            <w:right w:w="0" w:type="dxa"/>
          </w:tcMar>
        </w:tcPr>
        <w:p w:rsidR="00EE6F1A" w:rsidRPr="00755F22" w:rsidRDefault="00EE6F1A" w:rsidP="00831CA9">
          <w:pPr>
            <w:keepLines/>
            <w:jc w:val="center"/>
            <w:rPr>
              <w:sz w:val="20"/>
              <w:szCs w:val="20"/>
            </w:rPr>
          </w:pPr>
        </w:p>
        <w:p w:rsidR="00EE6F1A" w:rsidRPr="00755F22" w:rsidRDefault="00EE6F1A" w:rsidP="00831CA9">
          <w:pPr>
            <w:keepLines/>
            <w:tabs>
              <w:tab w:val="left" w:pos="-1440"/>
              <w:tab w:val="left" w:pos="-720"/>
            </w:tabs>
            <w:jc w:val="center"/>
            <w:rPr>
              <w:sz w:val="20"/>
              <w:szCs w:val="20"/>
            </w:rPr>
          </w:pPr>
        </w:p>
      </w:tc>
      <w:tc>
        <w:tcPr>
          <w:tcW w:w="4080" w:type="dxa"/>
          <w:tcMar>
            <w:left w:w="0" w:type="dxa"/>
            <w:right w:w="0" w:type="dxa"/>
          </w:tcMar>
        </w:tcPr>
        <w:p w:rsidR="00EE6F1A" w:rsidRPr="00BA6468" w:rsidRDefault="00EE6F1A" w:rsidP="00BA6468">
          <w:pPr>
            <w:keepLines/>
            <w:rPr>
              <w:sz w:val="20"/>
              <w:szCs w:val="20"/>
              <w:lang w:val="fr-CA"/>
            </w:rPr>
          </w:pPr>
          <w:r w:rsidRPr="00BA6468">
            <w:rPr>
              <w:sz w:val="20"/>
              <w:szCs w:val="20"/>
              <w:lang w:val="fr-CA"/>
            </w:rPr>
            <w:t>REQUÊTES</w:t>
          </w:r>
        </w:p>
      </w:tc>
    </w:tr>
  </w:tbl>
  <w:p w:rsidR="00EE6F1A" w:rsidRDefault="00EE6F1A"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E6F1A" w:rsidRPr="00021805">
      <w:tc>
        <w:tcPr>
          <w:tcW w:w="4200" w:type="dxa"/>
          <w:tcMar>
            <w:left w:w="0" w:type="dxa"/>
            <w:right w:w="0" w:type="dxa"/>
          </w:tcMar>
        </w:tcPr>
        <w:p w:rsidR="00EE6F1A"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E6F1A"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E6F1A" w:rsidRPr="00B01A03" w:rsidRDefault="00EE6F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E6F1A" w:rsidRPr="00B01A03"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E6F1A" w:rsidRPr="00B01A03"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E6F1A" w:rsidRPr="00021805" w:rsidTr="00245129">
      <w:tc>
        <w:tcPr>
          <w:tcW w:w="4200" w:type="dxa"/>
          <w:tcMar>
            <w:left w:w="0" w:type="dxa"/>
            <w:right w:w="0" w:type="dxa"/>
          </w:tcMar>
        </w:tcPr>
        <w:p w:rsidR="00EE6F1A" w:rsidRPr="00F40249" w:rsidRDefault="00EE6F1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E6F1A" w:rsidRDefault="00EE6F1A" w:rsidP="00102926">
          <w:pPr>
            <w:keepNext/>
            <w:keepLines/>
            <w:tabs>
              <w:tab w:val="left" w:pos="-1440"/>
              <w:tab w:val="left" w:pos="-720"/>
            </w:tabs>
            <w:jc w:val="center"/>
            <w:rPr>
              <w:sz w:val="20"/>
              <w:szCs w:val="20"/>
            </w:rPr>
          </w:pPr>
        </w:p>
        <w:p w:rsidR="00EE6F1A" w:rsidRDefault="00EE6F1A" w:rsidP="00102926">
          <w:pPr>
            <w:keepNext/>
            <w:keepLines/>
            <w:tabs>
              <w:tab w:val="left" w:pos="-1440"/>
              <w:tab w:val="left" w:pos="-720"/>
            </w:tabs>
            <w:jc w:val="center"/>
            <w:rPr>
              <w:sz w:val="20"/>
              <w:szCs w:val="20"/>
            </w:rPr>
          </w:pPr>
        </w:p>
        <w:p w:rsidR="00EE6F1A" w:rsidRPr="00F40249" w:rsidRDefault="00EE6F1A" w:rsidP="00102926">
          <w:pPr>
            <w:keepNext/>
            <w:keepLines/>
            <w:tabs>
              <w:tab w:val="left" w:pos="-1440"/>
              <w:tab w:val="left" w:pos="-720"/>
            </w:tabs>
            <w:jc w:val="center"/>
            <w:rPr>
              <w:sz w:val="20"/>
              <w:szCs w:val="20"/>
            </w:rPr>
          </w:pPr>
        </w:p>
      </w:tc>
      <w:tc>
        <w:tcPr>
          <w:tcW w:w="4230" w:type="dxa"/>
          <w:tcMar>
            <w:left w:w="0" w:type="dxa"/>
            <w:right w:w="0" w:type="dxa"/>
          </w:tcMar>
        </w:tcPr>
        <w:p w:rsidR="00EE6F1A" w:rsidRPr="00F40249" w:rsidRDefault="00EE6F1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E6F1A" w:rsidRPr="00B01A03" w:rsidRDefault="00EE6F1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E6F1A" w:rsidRPr="00021805">
      <w:tc>
        <w:tcPr>
          <w:tcW w:w="4200" w:type="dxa"/>
          <w:tcMar>
            <w:left w:w="0" w:type="dxa"/>
            <w:right w:w="0" w:type="dxa"/>
          </w:tcMar>
        </w:tcPr>
        <w:p w:rsidR="00EE6F1A"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EE6F1A"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E6F1A" w:rsidRPr="00283C52" w:rsidRDefault="00EE6F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EE6F1A" w:rsidRPr="00283C52"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E6F1A" w:rsidRPr="00283C52"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E6F1A" w:rsidRPr="00021805" w:rsidTr="00245129">
      <w:tc>
        <w:tcPr>
          <w:tcW w:w="4200" w:type="dxa"/>
          <w:tcMar>
            <w:left w:w="0" w:type="dxa"/>
            <w:right w:w="0" w:type="dxa"/>
          </w:tcMar>
        </w:tcPr>
        <w:p w:rsidR="00EE6F1A" w:rsidRPr="00732DB7" w:rsidRDefault="00EE6F1A"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EE6F1A" w:rsidRPr="00732DB7" w:rsidRDefault="00EE6F1A" w:rsidP="00732DB7">
          <w:pPr>
            <w:keepNext/>
            <w:keepLines/>
            <w:tabs>
              <w:tab w:val="left" w:pos="-1440"/>
              <w:tab w:val="left" w:pos="-720"/>
            </w:tabs>
            <w:jc w:val="center"/>
            <w:rPr>
              <w:sz w:val="20"/>
              <w:szCs w:val="20"/>
            </w:rPr>
          </w:pPr>
        </w:p>
        <w:p w:rsidR="00EE6F1A" w:rsidRPr="00732DB7" w:rsidRDefault="00EE6F1A" w:rsidP="00732DB7">
          <w:pPr>
            <w:keepNext/>
            <w:keepLines/>
            <w:tabs>
              <w:tab w:val="left" w:pos="-1440"/>
              <w:tab w:val="left" w:pos="-720"/>
            </w:tabs>
            <w:jc w:val="center"/>
            <w:rPr>
              <w:sz w:val="20"/>
              <w:szCs w:val="20"/>
            </w:rPr>
          </w:pPr>
        </w:p>
        <w:p w:rsidR="00EE6F1A" w:rsidRPr="00732DB7" w:rsidRDefault="00EE6F1A" w:rsidP="00732DB7">
          <w:pPr>
            <w:keepNext/>
            <w:keepLines/>
            <w:tabs>
              <w:tab w:val="left" w:pos="-1440"/>
              <w:tab w:val="left" w:pos="-720"/>
            </w:tabs>
            <w:jc w:val="center"/>
            <w:rPr>
              <w:sz w:val="20"/>
              <w:szCs w:val="20"/>
            </w:rPr>
          </w:pPr>
        </w:p>
      </w:tc>
      <w:tc>
        <w:tcPr>
          <w:tcW w:w="4080" w:type="dxa"/>
          <w:tcMar>
            <w:left w:w="0" w:type="dxa"/>
            <w:right w:w="0" w:type="dxa"/>
          </w:tcMar>
        </w:tcPr>
        <w:p w:rsidR="00EE6F1A" w:rsidRPr="00732DB7" w:rsidRDefault="00EE6F1A"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EE6F1A" w:rsidRPr="00283C52" w:rsidRDefault="00EE6F1A"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E6F1A" w:rsidRPr="00021805">
      <w:tc>
        <w:tcPr>
          <w:tcW w:w="4200" w:type="dxa"/>
          <w:tcMar>
            <w:left w:w="0" w:type="dxa"/>
            <w:right w:w="0" w:type="dxa"/>
          </w:tcMar>
        </w:tcPr>
        <w:p w:rsidR="00EE6F1A"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E6F1A"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E6F1A"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E6F1A" w:rsidRPr="003C2C0F" w:rsidRDefault="00EE6F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E6F1A" w:rsidRPr="003C2C0F"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E6F1A" w:rsidRPr="003C2C0F"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E6F1A" w:rsidRPr="00021805" w:rsidTr="00245129">
      <w:tc>
        <w:tcPr>
          <w:tcW w:w="4200" w:type="dxa"/>
          <w:tcMar>
            <w:left w:w="0" w:type="dxa"/>
            <w:right w:w="0" w:type="dxa"/>
          </w:tcMar>
        </w:tcPr>
        <w:p w:rsidR="00EE6F1A" w:rsidRPr="00FF6EEC" w:rsidRDefault="00EE6F1A" w:rsidP="00FF6EEC">
          <w:pPr>
            <w:rPr>
              <w:sz w:val="20"/>
              <w:szCs w:val="20"/>
            </w:rPr>
          </w:pPr>
          <w:r w:rsidRPr="00FF6EEC">
            <w:rPr>
              <w:sz w:val="20"/>
              <w:szCs w:val="20"/>
            </w:rPr>
            <w:t>PRONOUNCEMENTS OF APPEALS RESERVED</w:t>
          </w:r>
        </w:p>
      </w:tc>
      <w:tc>
        <w:tcPr>
          <w:tcW w:w="1200" w:type="dxa"/>
          <w:tcMar>
            <w:left w:w="0" w:type="dxa"/>
            <w:right w:w="0" w:type="dxa"/>
          </w:tcMar>
        </w:tcPr>
        <w:p w:rsidR="00EE6F1A" w:rsidRPr="00FF6EEC" w:rsidRDefault="00EE6F1A" w:rsidP="00FF6EEC">
          <w:pPr>
            <w:jc w:val="center"/>
            <w:rPr>
              <w:sz w:val="20"/>
              <w:szCs w:val="20"/>
            </w:rPr>
          </w:pPr>
        </w:p>
        <w:p w:rsidR="00EE6F1A" w:rsidRPr="00FF6EEC" w:rsidRDefault="00EE6F1A" w:rsidP="00FF6EEC">
          <w:pPr>
            <w:jc w:val="center"/>
            <w:rPr>
              <w:sz w:val="20"/>
              <w:szCs w:val="20"/>
            </w:rPr>
          </w:pPr>
        </w:p>
        <w:p w:rsidR="00EE6F1A" w:rsidRPr="00FF6EEC" w:rsidRDefault="00EE6F1A" w:rsidP="00FF6EEC">
          <w:pPr>
            <w:jc w:val="center"/>
            <w:rPr>
              <w:sz w:val="20"/>
              <w:szCs w:val="20"/>
            </w:rPr>
          </w:pPr>
        </w:p>
      </w:tc>
      <w:tc>
        <w:tcPr>
          <w:tcW w:w="4080" w:type="dxa"/>
          <w:tcMar>
            <w:left w:w="0" w:type="dxa"/>
            <w:right w:w="0" w:type="dxa"/>
          </w:tcMar>
        </w:tcPr>
        <w:p w:rsidR="00EE6F1A" w:rsidRPr="00FF6EEC" w:rsidRDefault="00EE6F1A" w:rsidP="00FF6EEC">
          <w:pPr>
            <w:rPr>
              <w:sz w:val="20"/>
              <w:szCs w:val="20"/>
              <w:lang w:val="fr-CA"/>
            </w:rPr>
          </w:pPr>
          <w:r w:rsidRPr="00FF6EEC">
            <w:rPr>
              <w:sz w:val="20"/>
              <w:szCs w:val="20"/>
              <w:lang w:val="fr-CA"/>
            </w:rPr>
            <w:t>JUGEMENTS RENDUS SUR LES APPELS EN DÉLIBÉRÉ</w:t>
          </w:r>
        </w:p>
      </w:tc>
    </w:tr>
  </w:tbl>
  <w:p w:rsidR="00EE6F1A" w:rsidRPr="003C2C0F" w:rsidRDefault="00EE6F1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E6F1A">
      <w:tc>
        <w:tcPr>
          <w:tcW w:w="4230" w:type="dxa"/>
          <w:tcMar>
            <w:left w:w="0" w:type="dxa"/>
            <w:right w:w="0" w:type="dxa"/>
          </w:tcMar>
        </w:tcPr>
        <w:p w:rsidR="00EE6F1A"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E6F1A"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E6F1A"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E6F1A"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E6F1A"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E6F1A" w:rsidRDefault="00EE6F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E6F1A"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E6F1A" w:rsidRPr="00782AE4" w:rsidTr="00245129">
      <w:tc>
        <w:tcPr>
          <w:tcW w:w="4230" w:type="dxa"/>
          <w:tcMar>
            <w:left w:w="0" w:type="dxa"/>
            <w:right w:w="0" w:type="dxa"/>
          </w:tcMar>
        </w:tcPr>
        <w:p w:rsidR="00EE6F1A" w:rsidRPr="00782AE4" w:rsidRDefault="00EE6F1A" w:rsidP="00102926">
          <w:pPr>
            <w:keepNext/>
            <w:keepLines/>
            <w:tabs>
              <w:tab w:val="left" w:pos="-1440"/>
              <w:tab w:val="left" w:pos="-720"/>
            </w:tabs>
            <w:rPr>
              <w:sz w:val="20"/>
              <w:szCs w:val="20"/>
            </w:rPr>
          </w:pPr>
          <w:r w:rsidRPr="00782AE4">
            <w:rPr>
              <w:sz w:val="20"/>
              <w:szCs w:val="20"/>
            </w:rPr>
            <w:t xml:space="preserve">HEADNOTES OF RECENT </w:t>
          </w:r>
        </w:p>
        <w:p w:rsidR="00EE6F1A" w:rsidRPr="00782AE4"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E6F1A" w:rsidRDefault="00EE6F1A" w:rsidP="00102926">
          <w:pPr>
            <w:keepNext/>
            <w:keepLines/>
            <w:tabs>
              <w:tab w:val="left" w:pos="-1440"/>
              <w:tab w:val="left" w:pos="-720"/>
            </w:tabs>
            <w:jc w:val="center"/>
            <w:rPr>
              <w:sz w:val="20"/>
              <w:szCs w:val="20"/>
            </w:rPr>
          </w:pPr>
        </w:p>
        <w:p w:rsidR="00EE6F1A" w:rsidRDefault="00EE6F1A" w:rsidP="00102926">
          <w:pPr>
            <w:keepNext/>
            <w:keepLines/>
            <w:tabs>
              <w:tab w:val="left" w:pos="-1440"/>
              <w:tab w:val="left" w:pos="-720"/>
            </w:tabs>
            <w:jc w:val="center"/>
            <w:rPr>
              <w:sz w:val="20"/>
              <w:szCs w:val="20"/>
            </w:rPr>
          </w:pPr>
        </w:p>
        <w:p w:rsidR="00EE6F1A" w:rsidRPr="00782AE4" w:rsidRDefault="00EE6F1A" w:rsidP="00102926">
          <w:pPr>
            <w:keepNext/>
            <w:keepLines/>
            <w:tabs>
              <w:tab w:val="left" w:pos="-1440"/>
              <w:tab w:val="left" w:pos="-720"/>
            </w:tabs>
            <w:jc w:val="center"/>
            <w:rPr>
              <w:sz w:val="20"/>
              <w:szCs w:val="20"/>
            </w:rPr>
          </w:pPr>
        </w:p>
      </w:tc>
      <w:tc>
        <w:tcPr>
          <w:tcW w:w="4080" w:type="dxa"/>
          <w:tcMar>
            <w:left w:w="0" w:type="dxa"/>
            <w:right w:w="0" w:type="dxa"/>
          </w:tcMar>
        </w:tcPr>
        <w:p w:rsidR="00EE6F1A" w:rsidRPr="00102926"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E6F1A" w:rsidRPr="00782AE4" w:rsidRDefault="00EE6F1A" w:rsidP="00102926">
          <w:pPr>
            <w:keepLines/>
            <w:tabs>
              <w:tab w:val="left" w:pos="-1440"/>
              <w:tab w:val="left" w:pos="-720"/>
            </w:tabs>
            <w:rPr>
              <w:sz w:val="20"/>
              <w:szCs w:val="20"/>
            </w:rPr>
          </w:pPr>
          <w:r w:rsidRPr="00102926">
            <w:rPr>
              <w:sz w:val="20"/>
              <w:szCs w:val="20"/>
              <w:lang w:val="fr-CA"/>
            </w:rPr>
            <w:t>RÉCENTS</w:t>
          </w:r>
        </w:p>
      </w:tc>
    </w:tr>
  </w:tbl>
  <w:p w:rsidR="00EE6F1A" w:rsidRDefault="00EE6F1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E6F1A" w:rsidRPr="0044776A" w:rsidTr="00245129">
      <w:tc>
        <w:tcPr>
          <w:tcW w:w="4290" w:type="dxa"/>
          <w:tcMar>
            <w:left w:w="0" w:type="dxa"/>
            <w:right w:w="0" w:type="dxa"/>
          </w:tcMar>
        </w:tcPr>
        <w:p w:rsidR="00EE6F1A" w:rsidRPr="0044776A" w:rsidRDefault="00EE6F1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E6F1A" w:rsidRPr="0044776A" w:rsidRDefault="00EE6F1A" w:rsidP="002E2327">
          <w:pPr>
            <w:keepNext/>
            <w:keepLines/>
            <w:tabs>
              <w:tab w:val="left" w:pos="-1440"/>
              <w:tab w:val="left" w:pos="-720"/>
            </w:tabs>
            <w:jc w:val="center"/>
            <w:rPr>
              <w:sz w:val="20"/>
              <w:szCs w:val="20"/>
            </w:rPr>
          </w:pPr>
        </w:p>
        <w:p w:rsidR="00EE6F1A" w:rsidRPr="0044776A" w:rsidRDefault="00EE6F1A" w:rsidP="002E2327">
          <w:pPr>
            <w:keepNext/>
            <w:keepLines/>
            <w:tabs>
              <w:tab w:val="left" w:pos="-1440"/>
              <w:tab w:val="left" w:pos="-720"/>
            </w:tabs>
            <w:jc w:val="center"/>
            <w:rPr>
              <w:sz w:val="20"/>
              <w:szCs w:val="20"/>
            </w:rPr>
          </w:pPr>
        </w:p>
        <w:p w:rsidR="00EE6F1A" w:rsidRPr="0044776A" w:rsidRDefault="00EE6F1A" w:rsidP="002E2327">
          <w:pPr>
            <w:keepNext/>
            <w:keepLines/>
            <w:tabs>
              <w:tab w:val="left" w:pos="-1440"/>
              <w:tab w:val="left" w:pos="-720"/>
            </w:tabs>
            <w:jc w:val="center"/>
            <w:rPr>
              <w:sz w:val="20"/>
              <w:szCs w:val="20"/>
            </w:rPr>
          </w:pPr>
        </w:p>
      </w:tc>
      <w:tc>
        <w:tcPr>
          <w:tcW w:w="4320" w:type="dxa"/>
          <w:tcMar>
            <w:left w:w="0" w:type="dxa"/>
            <w:right w:w="0" w:type="dxa"/>
          </w:tcMar>
        </w:tcPr>
        <w:p w:rsidR="00EE6F1A" w:rsidRPr="0044776A" w:rsidRDefault="00EE6F1A" w:rsidP="002E2327">
          <w:pPr>
            <w:keepLines/>
            <w:rPr>
              <w:sz w:val="20"/>
              <w:szCs w:val="20"/>
              <w:lang w:val="fr-CA"/>
            </w:rPr>
          </w:pPr>
          <w:r w:rsidRPr="0044776A">
            <w:rPr>
              <w:sz w:val="20"/>
              <w:szCs w:val="20"/>
              <w:lang w:val="fr-CA"/>
            </w:rPr>
            <w:t>DEMANDES D'AUTORISATION D'APPEL DÉPOSÉES</w:t>
          </w:r>
        </w:p>
      </w:tc>
    </w:tr>
  </w:tbl>
  <w:p w:rsidR="00EE6F1A" w:rsidRDefault="00EE6F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E6F1A" w:rsidRPr="00021805" w:rsidTr="00245129">
      <w:tc>
        <w:tcPr>
          <w:tcW w:w="4200" w:type="dxa"/>
          <w:tcMar>
            <w:left w:w="0" w:type="dxa"/>
            <w:right w:w="0" w:type="dxa"/>
          </w:tcMar>
        </w:tcPr>
        <w:p w:rsidR="00EE6F1A" w:rsidRPr="0044776A" w:rsidRDefault="00EE6F1A" w:rsidP="0044776A">
          <w:pPr>
            <w:keepNext/>
            <w:keepLines/>
            <w:widowControl w:val="0"/>
            <w:rPr>
              <w:sz w:val="20"/>
              <w:szCs w:val="20"/>
            </w:rPr>
          </w:pPr>
          <w:r>
            <w:rPr>
              <w:sz w:val="20"/>
              <w:szCs w:val="20"/>
            </w:rPr>
            <w:t>APPLICATIONS FOR LEAVE</w:t>
          </w:r>
        </w:p>
        <w:p w:rsidR="00EE6F1A" w:rsidRPr="0044776A" w:rsidRDefault="00EE6F1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E6F1A" w:rsidRPr="0044776A" w:rsidRDefault="00EE6F1A" w:rsidP="0044776A">
          <w:pPr>
            <w:keepNext/>
            <w:keepLines/>
            <w:widowControl w:val="0"/>
            <w:jc w:val="center"/>
            <w:rPr>
              <w:sz w:val="20"/>
              <w:szCs w:val="20"/>
            </w:rPr>
          </w:pPr>
        </w:p>
        <w:p w:rsidR="00EE6F1A" w:rsidRPr="0044776A" w:rsidRDefault="00EE6F1A" w:rsidP="0044776A">
          <w:pPr>
            <w:keepNext/>
            <w:keepLines/>
            <w:widowControl w:val="0"/>
            <w:jc w:val="center"/>
            <w:rPr>
              <w:sz w:val="20"/>
              <w:szCs w:val="20"/>
            </w:rPr>
          </w:pPr>
        </w:p>
        <w:p w:rsidR="00EE6F1A" w:rsidRPr="0044776A" w:rsidRDefault="00EE6F1A" w:rsidP="0044776A">
          <w:pPr>
            <w:keepNext/>
            <w:keepLines/>
            <w:widowControl w:val="0"/>
            <w:jc w:val="center"/>
            <w:rPr>
              <w:sz w:val="20"/>
              <w:szCs w:val="20"/>
            </w:rPr>
          </w:pPr>
        </w:p>
      </w:tc>
      <w:tc>
        <w:tcPr>
          <w:tcW w:w="4080" w:type="dxa"/>
          <w:tcMar>
            <w:left w:w="0" w:type="dxa"/>
            <w:right w:w="0" w:type="dxa"/>
          </w:tcMar>
        </w:tcPr>
        <w:p w:rsidR="00EE6F1A" w:rsidRPr="0044776A" w:rsidRDefault="00EE6F1A" w:rsidP="0044776A">
          <w:pPr>
            <w:keepLines/>
            <w:widowControl w:val="0"/>
            <w:rPr>
              <w:sz w:val="20"/>
              <w:szCs w:val="20"/>
              <w:lang w:val="fr-CA"/>
            </w:rPr>
          </w:pPr>
          <w:r w:rsidRPr="0044776A">
            <w:rPr>
              <w:sz w:val="20"/>
              <w:szCs w:val="20"/>
              <w:lang w:val="fr-CA"/>
            </w:rPr>
            <w:t>DEMANDES SOUMISES À LA COUR DEPUIS LA DERNIÈRE PARUTION</w:t>
          </w:r>
        </w:p>
        <w:p w:rsidR="00EE6F1A" w:rsidRPr="0044776A" w:rsidRDefault="00EE6F1A" w:rsidP="0044776A">
          <w:pPr>
            <w:widowControl w:val="0"/>
            <w:rPr>
              <w:sz w:val="20"/>
              <w:szCs w:val="20"/>
              <w:lang w:val="fr-CA"/>
            </w:rPr>
          </w:pPr>
        </w:p>
      </w:tc>
    </w:tr>
  </w:tbl>
  <w:p w:rsidR="00EE6F1A" w:rsidRPr="002E2327" w:rsidRDefault="00EE6F1A">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1A" w:rsidRDefault="00EE6F1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E6F1A" w:rsidRPr="00021805">
      <w:tc>
        <w:tcPr>
          <w:tcW w:w="4200" w:type="dxa"/>
          <w:tcMar>
            <w:left w:w="0" w:type="dxa"/>
            <w:right w:w="0" w:type="dxa"/>
          </w:tcMar>
        </w:tcPr>
        <w:p w:rsidR="00EE6F1A"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E6F1A"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E6F1A" w:rsidRDefault="00EE6F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E6F1A" w:rsidRPr="00FF6BA5" w:rsidRDefault="00EE6F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E6F1A" w:rsidRPr="00FF6BA5"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E6F1A" w:rsidRPr="00FF6BA5"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E6F1A" w:rsidRPr="00FF6BA5" w:rsidRDefault="00EE6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E6F1A" w:rsidRPr="00021805" w:rsidTr="00245129">
      <w:tc>
        <w:tcPr>
          <w:tcW w:w="4200" w:type="dxa"/>
          <w:tcMar>
            <w:left w:w="0" w:type="dxa"/>
            <w:right w:w="0" w:type="dxa"/>
          </w:tcMar>
        </w:tcPr>
        <w:p w:rsidR="00EE6F1A" w:rsidRPr="00755F22"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E6F1A" w:rsidRPr="00755F22" w:rsidRDefault="00EE6F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E6F1A" w:rsidRPr="00755F22" w:rsidRDefault="00EE6F1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E6F1A" w:rsidRPr="00755F22" w:rsidRDefault="00EE6F1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E6F1A" w:rsidRPr="00755F22" w:rsidRDefault="00EE6F1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E6F1A" w:rsidRPr="00755F22" w:rsidRDefault="00EE6F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E6F1A" w:rsidRPr="00FF6BA5" w:rsidRDefault="00EE6F1A"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744"/>
    <w:multiLevelType w:val="hybridMultilevel"/>
    <w:tmpl w:val="D5F4B044"/>
    <w:lvl w:ilvl="0" w:tplc="2332A4AC">
      <w:start w:val="1"/>
      <w:numFmt w:val="decimal"/>
      <w:lvlText w:val="%1."/>
      <w:lvlJc w:val="left"/>
      <w:pPr>
        <w:ind w:left="106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1180E"/>
    <w:multiLevelType w:val="hybridMultilevel"/>
    <w:tmpl w:val="29D06AB8"/>
    <w:lvl w:ilvl="0" w:tplc="63A07A02">
      <w:start w:val="1"/>
      <w:numFmt w:val="decimal"/>
      <w:lvlText w:val="%1."/>
      <w:lvlJc w:val="left"/>
      <w:pPr>
        <w:ind w:left="106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7A6C5E"/>
    <w:multiLevelType w:val="hybridMultilevel"/>
    <w:tmpl w:val="28D27C86"/>
    <w:lvl w:ilvl="0" w:tplc="3F1ECC90">
      <w:start w:val="1"/>
      <w:numFmt w:val="decimal"/>
      <w:lvlText w:val="%1."/>
      <w:lvlJc w:val="left"/>
      <w:pPr>
        <w:ind w:left="106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011909"/>
    <w:multiLevelType w:val="hybridMultilevel"/>
    <w:tmpl w:val="65DE966A"/>
    <w:lvl w:ilvl="0" w:tplc="011A88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D3F6B"/>
    <w:multiLevelType w:val="hybridMultilevel"/>
    <w:tmpl w:val="4F8288C8"/>
    <w:lvl w:ilvl="0" w:tplc="B3D6B3E8">
      <w:start w:val="1"/>
      <w:numFmt w:val="decimal"/>
      <w:lvlText w:val="%1."/>
      <w:lvlJc w:val="left"/>
      <w:pPr>
        <w:ind w:left="106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8556D7"/>
    <w:multiLevelType w:val="hybridMultilevel"/>
    <w:tmpl w:val="92764902"/>
    <w:lvl w:ilvl="0" w:tplc="0BAC431E">
      <w:start w:val="1"/>
      <w:numFmt w:val="decimal"/>
      <w:lvlText w:val="%1."/>
      <w:lvlJc w:val="left"/>
      <w:pPr>
        <w:ind w:left="106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FC203A"/>
    <w:multiLevelType w:val="hybridMultilevel"/>
    <w:tmpl w:val="65DE966A"/>
    <w:lvl w:ilvl="0" w:tplc="011A88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12C37"/>
    <w:multiLevelType w:val="hybridMultilevel"/>
    <w:tmpl w:val="CFE03BC0"/>
    <w:lvl w:ilvl="0" w:tplc="FA10BBE8">
      <w:start w:val="1"/>
      <w:numFmt w:val="decimal"/>
      <w:lvlText w:val="%1."/>
      <w:lvlJc w:val="left"/>
      <w:pPr>
        <w:ind w:left="106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000902"/>
    <w:multiLevelType w:val="hybridMultilevel"/>
    <w:tmpl w:val="A6429BAA"/>
    <w:lvl w:ilvl="0" w:tplc="1BD88464">
      <w:start w:val="1"/>
      <w:numFmt w:val="decimal"/>
      <w:lvlText w:val="%1."/>
      <w:lvlJc w:val="left"/>
      <w:pPr>
        <w:ind w:left="106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4060B9"/>
    <w:multiLevelType w:val="hybridMultilevel"/>
    <w:tmpl w:val="D7F0B9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8F35E7"/>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43D9166E"/>
    <w:multiLevelType w:val="hybridMultilevel"/>
    <w:tmpl w:val="D7F0B9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D022AB"/>
    <w:multiLevelType w:val="hybridMultilevel"/>
    <w:tmpl w:val="708E5320"/>
    <w:lvl w:ilvl="0" w:tplc="14FC7F44">
      <w:start w:val="1"/>
      <w:numFmt w:val="decimal"/>
      <w:lvlText w:val="%1."/>
      <w:lvlJc w:val="left"/>
      <w:pPr>
        <w:ind w:left="106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90B7F4D"/>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7A9F0333"/>
    <w:multiLevelType w:val="multilevel"/>
    <w:tmpl w:val="670244D6"/>
    <w:name w:val="zzmpSCCdocumen||SCC documents|3|4|1|1|2|0||1|2|0||1|2|0||1|2|0||1|2|0||mpNA||mpNA||mpNA||mpNA||"/>
    <w:lvl w:ilvl="0">
      <w:start w:val="1"/>
      <w:numFmt w:val="none"/>
      <w:pStyle w:val="SCCdocumenL1"/>
      <w:lvlText w:val=""/>
      <w:lvlJc w:val="left"/>
      <w:pPr>
        <w:tabs>
          <w:tab w:val="num" w:pos="1440"/>
        </w:tabs>
        <w:ind w:left="720" w:firstLine="0"/>
      </w:pPr>
      <w:rPr>
        <w:rFonts w:ascii="Arial" w:hAnsi="Arial" w:cs="Arial"/>
        <w:b w:val="0"/>
        <w:i w:val="0"/>
        <w:caps w:val="0"/>
        <w:color w:val="auto"/>
        <w:sz w:val="24"/>
        <w:u w:val="none"/>
      </w:rPr>
    </w:lvl>
    <w:lvl w:ilvl="1">
      <w:start w:val="1"/>
      <w:numFmt w:val="decimal"/>
      <w:pStyle w:val="SCCdocumenL2"/>
      <w:lvlText w:val="%2."/>
      <w:lvlJc w:val="left"/>
      <w:pPr>
        <w:tabs>
          <w:tab w:val="num" w:pos="1440"/>
        </w:tabs>
        <w:ind w:left="720" w:firstLine="0"/>
      </w:pPr>
      <w:rPr>
        <w:rFonts w:ascii="Arial" w:hAnsi="Arial" w:cs="Arial"/>
        <w:b w:val="0"/>
        <w:i w:val="0"/>
        <w:caps w:val="0"/>
        <w:color w:val="auto"/>
        <w:sz w:val="24"/>
        <w:u w:val="none"/>
      </w:rPr>
    </w:lvl>
    <w:lvl w:ilvl="2">
      <w:start w:val="1"/>
      <w:numFmt w:val="lowerLetter"/>
      <w:pStyle w:val="SCCdocumenL3"/>
      <w:lvlText w:val="(%3)"/>
      <w:lvlJc w:val="left"/>
      <w:pPr>
        <w:tabs>
          <w:tab w:val="num" w:pos="2160"/>
        </w:tabs>
        <w:ind w:left="2160" w:hanging="720"/>
      </w:pPr>
      <w:rPr>
        <w:rFonts w:ascii="Arial" w:hAnsi="Arial" w:cs="Arial"/>
        <w:b w:val="0"/>
        <w:i w:val="0"/>
        <w:caps w:val="0"/>
        <w:color w:val="auto"/>
        <w:sz w:val="24"/>
        <w:u w:val="none"/>
      </w:rPr>
    </w:lvl>
    <w:lvl w:ilvl="3">
      <w:start w:val="1"/>
      <w:numFmt w:val="lowerRoman"/>
      <w:pStyle w:val="SCCdocumenL4"/>
      <w:lvlText w:val="(%4)"/>
      <w:lvlJc w:val="left"/>
      <w:pPr>
        <w:tabs>
          <w:tab w:val="num" w:pos="2880"/>
        </w:tabs>
        <w:ind w:left="2880" w:hanging="720"/>
      </w:pPr>
      <w:rPr>
        <w:rFonts w:ascii="Arial" w:hAnsi="Arial" w:cs="Arial"/>
        <w:b w:val="0"/>
        <w:i w:val="0"/>
        <w:caps w:val="0"/>
        <w:color w:val="auto"/>
        <w:sz w:val="24"/>
        <w:u w:val="none"/>
      </w:rPr>
    </w:lvl>
    <w:lvl w:ilvl="4">
      <w:start w:val="1"/>
      <w:numFmt w:val="none"/>
      <w:lvlRestart w:val="0"/>
      <w:pStyle w:val="SCCdocumenL5"/>
      <w:lvlText w:val=""/>
      <w:lvlJc w:val="left"/>
      <w:pPr>
        <w:tabs>
          <w:tab w:val="num" w:pos="1440"/>
        </w:tabs>
        <w:ind w:left="1440" w:hanging="720"/>
      </w:pPr>
      <w:rPr>
        <w:rFonts w:ascii="Arial" w:hAnsi="Arial" w:cs="Arial"/>
        <w:b w:val="0"/>
        <w:i w:val="0"/>
        <w:caps w:val="0"/>
        <w:color w:val="auto"/>
        <w:sz w:val="24"/>
        <w:u w:val="none"/>
      </w:rPr>
    </w:lvl>
    <w:lvl w:ilvl="5">
      <w:start w:val="1"/>
      <w:numFmt w:val="decimal"/>
      <w:lvlText w:val="%6)"/>
      <w:lvlJc w:val="left"/>
      <w:pPr>
        <w:tabs>
          <w:tab w:val="num" w:pos="6480"/>
        </w:tabs>
        <w:ind w:left="6480" w:hanging="720"/>
      </w:pPr>
      <w:rPr>
        <w:rFonts w:ascii="Arial" w:hAnsi="Arial" w:cs="Arial"/>
        <w:b w:val="0"/>
        <w:i w:val="0"/>
        <w:caps w:val="0"/>
        <w:color w:val="auto"/>
        <w:sz w:val="24"/>
        <w:u w:val="none"/>
      </w:rPr>
    </w:lvl>
    <w:lvl w:ilvl="6">
      <w:start w:val="1"/>
      <w:numFmt w:val="decimal"/>
      <w:lvlText w:val="%7)"/>
      <w:lvlJc w:val="left"/>
      <w:pPr>
        <w:tabs>
          <w:tab w:val="num" w:pos="6480"/>
        </w:tabs>
        <w:ind w:left="6480" w:hanging="720"/>
      </w:pPr>
      <w:rPr>
        <w:rFonts w:ascii="Arial" w:hAnsi="Arial" w:cs="Arial"/>
        <w:b w:val="0"/>
        <w:i w:val="0"/>
        <w:caps w:val="0"/>
        <w:color w:val="auto"/>
        <w:sz w:val="24"/>
        <w:u w:val="none"/>
      </w:rPr>
    </w:lvl>
    <w:lvl w:ilvl="7">
      <w:start w:val="1"/>
      <w:numFmt w:val="decimal"/>
      <w:lvlText w:val="%8)"/>
      <w:lvlJc w:val="left"/>
      <w:pPr>
        <w:tabs>
          <w:tab w:val="num" w:pos="6480"/>
        </w:tabs>
        <w:ind w:left="6480" w:hanging="720"/>
      </w:pPr>
      <w:rPr>
        <w:rFonts w:ascii="Arial" w:hAnsi="Arial" w:cs="Arial"/>
        <w:b w:val="0"/>
        <w:i w:val="0"/>
        <w:caps w:val="0"/>
        <w:color w:val="auto"/>
        <w:sz w:val="24"/>
        <w:u w:val="none"/>
      </w:rPr>
    </w:lvl>
    <w:lvl w:ilvl="8">
      <w:start w:val="1"/>
      <w:numFmt w:val="lowerRoman"/>
      <w:lvlText w:val="(%9)"/>
      <w:lvlJc w:val="left"/>
      <w:pPr>
        <w:tabs>
          <w:tab w:val="num" w:pos="7200"/>
        </w:tabs>
        <w:ind w:left="7200" w:hanging="720"/>
      </w:pPr>
      <w:rPr>
        <w:rFonts w:ascii="Arial" w:hAnsi="Arial" w:cs="Arial"/>
        <w:b w:val="0"/>
        <w:i w:val="0"/>
        <w:caps w:val="0"/>
        <w:color w:val="auto"/>
        <w:u w:val="none"/>
      </w:rPr>
    </w:lvl>
  </w:abstractNum>
  <w:num w:numId="1">
    <w:abstractNumId w:val="9"/>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2"/>
  </w:num>
  <w:num w:numId="9">
    <w:abstractNumId w:val="3"/>
  </w:num>
  <w:num w:numId="10">
    <w:abstractNumId w:val="6"/>
  </w:num>
  <w:num w:numId="11">
    <w:abstractNumId w:val="10"/>
  </w:num>
  <w:num w:numId="12">
    <w:abstractNumId w:val="15"/>
  </w:num>
  <w:num w:numId="13">
    <w:abstractNumId w:val="0"/>
  </w:num>
  <w:num w:numId="14">
    <w:abstractNumId w:val="14"/>
  </w:num>
  <w:num w:numId="15">
    <w:abstractNumId w:val="1"/>
  </w:num>
  <w:num w:numId="16">
    <w:abstractNumId w:val="7"/>
  </w:num>
  <w:num w:numId="17">
    <w:abstractNumId w:val="8"/>
  </w:num>
  <w:num w:numId="18">
    <w:abstractNumId w:val="5"/>
  </w:num>
  <w:num w:numId="19">
    <w:abstractNumId w:val="4"/>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70673"/>
  </w:hdrShapeDefaults>
  <w:footnotePr>
    <w:footnote w:id="-1"/>
    <w:footnote w:id="0"/>
  </w:footnotePr>
  <w:endnotePr>
    <w:endnote w:id="-1"/>
    <w:endnote w:id="0"/>
  </w:endnotePr>
  <w:compat>
    <w:compatSetting w:name="compatibilityMode" w:uri="http://schemas.microsoft.com/office/word" w:val="12"/>
  </w:compat>
  <w:rsids>
    <w:rsidRoot w:val="00787937"/>
    <w:rsid w:val="00020DC3"/>
    <w:rsid w:val="00021805"/>
    <w:rsid w:val="0003223B"/>
    <w:rsid w:val="000327B2"/>
    <w:rsid w:val="00032A86"/>
    <w:rsid w:val="0004528B"/>
    <w:rsid w:val="00046374"/>
    <w:rsid w:val="00064FBA"/>
    <w:rsid w:val="00091FA6"/>
    <w:rsid w:val="00096BD9"/>
    <w:rsid w:val="000B3C9A"/>
    <w:rsid w:val="000B40A2"/>
    <w:rsid w:val="000B4624"/>
    <w:rsid w:val="000C0ACD"/>
    <w:rsid w:val="000C0D2A"/>
    <w:rsid w:val="000C5CE8"/>
    <w:rsid w:val="000E2959"/>
    <w:rsid w:val="000F0B60"/>
    <w:rsid w:val="00102926"/>
    <w:rsid w:val="0010587F"/>
    <w:rsid w:val="00106EDB"/>
    <w:rsid w:val="00110F61"/>
    <w:rsid w:val="00111C6B"/>
    <w:rsid w:val="0012102B"/>
    <w:rsid w:val="0013369E"/>
    <w:rsid w:val="001649E5"/>
    <w:rsid w:val="00164E6D"/>
    <w:rsid w:val="00183454"/>
    <w:rsid w:val="001B157C"/>
    <w:rsid w:val="001B4006"/>
    <w:rsid w:val="001B5C23"/>
    <w:rsid w:val="001C418E"/>
    <w:rsid w:val="001D0D5F"/>
    <w:rsid w:val="001D6B8C"/>
    <w:rsid w:val="001F1F83"/>
    <w:rsid w:val="001F40DF"/>
    <w:rsid w:val="001F6B2D"/>
    <w:rsid w:val="002021A9"/>
    <w:rsid w:val="002139A7"/>
    <w:rsid w:val="00215F7C"/>
    <w:rsid w:val="0022323B"/>
    <w:rsid w:val="002410B8"/>
    <w:rsid w:val="00242AEE"/>
    <w:rsid w:val="00245129"/>
    <w:rsid w:val="00245879"/>
    <w:rsid w:val="00247161"/>
    <w:rsid w:val="00263E08"/>
    <w:rsid w:val="00267FD5"/>
    <w:rsid w:val="00274D34"/>
    <w:rsid w:val="00283ED8"/>
    <w:rsid w:val="002868D0"/>
    <w:rsid w:val="002A008C"/>
    <w:rsid w:val="002A27D1"/>
    <w:rsid w:val="002A4AFA"/>
    <w:rsid w:val="002B516C"/>
    <w:rsid w:val="002D72EB"/>
    <w:rsid w:val="002E2327"/>
    <w:rsid w:val="002E3583"/>
    <w:rsid w:val="002E5576"/>
    <w:rsid w:val="002F228C"/>
    <w:rsid w:val="00331B52"/>
    <w:rsid w:val="003359D3"/>
    <w:rsid w:val="00355967"/>
    <w:rsid w:val="003643E6"/>
    <w:rsid w:val="00382C47"/>
    <w:rsid w:val="00384384"/>
    <w:rsid w:val="003866AE"/>
    <w:rsid w:val="003B3977"/>
    <w:rsid w:val="003E1D4C"/>
    <w:rsid w:val="004011A7"/>
    <w:rsid w:val="004137A0"/>
    <w:rsid w:val="0041643C"/>
    <w:rsid w:val="00422D9A"/>
    <w:rsid w:val="00427C99"/>
    <w:rsid w:val="00432989"/>
    <w:rsid w:val="00440E24"/>
    <w:rsid w:val="0044776A"/>
    <w:rsid w:val="00452B89"/>
    <w:rsid w:val="00460AFC"/>
    <w:rsid w:val="0047471F"/>
    <w:rsid w:val="004A20AA"/>
    <w:rsid w:val="004B195E"/>
    <w:rsid w:val="004B66B4"/>
    <w:rsid w:val="004B7F60"/>
    <w:rsid w:val="004C1AAC"/>
    <w:rsid w:val="004E1E0A"/>
    <w:rsid w:val="004F090E"/>
    <w:rsid w:val="00501F3C"/>
    <w:rsid w:val="00505442"/>
    <w:rsid w:val="0052229C"/>
    <w:rsid w:val="00527CC7"/>
    <w:rsid w:val="00571CA4"/>
    <w:rsid w:val="00582136"/>
    <w:rsid w:val="00587209"/>
    <w:rsid w:val="005B5748"/>
    <w:rsid w:val="005B5A95"/>
    <w:rsid w:val="005C6840"/>
    <w:rsid w:val="005F1ED8"/>
    <w:rsid w:val="005F263E"/>
    <w:rsid w:val="00600252"/>
    <w:rsid w:val="00611550"/>
    <w:rsid w:val="00612A40"/>
    <w:rsid w:val="0062714A"/>
    <w:rsid w:val="00644732"/>
    <w:rsid w:val="0066344F"/>
    <w:rsid w:val="00675479"/>
    <w:rsid w:val="00680709"/>
    <w:rsid w:val="00681F61"/>
    <w:rsid w:val="00696BF9"/>
    <w:rsid w:val="00697C62"/>
    <w:rsid w:val="006A329B"/>
    <w:rsid w:val="006A7EB8"/>
    <w:rsid w:val="006B6926"/>
    <w:rsid w:val="006C043D"/>
    <w:rsid w:val="006C3F47"/>
    <w:rsid w:val="006C5F7A"/>
    <w:rsid w:val="006E06AF"/>
    <w:rsid w:val="006F350F"/>
    <w:rsid w:val="00702955"/>
    <w:rsid w:val="00730710"/>
    <w:rsid w:val="00732DB7"/>
    <w:rsid w:val="00736840"/>
    <w:rsid w:val="0074238B"/>
    <w:rsid w:val="00745EF7"/>
    <w:rsid w:val="00755F22"/>
    <w:rsid w:val="00766E4A"/>
    <w:rsid w:val="007820CE"/>
    <w:rsid w:val="00782AE4"/>
    <w:rsid w:val="00786F3E"/>
    <w:rsid w:val="00787937"/>
    <w:rsid w:val="0079724F"/>
    <w:rsid w:val="007A2B25"/>
    <w:rsid w:val="007A3EAE"/>
    <w:rsid w:val="007A4EA8"/>
    <w:rsid w:val="007B0494"/>
    <w:rsid w:val="007C04FC"/>
    <w:rsid w:val="007C3DB0"/>
    <w:rsid w:val="007C47C2"/>
    <w:rsid w:val="007D3324"/>
    <w:rsid w:val="007D3E0F"/>
    <w:rsid w:val="007E4282"/>
    <w:rsid w:val="007F387B"/>
    <w:rsid w:val="00802863"/>
    <w:rsid w:val="008112A9"/>
    <w:rsid w:val="00815B3C"/>
    <w:rsid w:val="0081610A"/>
    <w:rsid w:val="0082783A"/>
    <w:rsid w:val="00831CA9"/>
    <w:rsid w:val="00850E1F"/>
    <w:rsid w:val="0085476B"/>
    <w:rsid w:val="0086340B"/>
    <w:rsid w:val="00890FEB"/>
    <w:rsid w:val="00895E7E"/>
    <w:rsid w:val="008A5B26"/>
    <w:rsid w:val="008A5C1A"/>
    <w:rsid w:val="008D292F"/>
    <w:rsid w:val="008E03DC"/>
    <w:rsid w:val="008E510C"/>
    <w:rsid w:val="00901F96"/>
    <w:rsid w:val="00902E51"/>
    <w:rsid w:val="00911453"/>
    <w:rsid w:val="00924065"/>
    <w:rsid w:val="00930D68"/>
    <w:rsid w:val="00932DB4"/>
    <w:rsid w:val="0093384C"/>
    <w:rsid w:val="00941A4B"/>
    <w:rsid w:val="00946242"/>
    <w:rsid w:val="0095096B"/>
    <w:rsid w:val="00970CD3"/>
    <w:rsid w:val="009723FA"/>
    <w:rsid w:val="00984546"/>
    <w:rsid w:val="00994BCA"/>
    <w:rsid w:val="00996510"/>
    <w:rsid w:val="009D1F15"/>
    <w:rsid w:val="009D555E"/>
    <w:rsid w:val="009F3024"/>
    <w:rsid w:val="009F39BA"/>
    <w:rsid w:val="00A0355E"/>
    <w:rsid w:val="00A375D1"/>
    <w:rsid w:val="00A40E84"/>
    <w:rsid w:val="00A46B08"/>
    <w:rsid w:val="00A51D10"/>
    <w:rsid w:val="00A52A83"/>
    <w:rsid w:val="00A6552C"/>
    <w:rsid w:val="00A752AD"/>
    <w:rsid w:val="00A766ED"/>
    <w:rsid w:val="00A87207"/>
    <w:rsid w:val="00A935AA"/>
    <w:rsid w:val="00A956D3"/>
    <w:rsid w:val="00AA103B"/>
    <w:rsid w:val="00AB2201"/>
    <w:rsid w:val="00AD1D34"/>
    <w:rsid w:val="00AD3259"/>
    <w:rsid w:val="00AF1715"/>
    <w:rsid w:val="00AF3904"/>
    <w:rsid w:val="00B010C0"/>
    <w:rsid w:val="00B4740D"/>
    <w:rsid w:val="00B61629"/>
    <w:rsid w:val="00B7374B"/>
    <w:rsid w:val="00B90DC0"/>
    <w:rsid w:val="00BA116A"/>
    <w:rsid w:val="00BA5582"/>
    <w:rsid w:val="00BA6468"/>
    <w:rsid w:val="00BB1D44"/>
    <w:rsid w:val="00BB37C4"/>
    <w:rsid w:val="00BD06DA"/>
    <w:rsid w:val="00BD4217"/>
    <w:rsid w:val="00BD61A2"/>
    <w:rsid w:val="00BF25F3"/>
    <w:rsid w:val="00C1697B"/>
    <w:rsid w:val="00C21644"/>
    <w:rsid w:val="00C21CB5"/>
    <w:rsid w:val="00C46376"/>
    <w:rsid w:val="00C50A5C"/>
    <w:rsid w:val="00C50FDF"/>
    <w:rsid w:val="00C63381"/>
    <w:rsid w:val="00C73D06"/>
    <w:rsid w:val="00C73E1B"/>
    <w:rsid w:val="00C759B4"/>
    <w:rsid w:val="00C77713"/>
    <w:rsid w:val="00C85BB7"/>
    <w:rsid w:val="00CA2DEA"/>
    <w:rsid w:val="00CB3520"/>
    <w:rsid w:val="00CB43D5"/>
    <w:rsid w:val="00CC45AC"/>
    <w:rsid w:val="00CC4D84"/>
    <w:rsid w:val="00CE198A"/>
    <w:rsid w:val="00CF08C8"/>
    <w:rsid w:val="00D004FC"/>
    <w:rsid w:val="00D104A3"/>
    <w:rsid w:val="00D363E5"/>
    <w:rsid w:val="00D5130B"/>
    <w:rsid w:val="00D55CB1"/>
    <w:rsid w:val="00D64901"/>
    <w:rsid w:val="00D76BDF"/>
    <w:rsid w:val="00D818B6"/>
    <w:rsid w:val="00D862C1"/>
    <w:rsid w:val="00D93B50"/>
    <w:rsid w:val="00D94028"/>
    <w:rsid w:val="00D94670"/>
    <w:rsid w:val="00DA46F6"/>
    <w:rsid w:val="00DD0B49"/>
    <w:rsid w:val="00DD21F1"/>
    <w:rsid w:val="00DE0502"/>
    <w:rsid w:val="00DE349D"/>
    <w:rsid w:val="00E06DFA"/>
    <w:rsid w:val="00E20A0A"/>
    <w:rsid w:val="00E240C2"/>
    <w:rsid w:val="00E356C7"/>
    <w:rsid w:val="00E41A5A"/>
    <w:rsid w:val="00E45FE4"/>
    <w:rsid w:val="00E54E0B"/>
    <w:rsid w:val="00E64FA7"/>
    <w:rsid w:val="00E770CB"/>
    <w:rsid w:val="00E903A1"/>
    <w:rsid w:val="00E940EB"/>
    <w:rsid w:val="00E9703F"/>
    <w:rsid w:val="00EB2B90"/>
    <w:rsid w:val="00ED7E83"/>
    <w:rsid w:val="00EE091F"/>
    <w:rsid w:val="00EE6F1A"/>
    <w:rsid w:val="00EF4B63"/>
    <w:rsid w:val="00EF741D"/>
    <w:rsid w:val="00F0068D"/>
    <w:rsid w:val="00F0576D"/>
    <w:rsid w:val="00F14E6D"/>
    <w:rsid w:val="00F15EA8"/>
    <w:rsid w:val="00F16C8D"/>
    <w:rsid w:val="00F26C61"/>
    <w:rsid w:val="00F33CCE"/>
    <w:rsid w:val="00F36F76"/>
    <w:rsid w:val="00F40249"/>
    <w:rsid w:val="00F526C8"/>
    <w:rsid w:val="00F67B96"/>
    <w:rsid w:val="00F761A3"/>
    <w:rsid w:val="00F9272D"/>
    <w:rsid w:val="00F9518C"/>
    <w:rsid w:val="00FA316E"/>
    <w:rsid w:val="00FA3373"/>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0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2"/>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numbering" w:customStyle="1" w:styleId="NoList1">
    <w:name w:val="No List1"/>
    <w:next w:val="NoList"/>
    <w:uiPriority w:val="99"/>
    <w:semiHidden/>
    <w:unhideWhenUsed/>
    <w:rsid w:val="00DD21F1"/>
  </w:style>
  <w:style w:type="table" w:customStyle="1" w:styleId="TableGrid2">
    <w:name w:val="Table Grid2"/>
    <w:basedOn w:val="TableNormal"/>
    <w:next w:val="TableGrid"/>
    <w:uiPriority w:val="59"/>
    <w:rsid w:val="00DD21F1"/>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DD21F1"/>
    <w:pPr>
      <w:widowControl w:val="0"/>
    </w:pPr>
    <w:rPr>
      <w:rFonts w:eastAsia="Times New Roman" w:cs="Times New Roman"/>
      <w:sz w:val="20"/>
      <w:szCs w:val="20"/>
      <w:lang w:val="en-US" w:eastAsia="en-CA"/>
    </w:rPr>
  </w:style>
  <w:style w:type="paragraph" w:customStyle="1" w:styleId="Level2">
    <w:name w:val="Level 2"/>
    <w:basedOn w:val="Normal"/>
    <w:rsid w:val="00DD21F1"/>
    <w:pPr>
      <w:widowControl w:val="0"/>
    </w:pPr>
    <w:rPr>
      <w:rFonts w:eastAsia="Times New Roman" w:cs="Times New Roman"/>
      <w:sz w:val="20"/>
      <w:szCs w:val="20"/>
      <w:lang w:val="en-US" w:eastAsia="en-CA"/>
    </w:rPr>
  </w:style>
  <w:style w:type="paragraph" w:customStyle="1" w:styleId="Level3">
    <w:name w:val="Level 3"/>
    <w:basedOn w:val="Normal"/>
    <w:rsid w:val="00DD21F1"/>
    <w:pPr>
      <w:widowControl w:val="0"/>
    </w:pPr>
    <w:rPr>
      <w:rFonts w:eastAsia="Times New Roman" w:cs="Times New Roman"/>
      <w:sz w:val="20"/>
      <w:szCs w:val="20"/>
      <w:lang w:val="en-US" w:eastAsia="en-CA"/>
    </w:rPr>
  </w:style>
  <w:style w:type="paragraph" w:customStyle="1" w:styleId="Level4">
    <w:name w:val="Level 4"/>
    <w:basedOn w:val="Normal"/>
    <w:rsid w:val="00DD21F1"/>
    <w:pPr>
      <w:widowControl w:val="0"/>
    </w:pPr>
    <w:rPr>
      <w:rFonts w:eastAsia="Times New Roman" w:cs="Times New Roman"/>
      <w:sz w:val="20"/>
      <w:szCs w:val="20"/>
      <w:lang w:val="en-US" w:eastAsia="en-CA"/>
    </w:rPr>
  </w:style>
  <w:style w:type="paragraph" w:customStyle="1" w:styleId="Level5">
    <w:name w:val="Level 5"/>
    <w:basedOn w:val="Normal"/>
    <w:rsid w:val="00DD21F1"/>
    <w:pPr>
      <w:widowControl w:val="0"/>
    </w:pPr>
    <w:rPr>
      <w:rFonts w:eastAsia="Times New Roman" w:cs="Times New Roman"/>
      <w:sz w:val="20"/>
      <w:szCs w:val="20"/>
      <w:lang w:val="en-US" w:eastAsia="en-CA"/>
    </w:rPr>
  </w:style>
  <w:style w:type="paragraph" w:customStyle="1" w:styleId="Level6">
    <w:name w:val="Level 6"/>
    <w:basedOn w:val="Normal"/>
    <w:rsid w:val="00DD21F1"/>
    <w:pPr>
      <w:widowControl w:val="0"/>
    </w:pPr>
    <w:rPr>
      <w:rFonts w:eastAsia="Times New Roman" w:cs="Times New Roman"/>
      <w:sz w:val="20"/>
      <w:szCs w:val="20"/>
      <w:lang w:val="en-US" w:eastAsia="en-CA"/>
    </w:rPr>
  </w:style>
  <w:style w:type="paragraph" w:customStyle="1" w:styleId="Level7">
    <w:name w:val="Level 7"/>
    <w:basedOn w:val="Normal"/>
    <w:rsid w:val="00DD21F1"/>
    <w:pPr>
      <w:widowControl w:val="0"/>
    </w:pPr>
    <w:rPr>
      <w:rFonts w:eastAsia="Times New Roman" w:cs="Times New Roman"/>
      <w:sz w:val="20"/>
      <w:szCs w:val="20"/>
      <w:lang w:val="en-US" w:eastAsia="en-CA"/>
    </w:rPr>
  </w:style>
  <w:style w:type="paragraph" w:customStyle="1" w:styleId="Level8">
    <w:name w:val="Level 8"/>
    <w:basedOn w:val="Normal"/>
    <w:rsid w:val="00DD21F1"/>
    <w:pPr>
      <w:widowControl w:val="0"/>
    </w:pPr>
    <w:rPr>
      <w:rFonts w:eastAsia="Times New Roman" w:cs="Times New Roman"/>
      <w:sz w:val="20"/>
      <w:szCs w:val="20"/>
      <w:lang w:val="en-US" w:eastAsia="en-CA"/>
    </w:rPr>
  </w:style>
  <w:style w:type="paragraph" w:customStyle="1" w:styleId="Level9">
    <w:name w:val="Level 9"/>
    <w:basedOn w:val="Normal"/>
    <w:rsid w:val="00DD21F1"/>
    <w:pPr>
      <w:widowControl w:val="0"/>
    </w:pPr>
    <w:rPr>
      <w:rFonts w:eastAsia="Times New Roman" w:cs="Times New Roman"/>
      <w:b/>
      <w:sz w:val="20"/>
      <w:szCs w:val="20"/>
      <w:lang w:val="en-US" w:eastAsia="en-CA"/>
    </w:rPr>
  </w:style>
  <w:style w:type="paragraph" w:customStyle="1" w:styleId="level10">
    <w:name w:val="_level1"/>
    <w:basedOn w:val="Normal"/>
    <w:rsid w:val="00DD21F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eastAsia="Times New Roman" w:cs="Times New Roman"/>
      <w:sz w:val="20"/>
      <w:szCs w:val="20"/>
      <w:lang w:val="en-US" w:eastAsia="en-CA"/>
    </w:rPr>
  </w:style>
  <w:style w:type="paragraph" w:customStyle="1" w:styleId="level20">
    <w:name w:val="_level2"/>
    <w:basedOn w:val="Normal"/>
    <w:rsid w:val="00DD21F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eastAsia="Times New Roman" w:cs="Times New Roman"/>
      <w:sz w:val="20"/>
      <w:szCs w:val="20"/>
      <w:lang w:val="en-US" w:eastAsia="en-CA"/>
    </w:rPr>
  </w:style>
  <w:style w:type="paragraph" w:customStyle="1" w:styleId="level30">
    <w:name w:val="_level3"/>
    <w:basedOn w:val="Normal"/>
    <w:rsid w:val="00DD21F1"/>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eastAsia="Times New Roman" w:cs="Times New Roman"/>
      <w:sz w:val="20"/>
      <w:szCs w:val="20"/>
      <w:lang w:val="en-US" w:eastAsia="en-CA"/>
    </w:rPr>
  </w:style>
  <w:style w:type="paragraph" w:customStyle="1" w:styleId="level40">
    <w:name w:val="_level4"/>
    <w:basedOn w:val="Normal"/>
    <w:rsid w:val="00DD21F1"/>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rPr>
      <w:rFonts w:eastAsia="Times New Roman" w:cs="Times New Roman"/>
      <w:sz w:val="20"/>
      <w:szCs w:val="20"/>
      <w:lang w:val="en-US" w:eastAsia="en-CA"/>
    </w:rPr>
  </w:style>
  <w:style w:type="paragraph" w:customStyle="1" w:styleId="level50">
    <w:name w:val="_level5"/>
    <w:basedOn w:val="Normal"/>
    <w:rsid w:val="00DD21F1"/>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rPr>
      <w:rFonts w:eastAsia="Times New Roman" w:cs="Times New Roman"/>
      <w:sz w:val="20"/>
      <w:szCs w:val="20"/>
      <w:lang w:val="en-US" w:eastAsia="en-CA"/>
    </w:rPr>
  </w:style>
  <w:style w:type="paragraph" w:customStyle="1" w:styleId="level60">
    <w:name w:val="_level6"/>
    <w:basedOn w:val="Normal"/>
    <w:rsid w:val="00DD21F1"/>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rPr>
      <w:rFonts w:eastAsia="Times New Roman" w:cs="Times New Roman"/>
      <w:sz w:val="20"/>
      <w:szCs w:val="20"/>
      <w:lang w:val="en-US" w:eastAsia="en-CA"/>
    </w:rPr>
  </w:style>
  <w:style w:type="paragraph" w:customStyle="1" w:styleId="level70">
    <w:name w:val="_level7"/>
    <w:basedOn w:val="Normal"/>
    <w:rsid w:val="00DD21F1"/>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rPr>
      <w:rFonts w:eastAsia="Times New Roman" w:cs="Times New Roman"/>
      <w:sz w:val="20"/>
      <w:szCs w:val="20"/>
      <w:lang w:val="en-US" w:eastAsia="en-CA"/>
    </w:rPr>
  </w:style>
  <w:style w:type="paragraph" w:customStyle="1" w:styleId="level80">
    <w:name w:val="_level8"/>
    <w:basedOn w:val="Normal"/>
    <w:rsid w:val="00DD21F1"/>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rPr>
      <w:rFonts w:eastAsia="Times New Roman" w:cs="Times New Roman"/>
      <w:sz w:val="20"/>
      <w:szCs w:val="20"/>
      <w:lang w:val="en-US" w:eastAsia="en-CA"/>
    </w:rPr>
  </w:style>
  <w:style w:type="paragraph" w:customStyle="1" w:styleId="Outline0019">
    <w:name w:val="Outline001_9"/>
    <w:basedOn w:val="Normal"/>
    <w:rsid w:val="00DD21F1"/>
    <w:pPr>
      <w:widowControl w:val="0"/>
      <w:tabs>
        <w:tab w:val="left" w:pos="7196"/>
        <w:tab w:val="left" w:pos="7200"/>
        <w:tab w:val="left" w:pos="7920"/>
      </w:tabs>
      <w:ind w:left="7196" w:hanging="180"/>
    </w:pPr>
    <w:rPr>
      <w:rFonts w:eastAsia="Times New Roman" w:cs="Times New Roman"/>
      <w:sz w:val="20"/>
      <w:szCs w:val="20"/>
      <w:lang w:eastAsia="en-CA"/>
    </w:rPr>
  </w:style>
  <w:style w:type="paragraph" w:customStyle="1" w:styleId="44">
    <w:name w:val="_44"/>
    <w:basedOn w:val="Normal"/>
    <w:rsid w:val="00DD2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43">
    <w:name w:val="_43"/>
    <w:basedOn w:val="Normal"/>
    <w:rsid w:val="00DD21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42">
    <w:name w:val="_42"/>
    <w:basedOn w:val="Normal"/>
    <w:rsid w:val="00DD21F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41">
    <w:name w:val="_41"/>
    <w:basedOn w:val="Normal"/>
    <w:rsid w:val="00DD21F1"/>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40">
    <w:name w:val="_40"/>
    <w:basedOn w:val="Normal"/>
    <w:rsid w:val="00DD21F1"/>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39">
    <w:name w:val="_39"/>
    <w:basedOn w:val="Normal"/>
    <w:rsid w:val="00DD21F1"/>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38">
    <w:name w:val="_38"/>
    <w:basedOn w:val="Normal"/>
    <w:rsid w:val="00DD21F1"/>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37">
    <w:name w:val="_37"/>
    <w:basedOn w:val="Normal"/>
    <w:rsid w:val="00DD21F1"/>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Outline0039">
    <w:name w:val="Outline003_9"/>
    <w:basedOn w:val="Normal"/>
    <w:rsid w:val="00DD21F1"/>
    <w:pPr>
      <w:widowControl w:val="0"/>
      <w:tabs>
        <w:tab w:val="left" w:pos="6480"/>
        <w:tab w:val="left" w:pos="7200"/>
        <w:tab w:val="left" w:pos="7920"/>
      </w:tabs>
      <w:ind w:left="6480" w:hanging="180"/>
    </w:pPr>
    <w:rPr>
      <w:rFonts w:eastAsia="Times New Roman" w:cs="Times New Roman"/>
      <w:sz w:val="20"/>
      <w:szCs w:val="20"/>
      <w:lang w:eastAsia="en-CA"/>
    </w:rPr>
  </w:style>
  <w:style w:type="paragraph" w:customStyle="1" w:styleId="En-tte">
    <w:name w:val="En-tīte"/>
    <w:basedOn w:val="Normal"/>
    <w:rsid w:val="00DD21F1"/>
    <w:pPr>
      <w:widowControl w:val="0"/>
      <w:tabs>
        <w:tab w:val="left" w:pos="0"/>
        <w:tab w:val="center" w:pos="4680"/>
        <w:tab w:val="right" w:pos="9360"/>
      </w:tabs>
    </w:pPr>
    <w:rPr>
      <w:rFonts w:eastAsia="Times New Roman" w:cs="Times New Roman"/>
      <w:sz w:val="20"/>
      <w:szCs w:val="20"/>
      <w:lang w:val="en-US" w:eastAsia="en-CA"/>
    </w:rPr>
  </w:style>
  <w:style w:type="paragraph" w:customStyle="1" w:styleId="Pieddepage1">
    <w:name w:val="Pied de page1"/>
    <w:basedOn w:val="Normal"/>
    <w:rsid w:val="00DD21F1"/>
    <w:pPr>
      <w:widowControl w:val="0"/>
      <w:tabs>
        <w:tab w:val="left" w:pos="0"/>
        <w:tab w:val="center" w:pos="4680"/>
        <w:tab w:val="right" w:pos="9360"/>
      </w:tabs>
    </w:pPr>
    <w:rPr>
      <w:rFonts w:eastAsia="Times New Roman" w:cs="Times New Roman"/>
      <w:sz w:val="20"/>
      <w:szCs w:val="20"/>
      <w:lang w:val="en-US" w:eastAsia="en-CA"/>
    </w:rPr>
  </w:style>
  <w:style w:type="paragraph" w:customStyle="1" w:styleId="level90">
    <w:name w:val="_level9"/>
    <w:basedOn w:val="Normal"/>
    <w:rsid w:val="00DD21F1"/>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rPr>
      <w:rFonts w:eastAsia="Times New Roman" w:cs="Times New Roman"/>
      <w:sz w:val="20"/>
      <w:szCs w:val="20"/>
      <w:lang w:val="en-US" w:eastAsia="en-CA"/>
    </w:rPr>
  </w:style>
  <w:style w:type="paragraph" w:customStyle="1" w:styleId="a">
    <w:name w:val="آ"/>
    <w:basedOn w:val="Normal"/>
    <w:rsid w:val="00DD21F1"/>
    <w:pPr>
      <w:widowControl w:val="0"/>
    </w:pPr>
    <w:rPr>
      <w:rFonts w:eastAsia="Times New Roman" w:cs="Times New Roman"/>
      <w:sz w:val="20"/>
      <w:szCs w:val="20"/>
      <w:lang w:val="en-US" w:eastAsia="en-CA"/>
    </w:rPr>
  </w:style>
  <w:style w:type="paragraph" w:customStyle="1" w:styleId="17">
    <w:name w:val="_17"/>
    <w:basedOn w:val="Normal"/>
    <w:rsid w:val="00DD2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16">
    <w:name w:val="_16"/>
    <w:basedOn w:val="Normal"/>
    <w:rsid w:val="00DD21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15">
    <w:name w:val="_15"/>
    <w:basedOn w:val="Normal"/>
    <w:rsid w:val="00DD21F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14">
    <w:name w:val="_14"/>
    <w:basedOn w:val="Normal"/>
    <w:rsid w:val="00DD21F1"/>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13">
    <w:name w:val="_13"/>
    <w:basedOn w:val="Normal"/>
    <w:rsid w:val="00DD21F1"/>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12">
    <w:name w:val="_12"/>
    <w:basedOn w:val="Normal"/>
    <w:rsid w:val="00DD21F1"/>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11">
    <w:name w:val="_11"/>
    <w:basedOn w:val="Normal"/>
    <w:rsid w:val="00DD21F1"/>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10">
    <w:name w:val="_10"/>
    <w:basedOn w:val="Normal"/>
    <w:rsid w:val="00DD21F1"/>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36">
    <w:name w:val="_36"/>
    <w:basedOn w:val="Normal"/>
    <w:rsid w:val="00DD21F1"/>
    <w:pPr>
      <w:widowControl w:val="0"/>
      <w:tabs>
        <w:tab w:val="left" w:pos="6480"/>
        <w:tab w:val="left" w:pos="7200"/>
        <w:tab w:val="left" w:pos="7920"/>
        <w:tab w:val="left" w:pos="8640"/>
      </w:tabs>
      <w:ind w:left="6480"/>
    </w:pPr>
    <w:rPr>
      <w:rFonts w:eastAsia="Times New Roman" w:cs="Times New Roman"/>
      <w:sz w:val="20"/>
      <w:szCs w:val="20"/>
      <w:lang w:val="en-US" w:eastAsia="en-CA"/>
    </w:rPr>
  </w:style>
  <w:style w:type="paragraph" w:customStyle="1" w:styleId="26">
    <w:name w:val="_26"/>
    <w:basedOn w:val="Normal"/>
    <w:rsid w:val="00DD21F1"/>
    <w:pPr>
      <w:widowControl w:val="0"/>
    </w:pPr>
    <w:rPr>
      <w:rFonts w:eastAsia="Times New Roman" w:cs="Times New Roman"/>
      <w:sz w:val="20"/>
      <w:szCs w:val="20"/>
      <w:lang w:val="en-US" w:eastAsia="en-CA"/>
    </w:rPr>
  </w:style>
  <w:style w:type="paragraph" w:customStyle="1" w:styleId="25">
    <w:name w:val="_25"/>
    <w:basedOn w:val="Normal"/>
    <w:rsid w:val="00DD21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24">
    <w:name w:val="_24"/>
    <w:basedOn w:val="Normal"/>
    <w:rsid w:val="00DD21F1"/>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23">
    <w:name w:val="_23"/>
    <w:basedOn w:val="Normal"/>
    <w:rsid w:val="00DD21F1"/>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22">
    <w:name w:val="_22"/>
    <w:basedOn w:val="Normal"/>
    <w:rsid w:val="00DD21F1"/>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21">
    <w:name w:val="_21"/>
    <w:basedOn w:val="Normal"/>
    <w:rsid w:val="00DD21F1"/>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0">
    <w:name w:val="_20"/>
    <w:basedOn w:val="Normal"/>
    <w:rsid w:val="00DD21F1"/>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9">
    <w:name w:val="_19"/>
    <w:basedOn w:val="Normal"/>
    <w:rsid w:val="00DD21F1"/>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18">
    <w:name w:val="_18"/>
    <w:basedOn w:val="Normal"/>
    <w:rsid w:val="00DD21F1"/>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9">
    <w:name w:val="_9"/>
    <w:basedOn w:val="Normal"/>
    <w:rsid w:val="00DD21F1"/>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8">
    <w:name w:val="_8"/>
    <w:basedOn w:val="Normal"/>
    <w:rsid w:val="00DD2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val="en-US" w:eastAsia="en-CA"/>
    </w:rPr>
  </w:style>
  <w:style w:type="paragraph" w:customStyle="1" w:styleId="7">
    <w:name w:val="_7"/>
    <w:basedOn w:val="Normal"/>
    <w:rsid w:val="00DD21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6">
    <w:name w:val="_6"/>
    <w:basedOn w:val="Normal"/>
    <w:rsid w:val="00DD21F1"/>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5">
    <w:name w:val="_5"/>
    <w:basedOn w:val="Normal"/>
    <w:rsid w:val="00DD21F1"/>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4">
    <w:name w:val="_4"/>
    <w:basedOn w:val="Normal"/>
    <w:rsid w:val="00DD21F1"/>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3">
    <w:name w:val="_3"/>
    <w:basedOn w:val="Normal"/>
    <w:rsid w:val="00DD21F1"/>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
    <w:name w:val="_2"/>
    <w:basedOn w:val="Normal"/>
    <w:rsid w:val="00DD21F1"/>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
    <w:name w:val="_1"/>
    <w:basedOn w:val="Normal"/>
    <w:rsid w:val="00DD21F1"/>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a0">
    <w:name w:val="_"/>
    <w:basedOn w:val="Normal"/>
    <w:rsid w:val="00DD21F1"/>
    <w:pPr>
      <w:widowControl w:val="0"/>
      <w:tabs>
        <w:tab w:val="left" w:pos="6480"/>
        <w:tab w:val="left" w:pos="7200"/>
        <w:tab w:val="left" w:pos="7920"/>
      </w:tabs>
      <w:ind w:left="6480"/>
    </w:pPr>
    <w:rPr>
      <w:rFonts w:eastAsia="Times New Roman" w:cs="Times New Roman"/>
      <w:sz w:val="20"/>
      <w:szCs w:val="20"/>
      <w:lang w:val="en-US" w:eastAsia="en-CA"/>
    </w:rPr>
  </w:style>
  <w:style w:type="character" w:customStyle="1" w:styleId="DefaultPara">
    <w:name w:val="Default Para"/>
    <w:basedOn w:val="DefaultParagraphFont"/>
    <w:rsid w:val="00DD21F1"/>
  </w:style>
  <w:style w:type="paragraph" w:customStyle="1" w:styleId="MT1">
    <w:name w:val="MT1"/>
    <w:basedOn w:val="Normal"/>
    <w:rsid w:val="00DD21F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lang w:eastAsia="en-CA"/>
    </w:rPr>
  </w:style>
  <w:style w:type="paragraph" w:customStyle="1" w:styleId="MT2">
    <w:name w:val="MT2"/>
    <w:basedOn w:val="Normal"/>
    <w:rsid w:val="00DD21F1"/>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Cs w:val="20"/>
      <w:lang w:eastAsia="en-CA"/>
    </w:rPr>
  </w:style>
  <w:style w:type="paragraph" w:customStyle="1" w:styleId="MT3">
    <w:name w:val="MT3"/>
    <w:basedOn w:val="Normal"/>
    <w:rsid w:val="00DD21F1"/>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Cs w:val="20"/>
      <w:lang w:eastAsia="en-CA"/>
    </w:rPr>
  </w:style>
  <w:style w:type="paragraph" w:customStyle="1" w:styleId="MT4">
    <w:name w:val="MT4"/>
    <w:basedOn w:val="Normal"/>
    <w:rsid w:val="00DD21F1"/>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Cs w:val="20"/>
      <w:lang w:eastAsia="en-CA"/>
    </w:rPr>
  </w:style>
  <w:style w:type="paragraph" w:customStyle="1" w:styleId="MT5">
    <w:name w:val="MT5"/>
    <w:basedOn w:val="Normal"/>
    <w:rsid w:val="00DD21F1"/>
    <w:pPr>
      <w:tabs>
        <w:tab w:val="left" w:pos="3600"/>
        <w:tab w:val="left" w:pos="4320"/>
        <w:tab w:val="left" w:pos="5040"/>
        <w:tab w:val="left" w:pos="5760"/>
        <w:tab w:val="left" w:pos="6480"/>
        <w:tab w:val="left" w:pos="7200"/>
        <w:tab w:val="left" w:pos="7920"/>
      </w:tabs>
      <w:ind w:left="3600" w:hanging="720"/>
    </w:pPr>
    <w:rPr>
      <w:rFonts w:eastAsia="Times New Roman" w:cs="Times New Roman"/>
      <w:szCs w:val="20"/>
      <w:lang w:eastAsia="en-CA"/>
    </w:rPr>
  </w:style>
  <w:style w:type="paragraph" w:customStyle="1" w:styleId="MT6">
    <w:name w:val="MT6"/>
    <w:basedOn w:val="Normal"/>
    <w:rsid w:val="00DD21F1"/>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7">
    <w:name w:val="MT7"/>
    <w:basedOn w:val="Normal"/>
    <w:rsid w:val="00DD21F1"/>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8">
    <w:name w:val="MT8"/>
    <w:basedOn w:val="Normal"/>
    <w:rsid w:val="00DD21F1"/>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9">
    <w:name w:val="MT9"/>
    <w:basedOn w:val="Normal"/>
    <w:rsid w:val="00DD21F1"/>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Outline0011">
    <w:name w:val="Outline001_1"/>
    <w:basedOn w:val="Normal"/>
    <w:rsid w:val="00DD21F1"/>
    <w:pPr>
      <w:tabs>
        <w:tab w:val="left" w:pos="1436"/>
        <w:tab w:val="left" w:pos="1440"/>
        <w:tab w:val="left" w:pos="2160"/>
        <w:tab w:val="left" w:pos="2880"/>
        <w:tab w:val="left" w:pos="3600"/>
        <w:tab w:val="left" w:pos="4320"/>
        <w:tab w:val="left" w:pos="5040"/>
        <w:tab w:val="left" w:pos="5760"/>
        <w:tab w:val="left" w:pos="6480"/>
        <w:tab w:val="left" w:pos="7200"/>
        <w:tab w:val="left" w:pos="7920"/>
      </w:tabs>
      <w:ind w:left="1436" w:hanging="360"/>
    </w:pPr>
    <w:rPr>
      <w:rFonts w:eastAsia="Times New Roman" w:cs="Times New Roman"/>
      <w:sz w:val="20"/>
      <w:szCs w:val="20"/>
      <w:lang w:eastAsia="en-CA"/>
    </w:rPr>
  </w:style>
  <w:style w:type="paragraph" w:customStyle="1" w:styleId="Outline0012">
    <w:name w:val="Outline001_2"/>
    <w:basedOn w:val="Normal"/>
    <w:rsid w:val="00DD21F1"/>
    <w:pPr>
      <w:tabs>
        <w:tab w:val="left" w:pos="2156"/>
        <w:tab w:val="left" w:pos="2160"/>
        <w:tab w:val="left" w:pos="2880"/>
        <w:tab w:val="left" w:pos="3600"/>
        <w:tab w:val="left" w:pos="4320"/>
        <w:tab w:val="left" w:pos="5040"/>
        <w:tab w:val="left" w:pos="5760"/>
        <w:tab w:val="left" w:pos="6480"/>
        <w:tab w:val="left" w:pos="7200"/>
        <w:tab w:val="left" w:pos="7920"/>
      </w:tabs>
      <w:ind w:left="2156" w:hanging="360"/>
    </w:pPr>
    <w:rPr>
      <w:rFonts w:eastAsia="Times New Roman" w:cs="Times New Roman"/>
      <w:sz w:val="20"/>
      <w:szCs w:val="20"/>
      <w:lang w:eastAsia="en-CA"/>
    </w:rPr>
  </w:style>
  <w:style w:type="paragraph" w:customStyle="1" w:styleId="Outline0013">
    <w:name w:val="Outline001_3"/>
    <w:basedOn w:val="Normal"/>
    <w:rsid w:val="00DD21F1"/>
    <w:pPr>
      <w:tabs>
        <w:tab w:val="left" w:pos="2876"/>
        <w:tab w:val="left" w:pos="2880"/>
        <w:tab w:val="left" w:pos="3600"/>
        <w:tab w:val="left" w:pos="4320"/>
        <w:tab w:val="left" w:pos="5040"/>
        <w:tab w:val="left" w:pos="5760"/>
        <w:tab w:val="left" w:pos="6480"/>
        <w:tab w:val="left" w:pos="7200"/>
        <w:tab w:val="left" w:pos="7920"/>
      </w:tabs>
      <w:ind w:left="2876" w:hanging="180"/>
    </w:pPr>
    <w:rPr>
      <w:rFonts w:eastAsia="Times New Roman" w:cs="Times New Roman"/>
      <w:sz w:val="20"/>
      <w:szCs w:val="20"/>
      <w:lang w:eastAsia="en-CA"/>
    </w:rPr>
  </w:style>
  <w:style w:type="paragraph" w:customStyle="1" w:styleId="Outline0014">
    <w:name w:val="Outline001_4"/>
    <w:basedOn w:val="Normal"/>
    <w:rsid w:val="00DD21F1"/>
    <w:pPr>
      <w:tabs>
        <w:tab w:val="left" w:pos="3596"/>
        <w:tab w:val="left" w:pos="3600"/>
        <w:tab w:val="left" w:pos="4320"/>
        <w:tab w:val="left" w:pos="5040"/>
        <w:tab w:val="left" w:pos="5760"/>
        <w:tab w:val="left" w:pos="6480"/>
        <w:tab w:val="left" w:pos="7200"/>
        <w:tab w:val="left" w:pos="7920"/>
      </w:tabs>
      <w:ind w:left="3596" w:hanging="360"/>
    </w:pPr>
    <w:rPr>
      <w:rFonts w:eastAsia="Times New Roman" w:cs="Times New Roman"/>
      <w:sz w:val="20"/>
      <w:szCs w:val="20"/>
      <w:lang w:eastAsia="en-CA"/>
    </w:rPr>
  </w:style>
  <w:style w:type="paragraph" w:customStyle="1" w:styleId="Outline0015">
    <w:name w:val="Outline001_5"/>
    <w:basedOn w:val="Normal"/>
    <w:rsid w:val="00DD21F1"/>
    <w:pPr>
      <w:tabs>
        <w:tab w:val="left" w:pos="4316"/>
        <w:tab w:val="left" w:pos="4320"/>
        <w:tab w:val="left" w:pos="5040"/>
        <w:tab w:val="left" w:pos="5760"/>
        <w:tab w:val="left" w:pos="6480"/>
        <w:tab w:val="left" w:pos="7200"/>
        <w:tab w:val="left" w:pos="7920"/>
      </w:tabs>
      <w:ind w:left="4316" w:hanging="360"/>
    </w:pPr>
    <w:rPr>
      <w:rFonts w:eastAsia="Times New Roman" w:cs="Times New Roman"/>
      <w:sz w:val="20"/>
      <w:szCs w:val="20"/>
      <w:lang w:eastAsia="en-CA"/>
    </w:rPr>
  </w:style>
  <w:style w:type="paragraph" w:customStyle="1" w:styleId="Outline0016">
    <w:name w:val="Outline001_6"/>
    <w:basedOn w:val="Normal"/>
    <w:rsid w:val="00DD21F1"/>
    <w:pPr>
      <w:tabs>
        <w:tab w:val="left" w:pos="5036"/>
        <w:tab w:val="left" w:pos="5040"/>
        <w:tab w:val="left" w:pos="5760"/>
        <w:tab w:val="left" w:pos="6480"/>
        <w:tab w:val="left" w:pos="7200"/>
        <w:tab w:val="left" w:pos="7920"/>
      </w:tabs>
      <w:ind w:left="5036" w:hanging="180"/>
    </w:pPr>
    <w:rPr>
      <w:rFonts w:eastAsia="Times New Roman" w:cs="Times New Roman"/>
      <w:sz w:val="20"/>
      <w:szCs w:val="20"/>
      <w:lang w:eastAsia="en-CA"/>
    </w:rPr>
  </w:style>
  <w:style w:type="paragraph" w:customStyle="1" w:styleId="Outline0017">
    <w:name w:val="Outline001_7"/>
    <w:basedOn w:val="Normal"/>
    <w:rsid w:val="00DD21F1"/>
    <w:pPr>
      <w:tabs>
        <w:tab w:val="left" w:pos="5756"/>
        <w:tab w:val="left" w:pos="5760"/>
        <w:tab w:val="left" w:pos="6480"/>
        <w:tab w:val="left" w:pos="7200"/>
        <w:tab w:val="left" w:pos="7920"/>
      </w:tabs>
      <w:ind w:left="5756" w:hanging="360"/>
    </w:pPr>
    <w:rPr>
      <w:rFonts w:eastAsia="Times New Roman" w:cs="Times New Roman"/>
      <w:sz w:val="20"/>
      <w:szCs w:val="20"/>
      <w:lang w:eastAsia="en-CA"/>
    </w:rPr>
  </w:style>
  <w:style w:type="paragraph" w:customStyle="1" w:styleId="Outline0018">
    <w:name w:val="Outline001_8"/>
    <w:basedOn w:val="Normal"/>
    <w:rsid w:val="00DD21F1"/>
    <w:pPr>
      <w:tabs>
        <w:tab w:val="left" w:pos="6476"/>
        <w:tab w:val="left" w:pos="6480"/>
        <w:tab w:val="left" w:pos="7200"/>
        <w:tab w:val="left" w:pos="7920"/>
      </w:tabs>
      <w:ind w:left="6476" w:hanging="360"/>
    </w:pPr>
    <w:rPr>
      <w:rFonts w:eastAsia="Times New Roman" w:cs="Times New Roman"/>
      <w:sz w:val="20"/>
      <w:szCs w:val="20"/>
      <w:lang w:eastAsia="en-CA"/>
    </w:rPr>
  </w:style>
  <w:style w:type="paragraph" w:customStyle="1" w:styleId="Outline0021">
    <w:name w:val="Outline002_1"/>
    <w:basedOn w:val="Normal"/>
    <w:rsid w:val="00DD21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eastAsia="en-CA"/>
    </w:rPr>
  </w:style>
  <w:style w:type="paragraph" w:customStyle="1" w:styleId="Outline0022">
    <w:name w:val="Outline002_2"/>
    <w:basedOn w:val="Normal"/>
    <w:rsid w:val="00DD21F1"/>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 w:val="20"/>
      <w:szCs w:val="20"/>
      <w:lang w:eastAsia="en-CA"/>
    </w:rPr>
  </w:style>
  <w:style w:type="paragraph" w:customStyle="1" w:styleId="Outline0023">
    <w:name w:val="Outline002_3"/>
    <w:basedOn w:val="Normal"/>
    <w:rsid w:val="00DD21F1"/>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0"/>
      <w:szCs w:val="20"/>
      <w:lang w:eastAsia="en-CA"/>
    </w:rPr>
  </w:style>
  <w:style w:type="paragraph" w:customStyle="1" w:styleId="Outline0024">
    <w:name w:val="Outline002_4"/>
    <w:basedOn w:val="Normal"/>
    <w:rsid w:val="00DD21F1"/>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0"/>
      <w:szCs w:val="20"/>
      <w:lang w:eastAsia="en-CA"/>
    </w:rPr>
  </w:style>
  <w:style w:type="paragraph" w:customStyle="1" w:styleId="Outline0025">
    <w:name w:val="Outline002_5"/>
    <w:basedOn w:val="Normal"/>
    <w:rsid w:val="00DD21F1"/>
    <w:pPr>
      <w:tabs>
        <w:tab w:val="left" w:pos="3600"/>
        <w:tab w:val="left" w:pos="4320"/>
        <w:tab w:val="left" w:pos="5040"/>
        <w:tab w:val="left" w:pos="5760"/>
        <w:tab w:val="left" w:pos="6480"/>
        <w:tab w:val="left" w:pos="7200"/>
        <w:tab w:val="left" w:pos="7920"/>
      </w:tabs>
      <w:ind w:left="3600" w:hanging="720"/>
    </w:pPr>
    <w:rPr>
      <w:rFonts w:eastAsia="Times New Roman" w:cs="Times New Roman"/>
      <w:sz w:val="20"/>
      <w:szCs w:val="20"/>
      <w:lang w:eastAsia="en-CA"/>
    </w:rPr>
  </w:style>
  <w:style w:type="paragraph" w:customStyle="1" w:styleId="Outline0026">
    <w:name w:val="Outline002_6"/>
    <w:basedOn w:val="Normal"/>
    <w:rsid w:val="00DD21F1"/>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7">
    <w:name w:val="Outline002_7"/>
    <w:basedOn w:val="Normal"/>
    <w:rsid w:val="00DD21F1"/>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8">
    <w:name w:val="Outline002_8"/>
    <w:basedOn w:val="Normal"/>
    <w:rsid w:val="00DD21F1"/>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9">
    <w:name w:val="Outline002_9"/>
    <w:basedOn w:val="Normal"/>
    <w:rsid w:val="00DD21F1"/>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31">
    <w:name w:val="Outline003_1"/>
    <w:basedOn w:val="Normal"/>
    <w:rsid w:val="00DD21F1"/>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rPr>
      <w:rFonts w:eastAsia="Times New Roman" w:cs="Times New Roman"/>
      <w:sz w:val="20"/>
      <w:szCs w:val="20"/>
      <w:lang w:eastAsia="en-CA"/>
    </w:rPr>
  </w:style>
  <w:style w:type="paragraph" w:customStyle="1" w:styleId="Outline0032">
    <w:name w:val="Outline003_2"/>
    <w:basedOn w:val="Normal"/>
    <w:rsid w:val="00DD21F1"/>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eastAsia="Times New Roman" w:cs="Times New Roman"/>
      <w:sz w:val="20"/>
      <w:szCs w:val="20"/>
      <w:lang w:eastAsia="en-CA"/>
    </w:rPr>
  </w:style>
  <w:style w:type="paragraph" w:customStyle="1" w:styleId="Outline0033">
    <w:name w:val="Outline003_3"/>
    <w:basedOn w:val="Normal"/>
    <w:rsid w:val="00DD21F1"/>
    <w:pPr>
      <w:tabs>
        <w:tab w:val="left" w:pos="2160"/>
        <w:tab w:val="left" w:pos="2880"/>
        <w:tab w:val="left" w:pos="3600"/>
        <w:tab w:val="left" w:pos="4320"/>
        <w:tab w:val="left" w:pos="5040"/>
        <w:tab w:val="left" w:pos="5760"/>
        <w:tab w:val="left" w:pos="6480"/>
        <w:tab w:val="left" w:pos="7200"/>
        <w:tab w:val="left" w:pos="7920"/>
      </w:tabs>
      <w:ind w:left="2160" w:hanging="180"/>
    </w:pPr>
    <w:rPr>
      <w:rFonts w:eastAsia="Times New Roman" w:cs="Times New Roman"/>
      <w:sz w:val="20"/>
      <w:szCs w:val="20"/>
      <w:lang w:eastAsia="en-CA"/>
    </w:rPr>
  </w:style>
  <w:style w:type="paragraph" w:customStyle="1" w:styleId="Outline0034">
    <w:name w:val="Outline003_4"/>
    <w:basedOn w:val="Normal"/>
    <w:rsid w:val="00DD21F1"/>
    <w:pPr>
      <w:tabs>
        <w:tab w:val="left" w:pos="2880"/>
        <w:tab w:val="left" w:pos="3600"/>
        <w:tab w:val="left" w:pos="4320"/>
        <w:tab w:val="left" w:pos="5040"/>
        <w:tab w:val="left" w:pos="5760"/>
        <w:tab w:val="left" w:pos="6480"/>
        <w:tab w:val="left" w:pos="7200"/>
        <w:tab w:val="left" w:pos="7920"/>
      </w:tabs>
      <w:ind w:left="2880" w:hanging="360"/>
    </w:pPr>
    <w:rPr>
      <w:rFonts w:eastAsia="Times New Roman" w:cs="Times New Roman"/>
      <w:sz w:val="20"/>
      <w:szCs w:val="20"/>
      <w:lang w:eastAsia="en-CA"/>
    </w:rPr>
  </w:style>
  <w:style w:type="paragraph" w:customStyle="1" w:styleId="Outline0035">
    <w:name w:val="Outline003_5"/>
    <w:basedOn w:val="Normal"/>
    <w:rsid w:val="00DD21F1"/>
    <w:pPr>
      <w:tabs>
        <w:tab w:val="left" w:pos="3600"/>
        <w:tab w:val="left" w:pos="4320"/>
        <w:tab w:val="left" w:pos="5040"/>
        <w:tab w:val="left" w:pos="5760"/>
        <w:tab w:val="left" w:pos="6480"/>
        <w:tab w:val="left" w:pos="7200"/>
        <w:tab w:val="left" w:pos="7920"/>
      </w:tabs>
      <w:ind w:left="3600" w:hanging="360"/>
    </w:pPr>
    <w:rPr>
      <w:rFonts w:eastAsia="Times New Roman" w:cs="Times New Roman"/>
      <w:sz w:val="20"/>
      <w:szCs w:val="20"/>
      <w:lang w:eastAsia="en-CA"/>
    </w:rPr>
  </w:style>
  <w:style w:type="paragraph" w:customStyle="1" w:styleId="Outline0036">
    <w:name w:val="Outline003_6"/>
    <w:basedOn w:val="Normal"/>
    <w:rsid w:val="00DD21F1"/>
    <w:pPr>
      <w:tabs>
        <w:tab w:val="left" w:pos="4320"/>
        <w:tab w:val="left" w:pos="5040"/>
        <w:tab w:val="left" w:pos="5760"/>
        <w:tab w:val="left" w:pos="6480"/>
        <w:tab w:val="left" w:pos="7200"/>
        <w:tab w:val="left" w:pos="7920"/>
      </w:tabs>
      <w:ind w:left="4320" w:hanging="180"/>
    </w:pPr>
    <w:rPr>
      <w:rFonts w:eastAsia="Times New Roman" w:cs="Times New Roman"/>
      <w:sz w:val="20"/>
      <w:szCs w:val="20"/>
      <w:lang w:eastAsia="en-CA"/>
    </w:rPr>
  </w:style>
  <w:style w:type="paragraph" w:customStyle="1" w:styleId="Outline0037">
    <w:name w:val="Outline003_7"/>
    <w:basedOn w:val="Normal"/>
    <w:rsid w:val="00DD21F1"/>
    <w:pPr>
      <w:tabs>
        <w:tab w:val="left" w:pos="5040"/>
        <w:tab w:val="left" w:pos="5760"/>
        <w:tab w:val="left" w:pos="6480"/>
        <w:tab w:val="left" w:pos="7200"/>
        <w:tab w:val="left" w:pos="7920"/>
      </w:tabs>
      <w:ind w:left="5040" w:hanging="360"/>
    </w:pPr>
    <w:rPr>
      <w:rFonts w:eastAsia="Times New Roman" w:cs="Times New Roman"/>
      <w:sz w:val="20"/>
      <w:szCs w:val="20"/>
      <w:lang w:eastAsia="en-CA"/>
    </w:rPr>
  </w:style>
  <w:style w:type="paragraph" w:customStyle="1" w:styleId="Outline0038">
    <w:name w:val="Outline003_8"/>
    <w:basedOn w:val="Normal"/>
    <w:rsid w:val="00DD21F1"/>
    <w:pPr>
      <w:tabs>
        <w:tab w:val="left" w:pos="5760"/>
        <w:tab w:val="left" w:pos="6480"/>
        <w:tab w:val="left" w:pos="7200"/>
        <w:tab w:val="left" w:pos="7920"/>
      </w:tabs>
      <w:ind w:left="5760" w:hanging="360"/>
    </w:pPr>
    <w:rPr>
      <w:rFonts w:eastAsia="Times New Roman" w:cs="Times New Roman"/>
      <w:sz w:val="20"/>
      <w:szCs w:val="20"/>
      <w:lang w:eastAsia="en-CA"/>
    </w:rPr>
  </w:style>
  <w:style w:type="character" w:customStyle="1" w:styleId="Numrodepa">
    <w:name w:val="Numĩro de pa"/>
    <w:basedOn w:val="DefaultParagraphFont"/>
    <w:rsid w:val="00DD21F1"/>
    <w:rPr>
      <w:sz w:val="24"/>
    </w:rPr>
  </w:style>
  <w:style w:type="character" w:customStyle="1" w:styleId="zzmpTrailerI">
    <w:name w:val="zzmpTrailerI"/>
    <w:basedOn w:val="DefaultParagraphFont"/>
    <w:rsid w:val="00DD21F1"/>
    <w:rPr>
      <w:rFonts w:ascii="Arial" w:hAnsi="Arial"/>
      <w:color w:val="000000"/>
      <w:sz w:val="14"/>
    </w:rPr>
  </w:style>
  <w:style w:type="paragraph" w:customStyle="1" w:styleId="SCCdocumenL1">
    <w:name w:val="SCCdocumen_L1"/>
    <w:basedOn w:val="Normal"/>
    <w:rsid w:val="00DD21F1"/>
    <w:pPr>
      <w:numPr>
        <w:numId w:val="6"/>
      </w:numPr>
      <w:spacing w:after="240" w:line="360" w:lineRule="auto"/>
      <w:jc w:val="both"/>
      <w:outlineLvl w:val="0"/>
    </w:pPr>
    <w:rPr>
      <w:rFonts w:ascii="Arial" w:eastAsia="Times New Roman" w:hAnsi="Arial" w:cs="Arial"/>
      <w:szCs w:val="20"/>
    </w:rPr>
  </w:style>
  <w:style w:type="paragraph" w:customStyle="1" w:styleId="SCCdocumenL2">
    <w:name w:val="SCCdocumen_L2"/>
    <w:basedOn w:val="SCCdocumenL1"/>
    <w:rsid w:val="00DD21F1"/>
    <w:pPr>
      <w:numPr>
        <w:ilvl w:val="1"/>
      </w:numPr>
      <w:outlineLvl w:val="1"/>
    </w:pPr>
    <w:rPr>
      <w:lang w:val="en-US"/>
    </w:rPr>
  </w:style>
  <w:style w:type="paragraph" w:customStyle="1" w:styleId="SCCdocumenL3">
    <w:name w:val="SCCdocumen_L3"/>
    <w:basedOn w:val="SCCdocumenL2"/>
    <w:rsid w:val="00DD21F1"/>
    <w:pPr>
      <w:numPr>
        <w:ilvl w:val="2"/>
      </w:numPr>
      <w:outlineLvl w:val="2"/>
    </w:pPr>
  </w:style>
  <w:style w:type="paragraph" w:customStyle="1" w:styleId="SCCdocumenL4">
    <w:name w:val="SCCdocumen_L4"/>
    <w:basedOn w:val="SCCdocumenL3"/>
    <w:rsid w:val="00DD21F1"/>
    <w:pPr>
      <w:numPr>
        <w:ilvl w:val="3"/>
      </w:numPr>
      <w:outlineLvl w:val="3"/>
    </w:pPr>
  </w:style>
  <w:style w:type="paragraph" w:customStyle="1" w:styleId="SCCdocumenL5">
    <w:name w:val="SCCdocumen_L5"/>
    <w:basedOn w:val="SCCdocumenL4"/>
    <w:rsid w:val="00DD21F1"/>
    <w:pPr>
      <w:numPr>
        <w:ilvl w:val="4"/>
      </w:numPr>
      <w:spacing w:after="360" w:line="240" w:lineRule="auto"/>
      <w:outlineLvl w:val="4"/>
    </w:pPr>
  </w:style>
  <w:style w:type="character" w:customStyle="1" w:styleId="SCCLowerCourtJudge">
    <w:name w:val="SCC.LowerCourtJudge"/>
    <w:basedOn w:val="DefaultParagraphFont"/>
    <w:uiPriority w:val="1"/>
    <w:qFormat/>
    <w:rsid w:val="001C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on/onca/doc/2014/2014onca561/2014onca561.html" TargetMode="Externa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yperlink" Target="http://www.canlii.org/en/ab/abca/doc/2014/2014abca87/2014abca87.html" TargetMode="External"/><Relationship Id="rId42" Type="http://schemas.openxmlformats.org/officeDocument/2006/relationships/header" Target="header11.xm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hyperlink" Target="http://www.scc-csc.ca/case-dossier/info/sum-som-eng.aspx?cas=36064" TargetMode="External"/><Relationship Id="rId63" Type="http://schemas.openxmlformats.org/officeDocument/2006/relationships/header" Target="header19.xml"/><Relationship Id="rId68" Type="http://schemas.openxmlformats.org/officeDocument/2006/relationships/footer" Target="footer21.xml"/><Relationship Id="rId76" Type="http://schemas.openxmlformats.org/officeDocument/2006/relationships/header" Target="header25.xml"/><Relationship Id="rId7" Type="http://schemas.openxmlformats.org/officeDocument/2006/relationships/image" Target="media/image1.wmf"/><Relationship Id="rId71" Type="http://schemas.openxmlformats.org/officeDocument/2006/relationships/hyperlink" Target="http://www.scc-csc.ca/case-dossier/info/sum-so-eng.aspx?cas=35314"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nb/nbca/doc/2014/2014nbca48/2014nbca48.html" TargetMode="External"/><Relationship Id="rId11" Type="http://schemas.openxmlformats.org/officeDocument/2006/relationships/header" Target="header2.xml"/><Relationship Id="rId24" Type="http://schemas.openxmlformats.org/officeDocument/2006/relationships/hyperlink" Target="http://www.canlii.org/en/on/onca/doc/2014/2014onca561/2014onca561.html" TargetMode="External"/><Relationship Id="rId32" Type="http://schemas.openxmlformats.org/officeDocument/2006/relationships/hyperlink" Target="http://canlii.ca/t/frtl7" TargetMode="Externa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hyperlink" Target="http://www.scc-csc.ca/case-dossier/info/sum-som-fra.aspx?cas=35823" TargetMode="External"/><Relationship Id="rId66" Type="http://schemas.openxmlformats.org/officeDocument/2006/relationships/header" Target="header21.xml"/><Relationship Id="rId74" Type="http://schemas.openxmlformats.org/officeDocument/2006/relationships/footer" Target="footer23.xml"/><Relationship Id="rId79" Type="http://schemas.openxmlformats.org/officeDocument/2006/relationships/footer" Target="footer26.xml"/><Relationship Id="rId5" Type="http://schemas.openxmlformats.org/officeDocument/2006/relationships/footnotes" Target="footnotes.xml"/><Relationship Id="rId61"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canlii.ca/t/g80hj" TargetMode="External"/><Relationship Id="rId44" Type="http://schemas.openxmlformats.org/officeDocument/2006/relationships/footer" Target="footer11.xml"/><Relationship Id="rId52" Type="http://schemas.openxmlformats.org/officeDocument/2006/relationships/header" Target="header16.xml"/><Relationship Id="rId60" Type="http://schemas.openxmlformats.org/officeDocument/2006/relationships/header" Target="header18.xml"/><Relationship Id="rId65" Type="http://schemas.openxmlformats.org/officeDocument/2006/relationships/header" Target="header20.xml"/><Relationship Id="rId73" Type="http://schemas.openxmlformats.org/officeDocument/2006/relationships/header" Target="header24.xml"/><Relationship Id="rId78" Type="http://schemas.openxmlformats.org/officeDocument/2006/relationships/header" Target="header26.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on/onca/doc/2014/2014onca561/2014onca561.html" TargetMode="External"/><Relationship Id="rId30" Type="http://schemas.openxmlformats.org/officeDocument/2006/relationships/hyperlink" Target="http://canlii.ca/t/frtl7" TargetMode="External"/><Relationship Id="rId35" Type="http://schemas.openxmlformats.org/officeDocument/2006/relationships/hyperlink" Target="http://www.canlii.org/en/ab/abca/doc/2014/2014abca87/2014abca87.html" TargetMode="External"/><Relationship Id="rId43" Type="http://schemas.openxmlformats.org/officeDocument/2006/relationships/header" Target="header12.xml"/><Relationship Id="rId48" Type="http://schemas.openxmlformats.org/officeDocument/2006/relationships/header" Target="header14.xml"/><Relationship Id="rId56" Type="http://schemas.openxmlformats.org/officeDocument/2006/relationships/hyperlink" Target="http://www.scc-csc.ca/case-dossier/info/sum-som-eng.aspx?cas=35777" TargetMode="External"/><Relationship Id="rId64" Type="http://schemas.openxmlformats.org/officeDocument/2006/relationships/footer" Target="footer19.xml"/><Relationship Id="rId69" Type="http://schemas.openxmlformats.org/officeDocument/2006/relationships/header" Target="header22.xml"/><Relationship Id="rId77" Type="http://schemas.openxmlformats.org/officeDocument/2006/relationships/footer" Target="footer25.xml"/><Relationship Id="rId8" Type="http://schemas.openxmlformats.org/officeDocument/2006/relationships/hyperlink" Target="http://www.scc-csc.ca" TargetMode="External"/><Relationship Id="rId51" Type="http://schemas.openxmlformats.org/officeDocument/2006/relationships/footer" Target="footer15.xml"/><Relationship Id="rId72" Type="http://schemas.openxmlformats.org/officeDocument/2006/relationships/header" Target="header23.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on/onca/doc/2014/2014onca561/2014onca561.html" TargetMode="External"/><Relationship Id="rId33" Type="http://schemas.openxmlformats.org/officeDocument/2006/relationships/hyperlink" Target="http://canlii.ca/t/g80hj" TargetMode="External"/><Relationship Id="rId38" Type="http://schemas.openxmlformats.org/officeDocument/2006/relationships/footer" Target="footer8.xml"/><Relationship Id="rId46" Type="http://schemas.openxmlformats.org/officeDocument/2006/relationships/header" Target="header13.xml"/><Relationship Id="rId59" Type="http://schemas.openxmlformats.org/officeDocument/2006/relationships/header" Target="header17.xml"/><Relationship Id="rId67" Type="http://schemas.openxmlformats.org/officeDocument/2006/relationships/footer" Target="footer20.xml"/><Relationship Id="rId20" Type="http://schemas.openxmlformats.org/officeDocument/2006/relationships/header" Target="header6.xml"/><Relationship Id="rId41" Type="http://schemas.openxmlformats.org/officeDocument/2006/relationships/footer" Target="footer10.xml"/><Relationship Id="rId54" Type="http://schemas.openxmlformats.org/officeDocument/2006/relationships/hyperlink" Target="http://www.scc-csc.ca/case-dossier/info/sum-som-eng.aspx?cas=35977" TargetMode="External"/><Relationship Id="rId62" Type="http://schemas.openxmlformats.org/officeDocument/2006/relationships/footer" Target="footer18.xml"/><Relationship Id="rId70" Type="http://schemas.openxmlformats.org/officeDocument/2006/relationships/footer" Target="footer22.xml"/><Relationship Id="rId75"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nb/nbca/doc/2014/2014nbca48/2014nbca48.html" TargetMode="External"/><Relationship Id="rId36" Type="http://schemas.openxmlformats.org/officeDocument/2006/relationships/header" Target="header8.xml"/><Relationship Id="rId49" Type="http://schemas.openxmlformats.org/officeDocument/2006/relationships/header" Target="header15.xml"/><Relationship Id="rId57" Type="http://schemas.openxmlformats.org/officeDocument/2006/relationships/hyperlink" Target="http://www.scc-csc.ca/case-dossier/info/sum-som-eng.aspx?cas=35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19144</Words>
  <Characters>109124</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2015-01-19T14:02:00Z</dcterms:created>
  <dcterms:modified xsi:type="dcterms:W3CDTF">2015-11-26T21:52:00Z</dcterms:modified>
</cp:coreProperties>
</file>