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BA13B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A13B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A13BB"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BA13B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A13BB" w:rsidTr="002E5576">
        <w:tc>
          <w:tcPr>
            <w:tcW w:w="4518" w:type="dxa"/>
          </w:tcPr>
          <w:p w:rsidR="00BF25F3" w:rsidRPr="002E2327" w:rsidRDefault="00AD34D7"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AD34D7"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A13BB"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BA13BB"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BA13BB">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BA13BB">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w:t>
      </w:r>
      <w:r w:rsidR="00A81F8F">
        <w:rPr>
          <w:lang w:val="fr-CA"/>
        </w:rPr>
        <w:t>u</w:t>
      </w:r>
      <w:r>
        <w:rPr>
          <w:lang w:val="fr-CA"/>
        </w:rPr>
        <w:t>n</w:t>
      </w:r>
      <w:r w:rsidR="00A81F8F">
        <w:rPr>
          <w:lang w:val="fr-CA"/>
        </w:rPr>
        <w:t>e</w:t>
      </w:r>
      <w:r w:rsidR="00440E24" w:rsidRPr="00675479">
        <w:rPr>
          <w:lang w:val="fr-CA"/>
        </w:rPr>
        <w:t xml:space="preserve"> </w:t>
      </w:r>
      <w:r w:rsidR="00A81F8F">
        <w:rPr>
          <w:lang w:val="fr-CA"/>
        </w:rPr>
        <w:t>12</w:t>
      </w:r>
      <w:r w:rsidR="00440E24" w:rsidRPr="00675479">
        <w:rPr>
          <w:lang w:val="fr-CA"/>
        </w:rPr>
        <w:t>, 201</w:t>
      </w:r>
      <w:r w:rsidR="00020DC3">
        <w:rPr>
          <w:lang w:val="fr-CA"/>
        </w:rPr>
        <w:t>5</w:t>
      </w:r>
      <w:r w:rsidR="00A60092">
        <w:rPr>
          <w:lang w:val="fr-CA"/>
        </w:rPr>
        <w:tab/>
        <w:t>994</w:t>
      </w:r>
      <w:r w:rsidR="00F0068D" w:rsidRPr="00675479">
        <w:rPr>
          <w:lang w:val="fr-CA"/>
        </w:rPr>
        <w:t xml:space="preserve"> - </w:t>
      </w:r>
      <w:r w:rsidR="005B3238">
        <w:rPr>
          <w:lang w:val="fr-CA"/>
        </w:rPr>
        <w:t>1013</w:t>
      </w:r>
      <w:r w:rsidR="00440E24" w:rsidRPr="00675479">
        <w:rPr>
          <w:lang w:val="fr-CA"/>
        </w:rPr>
        <w:tab/>
      </w:r>
      <w:r w:rsidR="00440E24" w:rsidRPr="002E2327">
        <w:rPr>
          <w:lang w:val="fr-CA"/>
        </w:rPr>
        <w:t>Le</w:t>
      </w:r>
      <w:r>
        <w:rPr>
          <w:lang w:val="fr-CA"/>
        </w:rPr>
        <w:t xml:space="preserve"> </w:t>
      </w:r>
      <w:r w:rsidR="00A81F8F">
        <w:rPr>
          <w:lang w:val="fr-CA"/>
        </w:rPr>
        <w:t>12</w:t>
      </w:r>
      <w:r>
        <w:rPr>
          <w:lang w:val="fr-CA"/>
        </w:rPr>
        <w:t xml:space="preserve"> j</w:t>
      </w:r>
      <w:r w:rsidR="00A81F8F">
        <w:rPr>
          <w:lang w:val="fr-CA"/>
        </w:rPr>
        <w:t>ui</w:t>
      </w:r>
      <w:r>
        <w:rPr>
          <w:lang w:val="fr-CA"/>
        </w:rPr>
        <w:t>n</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A60092" w:rsidRDefault="00440E24" w:rsidP="00440E24">
      <w:pPr>
        <w:pBdr>
          <w:bottom w:val="single" w:sz="6" w:space="1" w:color="auto"/>
        </w:pBdr>
        <w:tabs>
          <w:tab w:val="right" w:pos="9360"/>
        </w:tabs>
        <w:rPr>
          <w:sz w:val="18"/>
          <w:szCs w:val="18"/>
          <w:lang w:val="fr-CA"/>
        </w:rPr>
      </w:pPr>
      <w:r w:rsidRPr="00A60092">
        <w:rPr>
          <w:sz w:val="18"/>
          <w:szCs w:val="18"/>
          <w:lang w:val="fr-CA"/>
        </w:rPr>
        <w:t>© Supreme Court of Canada (201</w:t>
      </w:r>
      <w:r w:rsidR="00020DC3" w:rsidRPr="00A60092">
        <w:rPr>
          <w:sz w:val="18"/>
          <w:szCs w:val="18"/>
          <w:lang w:val="fr-CA"/>
        </w:rPr>
        <w:t>5</w:t>
      </w:r>
      <w:r w:rsidRPr="00A60092">
        <w:rPr>
          <w:sz w:val="18"/>
          <w:szCs w:val="18"/>
          <w:lang w:val="fr-CA"/>
        </w:rPr>
        <w:t>)</w:t>
      </w:r>
      <w:r w:rsidRPr="00A60092">
        <w:rPr>
          <w:sz w:val="18"/>
          <w:szCs w:val="18"/>
          <w:lang w:val="fr-CA"/>
        </w:rPr>
        <w:tab/>
        <w:t>© Cour suprême du Canada (201</w:t>
      </w:r>
      <w:r w:rsidR="00020DC3" w:rsidRPr="00A60092">
        <w:rPr>
          <w:sz w:val="18"/>
          <w:szCs w:val="18"/>
          <w:lang w:val="fr-CA"/>
        </w:rPr>
        <w:t>5</w:t>
      </w:r>
      <w:r w:rsidRPr="00A60092">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321A34"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612659">
            <w:pPr>
              <w:tabs>
                <w:tab w:val="right" w:pos="9360"/>
              </w:tabs>
              <w:rPr>
                <w:rFonts w:cs="Times New Roman"/>
                <w:sz w:val="20"/>
                <w:szCs w:val="20"/>
              </w:rPr>
            </w:pPr>
          </w:p>
        </w:tc>
        <w:tc>
          <w:tcPr>
            <w:tcW w:w="1980" w:type="dxa"/>
          </w:tcPr>
          <w:p w:rsidR="0095096B" w:rsidRPr="002E2327" w:rsidRDefault="00A81F8F" w:rsidP="0095096B">
            <w:pPr>
              <w:jc w:val="center"/>
              <w:rPr>
                <w:rFonts w:cs="Times New Roman"/>
                <w:sz w:val="20"/>
                <w:szCs w:val="20"/>
              </w:rPr>
            </w:pPr>
            <w:r>
              <w:rPr>
                <w:rFonts w:cs="Times New Roman"/>
                <w:sz w:val="20"/>
                <w:szCs w:val="20"/>
              </w:rPr>
              <w:t>994</w:t>
            </w:r>
            <w:r w:rsidR="00AD34D7" w:rsidRPr="002E2327">
              <w:rPr>
                <w:rFonts w:cs="Times New Roman"/>
                <w:sz w:val="20"/>
                <w:szCs w:val="20"/>
              </w:rPr>
              <w:fldChar w:fldCharType="begin"/>
            </w:r>
            <w:r w:rsidR="0095096B" w:rsidRPr="002E2327">
              <w:rPr>
                <w:rFonts w:cs="Times New Roman"/>
                <w:sz w:val="20"/>
                <w:szCs w:val="20"/>
              </w:rPr>
              <w:instrText xml:space="preserve"> SEQ CHAPTER \h \r 1</w:instrText>
            </w:r>
            <w:r w:rsidR="00AD34D7"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F24AF" w:rsidP="0095096B">
            <w:pPr>
              <w:jc w:val="center"/>
              <w:rPr>
                <w:rFonts w:cs="Times New Roman"/>
                <w:sz w:val="20"/>
                <w:szCs w:val="20"/>
              </w:rPr>
            </w:pPr>
            <w:r>
              <w:rPr>
                <w:rFonts w:cs="Times New Roman"/>
                <w:sz w:val="20"/>
                <w:szCs w:val="20"/>
              </w:rPr>
              <w:t xml:space="preserve">995 </w:t>
            </w:r>
            <w:r w:rsidR="0095096B" w:rsidRPr="002E2327">
              <w:rPr>
                <w:rFonts w:cs="Times New Roman"/>
                <w:sz w:val="20"/>
                <w:szCs w:val="20"/>
              </w:rPr>
              <w:t>-</w:t>
            </w:r>
            <w:r w:rsidR="00730BC4">
              <w:rPr>
                <w:rFonts w:cs="Times New Roman"/>
                <w:sz w:val="20"/>
                <w:szCs w:val="20"/>
              </w:rPr>
              <w:t xml:space="preserve"> 996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30BC4" w:rsidP="0095096B">
            <w:pPr>
              <w:jc w:val="center"/>
              <w:rPr>
                <w:rFonts w:cs="Times New Roman"/>
                <w:sz w:val="20"/>
                <w:szCs w:val="20"/>
              </w:rPr>
            </w:pPr>
            <w:r>
              <w:rPr>
                <w:rFonts w:cs="Times New Roman"/>
                <w:sz w:val="20"/>
                <w:szCs w:val="20"/>
              </w:rPr>
              <w:t xml:space="preserve">997 </w:t>
            </w:r>
            <w:r w:rsidR="0095096B" w:rsidRPr="002E2327">
              <w:rPr>
                <w:rFonts w:cs="Times New Roman"/>
                <w:sz w:val="20"/>
                <w:szCs w:val="20"/>
              </w:rPr>
              <w:t>-</w:t>
            </w:r>
            <w:r>
              <w:rPr>
                <w:rFonts w:cs="Times New Roman"/>
                <w:sz w:val="20"/>
                <w:szCs w:val="20"/>
              </w:rPr>
              <w:t xml:space="preserve"> </w:t>
            </w:r>
            <w:r w:rsidR="005B3238">
              <w:rPr>
                <w:rFonts w:cs="Times New Roman"/>
                <w:sz w:val="20"/>
                <w:szCs w:val="20"/>
              </w:rPr>
              <w:t>1002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B3238" w:rsidP="0095096B">
            <w:pPr>
              <w:jc w:val="center"/>
              <w:rPr>
                <w:rFonts w:cs="Times New Roman"/>
                <w:sz w:val="20"/>
                <w:szCs w:val="20"/>
              </w:rPr>
            </w:pPr>
            <w:r>
              <w:rPr>
                <w:rFonts w:cs="Times New Roman"/>
                <w:sz w:val="20"/>
                <w:szCs w:val="20"/>
              </w:rPr>
              <w:t xml:space="preserve">1003 </w:t>
            </w:r>
            <w:r w:rsidR="0095096B" w:rsidRPr="002E2327">
              <w:rPr>
                <w:rFonts w:cs="Times New Roman"/>
                <w:sz w:val="20"/>
                <w:szCs w:val="20"/>
              </w:rPr>
              <w:t>-</w:t>
            </w:r>
            <w:r>
              <w:rPr>
                <w:rFonts w:cs="Times New Roman"/>
                <w:sz w:val="20"/>
                <w:szCs w:val="20"/>
              </w:rPr>
              <w:t xml:space="preserve"> 1006</w:t>
            </w:r>
          </w:p>
          <w:p w:rsidR="0095096B" w:rsidRPr="002E2327" w:rsidRDefault="0095096B" w:rsidP="0095096B">
            <w:pPr>
              <w:jc w:val="center"/>
              <w:rPr>
                <w:rFonts w:cs="Times New Roman"/>
                <w:sz w:val="20"/>
                <w:szCs w:val="20"/>
              </w:rPr>
            </w:pPr>
          </w:p>
          <w:p w:rsidR="0095096B" w:rsidRPr="002E2327" w:rsidRDefault="005B3238" w:rsidP="0095096B">
            <w:pPr>
              <w:jc w:val="center"/>
              <w:rPr>
                <w:rFonts w:cs="Times New Roman"/>
                <w:sz w:val="20"/>
                <w:szCs w:val="20"/>
              </w:rPr>
            </w:pPr>
            <w:r>
              <w:rPr>
                <w:rFonts w:cs="Times New Roman"/>
                <w:sz w:val="20"/>
                <w:szCs w:val="20"/>
              </w:rPr>
              <w:t>1007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B3238" w:rsidP="0095096B">
            <w:pPr>
              <w:jc w:val="center"/>
              <w:rPr>
                <w:rFonts w:cs="Times New Roman"/>
                <w:sz w:val="20"/>
                <w:szCs w:val="20"/>
              </w:rPr>
            </w:pPr>
            <w:r>
              <w:rPr>
                <w:rFonts w:cs="Times New Roman"/>
                <w:sz w:val="20"/>
                <w:szCs w:val="20"/>
              </w:rPr>
              <w:t>1008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B3238" w:rsidP="0095096B">
            <w:pPr>
              <w:jc w:val="center"/>
              <w:rPr>
                <w:rFonts w:cs="Times New Roman"/>
                <w:sz w:val="20"/>
                <w:szCs w:val="20"/>
              </w:rPr>
            </w:pPr>
            <w:r>
              <w:rPr>
                <w:rFonts w:cs="Times New Roman"/>
                <w:sz w:val="20"/>
                <w:szCs w:val="20"/>
              </w:rPr>
              <w:t>1009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B3238" w:rsidP="0095096B">
            <w:pPr>
              <w:jc w:val="center"/>
              <w:rPr>
                <w:rFonts w:cs="Times New Roman"/>
                <w:sz w:val="20"/>
                <w:szCs w:val="20"/>
              </w:rPr>
            </w:pPr>
            <w:r>
              <w:rPr>
                <w:rFonts w:cs="Times New Roman"/>
                <w:sz w:val="20"/>
                <w:szCs w:val="20"/>
              </w:rPr>
              <w:t xml:space="preserve">1010 </w:t>
            </w:r>
            <w:r w:rsidR="0095096B" w:rsidRPr="002E2327">
              <w:rPr>
                <w:rFonts w:cs="Times New Roman"/>
                <w:sz w:val="20"/>
                <w:szCs w:val="20"/>
              </w:rPr>
              <w:t>-</w:t>
            </w:r>
            <w:r>
              <w:rPr>
                <w:rFonts w:cs="Times New Roman"/>
                <w:sz w:val="20"/>
                <w:szCs w:val="20"/>
              </w:rPr>
              <w:t xml:space="preserve"> 1013</w:t>
            </w:r>
          </w:p>
          <w:p w:rsidR="00A87207" w:rsidRPr="002E2327" w:rsidRDefault="00A87207" w:rsidP="00A97593">
            <w:pPr>
              <w:tabs>
                <w:tab w:val="right" w:pos="9360"/>
              </w:tabs>
              <w:jc w:val="center"/>
              <w:rPr>
                <w:rFonts w:cs="Times New Roman"/>
                <w:sz w:val="20"/>
                <w:szCs w:val="20"/>
              </w:rPr>
            </w:pPr>
          </w:p>
        </w:tc>
        <w:tc>
          <w:tcPr>
            <w:tcW w:w="3888" w:type="dxa"/>
          </w:tcPr>
          <w:p w:rsidR="0095096B" w:rsidRPr="002E2327" w:rsidRDefault="00AD34D7"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612659">
            <w:pPr>
              <w:rPr>
                <w:rFonts w:cs="Times New Roman"/>
                <w:sz w:val="20"/>
                <w:szCs w:val="20"/>
                <w:lang w:val="fr-CA"/>
              </w:rPr>
            </w:pPr>
          </w:p>
        </w:tc>
      </w:tr>
    </w:tbl>
    <w:p w:rsidR="0095096B" w:rsidRDefault="0095096B" w:rsidP="0095096B">
      <w:pPr>
        <w:tabs>
          <w:tab w:val="right" w:pos="9360"/>
        </w:tabs>
        <w:rPr>
          <w:sz w:val="20"/>
          <w:szCs w:val="20"/>
          <w:lang w:val="fr-CA"/>
        </w:rPr>
      </w:pPr>
    </w:p>
    <w:p w:rsidR="00612659" w:rsidRDefault="00612659" w:rsidP="0095096B">
      <w:pPr>
        <w:tabs>
          <w:tab w:val="right" w:pos="9360"/>
        </w:tabs>
        <w:rPr>
          <w:sz w:val="20"/>
          <w:szCs w:val="20"/>
          <w:lang w:val="fr-CA"/>
        </w:rPr>
      </w:pPr>
    </w:p>
    <w:p w:rsidR="00612659" w:rsidRDefault="00612659" w:rsidP="0095096B">
      <w:pPr>
        <w:tabs>
          <w:tab w:val="right" w:pos="9360"/>
        </w:tabs>
        <w:rPr>
          <w:sz w:val="20"/>
          <w:szCs w:val="20"/>
          <w:lang w:val="fr-CA"/>
        </w:rPr>
      </w:pPr>
    </w:p>
    <w:p w:rsidR="00612659" w:rsidRDefault="00612659" w:rsidP="0095096B">
      <w:pPr>
        <w:tabs>
          <w:tab w:val="right" w:pos="9360"/>
        </w:tabs>
        <w:rPr>
          <w:sz w:val="20"/>
          <w:szCs w:val="20"/>
          <w:lang w:val="fr-CA"/>
        </w:rPr>
      </w:pPr>
    </w:p>
    <w:p w:rsidR="00612659" w:rsidRPr="00612659" w:rsidRDefault="00612659"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BA13B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BD1179" w:rsidP="005F1ED8">
            <w:pPr>
              <w:rPr>
                <w:b/>
                <w:sz w:val="20"/>
                <w:szCs w:val="20"/>
              </w:rPr>
            </w:pPr>
            <w:r>
              <w:rPr>
                <w:b/>
                <w:sz w:val="20"/>
                <w:szCs w:val="20"/>
              </w:rPr>
              <w:t>Albert Ng</w:t>
            </w:r>
            <w:r w:rsidR="00C21644">
              <w:rPr>
                <w:b/>
                <w:sz w:val="20"/>
                <w:szCs w:val="20"/>
              </w:rPr>
              <w:t>a</w:t>
            </w:r>
            <w:r>
              <w:rPr>
                <w:b/>
                <w:sz w:val="20"/>
                <w:szCs w:val="20"/>
              </w:rPr>
              <w:t>mb</w:t>
            </w:r>
            <w:r w:rsidR="00C21644">
              <w:rPr>
                <w:b/>
                <w:sz w:val="20"/>
                <w:szCs w:val="20"/>
              </w:rPr>
              <w:t>o</w:t>
            </w:r>
          </w:p>
          <w:p w:rsidR="00C21644" w:rsidRPr="00A935AA" w:rsidRDefault="00C21644" w:rsidP="005F1ED8">
            <w:pPr>
              <w:tabs>
                <w:tab w:val="left" w:pos="-1440"/>
                <w:tab w:val="left" w:pos="-720"/>
              </w:tabs>
              <w:rPr>
                <w:sz w:val="20"/>
                <w:szCs w:val="20"/>
              </w:rPr>
            </w:pPr>
            <w:r w:rsidRPr="00A935AA">
              <w:rPr>
                <w:sz w:val="20"/>
                <w:szCs w:val="20"/>
              </w:rPr>
              <w:tab/>
            </w:r>
            <w:r w:rsidR="00BD1179">
              <w:rPr>
                <w:sz w:val="20"/>
                <w:szCs w:val="20"/>
              </w:rPr>
              <w:t>Albert Ngambo</w:t>
            </w:r>
            <w:r>
              <w:rPr>
                <w:sz w:val="20"/>
                <w:szCs w:val="20"/>
              </w:rPr>
              <w:t xml:space="preserve"> </w:t>
            </w:r>
          </w:p>
          <w:p w:rsidR="00C21644" w:rsidRPr="00D406D9" w:rsidRDefault="00C21644" w:rsidP="005F1ED8">
            <w:pPr>
              <w:tabs>
                <w:tab w:val="left" w:pos="-1440"/>
                <w:tab w:val="left" w:pos="-720"/>
              </w:tabs>
              <w:rPr>
                <w:sz w:val="20"/>
                <w:szCs w:val="20"/>
              </w:rPr>
            </w:pPr>
          </w:p>
          <w:p w:rsidR="00C21644" w:rsidRPr="00D406D9" w:rsidRDefault="00C21644" w:rsidP="005F1ED8">
            <w:pPr>
              <w:tabs>
                <w:tab w:val="left" w:pos="-1440"/>
                <w:tab w:val="left" w:pos="-720"/>
              </w:tabs>
              <w:rPr>
                <w:sz w:val="20"/>
                <w:szCs w:val="20"/>
              </w:rPr>
            </w:pPr>
            <w:r w:rsidRPr="00D406D9">
              <w:rPr>
                <w:sz w:val="20"/>
                <w:szCs w:val="20"/>
              </w:rPr>
              <w:tab/>
            </w:r>
            <w:r w:rsidR="00BD1179" w:rsidRPr="00D406D9">
              <w:rPr>
                <w:sz w:val="20"/>
                <w:szCs w:val="20"/>
              </w:rPr>
              <w:t>c</w:t>
            </w:r>
            <w:r w:rsidRPr="00D406D9">
              <w:rPr>
                <w:sz w:val="20"/>
                <w:szCs w:val="20"/>
              </w:rPr>
              <w:t>. (364</w:t>
            </w:r>
            <w:r w:rsidR="005B464B" w:rsidRPr="00D406D9">
              <w:rPr>
                <w:sz w:val="20"/>
                <w:szCs w:val="20"/>
              </w:rPr>
              <w:t>22</w:t>
            </w:r>
            <w:r w:rsidRPr="00D406D9">
              <w:rPr>
                <w:sz w:val="20"/>
                <w:szCs w:val="20"/>
              </w:rPr>
              <w:t>)</w:t>
            </w:r>
          </w:p>
          <w:p w:rsidR="00C21644" w:rsidRPr="00D406D9" w:rsidRDefault="00C21644" w:rsidP="005F1ED8">
            <w:pPr>
              <w:tabs>
                <w:tab w:val="left" w:pos="-1440"/>
                <w:tab w:val="left" w:pos="-720"/>
              </w:tabs>
              <w:rPr>
                <w:sz w:val="20"/>
                <w:szCs w:val="20"/>
              </w:rPr>
            </w:pPr>
          </w:p>
          <w:p w:rsidR="00C21644" w:rsidRPr="00BD1179" w:rsidRDefault="00BD1179" w:rsidP="005F1ED8">
            <w:pPr>
              <w:tabs>
                <w:tab w:val="left" w:pos="-1440"/>
                <w:tab w:val="left" w:pos="-720"/>
              </w:tabs>
              <w:rPr>
                <w:b/>
                <w:sz w:val="20"/>
                <w:szCs w:val="20"/>
                <w:lang w:val="fr-CA"/>
              </w:rPr>
            </w:pPr>
            <w:r>
              <w:rPr>
                <w:b/>
                <w:sz w:val="20"/>
                <w:szCs w:val="20"/>
                <w:lang w:val="fr-CA"/>
              </w:rPr>
              <w:t>Sa Majesté la Rei</w:t>
            </w:r>
            <w:r w:rsidR="00C21644" w:rsidRPr="00E95CE4">
              <w:rPr>
                <w:b/>
                <w:sz w:val="20"/>
                <w:szCs w:val="20"/>
                <w:lang w:val="fr-CA"/>
              </w:rPr>
              <w:t>n</w:t>
            </w:r>
            <w:r>
              <w:rPr>
                <w:b/>
                <w:sz w:val="20"/>
                <w:szCs w:val="20"/>
                <w:lang w:val="fr-CA"/>
              </w:rPr>
              <w:t>e</w:t>
            </w:r>
            <w:r w:rsidR="00C21644" w:rsidRPr="00E95CE4">
              <w:rPr>
                <w:sz w:val="20"/>
                <w:szCs w:val="20"/>
                <w:lang w:val="fr-CA"/>
              </w:rPr>
              <w:t xml:space="preserve"> </w:t>
            </w:r>
            <w:r w:rsidR="00C21644" w:rsidRPr="00BD1179">
              <w:rPr>
                <w:b/>
                <w:sz w:val="20"/>
                <w:szCs w:val="20"/>
                <w:lang w:val="fr-CA"/>
              </w:rPr>
              <w:t>(</w:t>
            </w:r>
            <w:r w:rsidRPr="00BD1179">
              <w:rPr>
                <w:b/>
                <w:sz w:val="20"/>
                <w:szCs w:val="20"/>
                <w:lang w:val="fr-CA"/>
              </w:rPr>
              <w:t>N.B</w:t>
            </w:r>
            <w:r w:rsidR="00C21644" w:rsidRPr="00BD1179">
              <w:rPr>
                <w:b/>
                <w:sz w:val="20"/>
                <w:szCs w:val="20"/>
                <w:lang w:val="fr-CA"/>
              </w:rPr>
              <w:t>.)</w:t>
            </w:r>
          </w:p>
          <w:p w:rsidR="00C21644" w:rsidRPr="00321A34" w:rsidRDefault="00C21644" w:rsidP="005F1ED8">
            <w:pPr>
              <w:tabs>
                <w:tab w:val="left" w:pos="-1440"/>
                <w:tab w:val="left" w:pos="-720"/>
              </w:tabs>
              <w:rPr>
                <w:sz w:val="20"/>
                <w:szCs w:val="20"/>
                <w:lang w:val="fr-CA"/>
              </w:rPr>
            </w:pPr>
            <w:r w:rsidRPr="00BD1179">
              <w:rPr>
                <w:sz w:val="20"/>
                <w:szCs w:val="20"/>
                <w:lang w:val="fr-CA"/>
              </w:rPr>
              <w:tab/>
            </w:r>
            <w:r w:rsidR="00BD1179" w:rsidRPr="00321A34">
              <w:rPr>
                <w:sz w:val="20"/>
                <w:szCs w:val="20"/>
                <w:lang w:val="fr-CA"/>
              </w:rPr>
              <w:t>M</w:t>
            </w:r>
            <w:r w:rsidRPr="00321A34">
              <w:rPr>
                <w:sz w:val="20"/>
                <w:szCs w:val="20"/>
                <w:lang w:val="fr-CA"/>
              </w:rPr>
              <w:t>a</w:t>
            </w:r>
            <w:r w:rsidR="00BD1179" w:rsidRPr="00321A34">
              <w:rPr>
                <w:sz w:val="20"/>
                <w:szCs w:val="20"/>
                <w:lang w:val="fr-CA"/>
              </w:rPr>
              <w:t>rc A. Bourgeois</w:t>
            </w:r>
          </w:p>
          <w:p w:rsidR="00C21644" w:rsidRPr="00321A34" w:rsidRDefault="00C21644" w:rsidP="005F1ED8">
            <w:pPr>
              <w:tabs>
                <w:tab w:val="left" w:pos="-1440"/>
                <w:tab w:val="left" w:pos="-720"/>
              </w:tabs>
              <w:rPr>
                <w:sz w:val="20"/>
                <w:szCs w:val="20"/>
                <w:lang w:val="fr-CA"/>
              </w:rPr>
            </w:pPr>
            <w:r w:rsidRPr="00321A34">
              <w:rPr>
                <w:sz w:val="20"/>
                <w:szCs w:val="20"/>
                <w:lang w:val="fr-CA"/>
              </w:rPr>
              <w:tab/>
            </w:r>
            <w:r w:rsidR="00321A34" w:rsidRPr="00321A34">
              <w:rPr>
                <w:sz w:val="20"/>
                <w:szCs w:val="20"/>
                <w:lang w:val="fr-CA"/>
              </w:rPr>
              <w:t>P</w:t>
            </w:r>
            <w:r w:rsidR="00BD1179" w:rsidRPr="00321A34">
              <w:rPr>
                <w:sz w:val="20"/>
                <w:szCs w:val="20"/>
                <w:lang w:val="fr-CA"/>
              </w:rPr>
              <w:t xml:space="preserve">.G. </w:t>
            </w:r>
            <w:r w:rsidR="00321A34" w:rsidRPr="00321A34">
              <w:rPr>
                <w:sz w:val="20"/>
                <w:szCs w:val="20"/>
                <w:lang w:val="fr-CA"/>
              </w:rPr>
              <w:t>du</w:t>
            </w:r>
            <w:r w:rsidR="00BD1179" w:rsidRPr="00321A34">
              <w:rPr>
                <w:sz w:val="20"/>
                <w:szCs w:val="20"/>
                <w:lang w:val="fr-CA"/>
              </w:rPr>
              <w:t xml:space="preserve"> N</w:t>
            </w:r>
            <w:r w:rsidR="00321A34" w:rsidRPr="00321A34">
              <w:rPr>
                <w:sz w:val="20"/>
                <w:szCs w:val="20"/>
                <w:lang w:val="fr-CA"/>
              </w:rPr>
              <w:t>ouveau-</w:t>
            </w:r>
            <w:r w:rsidR="00BD1179" w:rsidRPr="00321A34">
              <w:rPr>
                <w:sz w:val="20"/>
                <w:szCs w:val="20"/>
                <w:lang w:val="fr-CA"/>
              </w:rPr>
              <w:t>Brun</w:t>
            </w:r>
            <w:r w:rsidRPr="00321A34">
              <w:rPr>
                <w:sz w:val="20"/>
                <w:szCs w:val="20"/>
                <w:lang w:val="fr-CA"/>
              </w:rPr>
              <w:t>s</w:t>
            </w:r>
            <w:r w:rsidR="00BD1179" w:rsidRPr="00321A34">
              <w:rPr>
                <w:sz w:val="20"/>
                <w:szCs w:val="20"/>
                <w:lang w:val="fr-CA"/>
              </w:rPr>
              <w:t>wick</w:t>
            </w:r>
          </w:p>
          <w:p w:rsidR="00C21644" w:rsidRPr="00321A34" w:rsidRDefault="00C21644" w:rsidP="005F1ED8">
            <w:pPr>
              <w:tabs>
                <w:tab w:val="left" w:pos="-1440"/>
                <w:tab w:val="left" w:pos="-720"/>
              </w:tabs>
              <w:rPr>
                <w:sz w:val="20"/>
                <w:szCs w:val="20"/>
                <w:lang w:val="fr-CA"/>
              </w:rPr>
            </w:pPr>
          </w:p>
          <w:p w:rsidR="00C21644" w:rsidRPr="00BD1179" w:rsidRDefault="00BD1179" w:rsidP="00BD1179">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04</w:t>
            </w:r>
            <w:r w:rsidRPr="00806A5B">
              <w:rPr>
                <w:sz w:val="20"/>
                <w:szCs w:val="20"/>
                <w:lang w:val="fr-CA"/>
              </w:rPr>
              <w:t>.0</w:t>
            </w:r>
            <w:r>
              <w:rPr>
                <w:sz w:val="20"/>
                <w:szCs w:val="20"/>
                <w:lang w:val="fr-CA"/>
              </w:rPr>
              <w:t>5</w:t>
            </w:r>
            <w:r w:rsidRPr="00806A5B">
              <w:rPr>
                <w:sz w:val="20"/>
                <w:szCs w:val="20"/>
                <w:lang w:val="fr-CA"/>
              </w:rPr>
              <w:t>.20</w:t>
            </w:r>
            <w:r>
              <w:rPr>
                <w:sz w:val="20"/>
                <w:szCs w:val="20"/>
                <w:lang w:val="fr-CA"/>
              </w:rPr>
              <w:t>15</w:t>
            </w:r>
            <w:r w:rsidR="00BA13BB">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BD1179" w:rsidRDefault="00C21644" w:rsidP="00242AEE">
            <w:pPr>
              <w:jc w:val="center"/>
              <w:rPr>
                <w:sz w:val="20"/>
                <w:szCs w:val="20"/>
                <w:lang w:val="fr-CA"/>
              </w:rPr>
            </w:pPr>
          </w:p>
          <w:p w:rsidR="00C21644" w:rsidRPr="00BD1179" w:rsidRDefault="00C21644" w:rsidP="00242AEE">
            <w:pPr>
              <w:jc w:val="center"/>
              <w:rPr>
                <w:sz w:val="20"/>
                <w:szCs w:val="20"/>
                <w:lang w:val="fr-CA"/>
              </w:rPr>
            </w:pPr>
          </w:p>
          <w:p w:rsidR="00C21644" w:rsidRPr="00BD1179" w:rsidRDefault="00C21644" w:rsidP="00242AEE">
            <w:pPr>
              <w:jc w:val="center"/>
              <w:rPr>
                <w:sz w:val="20"/>
                <w:szCs w:val="20"/>
                <w:lang w:val="fr-CA"/>
              </w:rPr>
            </w:pPr>
          </w:p>
          <w:p w:rsidR="00C21644" w:rsidRPr="00BD1179" w:rsidRDefault="00C21644" w:rsidP="00242AEE">
            <w:pPr>
              <w:jc w:val="center"/>
              <w:rPr>
                <w:sz w:val="20"/>
                <w:szCs w:val="20"/>
                <w:lang w:val="fr-CA"/>
              </w:rPr>
            </w:pPr>
          </w:p>
          <w:p w:rsidR="00C21644" w:rsidRPr="00BD1179" w:rsidRDefault="00C21644" w:rsidP="00242AEE">
            <w:pPr>
              <w:jc w:val="center"/>
              <w:rPr>
                <w:sz w:val="20"/>
                <w:szCs w:val="20"/>
                <w:lang w:val="fr-CA"/>
              </w:rPr>
            </w:pPr>
          </w:p>
          <w:p w:rsidR="00C21644" w:rsidRPr="00BD1179" w:rsidRDefault="00C21644" w:rsidP="00242AEE">
            <w:pPr>
              <w:jc w:val="center"/>
              <w:rPr>
                <w:sz w:val="20"/>
                <w:szCs w:val="20"/>
                <w:lang w:val="fr-CA"/>
              </w:rPr>
            </w:pPr>
          </w:p>
          <w:p w:rsidR="00C21644" w:rsidRPr="00BD1179" w:rsidRDefault="00C21644" w:rsidP="00242AEE">
            <w:pPr>
              <w:jc w:val="center"/>
              <w:rPr>
                <w:sz w:val="20"/>
                <w:szCs w:val="20"/>
                <w:lang w:val="fr-CA"/>
              </w:rPr>
            </w:pPr>
          </w:p>
          <w:p w:rsidR="00C21644" w:rsidRPr="00BD1179" w:rsidRDefault="00C21644" w:rsidP="00242AEE">
            <w:pPr>
              <w:jc w:val="center"/>
              <w:rPr>
                <w:sz w:val="20"/>
                <w:szCs w:val="20"/>
                <w:lang w:val="fr-CA"/>
              </w:rPr>
            </w:pPr>
          </w:p>
          <w:p w:rsidR="00C21644" w:rsidRPr="00BD1179" w:rsidRDefault="00C21644" w:rsidP="00242AEE">
            <w:pPr>
              <w:jc w:val="center"/>
              <w:rPr>
                <w:sz w:val="20"/>
                <w:szCs w:val="20"/>
                <w:lang w:val="fr-CA"/>
              </w:rPr>
            </w:pPr>
          </w:p>
          <w:p w:rsidR="00C21644" w:rsidRPr="00BD1179" w:rsidRDefault="00C21644" w:rsidP="00242AEE">
            <w:pPr>
              <w:jc w:val="center"/>
              <w:rPr>
                <w:sz w:val="20"/>
                <w:szCs w:val="20"/>
                <w:lang w:val="fr-CA"/>
              </w:rPr>
            </w:pPr>
          </w:p>
          <w:p w:rsidR="00C21644" w:rsidRPr="00BD1179" w:rsidRDefault="00C21644" w:rsidP="00242AEE">
            <w:pPr>
              <w:jc w:val="center"/>
              <w:rPr>
                <w:sz w:val="20"/>
                <w:szCs w:val="20"/>
                <w:lang w:val="fr-CA"/>
              </w:rPr>
            </w:pPr>
          </w:p>
        </w:tc>
        <w:tc>
          <w:tcPr>
            <w:tcW w:w="4320" w:type="dxa"/>
            <w:shd w:val="clear" w:color="auto" w:fill="auto"/>
          </w:tcPr>
          <w:p w:rsidR="00C21644" w:rsidRPr="00D406D9" w:rsidRDefault="007E30A7" w:rsidP="00024EA8">
            <w:pPr>
              <w:rPr>
                <w:b/>
                <w:sz w:val="20"/>
                <w:szCs w:val="20"/>
              </w:rPr>
            </w:pPr>
            <w:r w:rsidRPr="00D406D9">
              <w:rPr>
                <w:b/>
                <w:sz w:val="20"/>
                <w:szCs w:val="20"/>
              </w:rPr>
              <w:t>Ledcor Construction Limited</w:t>
            </w:r>
          </w:p>
          <w:p w:rsidR="007E30A7" w:rsidRPr="00024EA8" w:rsidRDefault="007E30A7" w:rsidP="007E30A7">
            <w:pPr>
              <w:tabs>
                <w:tab w:val="left" w:pos="-1440"/>
                <w:tab w:val="left" w:pos="-720"/>
              </w:tabs>
              <w:rPr>
                <w:sz w:val="20"/>
                <w:szCs w:val="20"/>
              </w:rPr>
            </w:pPr>
            <w:r w:rsidRPr="00D406D9">
              <w:rPr>
                <w:sz w:val="20"/>
                <w:szCs w:val="20"/>
              </w:rPr>
              <w:tab/>
            </w:r>
            <w:r w:rsidRPr="00024EA8">
              <w:rPr>
                <w:sz w:val="20"/>
                <w:szCs w:val="20"/>
              </w:rPr>
              <w:t>Eugene Meehan, Q.C.</w:t>
            </w:r>
          </w:p>
          <w:p w:rsidR="007E30A7" w:rsidRPr="00024EA8" w:rsidRDefault="007E30A7" w:rsidP="007E30A7">
            <w:pPr>
              <w:tabs>
                <w:tab w:val="left" w:pos="-1440"/>
                <w:tab w:val="left" w:pos="-720"/>
              </w:tabs>
              <w:rPr>
                <w:sz w:val="20"/>
                <w:szCs w:val="20"/>
              </w:rPr>
            </w:pPr>
            <w:r w:rsidRPr="00024EA8">
              <w:rPr>
                <w:sz w:val="20"/>
                <w:szCs w:val="20"/>
              </w:rPr>
              <w:tab/>
            </w:r>
            <w:r>
              <w:rPr>
                <w:sz w:val="20"/>
                <w:szCs w:val="20"/>
              </w:rPr>
              <w:t>Supreme Advocacy LLP</w:t>
            </w:r>
          </w:p>
          <w:p w:rsidR="007E30A7" w:rsidRPr="00024EA8" w:rsidRDefault="007E30A7" w:rsidP="007E30A7">
            <w:pPr>
              <w:tabs>
                <w:tab w:val="left" w:pos="-1440"/>
                <w:tab w:val="left" w:pos="-720"/>
              </w:tabs>
              <w:rPr>
                <w:sz w:val="20"/>
                <w:szCs w:val="20"/>
              </w:rPr>
            </w:pPr>
          </w:p>
          <w:p w:rsidR="007E30A7" w:rsidRPr="00A935AA" w:rsidRDefault="007E30A7" w:rsidP="007E30A7">
            <w:pPr>
              <w:tabs>
                <w:tab w:val="left" w:pos="-1440"/>
                <w:tab w:val="left" w:pos="-720"/>
              </w:tabs>
              <w:rPr>
                <w:sz w:val="20"/>
                <w:szCs w:val="20"/>
              </w:rPr>
            </w:pPr>
            <w:r w:rsidRPr="00024EA8">
              <w:rPr>
                <w:sz w:val="20"/>
                <w:szCs w:val="20"/>
              </w:rPr>
              <w:tab/>
            </w:r>
            <w:r w:rsidRPr="00A935AA">
              <w:rPr>
                <w:sz w:val="20"/>
                <w:szCs w:val="20"/>
              </w:rPr>
              <w:t>v. (3</w:t>
            </w:r>
            <w:r>
              <w:rPr>
                <w:sz w:val="20"/>
                <w:szCs w:val="20"/>
              </w:rPr>
              <w:t>6452</w:t>
            </w:r>
            <w:r w:rsidRPr="00A935AA">
              <w:rPr>
                <w:sz w:val="20"/>
                <w:szCs w:val="20"/>
              </w:rPr>
              <w:t>)</w:t>
            </w:r>
          </w:p>
          <w:p w:rsidR="007E30A7" w:rsidRPr="00A935AA" w:rsidRDefault="007E30A7" w:rsidP="007E30A7">
            <w:pPr>
              <w:tabs>
                <w:tab w:val="left" w:pos="-1440"/>
                <w:tab w:val="left" w:pos="-720"/>
              </w:tabs>
              <w:rPr>
                <w:sz w:val="20"/>
                <w:szCs w:val="20"/>
              </w:rPr>
            </w:pPr>
          </w:p>
          <w:p w:rsidR="007E30A7" w:rsidRPr="00A935AA" w:rsidRDefault="007E30A7" w:rsidP="007E30A7">
            <w:pPr>
              <w:tabs>
                <w:tab w:val="left" w:pos="-1440"/>
                <w:tab w:val="left" w:pos="-720"/>
              </w:tabs>
              <w:rPr>
                <w:b/>
                <w:sz w:val="20"/>
                <w:szCs w:val="20"/>
              </w:rPr>
            </w:pPr>
            <w:r>
              <w:rPr>
                <w:b/>
                <w:sz w:val="20"/>
                <w:szCs w:val="20"/>
              </w:rPr>
              <w:t xml:space="preserve">Northbridge Indemnity Insurance Company et al. </w:t>
            </w:r>
            <w:r w:rsidRPr="00A935AA">
              <w:rPr>
                <w:b/>
                <w:sz w:val="20"/>
                <w:szCs w:val="20"/>
              </w:rPr>
              <w:t>(</w:t>
            </w:r>
            <w:r>
              <w:rPr>
                <w:b/>
                <w:sz w:val="20"/>
                <w:szCs w:val="20"/>
              </w:rPr>
              <w:t>Alta</w:t>
            </w:r>
            <w:r w:rsidRPr="00A935AA">
              <w:rPr>
                <w:b/>
                <w:sz w:val="20"/>
                <w:szCs w:val="20"/>
              </w:rPr>
              <w:t>.)</w:t>
            </w:r>
          </w:p>
          <w:p w:rsidR="007E30A7" w:rsidRPr="00A935AA" w:rsidRDefault="007E30A7" w:rsidP="007E30A7">
            <w:pPr>
              <w:tabs>
                <w:tab w:val="left" w:pos="-1440"/>
                <w:tab w:val="left" w:pos="-720"/>
              </w:tabs>
              <w:rPr>
                <w:sz w:val="20"/>
                <w:szCs w:val="20"/>
              </w:rPr>
            </w:pPr>
            <w:r w:rsidRPr="00A935AA">
              <w:rPr>
                <w:sz w:val="20"/>
                <w:szCs w:val="20"/>
              </w:rPr>
              <w:tab/>
            </w:r>
            <w:r>
              <w:rPr>
                <w:sz w:val="20"/>
                <w:szCs w:val="20"/>
              </w:rPr>
              <w:t>Greg J. Tucker</w:t>
            </w:r>
          </w:p>
          <w:p w:rsidR="007E30A7" w:rsidRPr="00A935AA" w:rsidRDefault="007E30A7" w:rsidP="007E30A7">
            <w:pPr>
              <w:tabs>
                <w:tab w:val="left" w:pos="-1440"/>
                <w:tab w:val="left" w:pos="-720"/>
              </w:tabs>
              <w:rPr>
                <w:sz w:val="20"/>
                <w:szCs w:val="20"/>
              </w:rPr>
            </w:pPr>
            <w:r w:rsidRPr="00A935AA">
              <w:rPr>
                <w:sz w:val="20"/>
                <w:szCs w:val="20"/>
              </w:rPr>
              <w:tab/>
            </w:r>
            <w:r>
              <w:rPr>
                <w:sz w:val="20"/>
                <w:szCs w:val="20"/>
              </w:rPr>
              <w:t>Owen Bird Law Corporation</w:t>
            </w:r>
          </w:p>
          <w:p w:rsidR="007E30A7" w:rsidRPr="00A935AA" w:rsidRDefault="007E30A7" w:rsidP="007E30A7">
            <w:pPr>
              <w:tabs>
                <w:tab w:val="left" w:pos="-1440"/>
                <w:tab w:val="left" w:pos="-720"/>
              </w:tabs>
              <w:rPr>
                <w:sz w:val="20"/>
                <w:szCs w:val="20"/>
              </w:rPr>
            </w:pPr>
          </w:p>
          <w:p w:rsidR="007E30A7" w:rsidRPr="007E30A7" w:rsidRDefault="007E30A7" w:rsidP="007E30A7">
            <w:pPr>
              <w:rPr>
                <w:sz w:val="20"/>
                <w:szCs w:val="20"/>
                <w:lang w:val="fr-CA"/>
              </w:rPr>
            </w:pPr>
            <w:r>
              <w:rPr>
                <w:sz w:val="20"/>
                <w:szCs w:val="20"/>
              </w:rPr>
              <w:t>and between</w:t>
            </w:r>
          </w:p>
        </w:tc>
      </w:tr>
      <w:tr w:rsidR="00024EA8" w:rsidRPr="007E30A7" w:rsidTr="003B3977">
        <w:tc>
          <w:tcPr>
            <w:tcW w:w="4320" w:type="dxa"/>
            <w:shd w:val="clear" w:color="auto" w:fill="auto"/>
          </w:tcPr>
          <w:p w:rsidR="00024EA8" w:rsidRPr="00D406D9" w:rsidRDefault="00024EA8" w:rsidP="005F1ED8">
            <w:pPr>
              <w:rPr>
                <w:b/>
                <w:sz w:val="20"/>
                <w:szCs w:val="20"/>
                <w:lang w:val="fr-CA"/>
              </w:rPr>
            </w:pPr>
            <w:r w:rsidRPr="00D406D9">
              <w:rPr>
                <w:b/>
                <w:sz w:val="20"/>
                <w:szCs w:val="20"/>
                <w:lang w:val="fr-CA"/>
              </w:rPr>
              <w:t>Serge Faucher</w:t>
            </w:r>
          </w:p>
          <w:p w:rsidR="007E30A7" w:rsidRPr="00806A5B" w:rsidRDefault="00024EA8" w:rsidP="007E30A7">
            <w:pPr>
              <w:keepNext/>
              <w:keepLines/>
              <w:tabs>
                <w:tab w:val="left" w:pos="-1440"/>
                <w:tab w:val="left" w:pos="-720"/>
              </w:tabs>
              <w:rPr>
                <w:sz w:val="20"/>
                <w:szCs w:val="20"/>
                <w:lang w:val="fr-CA"/>
              </w:rPr>
            </w:pPr>
            <w:r w:rsidRPr="00D406D9">
              <w:rPr>
                <w:sz w:val="20"/>
                <w:szCs w:val="20"/>
                <w:lang w:val="fr-CA"/>
              </w:rPr>
              <w:tab/>
            </w:r>
            <w:r w:rsidR="007E30A7">
              <w:rPr>
                <w:sz w:val="20"/>
                <w:szCs w:val="20"/>
                <w:lang w:val="fr-CA"/>
              </w:rPr>
              <w:t>Serge Faucher</w:t>
            </w:r>
          </w:p>
          <w:p w:rsidR="007E30A7" w:rsidRPr="00806A5B" w:rsidRDefault="007E30A7" w:rsidP="007E30A7">
            <w:pPr>
              <w:keepNext/>
              <w:keepLines/>
              <w:tabs>
                <w:tab w:val="left" w:pos="-1440"/>
                <w:tab w:val="left" w:pos="-720"/>
              </w:tabs>
              <w:rPr>
                <w:sz w:val="20"/>
                <w:szCs w:val="20"/>
                <w:lang w:val="fr-CA"/>
              </w:rPr>
            </w:pPr>
          </w:p>
          <w:p w:rsidR="007E30A7" w:rsidRPr="00806A5B" w:rsidRDefault="007E30A7" w:rsidP="007E30A7">
            <w:pPr>
              <w:keepNext/>
              <w:keepLines/>
              <w:tabs>
                <w:tab w:val="left" w:pos="-1440"/>
                <w:tab w:val="left" w:pos="-720"/>
              </w:tabs>
              <w:rPr>
                <w:sz w:val="20"/>
                <w:szCs w:val="20"/>
                <w:lang w:val="fr-CA"/>
              </w:rPr>
            </w:pPr>
            <w:r w:rsidRPr="00806A5B">
              <w:rPr>
                <w:sz w:val="20"/>
                <w:szCs w:val="20"/>
                <w:lang w:val="fr-CA"/>
              </w:rPr>
              <w:tab/>
              <w:t>c. (36</w:t>
            </w:r>
            <w:r>
              <w:rPr>
                <w:sz w:val="20"/>
                <w:szCs w:val="20"/>
                <w:lang w:val="fr-CA"/>
              </w:rPr>
              <w:t>443</w:t>
            </w:r>
            <w:r w:rsidRPr="00806A5B">
              <w:rPr>
                <w:sz w:val="20"/>
                <w:szCs w:val="20"/>
                <w:lang w:val="fr-CA"/>
              </w:rPr>
              <w:t>)</w:t>
            </w:r>
          </w:p>
          <w:p w:rsidR="007E30A7" w:rsidRPr="00806A5B" w:rsidRDefault="007E30A7" w:rsidP="007E30A7">
            <w:pPr>
              <w:keepNext/>
              <w:keepLines/>
              <w:tabs>
                <w:tab w:val="left" w:pos="-1440"/>
                <w:tab w:val="left" w:pos="-720"/>
              </w:tabs>
              <w:rPr>
                <w:sz w:val="20"/>
                <w:szCs w:val="20"/>
                <w:lang w:val="fr-CA"/>
              </w:rPr>
            </w:pPr>
          </w:p>
          <w:p w:rsidR="007E30A7" w:rsidRPr="00806A5B" w:rsidRDefault="007E30A7" w:rsidP="007E30A7">
            <w:pPr>
              <w:keepNext/>
              <w:keepLines/>
              <w:tabs>
                <w:tab w:val="left" w:pos="-1440"/>
                <w:tab w:val="left" w:pos="-720"/>
              </w:tabs>
              <w:rPr>
                <w:b/>
                <w:sz w:val="20"/>
                <w:szCs w:val="20"/>
                <w:lang w:val="fr-CA"/>
              </w:rPr>
            </w:pPr>
            <w:r>
              <w:rPr>
                <w:b/>
                <w:sz w:val="20"/>
                <w:szCs w:val="20"/>
                <w:lang w:val="fr-CA"/>
              </w:rPr>
              <w:t xml:space="preserve">Directeur des poursuites criminelles </w:t>
            </w:r>
            <w:r w:rsidRPr="00806A5B">
              <w:rPr>
                <w:b/>
                <w:sz w:val="20"/>
                <w:szCs w:val="20"/>
                <w:lang w:val="fr-CA"/>
              </w:rPr>
              <w:t>e</w:t>
            </w:r>
            <w:r>
              <w:rPr>
                <w:b/>
                <w:sz w:val="20"/>
                <w:szCs w:val="20"/>
                <w:lang w:val="fr-CA"/>
              </w:rPr>
              <w:t>t pénales et autre</w:t>
            </w:r>
            <w:r w:rsidRPr="00806A5B">
              <w:rPr>
                <w:b/>
                <w:sz w:val="20"/>
                <w:szCs w:val="20"/>
                <w:lang w:val="fr-CA"/>
              </w:rPr>
              <w:t xml:space="preserve"> (Qc)</w:t>
            </w:r>
          </w:p>
          <w:p w:rsidR="007E30A7" w:rsidRPr="00806A5B" w:rsidRDefault="007E30A7" w:rsidP="007E30A7">
            <w:pPr>
              <w:keepNext/>
              <w:keepLines/>
              <w:tabs>
                <w:tab w:val="left" w:pos="-1440"/>
                <w:tab w:val="left" w:pos="-720"/>
              </w:tabs>
              <w:rPr>
                <w:sz w:val="20"/>
                <w:szCs w:val="20"/>
                <w:lang w:val="fr-CA"/>
              </w:rPr>
            </w:pPr>
            <w:r w:rsidRPr="00806A5B">
              <w:rPr>
                <w:sz w:val="20"/>
                <w:szCs w:val="20"/>
                <w:lang w:val="fr-CA"/>
              </w:rPr>
              <w:tab/>
            </w:r>
            <w:r>
              <w:rPr>
                <w:sz w:val="20"/>
                <w:szCs w:val="20"/>
                <w:lang w:val="fr-CA"/>
              </w:rPr>
              <w:t>Régis Boisvert</w:t>
            </w:r>
          </w:p>
          <w:p w:rsidR="007E30A7" w:rsidRPr="00806A5B" w:rsidRDefault="007E30A7" w:rsidP="007E30A7">
            <w:pPr>
              <w:keepNext/>
              <w:keepLines/>
              <w:tabs>
                <w:tab w:val="left" w:pos="-1440"/>
                <w:tab w:val="left" w:pos="-720"/>
              </w:tabs>
              <w:rPr>
                <w:sz w:val="20"/>
                <w:szCs w:val="20"/>
                <w:lang w:val="fr-CA"/>
              </w:rPr>
            </w:pPr>
            <w:r w:rsidRPr="00806A5B">
              <w:rPr>
                <w:sz w:val="20"/>
                <w:szCs w:val="20"/>
                <w:lang w:val="fr-CA"/>
              </w:rPr>
              <w:tab/>
            </w:r>
            <w:r>
              <w:rPr>
                <w:sz w:val="20"/>
                <w:szCs w:val="20"/>
                <w:lang w:val="fr-CA"/>
              </w:rPr>
              <w:t xml:space="preserve">Poursuites criminelles et pénales du </w:t>
            </w:r>
            <w:r>
              <w:rPr>
                <w:sz w:val="20"/>
                <w:szCs w:val="20"/>
                <w:lang w:val="fr-CA"/>
              </w:rPr>
              <w:tab/>
              <w:t>Québec</w:t>
            </w:r>
          </w:p>
          <w:p w:rsidR="00024EA8" w:rsidRDefault="00024EA8" w:rsidP="005F1ED8">
            <w:pPr>
              <w:rPr>
                <w:sz w:val="20"/>
                <w:szCs w:val="20"/>
                <w:lang w:val="fr-CA"/>
              </w:rPr>
            </w:pPr>
          </w:p>
          <w:p w:rsidR="007E30A7" w:rsidRPr="007E30A7" w:rsidRDefault="007E30A7" w:rsidP="007E30A7">
            <w:pPr>
              <w:keepNext/>
              <w:keepLines/>
              <w:tabs>
                <w:tab w:val="left" w:pos="-1440"/>
                <w:tab w:val="left" w:pos="-720"/>
              </w:tabs>
              <w:rPr>
                <w:sz w:val="20"/>
                <w:szCs w:val="20"/>
                <w:lang w:val="fr-CA"/>
              </w:rPr>
            </w:pPr>
            <w:r w:rsidRPr="00024EA8">
              <w:rPr>
                <w:sz w:val="20"/>
                <w:szCs w:val="20"/>
              </w:rPr>
              <w:t>DATE DE PRODUCTION : 19.05.2015</w:t>
            </w:r>
            <w:r w:rsidR="00BA13BB">
              <w:rPr>
                <w:sz w:val="20"/>
                <w:szCs w:val="20"/>
                <w:lang w:val="fr-CA"/>
              </w:rPr>
              <w:pict>
                <v:rect id="_x0000_i1026" style="width:108pt;height:1pt" o:hrpct="0" o:hralign="center" o:hrstd="t" o:hrnoshade="t" o:hr="t" fillcolor="black [3213]" stroked="f"/>
              </w:pict>
            </w:r>
          </w:p>
        </w:tc>
        <w:tc>
          <w:tcPr>
            <w:tcW w:w="1181" w:type="dxa"/>
            <w:shd w:val="clear" w:color="auto" w:fill="auto"/>
          </w:tcPr>
          <w:p w:rsidR="00024EA8" w:rsidRDefault="00024EA8" w:rsidP="00242AEE">
            <w:pPr>
              <w:jc w:val="center"/>
              <w:rPr>
                <w:sz w:val="20"/>
                <w:szCs w:val="20"/>
                <w:lang w:val="fr-CA"/>
              </w:rPr>
            </w:pPr>
          </w:p>
          <w:p w:rsidR="007E30A7" w:rsidRDefault="007E30A7" w:rsidP="00242AEE">
            <w:pPr>
              <w:jc w:val="center"/>
              <w:rPr>
                <w:sz w:val="20"/>
                <w:szCs w:val="20"/>
                <w:lang w:val="fr-CA"/>
              </w:rPr>
            </w:pPr>
          </w:p>
          <w:p w:rsidR="007E30A7" w:rsidRDefault="007E30A7" w:rsidP="00242AEE">
            <w:pPr>
              <w:jc w:val="center"/>
              <w:rPr>
                <w:sz w:val="20"/>
                <w:szCs w:val="20"/>
                <w:lang w:val="fr-CA"/>
              </w:rPr>
            </w:pPr>
          </w:p>
          <w:p w:rsidR="007E30A7" w:rsidRDefault="007E30A7" w:rsidP="00242AEE">
            <w:pPr>
              <w:jc w:val="center"/>
              <w:rPr>
                <w:sz w:val="20"/>
                <w:szCs w:val="20"/>
                <w:lang w:val="fr-CA"/>
              </w:rPr>
            </w:pPr>
          </w:p>
          <w:p w:rsidR="007E30A7" w:rsidRDefault="007E30A7" w:rsidP="00242AEE">
            <w:pPr>
              <w:jc w:val="center"/>
              <w:rPr>
                <w:sz w:val="20"/>
                <w:szCs w:val="20"/>
                <w:lang w:val="fr-CA"/>
              </w:rPr>
            </w:pPr>
          </w:p>
          <w:p w:rsidR="007E30A7" w:rsidRDefault="007E30A7" w:rsidP="00242AEE">
            <w:pPr>
              <w:jc w:val="center"/>
              <w:rPr>
                <w:sz w:val="20"/>
                <w:szCs w:val="20"/>
                <w:lang w:val="fr-CA"/>
              </w:rPr>
            </w:pPr>
          </w:p>
          <w:p w:rsidR="007E30A7" w:rsidRDefault="007E30A7" w:rsidP="00242AEE">
            <w:pPr>
              <w:jc w:val="center"/>
              <w:rPr>
                <w:sz w:val="20"/>
                <w:szCs w:val="20"/>
                <w:lang w:val="fr-CA"/>
              </w:rPr>
            </w:pPr>
          </w:p>
          <w:p w:rsidR="007E30A7" w:rsidRDefault="007E30A7" w:rsidP="00242AEE">
            <w:pPr>
              <w:jc w:val="center"/>
              <w:rPr>
                <w:sz w:val="20"/>
                <w:szCs w:val="20"/>
                <w:lang w:val="fr-CA"/>
              </w:rPr>
            </w:pPr>
          </w:p>
          <w:p w:rsidR="007E30A7" w:rsidRDefault="007E30A7" w:rsidP="00242AEE">
            <w:pPr>
              <w:jc w:val="center"/>
              <w:rPr>
                <w:sz w:val="20"/>
                <w:szCs w:val="20"/>
                <w:lang w:val="fr-CA"/>
              </w:rPr>
            </w:pPr>
          </w:p>
          <w:p w:rsidR="007E30A7" w:rsidRDefault="007E30A7" w:rsidP="00242AEE">
            <w:pPr>
              <w:jc w:val="center"/>
              <w:rPr>
                <w:sz w:val="20"/>
                <w:szCs w:val="20"/>
                <w:lang w:val="fr-CA"/>
              </w:rPr>
            </w:pPr>
          </w:p>
          <w:p w:rsidR="007E30A7" w:rsidRDefault="007E30A7" w:rsidP="00242AEE">
            <w:pPr>
              <w:jc w:val="center"/>
              <w:rPr>
                <w:sz w:val="20"/>
                <w:szCs w:val="20"/>
                <w:lang w:val="fr-CA"/>
              </w:rPr>
            </w:pPr>
          </w:p>
          <w:p w:rsidR="007E30A7" w:rsidRDefault="007E30A7" w:rsidP="00242AEE">
            <w:pPr>
              <w:jc w:val="center"/>
              <w:rPr>
                <w:sz w:val="20"/>
                <w:szCs w:val="20"/>
                <w:lang w:val="fr-CA"/>
              </w:rPr>
            </w:pPr>
          </w:p>
          <w:p w:rsidR="007E30A7" w:rsidRDefault="007E30A7" w:rsidP="00242AEE">
            <w:pPr>
              <w:jc w:val="center"/>
              <w:rPr>
                <w:sz w:val="20"/>
                <w:szCs w:val="20"/>
                <w:lang w:val="fr-CA"/>
              </w:rPr>
            </w:pPr>
          </w:p>
          <w:p w:rsidR="007E30A7" w:rsidRPr="00BD1179" w:rsidRDefault="007E30A7" w:rsidP="00242AEE">
            <w:pPr>
              <w:jc w:val="center"/>
              <w:rPr>
                <w:sz w:val="20"/>
                <w:szCs w:val="20"/>
                <w:lang w:val="fr-CA"/>
              </w:rPr>
            </w:pPr>
          </w:p>
        </w:tc>
        <w:tc>
          <w:tcPr>
            <w:tcW w:w="4320" w:type="dxa"/>
            <w:shd w:val="clear" w:color="auto" w:fill="auto"/>
          </w:tcPr>
          <w:p w:rsidR="00024EA8" w:rsidRPr="00D406D9" w:rsidRDefault="00024EA8" w:rsidP="005F1ED8">
            <w:pPr>
              <w:keepNext/>
              <w:keepLines/>
              <w:tabs>
                <w:tab w:val="left" w:pos="-1440"/>
                <w:tab w:val="left" w:pos="-720"/>
              </w:tabs>
              <w:rPr>
                <w:b/>
                <w:sz w:val="20"/>
                <w:szCs w:val="20"/>
              </w:rPr>
            </w:pPr>
          </w:p>
          <w:p w:rsidR="007E30A7" w:rsidRPr="00D406D9" w:rsidRDefault="007E30A7" w:rsidP="005F1ED8">
            <w:pPr>
              <w:keepNext/>
              <w:keepLines/>
              <w:tabs>
                <w:tab w:val="left" w:pos="-1440"/>
                <w:tab w:val="left" w:pos="-720"/>
              </w:tabs>
              <w:rPr>
                <w:b/>
                <w:sz w:val="20"/>
                <w:szCs w:val="20"/>
              </w:rPr>
            </w:pPr>
            <w:r w:rsidRPr="00D406D9">
              <w:rPr>
                <w:b/>
                <w:sz w:val="20"/>
                <w:szCs w:val="20"/>
              </w:rPr>
              <w:t>Station Lands Ltd.</w:t>
            </w:r>
          </w:p>
          <w:p w:rsidR="007E30A7" w:rsidRPr="007E30A7" w:rsidRDefault="007E30A7" w:rsidP="005F1ED8">
            <w:pPr>
              <w:keepNext/>
              <w:keepLines/>
              <w:tabs>
                <w:tab w:val="left" w:pos="-1440"/>
                <w:tab w:val="left" w:pos="-720"/>
              </w:tabs>
              <w:rPr>
                <w:sz w:val="20"/>
                <w:szCs w:val="20"/>
              </w:rPr>
            </w:pPr>
            <w:r w:rsidRPr="00D406D9">
              <w:rPr>
                <w:sz w:val="20"/>
                <w:szCs w:val="20"/>
              </w:rPr>
              <w:tab/>
            </w:r>
            <w:r w:rsidRPr="007E30A7">
              <w:rPr>
                <w:sz w:val="20"/>
                <w:szCs w:val="20"/>
              </w:rPr>
              <w:t>Dennis L. Picco, Q.C.</w:t>
            </w:r>
          </w:p>
          <w:p w:rsidR="007E30A7" w:rsidRDefault="007E30A7" w:rsidP="005F1ED8">
            <w:pPr>
              <w:keepNext/>
              <w:keepLines/>
              <w:tabs>
                <w:tab w:val="left" w:pos="-1440"/>
                <w:tab w:val="left" w:pos="-720"/>
              </w:tabs>
              <w:rPr>
                <w:sz w:val="20"/>
                <w:szCs w:val="20"/>
              </w:rPr>
            </w:pPr>
            <w:r>
              <w:rPr>
                <w:sz w:val="20"/>
                <w:szCs w:val="20"/>
              </w:rPr>
              <w:tab/>
              <w:t>Dentons Canada LLP</w:t>
            </w:r>
          </w:p>
          <w:p w:rsidR="007E30A7" w:rsidRDefault="007E30A7" w:rsidP="005F1ED8">
            <w:pPr>
              <w:keepNext/>
              <w:keepLines/>
              <w:tabs>
                <w:tab w:val="left" w:pos="-1440"/>
                <w:tab w:val="left" w:pos="-720"/>
              </w:tabs>
              <w:rPr>
                <w:sz w:val="20"/>
                <w:szCs w:val="20"/>
              </w:rPr>
            </w:pPr>
          </w:p>
          <w:p w:rsidR="007E30A7" w:rsidRDefault="007E30A7" w:rsidP="005F1ED8">
            <w:pPr>
              <w:keepNext/>
              <w:keepLines/>
              <w:tabs>
                <w:tab w:val="left" w:pos="-1440"/>
                <w:tab w:val="left" w:pos="-720"/>
              </w:tabs>
              <w:rPr>
                <w:sz w:val="20"/>
                <w:szCs w:val="20"/>
              </w:rPr>
            </w:pPr>
            <w:r>
              <w:rPr>
                <w:sz w:val="20"/>
                <w:szCs w:val="20"/>
              </w:rPr>
              <w:tab/>
              <w:t>v. (36452)</w:t>
            </w:r>
          </w:p>
          <w:p w:rsidR="007E30A7" w:rsidRDefault="007E30A7" w:rsidP="005F1ED8">
            <w:pPr>
              <w:keepNext/>
              <w:keepLines/>
              <w:tabs>
                <w:tab w:val="left" w:pos="-1440"/>
                <w:tab w:val="left" w:pos="-720"/>
              </w:tabs>
              <w:rPr>
                <w:sz w:val="20"/>
                <w:szCs w:val="20"/>
              </w:rPr>
            </w:pPr>
          </w:p>
          <w:p w:rsidR="007E30A7" w:rsidRDefault="007E30A7" w:rsidP="005F1ED8">
            <w:pPr>
              <w:keepNext/>
              <w:keepLines/>
              <w:tabs>
                <w:tab w:val="left" w:pos="-1440"/>
                <w:tab w:val="left" w:pos="-720"/>
              </w:tabs>
              <w:rPr>
                <w:b/>
                <w:sz w:val="20"/>
                <w:szCs w:val="20"/>
              </w:rPr>
            </w:pPr>
            <w:r>
              <w:rPr>
                <w:b/>
                <w:sz w:val="20"/>
                <w:szCs w:val="20"/>
              </w:rPr>
              <w:t>Commonwealth Insurance Company et al.</w:t>
            </w:r>
            <w:r w:rsidR="00321A34">
              <w:rPr>
                <w:b/>
                <w:sz w:val="20"/>
                <w:szCs w:val="20"/>
              </w:rPr>
              <w:t xml:space="preserve"> (Alta.)</w:t>
            </w:r>
          </w:p>
          <w:p w:rsidR="007E30A7" w:rsidRPr="00A935AA" w:rsidRDefault="007E30A7" w:rsidP="007E30A7">
            <w:pPr>
              <w:tabs>
                <w:tab w:val="left" w:pos="-1440"/>
                <w:tab w:val="left" w:pos="-720"/>
              </w:tabs>
              <w:rPr>
                <w:sz w:val="20"/>
                <w:szCs w:val="20"/>
              </w:rPr>
            </w:pPr>
            <w:r>
              <w:rPr>
                <w:sz w:val="20"/>
                <w:szCs w:val="20"/>
              </w:rPr>
              <w:tab/>
              <w:t>Greg J. Tucker</w:t>
            </w:r>
          </w:p>
          <w:p w:rsidR="007E30A7" w:rsidRPr="00A935AA" w:rsidRDefault="007E30A7" w:rsidP="007E30A7">
            <w:pPr>
              <w:tabs>
                <w:tab w:val="left" w:pos="-1440"/>
                <w:tab w:val="left" w:pos="-720"/>
              </w:tabs>
              <w:rPr>
                <w:sz w:val="20"/>
                <w:szCs w:val="20"/>
              </w:rPr>
            </w:pPr>
            <w:r w:rsidRPr="00A935AA">
              <w:rPr>
                <w:sz w:val="20"/>
                <w:szCs w:val="20"/>
              </w:rPr>
              <w:tab/>
            </w:r>
            <w:r>
              <w:rPr>
                <w:sz w:val="20"/>
                <w:szCs w:val="20"/>
              </w:rPr>
              <w:t>Owen Bird Law Corporation</w:t>
            </w:r>
          </w:p>
          <w:p w:rsidR="007E30A7" w:rsidRDefault="007E30A7" w:rsidP="005F1ED8">
            <w:pPr>
              <w:keepNext/>
              <w:keepLines/>
              <w:tabs>
                <w:tab w:val="left" w:pos="-1440"/>
                <w:tab w:val="left" w:pos="-720"/>
              </w:tabs>
              <w:rPr>
                <w:sz w:val="20"/>
                <w:szCs w:val="20"/>
              </w:rPr>
            </w:pPr>
          </w:p>
          <w:p w:rsidR="007E30A7" w:rsidRPr="007E30A7" w:rsidRDefault="007E30A7" w:rsidP="007E30A7">
            <w:pPr>
              <w:keepNext/>
              <w:keepLines/>
              <w:tabs>
                <w:tab w:val="left" w:pos="-1440"/>
                <w:tab w:val="left" w:pos="-720"/>
              </w:tabs>
              <w:rPr>
                <w:sz w:val="20"/>
                <w:szCs w:val="20"/>
              </w:rPr>
            </w:pPr>
            <w:r w:rsidRPr="00A935AA">
              <w:rPr>
                <w:sz w:val="20"/>
                <w:szCs w:val="20"/>
              </w:rPr>
              <w:t>FILING DATE: 2</w:t>
            </w:r>
            <w:r>
              <w:rPr>
                <w:sz w:val="20"/>
                <w:szCs w:val="20"/>
              </w:rPr>
              <w:t>6</w:t>
            </w:r>
            <w:r w:rsidRPr="00A935AA">
              <w:rPr>
                <w:sz w:val="20"/>
                <w:szCs w:val="20"/>
              </w:rPr>
              <w:t>.0</w:t>
            </w:r>
            <w:r>
              <w:rPr>
                <w:sz w:val="20"/>
                <w:szCs w:val="20"/>
              </w:rPr>
              <w:t>5</w:t>
            </w:r>
            <w:r w:rsidRPr="00A935AA">
              <w:rPr>
                <w:sz w:val="20"/>
                <w:szCs w:val="20"/>
              </w:rPr>
              <w:t>.201</w:t>
            </w:r>
            <w:r>
              <w:rPr>
                <w:sz w:val="20"/>
                <w:szCs w:val="20"/>
              </w:rPr>
              <w:t>5</w:t>
            </w:r>
            <w:r w:rsidR="00BA13BB">
              <w:rPr>
                <w:sz w:val="20"/>
                <w:szCs w:val="20"/>
                <w:lang w:val="fr-CA"/>
              </w:rPr>
              <w:pict>
                <v:rect id="_x0000_i1027" style="width:108pt;height:1pt" o:hrpct="0" o:hralign="center" o:hrstd="t" o:hrnoshade="t" o:hr="t" fillcolor="black [3213]" stroked="f"/>
              </w:pict>
            </w:r>
          </w:p>
        </w:tc>
      </w:tr>
      <w:tr w:rsidR="00C21644" w:rsidRPr="00A935AA" w:rsidTr="003B3977">
        <w:tc>
          <w:tcPr>
            <w:tcW w:w="4320" w:type="dxa"/>
            <w:shd w:val="clear" w:color="auto" w:fill="auto"/>
          </w:tcPr>
          <w:p w:rsidR="00C21644" w:rsidRPr="00A935AA" w:rsidRDefault="007E30A7" w:rsidP="005F1ED8">
            <w:pPr>
              <w:rPr>
                <w:b/>
                <w:sz w:val="20"/>
                <w:szCs w:val="20"/>
              </w:rPr>
            </w:pPr>
            <w:r>
              <w:rPr>
                <w:b/>
                <w:sz w:val="20"/>
                <w:szCs w:val="20"/>
              </w:rPr>
              <w:t>Her Majesty the Queen</w:t>
            </w:r>
          </w:p>
          <w:p w:rsidR="007E30A7" w:rsidRPr="00024EA8" w:rsidRDefault="00C21644" w:rsidP="007E30A7">
            <w:pPr>
              <w:keepNext/>
              <w:keepLines/>
              <w:tabs>
                <w:tab w:val="left" w:pos="-1440"/>
                <w:tab w:val="left" w:pos="-720"/>
              </w:tabs>
              <w:rPr>
                <w:sz w:val="20"/>
                <w:szCs w:val="20"/>
              </w:rPr>
            </w:pPr>
            <w:r w:rsidRPr="00A935AA">
              <w:rPr>
                <w:sz w:val="20"/>
                <w:szCs w:val="20"/>
              </w:rPr>
              <w:tab/>
            </w:r>
            <w:r w:rsidR="007E30A7">
              <w:rPr>
                <w:sz w:val="20"/>
                <w:szCs w:val="20"/>
              </w:rPr>
              <w:t>Lisa M. Stead</w:t>
            </w:r>
          </w:p>
          <w:p w:rsidR="007E30A7" w:rsidRPr="00A935AA" w:rsidRDefault="007E30A7" w:rsidP="007E30A7">
            <w:pPr>
              <w:keepNext/>
              <w:keepLines/>
              <w:tabs>
                <w:tab w:val="left" w:pos="-1440"/>
                <w:tab w:val="left" w:pos="-720"/>
              </w:tabs>
              <w:rPr>
                <w:sz w:val="20"/>
                <w:szCs w:val="20"/>
              </w:rPr>
            </w:pPr>
            <w:r w:rsidRPr="00024EA8">
              <w:rPr>
                <w:sz w:val="20"/>
                <w:szCs w:val="20"/>
              </w:rPr>
              <w:tab/>
            </w:r>
            <w:r>
              <w:rPr>
                <w:sz w:val="20"/>
                <w:szCs w:val="20"/>
              </w:rPr>
              <w:t>Special Prosecutions Office</w:t>
            </w:r>
          </w:p>
          <w:p w:rsidR="007E30A7" w:rsidRPr="00A935AA" w:rsidRDefault="007E30A7" w:rsidP="007E30A7">
            <w:pPr>
              <w:keepNext/>
              <w:keepLines/>
              <w:tabs>
                <w:tab w:val="left" w:pos="-1440"/>
                <w:tab w:val="left" w:pos="-720"/>
              </w:tabs>
              <w:rPr>
                <w:sz w:val="20"/>
                <w:szCs w:val="20"/>
              </w:rPr>
            </w:pPr>
          </w:p>
          <w:p w:rsidR="007E30A7" w:rsidRPr="00A935AA" w:rsidRDefault="007E30A7" w:rsidP="007E30A7">
            <w:pPr>
              <w:keepNext/>
              <w:keepLines/>
              <w:tabs>
                <w:tab w:val="left" w:pos="-1440"/>
                <w:tab w:val="left" w:pos="-720"/>
              </w:tabs>
              <w:rPr>
                <w:sz w:val="20"/>
                <w:szCs w:val="20"/>
              </w:rPr>
            </w:pPr>
            <w:r w:rsidRPr="00A935AA">
              <w:rPr>
                <w:sz w:val="20"/>
                <w:szCs w:val="20"/>
              </w:rPr>
              <w:tab/>
              <w:t>v. (3</w:t>
            </w:r>
            <w:r>
              <w:rPr>
                <w:sz w:val="20"/>
                <w:szCs w:val="20"/>
              </w:rPr>
              <w:t>6457</w:t>
            </w:r>
            <w:r w:rsidRPr="00A935AA">
              <w:rPr>
                <w:sz w:val="20"/>
                <w:szCs w:val="20"/>
              </w:rPr>
              <w:t>)</w:t>
            </w:r>
          </w:p>
          <w:p w:rsidR="007E30A7" w:rsidRPr="00A935AA" w:rsidRDefault="007E30A7" w:rsidP="007E30A7">
            <w:pPr>
              <w:keepNext/>
              <w:keepLines/>
              <w:tabs>
                <w:tab w:val="left" w:pos="-1440"/>
                <w:tab w:val="left" w:pos="-720"/>
              </w:tabs>
              <w:rPr>
                <w:sz w:val="20"/>
                <w:szCs w:val="20"/>
              </w:rPr>
            </w:pPr>
          </w:p>
          <w:p w:rsidR="007E30A7" w:rsidRPr="00A935AA" w:rsidRDefault="007E30A7" w:rsidP="007E30A7">
            <w:pPr>
              <w:keepNext/>
              <w:keepLines/>
              <w:tabs>
                <w:tab w:val="left" w:pos="-1440"/>
                <w:tab w:val="left" w:pos="-720"/>
              </w:tabs>
              <w:rPr>
                <w:b/>
                <w:sz w:val="20"/>
                <w:szCs w:val="20"/>
              </w:rPr>
            </w:pPr>
            <w:r>
              <w:rPr>
                <w:b/>
                <w:sz w:val="20"/>
                <w:szCs w:val="20"/>
              </w:rPr>
              <w:t xml:space="preserve">J.K. </w:t>
            </w:r>
            <w:r w:rsidRPr="00A935AA">
              <w:rPr>
                <w:b/>
                <w:sz w:val="20"/>
                <w:szCs w:val="20"/>
              </w:rPr>
              <w:t>(</w:t>
            </w:r>
            <w:r>
              <w:rPr>
                <w:b/>
                <w:sz w:val="20"/>
                <w:szCs w:val="20"/>
              </w:rPr>
              <w:t>N.L</w:t>
            </w:r>
            <w:r w:rsidRPr="00A935AA">
              <w:rPr>
                <w:b/>
                <w:sz w:val="20"/>
                <w:szCs w:val="20"/>
              </w:rPr>
              <w:t>.)</w:t>
            </w:r>
          </w:p>
          <w:p w:rsidR="007E30A7" w:rsidRPr="00A935AA" w:rsidRDefault="007E30A7" w:rsidP="007E30A7">
            <w:pPr>
              <w:keepNext/>
              <w:keepLines/>
              <w:tabs>
                <w:tab w:val="left" w:pos="-1440"/>
                <w:tab w:val="left" w:pos="-720"/>
              </w:tabs>
              <w:rPr>
                <w:sz w:val="20"/>
                <w:szCs w:val="20"/>
              </w:rPr>
            </w:pPr>
            <w:r w:rsidRPr="00A935AA">
              <w:rPr>
                <w:sz w:val="20"/>
                <w:szCs w:val="20"/>
              </w:rPr>
              <w:tab/>
            </w:r>
            <w:r>
              <w:rPr>
                <w:sz w:val="20"/>
                <w:szCs w:val="20"/>
              </w:rPr>
              <w:t>Rosellen Sullivan</w:t>
            </w:r>
          </w:p>
          <w:p w:rsidR="007E30A7" w:rsidRPr="00A935AA" w:rsidRDefault="007E30A7" w:rsidP="007E30A7">
            <w:pPr>
              <w:keepNext/>
              <w:keepLines/>
              <w:tabs>
                <w:tab w:val="left" w:pos="-1440"/>
                <w:tab w:val="left" w:pos="-720"/>
              </w:tabs>
              <w:rPr>
                <w:sz w:val="20"/>
                <w:szCs w:val="20"/>
              </w:rPr>
            </w:pPr>
            <w:r w:rsidRPr="00A935AA">
              <w:rPr>
                <w:sz w:val="20"/>
                <w:szCs w:val="20"/>
              </w:rPr>
              <w:tab/>
            </w:r>
            <w:r>
              <w:rPr>
                <w:sz w:val="20"/>
                <w:szCs w:val="20"/>
              </w:rPr>
              <w:t>Simmonds &amp; Partners Defence</w:t>
            </w:r>
          </w:p>
          <w:p w:rsidR="007E30A7" w:rsidRPr="00A935AA" w:rsidRDefault="007E30A7" w:rsidP="007E30A7">
            <w:pPr>
              <w:keepNext/>
              <w:keepLines/>
              <w:tabs>
                <w:tab w:val="left" w:pos="-1440"/>
                <w:tab w:val="left" w:pos="-720"/>
              </w:tabs>
              <w:rPr>
                <w:sz w:val="20"/>
                <w:szCs w:val="20"/>
              </w:rPr>
            </w:pPr>
          </w:p>
          <w:p w:rsidR="00C21644" w:rsidRPr="00A935AA" w:rsidRDefault="007E30A7" w:rsidP="007E30A7">
            <w:pPr>
              <w:rPr>
                <w:sz w:val="20"/>
                <w:szCs w:val="20"/>
              </w:rPr>
            </w:pPr>
            <w:r w:rsidRPr="00A935AA">
              <w:rPr>
                <w:sz w:val="20"/>
                <w:szCs w:val="20"/>
              </w:rPr>
              <w:t>FILING DATE: 2</w:t>
            </w:r>
            <w:r>
              <w:rPr>
                <w:sz w:val="20"/>
                <w:szCs w:val="20"/>
              </w:rPr>
              <w:t>8</w:t>
            </w:r>
            <w:r w:rsidRPr="00A935AA">
              <w:rPr>
                <w:sz w:val="20"/>
                <w:szCs w:val="20"/>
              </w:rPr>
              <w:t>.0</w:t>
            </w:r>
            <w:r>
              <w:rPr>
                <w:sz w:val="20"/>
                <w:szCs w:val="20"/>
              </w:rPr>
              <w:t>5</w:t>
            </w:r>
            <w:r w:rsidRPr="00A935AA">
              <w:rPr>
                <w:sz w:val="20"/>
                <w:szCs w:val="20"/>
              </w:rPr>
              <w:t>.201</w:t>
            </w:r>
            <w:r>
              <w:rPr>
                <w:sz w:val="20"/>
                <w:szCs w:val="20"/>
              </w:rPr>
              <w:t>5</w:t>
            </w:r>
            <w:r w:rsidR="00BA13BB">
              <w:rPr>
                <w:sz w:val="20"/>
                <w:szCs w:val="20"/>
                <w:lang w:val="fr-CA"/>
              </w:rPr>
              <w:pict>
                <v:rect id="_x0000_i1028"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321A34" w:rsidRDefault="00321A3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321A34" w:rsidRDefault="00321A34" w:rsidP="005F1ED8">
            <w:pPr>
              <w:rPr>
                <w:b/>
                <w:sz w:val="20"/>
                <w:szCs w:val="20"/>
              </w:rPr>
            </w:pPr>
          </w:p>
          <w:p w:rsidR="00C21644" w:rsidRPr="00A935AA" w:rsidRDefault="007E30A7" w:rsidP="005F1ED8">
            <w:pPr>
              <w:rPr>
                <w:b/>
                <w:sz w:val="20"/>
                <w:szCs w:val="20"/>
              </w:rPr>
            </w:pPr>
            <w:r>
              <w:rPr>
                <w:b/>
                <w:sz w:val="20"/>
                <w:szCs w:val="20"/>
              </w:rPr>
              <w:t>Jeffrey Sebben</w:t>
            </w:r>
          </w:p>
          <w:p w:rsidR="00C21644" w:rsidRPr="00A935AA" w:rsidRDefault="00C21644" w:rsidP="005F1ED8">
            <w:pPr>
              <w:tabs>
                <w:tab w:val="left" w:pos="-1440"/>
                <w:tab w:val="left" w:pos="-720"/>
              </w:tabs>
              <w:rPr>
                <w:sz w:val="20"/>
                <w:szCs w:val="20"/>
              </w:rPr>
            </w:pPr>
            <w:r w:rsidRPr="00A935AA">
              <w:rPr>
                <w:sz w:val="20"/>
                <w:szCs w:val="20"/>
              </w:rPr>
              <w:tab/>
            </w:r>
            <w:r w:rsidR="007E30A7">
              <w:rPr>
                <w:sz w:val="20"/>
                <w:szCs w:val="20"/>
              </w:rPr>
              <w:t>David E. Harris</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7E30A7">
              <w:rPr>
                <w:sz w:val="20"/>
                <w:szCs w:val="20"/>
              </w:rPr>
              <w:t>64</w:t>
            </w:r>
            <w:r>
              <w:rPr>
                <w:sz w:val="20"/>
                <w:szCs w:val="20"/>
              </w:rPr>
              <w:t>5</w:t>
            </w:r>
            <w:r w:rsidR="007E30A7">
              <w:rPr>
                <w:sz w:val="20"/>
                <w:szCs w:val="20"/>
              </w:rPr>
              <w:t>9)</w:t>
            </w:r>
          </w:p>
          <w:p w:rsidR="00C21644" w:rsidRPr="00A935AA" w:rsidRDefault="00C21644" w:rsidP="005F1ED8">
            <w:pPr>
              <w:tabs>
                <w:tab w:val="left" w:pos="-1440"/>
                <w:tab w:val="left" w:pos="-720"/>
              </w:tabs>
              <w:rPr>
                <w:sz w:val="20"/>
                <w:szCs w:val="20"/>
              </w:rPr>
            </w:pPr>
          </w:p>
          <w:p w:rsidR="00C21644" w:rsidRPr="00A935AA" w:rsidRDefault="007E30A7" w:rsidP="005F1ED8">
            <w:pPr>
              <w:tabs>
                <w:tab w:val="left" w:pos="-1440"/>
                <w:tab w:val="left" w:pos="-720"/>
              </w:tabs>
              <w:rPr>
                <w:b/>
                <w:sz w:val="20"/>
                <w:szCs w:val="20"/>
              </w:rPr>
            </w:pPr>
            <w:r>
              <w:rPr>
                <w:b/>
                <w:sz w:val="20"/>
                <w:szCs w:val="20"/>
              </w:rPr>
              <w:t xml:space="preserve">Her Majesty the Queen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7E30A7">
              <w:rPr>
                <w:sz w:val="20"/>
                <w:szCs w:val="20"/>
              </w:rPr>
              <w:t>Kevin R. Wilson</w:t>
            </w:r>
          </w:p>
          <w:p w:rsidR="00C21644" w:rsidRPr="00A935AA" w:rsidRDefault="00C21644" w:rsidP="005F1ED8">
            <w:pPr>
              <w:tabs>
                <w:tab w:val="left" w:pos="-1440"/>
                <w:tab w:val="left" w:pos="-720"/>
              </w:tabs>
              <w:rPr>
                <w:sz w:val="20"/>
                <w:szCs w:val="20"/>
              </w:rPr>
            </w:pPr>
            <w:r w:rsidRPr="00A935AA">
              <w:rPr>
                <w:sz w:val="20"/>
                <w:szCs w:val="20"/>
              </w:rPr>
              <w:tab/>
            </w:r>
            <w:r w:rsidR="007E30A7">
              <w:rPr>
                <w:sz w:val="20"/>
                <w:szCs w:val="20"/>
              </w:rPr>
              <w:t>Public Prosecution Service of Canada</w:t>
            </w:r>
          </w:p>
          <w:p w:rsidR="00C21644" w:rsidRPr="00A935AA" w:rsidRDefault="00C21644" w:rsidP="005F1ED8">
            <w:pPr>
              <w:tabs>
                <w:tab w:val="left" w:pos="-1440"/>
                <w:tab w:val="left" w:pos="-720"/>
              </w:tabs>
              <w:rPr>
                <w:sz w:val="20"/>
                <w:szCs w:val="20"/>
              </w:rPr>
            </w:pPr>
          </w:p>
          <w:p w:rsidR="00C21644" w:rsidRPr="00A935AA" w:rsidRDefault="00C21644" w:rsidP="007E30A7">
            <w:pPr>
              <w:rPr>
                <w:sz w:val="20"/>
                <w:szCs w:val="20"/>
              </w:rPr>
            </w:pPr>
            <w:r w:rsidRPr="00A935AA">
              <w:rPr>
                <w:sz w:val="20"/>
                <w:szCs w:val="20"/>
              </w:rPr>
              <w:t>FILING DATE: 2</w:t>
            </w:r>
            <w:r>
              <w:rPr>
                <w:sz w:val="20"/>
                <w:szCs w:val="20"/>
              </w:rPr>
              <w:t>8</w:t>
            </w:r>
            <w:r w:rsidRPr="00A935AA">
              <w:rPr>
                <w:sz w:val="20"/>
                <w:szCs w:val="20"/>
              </w:rPr>
              <w:t>.0</w:t>
            </w:r>
            <w:r w:rsidR="007E30A7">
              <w:rPr>
                <w:sz w:val="20"/>
                <w:szCs w:val="20"/>
              </w:rPr>
              <w:t>5</w:t>
            </w:r>
            <w:r w:rsidRPr="00A935AA">
              <w:rPr>
                <w:sz w:val="20"/>
                <w:szCs w:val="20"/>
              </w:rPr>
              <w:t>.201</w:t>
            </w:r>
            <w:r w:rsidR="007E30A7">
              <w:rPr>
                <w:sz w:val="20"/>
                <w:szCs w:val="20"/>
              </w:rPr>
              <w:t>5</w:t>
            </w:r>
            <w:r w:rsidR="00BA13BB">
              <w:rPr>
                <w:sz w:val="20"/>
                <w:szCs w:val="20"/>
                <w:lang w:val="fr-CA"/>
              </w:rPr>
              <w:pict>
                <v:rect id="_x0000_i1029"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A60092">
          <w:headerReference w:type="default" r:id="rId16"/>
          <w:footerReference w:type="default" r:id="rId17"/>
          <w:headerReference w:type="first" r:id="rId18"/>
          <w:footerReference w:type="first" r:id="rId19"/>
          <w:pgSz w:w="12240" w:h="15840"/>
          <w:pgMar w:top="720" w:right="965" w:bottom="1080" w:left="1656" w:header="706" w:footer="706" w:gutter="0"/>
          <w:pgNumType w:start="99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BA13B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J</w:t>
      </w:r>
      <w:r w:rsidR="00A81F8F">
        <w:rPr>
          <w:b/>
          <w:sz w:val="20"/>
          <w:szCs w:val="20"/>
        </w:rPr>
        <w:t>U</w:t>
      </w:r>
      <w:r>
        <w:rPr>
          <w:b/>
          <w:sz w:val="20"/>
          <w:szCs w:val="20"/>
        </w:rPr>
        <w:t>N</w:t>
      </w:r>
      <w:r w:rsidR="00A81F8F">
        <w:rPr>
          <w:b/>
          <w:sz w:val="20"/>
          <w:szCs w:val="20"/>
        </w:rPr>
        <w:t>E</w:t>
      </w:r>
      <w:r>
        <w:rPr>
          <w:b/>
          <w:sz w:val="20"/>
          <w:szCs w:val="20"/>
        </w:rPr>
        <w:t xml:space="preserve"> </w:t>
      </w:r>
      <w:r w:rsidR="00B64565">
        <w:rPr>
          <w:b/>
          <w:sz w:val="20"/>
          <w:szCs w:val="20"/>
        </w:rPr>
        <w:t>8</w:t>
      </w:r>
      <w:r w:rsidRPr="00C50A5C">
        <w:rPr>
          <w:b/>
          <w:sz w:val="20"/>
          <w:szCs w:val="20"/>
        </w:rPr>
        <w:t>, 201</w:t>
      </w:r>
      <w:r w:rsidR="00020DC3">
        <w:rPr>
          <w:b/>
          <w:sz w:val="20"/>
          <w:szCs w:val="20"/>
        </w:rPr>
        <w:t>5</w:t>
      </w:r>
      <w:r w:rsidRPr="00C50A5C">
        <w:rPr>
          <w:b/>
          <w:sz w:val="20"/>
          <w:szCs w:val="20"/>
        </w:rPr>
        <w:t xml:space="preserve"> / LE </w:t>
      </w:r>
      <w:r w:rsidR="00B64565">
        <w:rPr>
          <w:b/>
          <w:sz w:val="20"/>
          <w:szCs w:val="20"/>
        </w:rPr>
        <w:t>8</w:t>
      </w:r>
      <w:r>
        <w:rPr>
          <w:b/>
          <w:sz w:val="20"/>
          <w:szCs w:val="20"/>
        </w:rPr>
        <w:t xml:space="preserve"> J</w:t>
      </w:r>
      <w:r w:rsidR="00A81F8F">
        <w:rPr>
          <w:b/>
          <w:sz w:val="20"/>
          <w:szCs w:val="20"/>
        </w:rPr>
        <w:t>U</w:t>
      </w:r>
      <w:r>
        <w:rPr>
          <w:b/>
          <w:sz w:val="20"/>
          <w:szCs w:val="20"/>
        </w:rPr>
        <w:t>I</w:t>
      </w:r>
      <w:r w:rsidR="00A81F8F">
        <w:rPr>
          <w:b/>
          <w:sz w:val="20"/>
          <w:szCs w:val="20"/>
        </w:rPr>
        <w:t>N</w:t>
      </w:r>
      <w:r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C73B48" w:rsidP="00CB3520">
      <w:pPr>
        <w:pStyle w:val="ListParagraph"/>
        <w:widowControl w:val="0"/>
        <w:numPr>
          <w:ilvl w:val="0"/>
          <w:numId w:val="1"/>
        </w:numPr>
        <w:ind w:hanging="720"/>
        <w:jc w:val="both"/>
        <w:rPr>
          <w:sz w:val="20"/>
          <w:szCs w:val="20"/>
        </w:rPr>
      </w:pPr>
      <w:r w:rsidRPr="00C73B48">
        <w:rPr>
          <w:i/>
          <w:sz w:val="20"/>
          <w:szCs w:val="20"/>
        </w:rPr>
        <w:t>S.J. v. Her Majesty the Queen</w:t>
      </w:r>
      <w:r w:rsidRPr="00C73B48">
        <w:rPr>
          <w:sz w:val="20"/>
          <w:szCs w:val="20"/>
        </w:rPr>
        <w:t xml:space="preserve"> (Ont.) (Crim.) (By Leave)</w:t>
      </w:r>
      <w:r w:rsidRPr="00C50A5C">
        <w:rPr>
          <w:sz w:val="20"/>
          <w:szCs w:val="20"/>
        </w:rPr>
        <w:t xml:space="preserve"> </w:t>
      </w:r>
      <w:r w:rsidR="00CB3520" w:rsidRPr="00C50A5C">
        <w:rPr>
          <w:sz w:val="20"/>
          <w:szCs w:val="20"/>
        </w:rPr>
        <w:t>(3</w:t>
      </w:r>
      <w:r w:rsidR="00CB3520">
        <w:rPr>
          <w:sz w:val="20"/>
          <w:szCs w:val="20"/>
        </w:rPr>
        <w:t>6</w:t>
      </w:r>
      <w:r>
        <w:rPr>
          <w:sz w:val="20"/>
          <w:szCs w:val="20"/>
        </w:rPr>
        <w:t>311</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C73B48" w:rsidP="00CB3520">
      <w:pPr>
        <w:pStyle w:val="ListParagraph"/>
        <w:widowControl w:val="0"/>
        <w:numPr>
          <w:ilvl w:val="0"/>
          <w:numId w:val="1"/>
        </w:numPr>
        <w:ind w:hanging="720"/>
        <w:jc w:val="both"/>
        <w:rPr>
          <w:sz w:val="20"/>
          <w:szCs w:val="20"/>
        </w:rPr>
      </w:pPr>
      <w:r w:rsidRPr="00C73B48">
        <w:rPr>
          <w:i/>
          <w:sz w:val="20"/>
          <w:szCs w:val="20"/>
        </w:rPr>
        <w:t>H. Kenneth MacLennan v. Her Majesty the Queen in Right of Ontario, as represented by the Minister of Transportation</w:t>
      </w:r>
      <w:r w:rsidRPr="00C73B48">
        <w:rPr>
          <w:sz w:val="20"/>
          <w:szCs w:val="20"/>
        </w:rPr>
        <w:t xml:space="preserve"> (Ont.) (Civil) (By Leave)</w:t>
      </w:r>
      <w:r w:rsidRPr="00C612D0">
        <w:rPr>
          <w:sz w:val="20"/>
          <w:szCs w:val="20"/>
        </w:rPr>
        <w:t xml:space="preserve"> </w:t>
      </w:r>
      <w:r w:rsidR="00CB3520" w:rsidRPr="00C612D0">
        <w:rPr>
          <w:sz w:val="20"/>
          <w:szCs w:val="20"/>
        </w:rPr>
        <w:t>(3</w:t>
      </w:r>
      <w:r>
        <w:rPr>
          <w:sz w:val="20"/>
          <w:szCs w:val="20"/>
        </w:rPr>
        <w:t>63</w:t>
      </w:r>
      <w:r w:rsidR="00CB3520">
        <w:rPr>
          <w:sz w:val="20"/>
          <w:szCs w:val="20"/>
        </w:rPr>
        <w:t>50</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C73B48" w:rsidP="00CB3520">
      <w:pPr>
        <w:pStyle w:val="ListParagraph"/>
        <w:widowControl w:val="0"/>
        <w:numPr>
          <w:ilvl w:val="0"/>
          <w:numId w:val="1"/>
        </w:numPr>
        <w:ind w:hanging="720"/>
        <w:jc w:val="both"/>
        <w:rPr>
          <w:sz w:val="20"/>
          <w:szCs w:val="20"/>
        </w:rPr>
      </w:pPr>
      <w:r w:rsidRPr="00C73B48">
        <w:rPr>
          <w:i/>
          <w:sz w:val="20"/>
          <w:szCs w:val="20"/>
        </w:rPr>
        <w:t>Heritage Capital Corporation v. Equitable Trust Company et al.</w:t>
      </w:r>
      <w:r w:rsidRPr="00C73B48">
        <w:rPr>
          <w:sz w:val="20"/>
          <w:szCs w:val="20"/>
        </w:rPr>
        <w:t xml:space="preserve"> (Alta.) (Civil) (By Leave)</w:t>
      </w:r>
      <w:r w:rsidRPr="00940CAD">
        <w:rPr>
          <w:sz w:val="20"/>
          <w:szCs w:val="20"/>
        </w:rPr>
        <w:t xml:space="preserve"> </w:t>
      </w:r>
      <w:r w:rsidR="00CB3520" w:rsidRPr="00940CAD">
        <w:rPr>
          <w:sz w:val="20"/>
          <w:szCs w:val="20"/>
        </w:rPr>
        <w:t>(3</w:t>
      </w:r>
      <w:r>
        <w:rPr>
          <w:sz w:val="20"/>
          <w:szCs w:val="20"/>
        </w:rPr>
        <w:t>6301</w:t>
      </w:r>
      <w:r w:rsidR="00CB3520" w:rsidRPr="00940CAD">
        <w:rPr>
          <w:sz w:val="20"/>
          <w:szCs w:val="20"/>
        </w:rPr>
        <w:t>)</w:t>
      </w:r>
    </w:p>
    <w:p w:rsidR="00CB3520" w:rsidRPr="00C50A5C" w:rsidRDefault="00CB3520" w:rsidP="00CB3520">
      <w:pPr>
        <w:widowControl w:val="0"/>
        <w:rPr>
          <w:sz w:val="20"/>
          <w:szCs w:val="20"/>
        </w:rPr>
      </w:pPr>
    </w:p>
    <w:p w:rsidR="00CB3520" w:rsidRPr="00C50A5C" w:rsidRDefault="00C73B48" w:rsidP="00CB3520">
      <w:pPr>
        <w:pStyle w:val="ListParagraph"/>
        <w:widowControl w:val="0"/>
        <w:numPr>
          <w:ilvl w:val="0"/>
          <w:numId w:val="1"/>
        </w:numPr>
        <w:ind w:hanging="720"/>
        <w:jc w:val="both"/>
        <w:rPr>
          <w:sz w:val="20"/>
          <w:szCs w:val="20"/>
        </w:rPr>
      </w:pPr>
      <w:r w:rsidRPr="00C73B48">
        <w:rPr>
          <w:i/>
          <w:sz w:val="20"/>
          <w:szCs w:val="20"/>
        </w:rPr>
        <w:t>Angel Sue Larkman v. Attorney General of Canada</w:t>
      </w:r>
      <w:r w:rsidRPr="00C73B48">
        <w:rPr>
          <w:sz w:val="20"/>
          <w:szCs w:val="20"/>
        </w:rPr>
        <w:t xml:space="preserve"> (F.C.) (Civil) (By Leave)</w:t>
      </w:r>
      <w:r w:rsidRPr="00C50A5C">
        <w:rPr>
          <w:sz w:val="20"/>
          <w:szCs w:val="20"/>
        </w:rPr>
        <w:t xml:space="preserve"> </w:t>
      </w:r>
      <w:r w:rsidR="00CB3520" w:rsidRPr="00C50A5C">
        <w:rPr>
          <w:sz w:val="20"/>
          <w:szCs w:val="20"/>
        </w:rPr>
        <w:t>(3</w:t>
      </w:r>
      <w:r w:rsidR="00CB3520">
        <w:rPr>
          <w:sz w:val="20"/>
          <w:szCs w:val="20"/>
        </w:rPr>
        <w:t>6</w:t>
      </w:r>
      <w:r>
        <w:rPr>
          <w:sz w:val="20"/>
          <w:szCs w:val="20"/>
        </w:rPr>
        <w:t>3</w:t>
      </w:r>
      <w:r w:rsidR="00CB3520">
        <w:rPr>
          <w:sz w:val="20"/>
          <w:szCs w:val="20"/>
        </w:rPr>
        <w:t>0</w:t>
      </w:r>
      <w:r>
        <w:rPr>
          <w:sz w:val="20"/>
          <w:szCs w:val="20"/>
        </w:rPr>
        <w:t>7</w:t>
      </w:r>
      <w:r w:rsidR="00CB3520" w:rsidRPr="00C50A5C">
        <w:rPr>
          <w:sz w:val="20"/>
          <w:szCs w:val="20"/>
        </w:rPr>
        <w:t>)</w:t>
      </w:r>
    </w:p>
    <w:p w:rsidR="00CB3520" w:rsidRDefault="00CB3520" w:rsidP="00CB3520">
      <w:pPr>
        <w:widowControl w:val="0"/>
        <w:jc w:val="both"/>
        <w:rPr>
          <w:sz w:val="20"/>
          <w:szCs w:val="20"/>
        </w:rPr>
      </w:pPr>
    </w:p>
    <w:p w:rsidR="00CB3520" w:rsidRPr="00C73B48" w:rsidRDefault="00C73B48" w:rsidP="00CB3520">
      <w:pPr>
        <w:pStyle w:val="ListParagraph"/>
        <w:widowControl w:val="0"/>
        <w:numPr>
          <w:ilvl w:val="0"/>
          <w:numId w:val="1"/>
        </w:numPr>
        <w:ind w:hanging="720"/>
        <w:jc w:val="both"/>
        <w:rPr>
          <w:sz w:val="20"/>
          <w:szCs w:val="20"/>
          <w:lang w:val="fr-CA"/>
        </w:rPr>
      </w:pPr>
      <w:r w:rsidRPr="00C73B48">
        <w:rPr>
          <w:i/>
          <w:sz w:val="20"/>
          <w:szCs w:val="20"/>
          <w:lang w:val="fr-CA"/>
        </w:rPr>
        <w:t>Association des médecins résidents de Québec c. Centre hospitalier universitaire de Québec</w:t>
      </w:r>
      <w:r w:rsidRPr="00C73B48">
        <w:rPr>
          <w:sz w:val="20"/>
          <w:szCs w:val="20"/>
          <w:lang w:val="fr-CA"/>
        </w:rPr>
        <w:t xml:space="preserve"> (Qc) (Civile) (Autorisation) </w:t>
      </w:r>
      <w:r w:rsidR="00CB3520" w:rsidRPr="00C73B48">
        <w:rPr>
          <w:sz w:val="20"/>
          <w:szCs w:val="20"/>
          <w:lang w:val="fr-CA"/>
        </w:rPr>
        <w:t>(363</w:t>
      </w:r>
      <w:r w:rsidRPr="00C73B48">
        <w:rPr>
          <w:sz w:val="20"/>
          <w:szCs w:val="20"/>
          <w:lang w:val="fr-CA"/>
        </w:rPr>
        <w:t>08</w:t>
      </w:r>
      <w:r w:rsidR="00CB3520" w:rsidRPr="00C73B48">
        <w:rPr>
          <w:sz w:val="20"/>
          <w:szCs w:val="20"/>
          <w:lang w:val="fr-CA"/>
        </w:rPr>
        <w:t>)</w:t>
      </w:r>
    </w:p>
    <w:p w:rsidR="00CB3520" w:rsidRPr="00C73B48" w:rsidRDefault="00CB3520" w:rsidP="00CB3520">
      <w:pPr>
        <w:widowControl w:val="0"/>
        <w:rPr>
          <w:sz w:val="20"/>
          <w:szCs w:val="20"/>
          <w:lang w:val="fr-CA"/>
        </w:rPr>
      </w:pPr>
    </w:p>
    <w:p w:rsidR="00CB3520" w:rsidRPr="00C73B48" w:rsidRDefault="00C73B48" w:rsidP="00CB3520">
      <w:pPr>
        <w:pStyle w:val="ListParagraph"/>
        <w:widowControl w:val="0"/>
        <w:numPr>
          <w:ilvl w:val="0"/>
          <w:numId w:val="1"/>
        </w:numPr>
        <w:ind w:hanging="720"/>
        <w:jc w:val="both"/>
        <w:rPr>
          <w:sz w:val="20"/>
          <w:szCs w:val="20"/>
        </w:rPr>
      </w:pPr>
      <w:r w:rsidRPr="00C73B48">
        <w:rPr>
          <w:i/>
          <w:sz w:val="20"/>
          <w:szCs w:val="20"/>
        </w:rPr>
        <w:t>Bradley Reckless v. Bank of Montreal</w:t>
      </w:r>
      <w:r w:rsidRPr="00C73B48">
        <w:rPr>
          <w:sz w:val="20"/>
          <w:szCs w:val="20"/>
        </w:rPr>
        <w:t xml:space="preserve"> (Ont.) (Civil) (By Leave) </w:t>
      </w:r>
      <w:r w:rsidR="00CB3520" w:rsidRPr="00C73B48">
        <w:rPr>
          <w:sz w:val="20"/>
          <w:szCs w:val="20"/>
        </w:rPr>
        <w:t>(363</w:t>
      </w:r>
      <w:r w:rsidRPr="00C73B48">
        <w:rPr>
          <w:sz w:val="20"/>
          <w:szCs w:val="20"/>
        </w:rPr>
        <w:t>56</w:t>
      </w:r>
      <w:r w:rsidR="00CB3520" w:rsidRPr="00C73B48">
        <w:rPr>
          <w:sz w:val="20"/>
          <w:szCs w:val="20"/>
        </w:rPr>
        <w:t>)</w:t>
      </w:r>
    </w:p>
    <w:p w:rsidR="00CB3520" w:rsidRPr="00C73B48" w:rsidRDefault="00CB3520" w:rsidP="00CB3520">
      <w:pPr>
        <w:widowControl w:val="0"/>
        <w:jc w:val="both"/>
        <w:rPr>
          <w:sz w:val="20"/>
          <w:szCs w:val="20"/>
        </w:rPr>
      </w:pPr>
    </w:p>
    <w:p w:rsidR="00C73B48" w:rsidRPr="00C73B48" w:rsidRDefault="00C73B48" w:rsidP="00CB3520">
      <w:pPr>
        <w:widowControl w:val="0"/>
        <w:jc w:val="both"/>
        <w:rPr>
          <w:sz w:val="20"/>
          <w:szCs w:val="20"/>
        </w:rPr>
      </w:pPr>
    </w:p>
    <w:p w:rsidR="00C73B48" w:rsidRPr="00C73B48" w:rsidRDefault="00C73B48" w:rsidP="00C73B48">
      <w:pPr>
        <w:widowControl w:val="0"/>
        <w:jc w:val="center"/>
        <w:rPr>
          <w:b/>
          <w:sz w:val="20"/>
          <w:szCs w:val="20"/>
          <w:lang w:val="fr-CA"/>
        </w:rPr>
      </w:pPr>
      <w:r w:rsidRPr="00C73B48">
        <w:rPr>
          <w:b/>
          <w:sz w:val="20"/>
          <w:szCs w:val="20"/>
          <w:lang w:val="fr-CA"/>
        </w:rPr>
        <w:t>CORAM: Abella, Karakatsanis and Côté JJ.</w:t>
      </w:r>
    </w:p>
    <w:p w:rsidR="00C73B48" w:rsidRPr="00C50A5C" w:rsidRDefault="00C73B48" w:rsidP="00C73B48">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C73B48" w:rsidRPr="00115C9E" w:rsidRDefault="00C73B48" w:rsidP="00CB3520">
      <w:pPr>
        <w:widowControl w:val="0"/>
        <w:jc w:val="both"/>
        <w:rPr>
          <w:sz w:val="20"/>
          <w:szCs w:val="20"/>
          <w:lang w:val="fr-CA"/>
        </w:rPr>
      </w:pPr>
    </w:p>
    <w:p w:rsidR="00CB3520" w:rsidRPr="009C5D38" w:rsidRDefault="00BF2C4D" w:rsidP="00CB3520">
      <w:pPr>
        <w:pStyle w:val="ListParagraph"/>
        <w:widowControl w:val="0"/>
        <w:numPr>
          <w:ilvl w:val="0"/>
          <w:numId w:val="1"/>
        </w:numPr>
        <w:ind w:hanging="720"/>
        <w:jc w:val="both"/>
        <w:rPr>
          <w:sz w:val="20"/>
          <w:szCs w:val="20"/>
        </w:rPr>
      </w:pPr>
      <w:r w:rsidRPr="00BF2C4D">
        <w:rPr>
          <w:i/>
          <w:sz w:val="20"/>
          <w:szCs w:val="20"/>
        </w:rPr>
        <w:t>Robert Pammett v. Her Majesty the Queen</w:t>
      </w:r>
      <w:r w:rsidRPr="00C73B48">
        <w:rPr>
          <w:sz w:val="20"/>
          <w:szCs w:val="20"/>
        </w:rPr>
        <w:t xml:space="preserve"> (Ont.) (Crim.) (By Leave)</w:t>
      </w:r>
      <w:r w:rsidRPr="009C5D38">
        <w:rPr>
          <w:sz w:val="20"/>
          <w:szCs w:val="20"/>
        </w:rPr>
        <w:t xml:space="preserve"> </w:t>
      </w:r>
      <w:r w:rsidR="00CB3520" w:rsidRPr="009C5D38">
        <w:rPr>
          <w:sz w:val="20"/>
          <w:szCs w:val="20"/>
        </w:rPr>
        <w:t>(363</w:t>
      </w:r>
      <w:r w:rsidR="00C73B48">
        <w:rPr>
          <w:sz w:val="20"/>
          <w:szCs w:val="20"/>
        </w:rPr>
        <w:t>42</w:t>
      </w:r>
      <w:r w:rsidR="00CB3520" w:rsidRPr="009C5D38">
        <w:rPr>
          <w:sz w:val="20"/>
          <w:szCs w:val="20"/>
        </w:rPr>
        <w:t>)</w:t>
      </w:r>
    </w:p>
    <w:p w:rsidR="00CB3520" w:rsidRPr="009C5D38" w:rsidRDefault="00CB3520" w:rsidP="00CB3520">
      <w:pPr>
        <w:widowControl w:val="0"/>
        <w:jc w:val="both"/>
        <w:rPr>
          <w:sz w:val="20"/>
          <w:szCs w:val="20"/>
        </w:rPr>
      </w:pPr>
    </w:p>
    <w:p w:rsidR="00CB3520" w:rsidRPr="00C50A5C" w:rsidRDefault="00D406D9" w:rsidP="00CB3520">
      <w:pPr>
        <w:pStyle w:val="ListParagraph"/>
        <w:widowControl w:val="0"/>
        <w:numPr>
          <w:ilvl w:val="0"/>
          <w:numId w:val="1"/>
        </w:numPr>
        <w:ind w:hanging="720"/>
        <w:jc w:val="both"/>
        <w:rPr>
          <w:sz w:val="20"/>
          <w:szCs w:val="20"/>
          <w:lang w:val="fr-CA"/>
        </w:rPr>
      </w:pPr>
      <w:r w:rsidRPr="00BF2C4D">
        <w:rPr>
          <w:i/>
          <w:sz w:val="20"/>
          <w:szCs w:val="20"/>
          <w:lang w:val="fr-CA"/>
        </w:rPr>
        <w:t>Commission scolaire francophone, Territoires du Nord-Ouest et autres c. Procureur général des Territoires du Nord-Ouest et autre</w:t>
      </w:r>
      <w:r w:rsidRPr="00C73B48">
        <w:rPr>
          <w:sz w:val="20"/>
          <w:szCs w:val="20"/>
          <w:lang w:val="fr-CA"/>
        </w:rPr>
        <w:t xml:space="preserve"> (T.N.-O.) (Civile) (Autorisation)</w:t>
      </w:r>
      <w:r w:rsidRPr="009C5D38">
        <w:rPr>
          <w:sz w:val="20"/>
          <w:szCs w:val="20"/>
          <w:lang w:val="fr-CA"/>
        </w:rPr>
        <w:t xml:space="preserve"> (36</w:t>
      </w:r>
      <w:r>
        <w:rPr>
          <w:sz w:val="20"/>
          <w:szCs w:val="20"/>
          <w:lang w:val="fr-CA"/>
        </w:rPr>
        <w:t>337</w:t>
      </w:r>
      <w:r w:rsidRPr="009C5D38">
        <w:rPr>
          <w:sz w:val="20"/>
          <w:szCs w:val="20"/>
          <w:lang w:val="fr-CA"/>
        </w:rPr>
        <w:t>)</w:t>
      </w:r>
    </w:p>
    <w:p w:rsidR="00CB3520" w:rsidRDefault="00CB3520" w:rsidP="00CB3520">
      <w:pPr>
        <w:widowControl w:val="0"/>
        <w:rPr>
          <w:sz w:val="20"/>
          <w:szCs w:val="20"/>
          <w:lang w:val="fr-CA"/>
        </w:rPr>
      </w:pPr>
    </w:p>
    <w:p w:rsidR="00CB3520" w:rsidRPr="009C5D38" w:rsidRDefault="00D406D9" w:rsidP="00CB3520">
      <w:pPr>
        <w:pStyle w:val="ListParagraph"/>
        <w:widowControl w:val="0"/>
        <w:numPr>
          <w:ilvl w:val="0"/>
          <w:numId w:val="1"/>
        </w:numPr>
        <w:ind w:hanging="720"/>
        <w:jc w:val="both"/>
        <w:rPr>
          <w:sz w:val="20"/>
          <w:szCs w:val="20"/>
          <w:lang w:val="fr-CA"/>
        </w:rPr>
      </w:pPr>
      <w:r w:rsidRPr="00BF2C4D">
        <w:rPr>
          <w:i/>
          <w:sz w:val="20"/>
          <w:szCs w:val="20"/>
          <w:lang w:val="fr-CA"/>
        </w:rPr>
        <w:t>Association des parents ayants droit de Yellowknife et autres c. Procureur général des Territoires du Nord-Ouest et autre</w:t>
      </w:r>
      <w:r w:rsidRPr="00C73B48">
        <w:rPr>
          <w:sz w:val="20"/>
          <w:szCs w:val="20"/>
          <w:lang w:val="fr-CA"/>
        </w:rPr>
        <w:t xml:space="preserve"> (T.N.-O.) (Civile) (Autorisation)</w:t>
      </w:r>
      <w:r w:rsidRPr="00C50A5C">
        <w:rPr>
          <w:sz w:val="20"/>
          <w:szCs w:val="20"/>
          <w:lang w:val="fr-CA"/>
        </w:rPr>
        <w:t xml:space="preserve"> (3</w:t>
      </w:r>
      <w:r>
        <w:rPr>
          <w:sz w:val="20"/>
          <w:szCs w:val="20"/>
          <w:lang w:val="fr-CA"/>
        </w:rPr>
        <w:t>6338</w:t>
      </w:r>
      <w:r w:rsidRPr="00C50A5C">
        <w:rPr>
          <w:sz w:val="20"/>
          <w:szCs w:val="20"/>
          <w:lang w:val="fr-CA"/>
        </w:rPr>
        <w:t>)</w:t>
      </w:r>
    </w:p>
    <w:p w:rsidR="00CB3520" w:rsidRPr="00BF2C4D" w:rsidRDefault="00CB3520" w:rsidP="00CB3520">
      <w:pPr>
        <w:widowControl w:val="0"/>
        <w:jc w:val="both"/>
        <w:rPr>
          <w:i/>
          <w:sz w:val="20"/>
          <w:szCs w:val="20"/>
          <w:lang w:val="fr-CA"/>
        </w:rPr>
      </w:pPr>
    </w:p>
    <w:p w:rsidR="00CB3520" w:rsidRPr="00115C9E" w:rsidRDefault="00BF2C4D" w:rsidP="00CB3520">
      <w:pPr>
        <w:pStyle w:val="ListParagraph"/>
        <w:widowControl w:val="0"/>
        <w:numPr>
          <w:ilvl w:val="0"/>
          <w:numId w:val="1"/>
        </w:numPr>
        <w:ind w:hanging="720"/>
        <w:jc w:val="both"/>
        <w:rPr>
          <w:sz w:val="20"/>
          <w:szCs w:val="20"/>
        </w:rPr>
      </w:pPr>
      <w:r w:rsidRPr="00BF2C4D">
        <w:rPr>
          <w:i/>
          <w:sz w:val="20"/>
          <w:szCs w:val="20"/>
        </w:rPr>
        <w:t>Workplace Health, Safety and Compensation Commission v. Douglas Allen et al.</w:t>
      </w:r>
      <w:r w:rsidRPr="00C73B48">
        <w:rPr>
          <w:sz w:val="20"/>
          <w:szCs w:val="20"/>
        </w:rPr>
        <w:t xml:space="preserve"> (N.L.) </w:t>
      </w:r>
      <w:r w:rsidRPr="00BF2C4D">
        <w:rPr>
          <w:sz w:val="20"/>
          <w:szCs w:val="20"/>
        </w:rPr>
        <w:t>(Civil) (By Leave)</w:t>
      </w:r>
      <w:r w:rsidRPr="00115C9E">
        <w:rPr>
          <w:sz w:val="20"/>
          <w:szCs w:val="20"/>
        </w:rPr>
        <w:t xml:space="preserve"> </w:t>
      </w:r>
      <w:r w:rsidR="00CB3520" w:rsidRPr="00115C9E">
        <w:rPr>
          <w:sz w:val="20"/>
          <w:szCs w:val="20"/>
        </w:rPr>
        <w:t>(3</w:t>
      </w:r>
      <w:r w:rsidR="00C73B48">
        <w:rPr>
          <w:sz w:val="20"/>
          <w:szCs w:val="20"/>
        </w:rPr>
        <w:t>626</w:t>
      </w:r>
      <w:r w:rsidR="00CB3520">
        <w:rPr>
          <w:sz w:val="20"/>
          <w:szCs w:val="20"/>
        </w:rPr>
        <w:t>5</w:t>
      </w:r>
      <w:r w:rsidR="00CB3520" w:rsidRPr="00115C9E">
        <w:rPr>
          <w:sz w:val="20"/>
          <w:szCs w:val="20"/>
        </w:rPr>
        <w:t>)</w:t>
      </w:r>
    </w:p>
    <w:p w:rsidR="00CB3520" w:rsidRDefault="00CB3520" w:rsidP="00CB3520">
      <w:pPr>
        <w:widowControl w:val="0"/>
        <w:jc w:val="both"/>
        <w:rPr>
          <w:sz w:val="20"/>
          <w:szCs w:val="20"/>
        </w:rPr>
      </w:pPr>
    </w:p>
    <w:p w:rsidR="00CB3520" w:rsidRPr="00BF2C4D" w:rsidRDefault="00BF2C4D" w:rsidP="00CB3520">
      <w:pPr>
        <w:pStyle w:val="ListParagraph"/>
        <w:widowControl w:val="0"/>
        <w:numPr>
          <w:ilvl w:val="0"/>
          <w:numId w:val="1"/>
        </w:numPr>
        <w:ind w:hanging="720"/>
        <w:jc w:val="both"/>
        <w:rPr>
          <w:sz w:val="20"/>
          <w:szCs w:val="20"/>
          <w:lang w:val="fr-CA"/>
        </w:rPr>
      </w:pPr>
      <w:r w:rsidRPr="00BF2C4D">
        <w:rPr>
          <w:i/>
          <w:sz w:val="20"/>
          <w:szCs w:val="20"/>
          <w:lang w:val="fr-CA"/>
        </w:rPr>
        <w:t>Ville de Laval c. Frères Maristes (Iberville)</w:t>
      </w:r>
      <w:r w:rsidRPr="00C73B48">
        <w:rPr>
          <w:sz w:val="20"/>
          <w:szCs w:val="20"/>
          <w:lang w:val="fr-CA"/>
        </w:rPr>
        <w:t xml:space="preserve"> (Qc) (Civile) (Autorisation)</w:t>
      </w:r>
      <w:r w:rsidRPr="00BF2C4D">
        <w:rPr>
          <w:sz w:val="20"/>
          <w:szCs w:val="20"/>
          <w:lang w:val="fr-CA"/>
        </w:rPr>
        <w:t xml:space="preserve"> </w:t>
      </w:r>
      <w:r w:rsidR="00CB3520" w:rsidRPr="00BF2C4D">
        <w:rPr>
          <w:sz w:val="20"/>
          <w:szCs w:val="20"/>
          <w:lang w:val="fr-CA"/>
        </w:rPr>
        <w:t>(360</w:t>
      </w:r>
      <w:r w:rsidR="00C73B48" w:rsidRPr="00BF2C4D">
        <w:rPr>
          <w:sz w:val="20"/>
          <w:szCs w:val="20"/>
          <w:lang w:val="fr-CA"/>
        </w:rPr>
        <w:t>44</w:t>
      </w:r>
      <w:r w:rsidR="00CB3520" w:rsidRPr="00BF2C4D">
        <w:rPr>
          <w:sz w:val="20"/>
          <w:szCs w:val="20"/>
          <w:lang w:val="fr-CA"/>
        </w:rPr>
        <w:t>)</w:t>
      </w:r>
    </w:p>
    <w:p w:rsidR="00CB3520" w:rsidRPr="00BF2C4D" w:rsidRDefault="00CB3520" w:rsidP="00CB3520">
      <w:pPr>
        <w:widowControl w:val="0"/>
        <w:jc w:val="both"/>
        <w:rPr>
          <w:sz w:val="20"/>
          <w:szCs w:val="20"/>
          <w:lang w:val="fr-CA"/>
        </w:rPr>
      </w:pPr>
    </w:p>
    <w:p w:rsidR="00CB3520" w:rsidRDefault="00BF2C4D" w:rsidP="00CB3520">
      <w:pPr>
        <w:pStyle w:val="ListParagraph"/>
        <w:widowControl w:val="0"/>
        <w:numPr>
          <w:ilvl w:val="0"/>
          <w:numId w:val="1"/>
        </w:numPr>
        <w:ind w:hanging="720"/>
        <w:jc w:val="both"/>
        <w:rPr>
          <w:sz w:val="20"/>
          <w:szCs w:val="20"/>
        </w:rPr>
      </w:pPr>
      <w:r w:rsidRPr="00BF2C4D">
        <w:rPr>
          <w:i/>
          <w:sz w:val="20"/>
          <w:szCs w:val="20"/>
          <w:lang w:val="fr-CA"/>
        </w:rPr>
        <w:t>J.C.B. v. H.J.C. et al.</w:t>
      </w:r>
      <w:r w:rsidRPr="00BF2C4D">
        <w:rPr>
          <w:sz w:val="20"/>
          <w:szCs w:val="20"/>
          <w:lang w:val="fr-CA"/>
        </w:rPr>
        <w:t xml:space="preserve"> </w:t>
      </w:r>
      <w:r w:rsidRPr="00C73B48">
        <w:rPr>
          <w:sz w:val="20"/>
          <w:szCs w:val="20"/>
        </w:rPr>
        <w:t>(Alta.) (Civil) (By Leave)</w:t>
      </w:r>
      <w:r w:rsidRPr="00C50A5C">
        <w:rPr>
          <w:sz w:val="20"/>
          <w:szCs w:val="20"/>
        </w:rPr>
        <w:t xml:space="preserve"> </w:t>
      </w:r>
      <w:r w:rsidR="00CB3520" w:rsidRPr="00C50A5C">
        <w:rPr>
          <w:sz w:val="20"/>
          <w:szCs w:val="20"/>
        </w:rPr>
        <w:t>(3</w:t>
      </w:r>
      <w:r w:rsidR="00CB3520">
        <w:rPr>
          <w:sz w:val="20"/>
          <w:szCs w:val="20"/>
        </w:rPr>
        <w:t>6</w:t>
      </w:r>
      <w:r w:rsidR="00C73B48">
        <w:rPr>
          <w:sz w:val="20"/>
          <w:szCs w:val="20"/>
        </w:rPr>
        <w:t>408</w:t>
      </w:r>
      <w:r w:rsidR="00CB3520" w:rsidRPr="00C50A5C">
        <w:rPr>
          <w:sz w:val="20"/>
          <w:szCs w:val="20"/>
        </w:rPr>
        <w:t>)</w:t>
      </w:r>
    </w:p>
    <w:p w:rsidR="00CB3520" w:rsidRPr="009C5D38" w:rsidRDefault="00CB3520" w:rsidP="00CB3520">
      <w:pPr>
        <w:widowControl w:val="0"/>
        <w:rPr>
          <w:i/>
          <w:sz w:val="20"/>
          <w:szCs w:val="20"/>
        </w:rPr>
      </w:pPr>
    </w:p>
    <w:p w:rsidR="00CB3520" w:rsidRPr="009C5D38" w:rsidRDefault="00BF2C4D" w:rsidP="00CB3520">
      <w:pPr>
        <w:pStyle w:val="ListParagraph"/>
        <w:widowControl w:val="0"/>
        <w:numPr>
          <w:ilvl w:val="0"/>
          <w:numId w:val="1"/>
        </w:numPr>
        <w:ind w:hanging="720"/>
        <w:jc w:val="both"/>
        <w:rPr>
          <w:sz w:val="20"/>
          <w:szCs w:val="20"/>
        </w:rPr>
      </w:pPr>
      <w:r w:rsidRPr="00BF2C4D">
        <w:rPr>
          <w:i/>
          <w:sz w:val="20"/>
          <w:szCs w:val="20"/>
          <w:lang w:val="fr-CA"/>
        </w:rPr>
        <w:t>Lyrtech Rd Inc. c. Sa Majesté la Reine</w:t>
      </w:r>
      <w:r w:rsidRPr="00C73B48">
        <w:rPr>
          <w:sz w:val="20"/>
          <w:szCs w:val="20"/>
          <w:lang w:val="fr-CA"/>
        </w:rPr>
        <w:t xml:space="preserve"> (C.F.) (Civile) (Autorisation)</w:t>
      </w:r>
      <w:r w:rsidRPr="009C5D38">
        <w:rPr>
          <w:sz w:val="20"/>
          <w:szCs w:val="20"/>
        </w:rPr>
        <w:t xml:space="preserve"> </w:t>
      </w:r>
      <w:r w:rsidR="00CB3520" w:rsidRPr="009C5D38">
        <w:rPr>
          <w:sz w:val="20"/>
          <w:szCs w:val="20"/>
        </w:rPr>
        <w:t>(36</w:t>
      </w:r>
      <w:r w:rsidR="00C73B48">
        <w:rPr>
          <w:sz w:val="20"/>
          <w:szCs w:val="20"/>
        </w:rPr>
        <w:t>259</w:t>
      </w:r>
      <w:r w:rsidR="00CB3520" w:rsidRPr="009C5D38">
        <w:rPr>
          <w:sz w:val="20"/>
          <w:szCs w:val="20"/>
        </w:rPr>
        <w:t>)</w:t>
      </w:r>
    </w:p>
    <w:p w:rsidR="00CB3520" w:rsidRDefault="00CB3520" w:rsidP="00CB3520">
      <w:pPr>
        <w:widowControl w:val="0"/>
        <w:jc w:val="both"/>
        <w:rPr>
          <w:sz w:val="20"/>
          <w:szCs w:val="20"/>
        </w:rPr>
      </w:pPr>
    </w:p>
    <w:p w:rsidR="00C73B48" w:rsidRDefault="00C73B48" w:rsidP="00CB3520">
      <w:pPr>
        <w:widowControl w:val="0"/>
        <w:jc w:val="both"/>
        <w:rPr>
          <w:sz w:val="20"/>
          <w:szCs w:val="20"/>
        </w:rPr>
      </w:pPr>
    </w:p>
    <w:p w:rsidR="00C73B48" w:rsidRPr="00C50A5C" w:rsidRDefault="00C73B48" w:rsidP="00C73B48">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C73B48" w:rsidRPr="00C50A5C" w:rsidRDefault="00C73B48" w:rsidP="00C73B48">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C73B48" w:rsidRPr="00C73B48" w:rsidRDefault="00C73B48" w:rsidP="00CB3520">
      <w:pPr>
        <w:widowControl w:val="0"/>
        <w:jc w:val="both"/>
        <w:rPr>
          <w:sz w:val="20"/>
          <w:szCs w:val="20"/>
          <w:lang w:val="fr-CA"/>
        </w:rPr>
      </w:pPr>
    </w:p>
    <w:p w:rsidR="00CB3520" w:rsidRPr="00C50A5C" w:rsidRDefault="00BF2C4D" w:rsidP="00CB3520">
      <w:pPr>
        <w:pStyle w:val="ListParagraph"/>
        <w:widowControl w:val="0"/>
        <w:numPr>
          <w:ilvl w:val="0"/>
          <w:numId w:val="1"/>
        </w:numPr>
        <w:ind w:hanging="720"/>
        <w:jc w:val="both"/>
        <w:rPr>
          <w:sz w:val="20"/>
          <w:szCs w:val="20"/>
          <w:lang w:val="fr-CA"/>
        </w:rPr>
      </w:pPr>
      <w:r w:rsidRPr="00BF2C4D">
        <w:rPr>
          <w:i/>
          <w:sz w:val="20"/>
          <w:szCs w:val="20"/>
        </w:rPr>
        <w:t xml:space="preserve">World Bank Group v. Kevin Wallace et al. </w:t>
      </w:r>
      <w:r w:rsidRPr="00C73B48">
        <w:rPr>
          <w:sz w:val="20"/>
          <w:szCs w:val="20"/>
        </w:rPr>
        <w:t>(Ont.) (Crim.) (By Leave)</w:t>
      </w:r>
      <w:r w:rsidRPr="00C50A5C">
        <w:rPr>
          <w:sz w:val="20"/>
          <w:szCs w:val="20"/>
          <w:lang w:val="fr-CA"/>
        </w:rPr>
        <w:t xml:space="preserve"> </w:t>
      </w:r>
      <w:r w:rsidR="00CB3520" w:rsidRPr="00C50A5C">
        <w:rPr>
          <w:sz w:val="20"/>
          <w:szCs w:val="20"/>
          <w:lang w:val="fr-CA"/>
        </w:rPr>
        <w:t>(3</w:t>
      </w:r>
      <w:r w:rsidR="00C73B48">
        <w:rPr>
          <w:sz w:val="20"/>
          <w:szCs w:val="20"/>
          <w:lang w:val="fr-CA"/>
        </w:rPr>
        <w:t>631</w:t>
      </w:r>
      <w:r w:rsidR="00CB3520">
        <w:rPr>
          <w:sz w:val="20"/>
          <w:szCs w:val="20"/>
          <w:lang w:val="fr-CA"/>
        </w:rPr>
        <w:t>5</w:t>
      </w:r>
      <w:r w:rsidR="00CB3520" w:rsidRPr="00C50A5C">
        <w:rPr>
          <w:sz w:val="20"/>
          <w:szCs w:val="20"/>
          <w:lang w:val="fr-CA"/>
        </w:rPr>
        <w:t>)</w:t>
      </w:r>
    </w:p>
    <w:p w:rsidR="00CB3520" w:rsidRPr="00C50A5C" w:rsidRDefault="00CB3520" w:rsidP="00CB3520">
      <w:pPr>
        <w:widowControl w:val="0"/>
        <w:jc w:val="both"/>
        <w:rPr>
          <w:sz w:val="20"/>
          <w:szCs w:val="20"/>
          <w:lang w:val="fr-CA"/>
        </w:rPr>
      </w:pPr>
    </w:p>
    <w:p w:rsidR="00CB3520" w:rsidRDefault="00BF2C4D" w:rsidP="00CB3520">
      <w:pPr>
        <w:pStyle w:val="ListParagraph"/>
        <w:widowControl w:val="0"/>
        <w:numPr>
          <w:ilvl w:val="0"/>
          <w:numId w:val="1"/>
        </w:numPr>
        <w:ind w:hanging="720"/>
        <w:jc w:val="both"/>
        <w:rPr>
          <w:sz w:val="20"/>
          <w:szCs w:val="20"/>
        </w:rPr>
      </w:pPr>
      <w:r w:rsidRPr="00BF2C4D">
        <w:rPr>
          <w:i/>
          <w:sz w:val="20"/>
          <w:szCs w:val="20"/>
        </w:rPr>
        <w:t>Ariston Realty Corp. v. Elcarim Inc. and Elaine Wai Mascall</w:t>
      </w:r>
      <w:r w:rsidRPr="00C73B48">
        <w:rPr>
          <w:sz w:val="20"/>
          <w:szCs w:val="20"/>
        </w:rPr>
        <w:t xml:space="preserve"> (Ont.) (Civil) (By Leave)</w:t>
      </w:r>
      <w:r w:rsidRPr="009C5D38">
        <w:rPr>
          <w:sz w:val="20"/>
          <w:szCs w:val="20"/>
        </w:rPr>
        <w:t xml:space="preserve"> </w:t>
      </w:r>
      <w:r w:rsidR="00CB3520" w:rsidRPr="009C5D38">
        <w:rPr>
          <w:sz w:val="20"/>
          <w:szCs w:val="20"/>
        </w:rPr>
        <w:t>(3</w:t>
      </w:r>
      <w:r w:rsidR="00C73B48">
        <w:rPr>
          <w:sz w:val="20"/>
          <w:szCs w:val="20"/>
        </w:rPr>
        <w:t>632</w:t>
      </w:r>
      <w:r w:rsidR="00CB3520" w:rsidRPr="009C5D38">
        <w:rPr>
          <w:sz w:val="20"/>
          <w:szCs w:val="20"/>
        </w:rPr>
        <w:t>5)</w:t>
      </w:r>
    </w:p>
    <w:p w:rsidR="00C73B48" w:rsidRDefault="00C73B48" w:rsidP="00C73B48">
      <w:pPr>
        <w:pStyle w:val="ListParagraph"/>
        <w:widowControl w:val="0"/>
        <w:ind w:left="0"/>
        <w:jc w:val="both"/>
        <w:rPr>
          <w:sz w:val="20"/>
          <w:szCs w:val="20"/>
        </w:rPr>
      </w:pPr>
    </w:p>
    <w:p w:rsidR="00C73B48" w:rsidRDefault="00BF2C4D" w:rsidP="00CB3520">
      <w:pPr>
        <w:pStyle w:val="ListParagraph"/>
        <w:widowControl w:val="0"/>
        <w:numPr>
          <w:ilvl w:val="0"/>
          <w:numId w:val="1"/>
        </w:numPr>
        <w:ind w:hanging="720"/>
        <w:jc w:val="both"/>
        <w:rPr>
          <w:sz w:val="20"/>
          <w:szCs w:val="20"/>
        </w:rPr>
      </w:pPr>
      <w:r w:rsidRPr="00BF2C4D">
        <w:rPr>
          <w:i/>
          <w:sz w:val="20"/>
          <w:szCs w:val="20"/>
        </w:rPr>
        <w:t>Michael Panula v. Attorney General of Canada</w:t>
      </w:r>
      <w:r w:rsidRPr="00C73B48">
        <w:rPr>
          <w:sz w:val="20"/>
          <w:szCs w:val="20"/>
        </w:rPr>
        <w:t xml:space="preserve"> (F.C.) (Civil) (By Leave)</w:t>
      </w:r>
      <w:r>
        <w:rPr>
          <w:sz w:val="20"/>
          <w:szCs w:val="20"/>
        </w:rPr>
        <w:t xml:space="preserve"> </w:t>
      </w:r>
      <w:r w:rsidR="00C73B48">
        <w:rPr>
          <w:sz w:val="20"/>
          <w:szCs w:val="20"/>
        </w:rPr>
        <w:t>(36344)</w:t>
      </w:r>
    </w:p>
    <w:p w:rsidR="00C73B48" w:rsidRDefault="00C73B48" w:rsidP="00C73B48">
      <w:pPr>
        <w:pStyle w:val="ListParagraph"/>
        <w:widowControl w:val="0"/>
        <w:ind w:left="0"/>
        <w:jc w:val="both"/>
        <w:rPr>
          <w:sz w:val="20"/>
          <w:szCs w:val="20"/>
        </w:rPr>
      </w:pPr>
    </w:p>
    <w:p w:rsidR="00C73B48" w:rsidRDefault="00BF2C4D" w:rsidP="00CB3520">
      <w:pPr>
        <w:pStyle w:val="ListParagraph"/>
        <w:widowControl w:val="0"/>
        <w:numPr>
          <w:ilvl w:val="0"/>
          <w:numId w:val="1"/>
        </w:numPr>
        <w:ind w:hanging="720"/>
        <w:jc w:val="both"/>
        <w:rPr>
          <w:sz w:val="20"/>
          <w:szCs w:val="20"/>
        </w:rPr>
      </w:pPr>
      <w:r w:rsidRPr="00BF2C4D">
        <w:rPr>
          <w:i/>
          <w:sz w:val="20"/>
          <w:szCs w:val="20"/>
        </w:rPr>
        <w:t>Shin Han F &amp; P Inc. v. Canada-Nova Scotia Offshore Petroleum Board</w:t>
      </w:r>
      <w:r w:rsidRPr="00C73B48">
        <w:rPr>
          <w:sz w:val="20"/>
          <w:szCs w:val="20"/>
        </w:rPr>
        <w:t xml:space="preserve"> (N.S.) (Civil) (By Leave)</w:t>
      </w:r>
      <w:r>
        <w:rPr>
          <w:sz w:val="20"/>
          <w:szCs w:val="20"/>
        </w:rPr>
        <w:t xml:space="preserve"> </w:t>
      </w:r>
      <w:r w:rsidR="00C73B48">
        <w:rPr>
          <w:sz w:val="20"/>
          <w:szCs w:val="20"/>
        </w:rPr>
        <w:t>(36289)</w:t>
      </w:r>
    </w:p>
    <w:p w:rsidR="00C73B48" w:rsidRDefault="00C73B48" w:rsidP="00C73B48">
      <w:pPr>
        <w:pStyle w:val="ListParagraph"/>
        <w:widowControl w:val="0"/>
        <w:ind w:left="0"/>
        <w:jc w:val="both"/>
        <w:rPr>
          <w:sz w:val="20"/>
          <w:szCs w:val="20"/>
        </w:rPr>
      </w:pPr>
    </w:p>
    <w:p w:rsidR="00C73B48" w:rsidRDefault="00BF2C4D" w:rsidP="00CB3520">
      <w:pPr>
        <w:pStyle w:val="ListParagraph"/>
        <w:widowControl w:val="0"/>
        <w:numPr>
          <w:ilvl w:val="0"/>
          <w:numId w:val="1"/>
        </w:numPr>
        <w:ind w:hanging="720"/>
        <w:jc w:val="both"/>
        <w:rPr>
          <w:sz w:val="20"/>
          <w:szCs w:val="20"/>
        </w:rPr>
      </w:pPr>
      <w:r w:rsidRPr="00BF2C4D">
        <w:rPr>
          <w:i/>
          <w:sz w:val="20"/>
          <w:szCs w:val="20"/>
        </w:rPr>
        <w:t>Larry Peter Klippenstein v. Attorney General of Canada</w:t>
      </w:r>
      <w:r w:rsidRPr="00C73B48">
        <w:rPr>
          <w:sz w:val="20"/>
          <w:szCs w:val="20"/>
        </w:rPr>
        <w:t xml:space="preserve"> (F.C.) (Civil) (By Leave)</w:t>
      </w:r>
      <w:r>
        <w:rPr>
          <w:sz w:val="20"/>
          <w:szCs w:val="20"/>
        </w:rPr>
        <w:t xml:space="preserve"> </w:t>
      </w:r>
      <w:r w:rsidR="00C73B48">
        <w:rPr>
          <w:sz w:val="20"/>
          <w:szCs w:val="20"/>
        </w:rPr>
        <w:t>(36406)</w:t>
      </w:r>
    </w:p>
    <w:p w:rsidR="00C73B48" w:rsidRDefault="00C73B48" w:rsidP="00C73B48">
      <w:pPr>
        <w:pStyle w:val="ListParagraph"/>
        <w:widowControl w:val="0"/>
        <w:ind w:left="0"/>
        <w:jc w:val="both"/>
        <w:rPr>
          <w:sz w:val="20"/>
          <w:szCs w:val="20"/>
        </w:rPr>
      </w:pPr>
    </w:p>
    <w:p w:rsidR="00C73B48" w:rsidRDefault="00BF2C4D" w:rsidP="00CB3520">
      <w:pPr>
        <w:pStyle w:val="ListParagraph"/>
        <w:widowControl w:val="0"/>
        <w:numPr>
          <w:ilvl w:val="0"/>
          <w:numId w:val="1"/>
        </w:numPr>
        <w:ind w:hanging="720"/>
        <w:jc w:val="both"/>
        <w:rPr>
          <w:sz w:val="20"/>
          <w:szCs w:val="20"/>
        </w:rPr>
      </w:pPr>
      <w:r w:rsidRPr="00BF2C4D">
        <w:rPr>
          <w:i/>
          <w:sz w:val="20"/>
          <w:szCs w:val="20"/>
        </w:rPr>
        <w:t>Amexon Developments Inc. v. 1465152 Ontario Limited</w:t>
      </w:r>
      <w:r w:rsidRPr="00C73B48">
        <w:rPr>
          <w:sz w:val="20"/>
          <w:szCs w:val="20"/>
        </w:rPr>
        <w:t xml:space="preserve"> (Ont.) (Civil) (By Leave)</w:t>
      </w:r>
      <w:r>
        <w:rPr>
          <w:sz w:val="20"/>
          <w:szCs w:val="20"/>
        </w:rPr>
        <w:t xml:space="preserve"> </w:t>
      </w:r>
      <w:r w:rsidR="00C73B48">
        <w:rPr>
          <w:sz w:val="20"/>
          <w:szCs w:val="20"/>
        </w:rPr>
        <w:t>(36343)</w:t>
      </w:r>
    </w:p>
    <w:p w:rsidR="00C73B48" w:rsidRDefault="00C73B48" w:rsidP="00C73B48">
      <w:pPr>
        <w:pStyle w:val="ListParagraph"/>
        <w:widowControl w:val="0"/>
        <w:ind w:left="0"/>
        <w:jc w:val="both"/>
        <w:rPr>
          <w:sz w:val="20"/>
          <w:szCs w:val="20"/>
        </w:rPr>
      </w:pPr>
    </w:p>
    <w:p w:rsidR="00C73B48" w:rsidRDefault="00BF2C4D" w:rsidP="00CB3520">
      <w:pPr>
        <w:pStyle w:val="ListParagraph"/>
        <w:widowControl w:val="0"/>
        <w:numPr>
          <w:ilvl w:val="0"/>
          <w:numId w:val="1"/>
        </w:numPr>
        <w:ind w:hanging="720"/>
        <w:jc w:val="both"/>
        <w:rPr>
          <w:sz w:val="20"/>
          <w:szCs w:val="20"/>
        </w:rPr>
      </w:pPr>
      <w:r w:rsidRPr="00BF2C4D">
        <w:rPr>
          <w:i/>
          <w:sz w:val="20"/>
          <w:szCs w:val="20"/>
        </w:rPr>
        <w:t>1298417 Ontario Ltd. v. Corporation of the Town of Lakeshore</w:t>
      </w:r>
      <w:r w:rsidRPr="00C73B48">
        <w:rPr>
          <w:sz w:val="20"/>
          <w:szCs w:val="20"/>
        </w:rPr>
        <w:t xml:space="preserve"> (Ont.) (Civil) (By Leave)</w:t>
      </w:r>
      <w:r>
        <w:rPr>
          <w:sz w:val="20"/>
          <w:szCs w:val="20"/>
        </w:rPr>
        <w:t xml:space="preserve"> (</w:t>
      </w:r>
      <w:r w:rsidR="00C73B48">
        <w:rPr>
          <w:sz w:val="20"/>
          <w:szCs w:val="20"/>
        </w:rPr>
        <w:t>36288)</w:t>
      </w:r>
    </w:p>
    <w:p w:rsidR="00C73B48" w:rsidRDefault="00C73B48" w:rsidP="00C73B48">
      <w:pPr>
        <w:pStyle w:val="ListParagraph"/>
        <w:widowControl w:val="0"/>
        <w:ind w:left="0"/>
        <w:jc w:val="both"/>
        <w:rPr>
          <w:sz w:val="20"/>
          <w:szCs w:val="20"/>
        </w:rPr>
      </w:pPr>
    </w:p>
    <w:p w:rsidR="002E2327" w:rsidRPr="00CB3520" w:rsidRDefault="002E2327" w:rsidP="002E2327">
      <w:pPr>
        <w:widowControl w:val="0"/>
        <w:rPr>
          <w:sz w:val="20"/>
          <w:szCs w:val="20"/>
        </w:rPr>
      </w:pPr>
    </w:p>
    <w:p w:rsidR="002E2327" w:rsidRDefault="00BA13BB" w:rsidP="002E2327">
      <w:pPr>
        <w:widowControl w:val="0"/>
        <w:rPr>
          <w:sz w:val="20"/>
          <w:szCs w:val="20"/>
        </w:rPr>
      </w:pPr>
      <w:r>
        <w:rPr>
          <w:sz w:val="20"/>
          <w:szCs w:val="20"/>
        </w:rPr>
        <w:pict>
          <v:rect id="_x0000_i1032" style="width:2in;height:1pt" o:hrpct="0" o:hralign="center" o:hrstd="t" o:hrnoshade="t" o:hr="t" fillcolor="black [3213]" stroked="f"/>
        </w:pict>
      </w:r>
    </w:p>
    <w:p w:rsidR="00C73B48" w:rsidRDefault="00C73B48" w:rsidP="00C73B48">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BA13BB"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C63B76" w:rsidRPr="00C63B76" w:rsidRDefault="00C63B76" w:rsidP="00C63B76">
      <w:pPr>
        <w:rPr>
          <w:b/>
          <w:smallCaps/>
          <w:sz w:val="20"/>
          <w:szCs w:val="20"/>
          <w:lang w:val="fr-CA"/>
        </w:rPr>
      </w:pPr>
      <w:r w:rsidRPr="00C63B76">
        <w:rPr>
          <w:b/>
          <w:smallCaps/>
          <w:sz w:val="20"/>
          <w:szCs w:val="20"/>
          <w:lang w:val="fr-CA"/>
        </w:rPr>
        <w:t>Revised June 8, 2015 / Révisé le 8 juin 2015</w:t>
      </w:r>
    </w:p>
    <w:p w:rsidR="00C63B76" w:rsidRPr="00C50A5C" w:rsidRDefault="00C63B76" w:rsidP="00C63B76">
      <w:pPr>
        <w:rPr>
          <w:b/>
          <w:sz w:val="20"/>
          <w:szCs w:val="20"/>
        </w:rPr>
      </w:pPr>
      <w:r>
        <w:rPr>
          <w:b/>
          <w:sz w:val="20"/>
          <w:szCs w:val="20"/>
        </w:rPr>
        <w:t>J</w:t>
      </w:r>
      <w:r w:rsidRPr="00C50A5C">
        <w:rPr>
          <w:b/>
          <w:sz w:val="20"/>
          <w:szCs w:val="20"/>
        </w:rPr>
        <w:t>A</w:t>
      </w:r>
      <w:r>
        <w:rPr>
          <w:b/>
          <w:sz w:val="20"/>
          <w:szCs w:val="20"/>
        </w:rPr>
        <w:t>NUARY</w:t>
      </w:r>
      <w:r w:rsidRPr="00C50A5C">
        <w:rPr>
          <w:b/>
          <w:sz w:val="20"/>
          <w:szCs w:val="20"/>
        </w:rPr>
        <w:t xml:space="preserve"> </w:t>
      </w:r>
      <w:r>
        <w:rPr>
          <w:b/>
          <w:sz w:val="20"/>
          <w:szCs w:val="20"/>
        </w:rPr>
        <w:t>15</w:t>
      </w:r>
      <w:r w:rsidRPr="00C50A5C">
        <w:rPr>
          <w:b/>
          <w:sz w:val="20"/>
          <w:szCs w:val="20"/>
        </w:rPr>
        <w:t>, 201</w:t>
      </w:r>
      <w:r>
        <w:rPr>
          <w:b/>
          <w:sz w:val="20"/>
          <w:szCs w:val="20"/>
        </w:rPr>
        <w:t>5</w:t>
      </w:r>
      <w:r w:rsidRPr="00C50A5C">
        <w:rPr>
          <w:b/>
          <w:sz w:val="20"/>
          <w:szCs w:val="20"/>
        </w:rPr>
        <w:t xml:space="preserve"> / LE </w:t>
      </w:r>
      <w:r>
        <w:rPr>
          <w:b/>
          <w:sz w:val="20"/>
          <w:szCs w:val="20"/>
        </w:rPr>
        <w:t>15</w:t>
      </w:r>
      <w:r w:rsidRPr="00C50A5C">
        <w:rPr>
          <w:b/>
          <w:sz w:val="20"/>
          <w:szCs w:val="20"/>
        </w:rPr>
        <w:t xml:space="preserve"> </w:t>
      </w:r>
      <w:r>
        <w:rPr>
          <w:b/>
          <w:sz w:val="20"/>
          <w:szCs w:val="20"/>
        </w:rPr>
        <w:t>J</w:t>
      </w:r>
      <w:r w:rsidRPr="00C50A5C">
        <w:rPr>
          <w:b/>
          <w:sz w:val="20"/>
          <w:szCs w:val="20"/>
        </w:rPr>
        <w:t>A</w:t>
      </w:r>
      <w:r>
        <w:rPr>
          <w:b/>
          <w:sz w:val="20"/>
          <w:szCs w:val="20"/>
        </w:rPr>
        <w:t>NV</w:t>
      </w:r>
      <w:r w:rsidRPr="00C50A5C">
        <w:rPr>
          <w:b/>
          <w:sz w:val="20"/>
          <w:szCs w:val="20"/>
        </w:rPr>
        <w:t>I</w:t>
      </w:r>
      <w:r>
        <w:rPr>
          <w:b/>
          <w:sz w:val="20"/>
          <w:szCs w:val="20"/>
        </w:rPr>
        <w:t>ER</w:t>
      </w:r>
      <w:r w:rsidRPr="00C50A5C">
        <w:rPr>
          <w:b/>
          <w:sz w:val="20"/>
          <w:szCs w:val="20"/>
        </w:rPr>
        <w:t xml:space="preserve"> 201</w:t>
      </w:r>
      <w:r>
        <w:rPr>
          <w:b/>
          <w:sz w:val="20"/>
          <w:szCs w:val="20"/>
        </w:rPr>
        <w:t>5</w:t>
      </w:r>
    </w:p>
    <w:p w:rsidR="00C63B76" w:rsidRDefault="00C63B76" w:rsidP="00C63B7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63B76" w:rsidRPr="007356C8" w:rsidTr="00C63B76">
        <w:trPr>
          <w:cantSplit/>
        </w:trPr>
        <w:tc>
          <w:tcPr>
            <w:tcW w:w="1458" w:type="dxa"/>
          </w:tcPr>
          <w:p w:rsidR="00C63B76" w:rsidRPr="007356C8" w:rsidRDefault="00C63B76" w:rsidP="00C63B76">
            <w:pPr>
              <w:rPr>
                <w:sz w:val="20"/>
                <w:szCs w:val="20"/>
              </w:rPr>
            </w:pPr>
            <w:r w:rsidRPr="007356C8">
              <w:rPr>
                <w:rStyle w:val="SCCFileNumberChar"/>
                <w:sz w:val="20"/>
                <w:szCs w:val="20"/>
              </w:rPr>
              <w:t>35706</w:t>
            </w:r>
          </w:p>
          <w:p w:rsidR="00C63B76" w:rsidRPr="007356C8" w:rsidRDefault="00C63B76" w:rsidP="00C63B76">
            <w:pPr>
              <w:rPr>
                <w:b/>
                <w:sz w:val="20"/>
                <w:szCs w:val="20"/>
                <w:lang w:val="fr-CA"/>
              </w:rPr>
            </w:pPr>
          </w:p>
        </w:tc>
        <w:tc>
          <w:tcPr>
            <w:tcW w:w="8118" w:type="dxa"/>
          </w:tcPr>
          <w:p w:rsidR="00C63B76" w:rsidRPr="007356C8" w:rsidRDefault="00C63B76" w:rsidP="00C63B76">
            <w:pPr>
              <w:jc w:val="both"/>
              <w:rPr>
                <w:sz w:val="20"/>
                <w:szCs w:val="20"/>
              </w:rPr>
            </w:pPr>
            <w:r w:rsidRPr="00EF1C3C">
              <w:rPr>
                <w:rStyle w:val="SCCLsocChar"/>
                <w:sz w:val="20"/>
                <w:szCs w:val="20"/>
                <w:lang w:val="en-CA"/>
              </w:rPr>
              <w:t xml:space="preserve">Neila Catherine MacQueen, Joseph M. Petitpas, Ann Marie Ross and Kathleen Iris Crawford v. Attorney General of Canada AND BETWEEN Neila Catherine MacQueen, Joseph M. Petitpas, Ann Marie Ross and Kathleen Iris Crawford v. Sydney Steel Corporation, a Body Corporate, </w:t>
            </w:r>
            <w:r>
              <w:rPr>
                <w:rStyle w:val="SCCLsocChar"/>
                <w:sz w:val="20"/>
                <w:szCs w:val="20"/>
                <w:lang w:val="en-CA"/>
              </w:rPr>
              <w:t xml:space="preserve">and </w:t>
            </w:r>
            <w:r w:rsidRPr="00EF1C3C">
              <w:rPr>
                <w:rStyle w:val="SCCLsocChar"/>
                <w:sz w:val="20"/>
                <w:szCs w:val="20"/>
                <w:lang w:val="en-CA"/>
              </w:rPr>
              <w:t>Attorney General of Nova Scotia</w:t>
            </w:r>
            <w:r w:rsidRPr="007356C8">
              <w:rPr>
                <w:sz w:val="20"/>
                <w:szCs w:val="20"/>
              </w:rPr>
              <w:t xml:space="preserve"> (N.S.) (Civil) (By Leave)</w:t>
            </w:r>
          </w:p>
          <w:p w:rsidR="00C63B76" w:rsidRPr="007356C8" w:rsidRDefault="00C63B76" w:rsidP="00C63B76">
            <w:pPr>
              <w:jc w:val="both"/>
              <w:rPr>
                <w:sz w:val="20"/>
                <w:szCs w:val="20"/>
              </w:rPr>
            </w:pPr>
          </w:p>
        </w:tc>
      </w:tr>
      <w:tr w:rsidR="00C63B76" w:rsidRPr="007356C8" w:rsidTr="00C63B76">
        <w:trPr>
          <w:cantSplit/>
        </w:trPr>
        <w:tc>
          <w:tcPr>
            <w:tcW w:w="1458" w:type="dxa"/>
          </w:tcPr>
          <w:p w:rsidR="00C63B76" w:rsidRPr="007356C8" w:rsidRDefault="00C63B76" w:rsidP="00C63B76">
            <w:pPr>
              <w:rPr>
                <w:sz w:val="20"/>
                <w:szCs w:val="20"/>
              </w:rPr>
            </w:pPr>
            <w:r w:rsidRPr="007356C8">
              <w:rPr>
                <w:sz w:val="20"/>
                <w:szCs w:val="20"/>
              </w:rPr>
              <w:t>Coram :</w:t>
            </w:r>
          </w:p>
        </w:tc>
        <w:tc>
          <w:tcPr>
            <w:tcW w:w="8118" w:type="dxa"/>
          </w:tcPr>
          <w:p w:rsidR="00C63B76" w:rsidRPr="007356C8" w:rsidRDefault="00C63B76" w:rsidP="00C63B76">
            <w:pPr>
              <w:rPr>
                <w:sz w:val="20"/>
                <w:szCs w:val="20"/>
              </w:rPr>
            </w:pPr>
            <w:r w:rsidRPr="00EF1C3C">
              <w:rPr>
                <w:rStyle w:val="SCCCoramChar"/>
                <w:sz w:val="20"/>
                <w:szCs w:val="20"/>
                <w:lang w:val="en-CA"/>
              </w:rPr>
              <w:t>Rothstein, Moldaver and Karakatsanis JJ.</w:t>
            </w:r>
          </w:p>
          <w:p w:rsidR="00C63B76" w:rsidRPr="007356C8" w:rsidRDefault="00C63B76" w:rsidP="00C63B76">
            <w:pPr>
              <w:rPr>
                <w:sz w:val="20"/>
                <w:szCs w:val="20"/>
                <w:u w:val="single"/>
              </w:rPr>
            </w:pPr>
          </w:p>
        </w:tc>
      </w:tr>
      <w:tr w:rsidR="00C63B76" w:rsidRPr="00BA13BB" w:rsidTr="00C63B76">
        <w:trPr>
          <w:cantSplit/>
        </w:trPr>
        <w:tc>
          <w:tcPr>
            <w:tcW w:w="9576" w:type="dxa"/>
            <w:gridSpan w:val="2"/>
          </w:tcPr>
          <w:p w:rsidR="00060505" w:rsidRPr="007356C8" w:rsidRDefault="00060505" w:rsidP="00060505">
            <w:pPr>
              <w:pStyle w:val="SCCShortJudgment"/>
              <w:rPr>
                <w:szCs w:val="20"/>
              </w:rPr>
            </w:pPr>
            <w:r w:rsidRPr="007356C8">
              <w:rPr>
                <w:szCs w:val="20"/>
              </w:rPr>
              <w:t>The motion of the respondents Sydney Steel Corporation, a body corporate, and Attorney General of Nova Scotia, to strike all or portions of the affidavit of Lynda Collins filed with the application for leave to appeal is dismissed. The application for leave to appeal from the judgment of the Nova Scotia Court of Appeal, Numbers CA 392560 and CA 393200, 201</w:t>
            </w:r>
            <w:r>
              <w:rPr>
                <w:szCs w:val="20"/>
              </w:rPr>
              <w:t>3</w:t>
            </w:r>
            <w:r w:rsidRPr="007356C8">
              <w:rPr>
                <w:szCs w:val="20"/>
              </w:rPr>
              <w:t xml:space="preserve"> NSCA </w:t>
            </w:r>
            <w:r>
              <w:rPr>
                <w:szCs w:val="20"/>
              </w:rPr>
              <w:t>14</w:t>
            </w:r>
            <w:r w:rsidRPr="007356C8">
              <w:rPr>
                <w:szCs w:val="20"/>
              </w:rPr>
              <w:t xml:space="preserve">3, dated </w:t>
            </w:r>
            <w:r>
              <w:rPr>
                <w:szCs w:val="20"/>
              </w:rPr>
              <w:t>December 4</w:t>
            </w:r>
            <w:r w:rsidRPr="007356C8">
              <w:rPr>
                <w:szCs w:val="20"/>
              </w:rPr>
              <w:t>, 201</w:t>
            </w:r>
            <w:r>
              <w:rPr>
                <w:szCs w:val="20"/>
              </w:rPr>
              <w:t>3</w:t>
            </w:r>
            <w:r w:rsidRPr="007356C8">
              <w:rPr>
                <w:szCs w:val="20"/>
              </w:rPr>
              <w:t>, is dismissed with costs.</w:t>
            </w:r>
          </w:p>
          <w:p w:rsidR="00060505" w:rsidRPr="007356C8" w:rsidRDefault="00060505" w:rsidP="00060505">
            <w:pPr>
              <w:pStyle w:val="SCCShortJudgment"/>
              <w:ind w:firstLine="0"/>
              <w:rPr>
                <w:szCs w:val="20"/>
              </w:rPr>
            </w:pPr>
          </w:p>
          <w:p w:rsidR="00C63B76" w:rsidRPr="007356C8" w:rsidRDefault="00060505" w:rsidP="00060505">
            <w:pPr>
              <w:pStyle w:val="SCCShortJudgment"/>
              <w:rPr>
                <w:szCs w:val="20"/>
                <w:lang w:val="fr-CA"/>
              </w:rPr>
            </w:pPr>
            <w:r w:rsidRPr="007356C8">
              <w:rPr>
                <w:szCs w:val="20"/>
                <w:lang w:val="fr-CA"/>
              </w:rPr>
              <w:t>La requête présentée par les intimés Sydney Steel Corporation, une personne morale, et le Procureur général de la Nouvelle-Écosse, en vue d’obtenir la radiation de tout ou partie de l’affidavit de Lynda Collins déposé avec la demande d’autorisation d’appel est rejetée. La demande d’autorisation d’appel de l’arrêt de la Cour d’appel de la Nouvelle-Écosse, numéros CA 392560 et CA 393200, 201</w:t>
            </w:r>
            <w:r>
              <w:rPr>
                <w:szCs w:val="20"/>
                <w:lang w:val="fr-CA"/>
              </w:rPr>
              <w:t>3</w:t>
            </w:r>
            <w:r w:rsidRPr="007356C8">
              <w:rPr>
                <w:szCs w:val="20"/>
                <w:lang w:val="fr-CA"/>
              </w:rPr>
              <w:t xml:space="preserve"> NSCA </w:t>
            </w:r>
            <w:r>
              <w:rPr>
                <w:szCs w:val="20"/>
                <w:lang w:val="fr-CA"/>
              </w:rPr>
              <w:t>143</w:t>
            </w:r>
            <w:r w:rsidRPr="007356C8">
              <w:rPr>
                <w:szCs w:val="20"/>
                <w:lang w:val="fr-CA"/>
              </w:rPr>
              <w:t xml:space="preserve">, daté du </w:t>
            </w:r>
            <w:r>
              <w:rPr>
                <w:szCs w:val="20"/>
                <w:lang w:val="fr-CA"/>
              </w:rPr>
              <w:t>4</w:t>
            </w:r>
            <w:r w:rsidRPr="007356C8">
              <w:rPr>
                <w:szCs w:val="20"/>
                <w:lang w:val="fr-CA"/>
              </w:rPr>
              <w:t xml:space="preserve"> </w:t>
            </w:r>
            <w:r>
              <w:rPr>
                <w:szCs w:val="20"/>
                <w:lang w:val="fr-CA"/>
              </w:rPr>
              <w:t>décembr</w:t>
            </w:r>
            <w:r w:rsidRPr="007356C8">
              <w:rPr>
                <w:szCs w:val="20"/>
                <w:lang w:val="fr-CA"/>
              </w:rPr>
              <w:t>e 201</w:t>
            </w:r>
            <w:r>
              <w:rPr>
                <w:szCs w:val="20"/>
                <w:lang w:val="fr-CA"/>
              </w:rPr>
              <w:t>3</w:t>
            </w:r>
            <w:r w:rsidRPr="007356C8">
              <w:rPr>
                <w:szCs w:val="20"/>
                <w:lang w:val="fr-CA"/>
              </w:rPr>
              <w:t>, est rejetée avec dépens.</w:t>
            </w:r>
          </w:p>
        </w:tc>
      </w:tr>
    </w:tbl>
    <w:p w:rsidR="00C63B76" w:rsidRPr="00EF1C3C" w:rsidRDefault="00C63B76" w:rsidP="00C63B76">
      <w:pPr>
        <w:rPr>
          <w:sz w:val="20"/>
          <w:szCs w:val="20"/>
          <w:lang w:val="fr-CA"/>
        </w:rPr>
      </w:pPr>
    </w:p>
    <w:p w:rsidR="00C63B76" w:rsidRPr="001B157C" w:rsidRDefault="00C63B76" w:rsidP="00C63B76">
      <w:pPr>
        <w:rPr>
          <w:sz w:val="20"/>
          <w:szCs w:val="20"/>
          <w:u w:val="single"/>
        </w:rPr>
      </w:pPr>
      <w:r w:rsidRPr="001B157C">
        <w:rPr>
          <w:sz w:val="20"/>
          <w:szCs w:val="20"/>
          <w:u w:val="single"/>
        </w:rPr>
        <w:t>CASE SUMMARY</w:t>
      </w:r>
    </w:p>
    <w:p w:rsidR="00C63B76" w:rsidRDefault="00C63B76" w:rsidP="00C63B7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63B76" w:rsidRPr="00E64278" w:rsidTr="00C63B76">
        <w:tc>
          <w:tcPr>
            <w:tcW w:w="5000" w:type="pct"/>
            <w:gridSpan w:val="3"/>
          </w:tcPr>
          <w:p w:rsidR="00C63B76" w:rsidRPr="00E64278" w:rsidRDefault="00C63B76" w:rsidP="00C63B76">
            <w:pPr>
              <w:jc w:val="both"/>
              <w:rPr>
                <w:sz w:val="20"/>
                <w:lang w:eastAsia="en-CA"/>
              </w:rPr>
            </w:pPr>
            <w:r w:rsidRPr="00E64278">
              <w:rPr>
                <w:sz w:val="20"/>
                <w:lang w:eastAsia="en-CA"/>
              </w:rPr>
              <w:t>Civil procedure – Class actions – Certification – Court of Appeal overturning certification judge’s decision to certify applicants’ action as class action – Can mass environmental wrongs ever be prosecuted by way of class proceedings in Canada? – What remedies are available to Canadians who are harmed by environmental contamination?</w:t>
            </w:r>
          </w:p>
        </w:tc>
      </w:tr>
      <w:tr w:rsidR="00C63B76" w:rsidRPr="00E64278" w:rsidTr="00C63B76">
        <w:tc>
          <w:tcPr>
            <w:tcW w:w="5000" w:type="pct"/>
            <w:gridSpan w:val="3"/>
          </w:tcPr>
          <w:p w:rsidR="00C63B76" w:rsidRPr="00E64278" w:rsidRDefault="00C63B76" w:rsidP="00C63B76">
            <w:pPr>
              <w:jc w:val="both"/>
              <w:rPr>
                <w:rFonts w:eastAsia="Calibri"/>
                <w:sz w:val="20"/>
              </w:rPr>
            </w:pPr>
          </w:p>
        </w:tc>
      </w:tr>
      <w:tr w:rsidR="00C63B76" w:rsidRPr="00E64278" w:rsidTr="00C63B76">
        <w:tc>
          <w:tcPr>
            <w:tcW w:w="5000" w:type="pct"/>
            <w:gridSpan w:val="3"/>
          </w:tcPr>
          <w:p w:rsidR="00C63B76" w:rsidRPr="00E64278" w:rsidRDefault="00C63B76" w:rsidP="00C63B76">
            <w:pPr>
              <w:shd w:val="clear" w:color="auto" w:fill="FFFFFF"/>
              <w:autoSpaceDE w:val="0"/>
              <w:autoSpaceDN w:val="0"/>
              <w:jc w:val="both"/>
              <w:rPr>
                <w:sz w:val="20"/>
                <w:lang w:eastAsia="en-CA"/>
              </w:rPr>
            </w:pPr>
            <w:r w:rsidRPr="00E64278">
              <w:rPr>
                <w:sz w:val="20"/>
                <w:lang w:eastAsia="en-CA"/>
              </w:rPr>
              <w:t xml:space="preserve">The applicants (“plaintiffs”) are landowners and residents of Sydney, Nova Scotia.  The steel works located in Sydney opened in 1903 and were privately owned until 1967.  At that time, Sydney Steel Corporation (“Sysco”) was created to operate the coke ovens.  It did so with the exception of the period from 1968 to 1974, when the coke ovens were operated by a federal Crown corporation, until they were permanently closed in 1998. Sysco also operated the steel works from 1967 until they closed in 2000.  The plaintiffs started their action in 2004 and alleged that airborne emissions from the operation of the steel works caused damage to themselves and their properties.  Their action was framed in battery, strict liability, nuisance, trespass, negligent operation of the steel works, regulatory negligence and breach of fiduciary duty.  The plaintiffs sought to be appointed as representative plaintiffs for class members described as owners of real property and residents who had lived for a minimum of seven years within a described class boundary near the steel works.  They applied for certification under the </w:t>
            </w:r>
            <w:r w:rsidRPr="00E64278">
              <w:rPr>
                <w:i/>
                <w:sz w:val="20"/>
                <w:lang w:eastAsia="en-CA"/>
              </w:rPr>
              <w:t>Class Proceedings Act</w:t>
            </w:r>
            <w:r w:rsidRPr="00E64278">
              <w:rPr>
                <w:sz w:val="20"/>
                <w:lang w:eastAsia="en-CA"/>
              </w:rPr>
              <w:t>, S.N.S. 2007, c. 28.</w:t>
            </w:r>
          </w:p>
          <w:p w:rsidR="00C63B76" w:rsidRPr="00E64278" w:rsidRDefault="00C63B76" w:rsidP="00C63B76">
            <w:pPr>
              <w:shd w:val="clear" w:color="auto" w:fill="FFFFFF"/>
              <w:autoSpaceDE w:val="0"/>
              <w:autoSpaceDN w:val="0"/>
              <w:jc w:val="both"/>
              <w:rPr>
                <w:sz w:val="20"/>
                <w:lang w:eastAsia="en-CA"/>
              </w:rPr>
            </w:pPr>
          </w:p>
        </w:tc>
      </w:tr>
      <w:tr w:rsidR="00C63B76" w:rsidRPr="00E64278" w:rsidTr="00C63B76">
        <w:tc>
          <w:tcPr>
            <w:tcW w:w="2427" w:type="pct"/>
          </w:tcPr>
          <w:p w:rsidR="00C63B76" w:rsidRPr="00E64278" w:rsidRDefault="00C63B76" w:rsidP="00C63B76">
            <w:pPr>
              <w:jc w:val="both"/>
              <w:rPr>
                <w:rFonts w:eastAsia="Calibri"/>
                <w:sz w:val="20"/>
              </w:rPr>
            </w:pPr>
            <w:r w:rsidRPr="00E64278">
              <w:rPr>
                <w:rFonts w:eastAsia="Calibri"/>
                <w:sz w:val="20"/>
              </w:rPr>
              <w:t>June 24, 2010 and July 6, 2011</w:t>
            </w:r>
          </w:p>
          <w:p w:rsidR="00C63B76" w:rsidRPr="00E64278" w:rsidRDefault="00C63B76" w:rsidP="00C63B76">
            <w:pPr>
              <w:jc w:val="both"/>
              <w:rPr>
                <w:rFonts w:eastAsia="Calibri"/>
                <w:sz w:val="20"/>
              </w:rPr>
            </w:pPr>
            <w:r w:rsidRPr="00E64278">
              <w:rPr>
                <w:rFonts w:eastAsia="Calibri"/>
                <w:sz w:val="20"/>
              </w:rPr>
              <w:t>Supreme Court of Nova Scotia</w:t>
            </w:r>
          </w:p>
          <w:p w:rsidR="00C63B76" w:rsidRPr="00E64278" w:rsidRDefault="00C63B76" w:rsidP="00C63B76">
            <w:pPr>
              <w:jc w:val="both"/>
              <w:rPr>
                <w:rFonts w:eastAsia="Calibri"/>
                <w:sz w:val="20"/>
              </w:rPr>
            </w:pPr>
            <w:r w:rsidRPr="00E64278">
              <w:rPr>
                <w:rFonts w:eastAsia="Calibri"/>
                <w:sz w:val="20"/>
              </w:rPr>
              <w:t>(Murphy J.)</w:t>
            </w:r>
          </w:p>
          <w:p w:rsidR="00C63B76" w:rsidRPr="00E64278" w:rsidRDefault="00BA13BB" w:rsidP="00C63B76">
            <w:pPr>
              <w:jc w:val="both"/>
              <w:rPr>
                <w:rFonts w:eastAsia="Calibri"/>
                <w:sz w:val="20"/>
              </w:rPr>
            </w:pPr>
            <w:hyperlink r:id="rId24" w:history="1">
              <w:r w:rsidR="00C63B76" w:rsidRPr="00E64278">
                <w:rPr>
                  <w:rFonts w:eastAsia="Calibri"/>
                  <w:color w:val="0000FF"/>
                  <w:sz w:val="20"/>
                  <w:u w:val="single"/>
                </w:rPr>
                <w:t>2011 NSSC 484</w:t>
              </w:r>
            </w:hyperlink>
          </w:p>
          <w:p w:rsidR="00C63B76" w:rsidRPr="00E64278" w:rsidRDefault="00C63B76" w:rsidP="00C63B76">
            <w:pPr>
              <w:jc w:val="both"/>
              <w:rPr>
                <w:rFonts w:eastAsia="Calibri"/>
                <w:sz w:val="20"/>
              </w:rPr>
            </w:pPr>
          </w:p>
        </w:tc>
        <w:tc>
          <w:tcPr>
            <w:tcW w:w="243" w:type="pct"/>
          </w:tcPr>
          <w:p w:rsidR="00C63B76" w:rsidRPr="00E64278" w:rsidRDefault="00C63B76" w:rsidP="00C63B76">
            <w:pPr>
              <w:jc w:val="both"/>
              <w:rPr>
                <w:rFonts w:eastAsia="Calibri"/>
                <w:sz w:val="20"/>
              </w:rPr>
            </w:pPr>
          </w:p>
        </w:tc>
        <w:tc>
          <w:tcPr>
            <w:tcW w:w="2330" w:type="pct"/>
          </w:tcPr>
          <w:p w:rsidR="00C63B76" w:rsidRPr="00E64278" w:rsidRDefault="00C63B76" w:rsidP="00C63B76">
            <w:pPr>
              <w:jc w:val="both"/>
              <w:rPr>
                <w:rFonts w:eastAsia="Calibri"/>
                <w:sz w:val="20"/>
              </w:rPr>
            </w:pPr>
            <w:r w:rsidRPr="00E64278">
              <w:rPr>
                <w:rFonts w:eastAsia="Calibri"/>
                <w:sz w:val="20"/>
              </w:rPr>
              <w:t xml:space="preserve">Certification of class action ordered </w:t>
            </w:r>
          </w:p>
        </w:tc>
      </w:tr>
      <w:tr w:rsidR="00C63B76" w:rsidRPr="00E64278" w:rsidTr="00C63B76">
        <w:tc>
          <w:tcPr>
            <w:tcW w:w="2427" w:type="pct"/>
          </w:tcPr>
          <w:p w:rsidR="00C63B76" w:rsidRPr="00E64278" w:rsidRDefault="00C63B76" w:rsidP="00C63B76">
            <w:pPr>
              <w:jc w:val="both"/>
              <w:rPr>
                <w:rFonts w:eastAsia="Calibri"/>
                <w:sz w:val="20"/>
              </w:rPr>
            </w:pPr>
            <w:r w:rsidRPr="00E64278">
              <w:rPr>
                <w:rFonts w:eastAsia="Calibri"/>
                <w:sz w:val="20"/>
              </w:rPr>
              <w:t>December 4, 2013</w:t>
            </w:r>
          </w:p>
          <w:p w:rsidR="00C63B76" w:rsidRPr="00E64278" w:rsidRDefault="00C63B76" w:rsidP="00C63B76">
            <w:pPr>
              <w:jc w:val="both"/>
              <w:rPr>
                <w:rFonts w:eastAsia="Calibri"/>
                <w:sz w:val="20"/>
              </w:rPr>
            </w:pPr>
            <w:r w:rsidRPr="00E64278">
              <w:rPr>
                <w:rFonts w:eastAsia="Calibri"/>
                <w:sz w:val="20"/>
              </w:rPr>
              <w:t>Nova Scotia Court of Appeal</w:t>
            </w:r>
          </w:p>
          <w:p w:rsidR="00C63B76" w:rsidRPr="00E64278" w:rsidRDefault="00C63B76" w:rsidP="00C63B76">
            <w:pPr>
              <w:jc w:val="both"/>
              <w:rPr>
                <w:rFonts w:eastAsia="Calibri"/>
                <w:sz w:val="20"/>
              </w:rPr>
            </w:pPr>
            <w:r w:rsidRPr="00E64278">
              <w:rPr>
                <w:rFonts w:eastAsia="Calibri"/>
                <w:sz w:val="20"/>
              </w:rPr>
              <w:t>(Oland, Farrar and Bryson JJ.A.)</w:t>
            </w:r>
          </w:p>
          <w:p w:rsidR="00C63B76" w:rsidRPr="00E64278" w:rsidRDefault="00BA13BB" w:rsidP="00C63B76">
            <w:pPr>
              <w:jc w:val="both"/>
              <w:rPr>
                <w:rFonts w:eastAsia="Calibri"/>
                <w:sz w:val="20"/>
              </w:rPr>
            </w:pPr>
            <w:hyperlink r:id="rId25" w:history="1">
              <w:r w:rsidR="00C63B76" w:rsidRPr="00E64278">
                <w:rPr>
                  <w:rFonts w:eastAsia="Calibri"/>
                  <w:color w:val="0000FF"/>
                  <w:sz w:val="20"/>
                  <w:u w:val="single"/>
                </w:rPr>
                <w:t xml:space="preserve"> 2013 NSCA 143</w:t>
              </w:r>
            </w:hyperlink>
          </w:p>
          <w:p w:rsidR="00C63B76" w:rsidRPr="00E64278" w:rsidRDefault="00C63B76" w:rsidP="00C63B76">
            <w:pPr>
              <w:jc w:val="both"/>
              <w:rPr>
                <w:rFonts w:eastAsia="Calibri"/>
                <w:sz w:val="20"/>
              </w:rPr>
            </w:pPr>
          </w:p>
        </w:tc>
        <w:tc>
          <w:tcPr>
            <w:tcW w:w="243" w:type="pct"/>
          </w:tcPr>
          <w:p w:rsidR="00C63B76" w:rsidRPr="00E64278" w:rsidRDefault="00C63B76" w:rsidP="00C63B76">
            <w:pPr>
              <w:jc w:val="both"/>
              <w:rPr>
                <w:rFonts w:eastAsia="Calibri"/>
                <w:sz w:val="20"/>
              </w:rPr>
            </w:pPr>
          </w:p>
        </w:tc>
        <w:tc>
          <w:tcPr>
            <w:tcW w:w="2330" w:type="pct"/>
          </w:tcPr>
          <w:p w:rsidR="00C63B76" w:rsidRPr="00E64278" w:rsidRDefault="00C63B76" w:rsidP="00C63B76">
            <w:pPr>
              <w:jc w:val="both"/>
              <w:rPr>
                <w:rFonts w:eastAsia="Calibri"/>
                <w:sz w:val="20"/>
              </w:rPr>
            </w:pPr>
            <w:r w:rsidRPr="00E64278">
              <w:rPr>
                <w:rFonts w:eastAsia="Calibri"/>
                <w:sz w:val="20"/>
              </w:rPr>
              <w:t>Respondents’ appeal allowed; action decertified</w:t>
            </w:r>
          </w:p>
          <w:p w:rsidR="00C63B76" w:rsidRPr="00E64278" w:rsidRDefault="00C63B76" w:rsidP="00C63B76">
            <w:pPr>
              <w:jc w:val="both"/>
              <w:rPr>
                <w:rFonts w:eastAsia="Calibri"/>
                <w:sz w:val="20"/>
              </w:rPr>
            </w:pPr>
          </w:p>
          <w:p w:rsidR="00C63B76" w:rsidRPr="00E64278" w:rsidRDefault="00C63B76" w:rsidP="00C63B76">
            <w:pPr>
              <w:jc w:val="both"/>
              <w:rPr>
                <w:rFonts w:eastAsia="Calibri"/>
                <w:sz w:val="20"/>
              </w:rPr>
            </w:pPr>
          </w:p>
        </w:tc>
      </w:tr>
      <w:tr w:rsidR="00C63B76" w:rsidRPr="00E64278" w:rsidTr="00C63B76">
        <w:trPr>
          <w:cantSplit/>
        </w:trPr>
        <w:tc>
          <w:tcPr>
            <w:tcW w:w="2427" w:type="pct"/>
          </w:tcPr>
          <w:p w:rsidR="00C63B76" w:rsidRPr="00E64278" w:rsidRDefault="00C63B76" w:rsidP="00C63B76">
            <w:pPr>
              <w:jc w:val="both"/>
              <w:rPr>
                <w:rFonts w:eastAsia="Calibri"/>
                <w:sz w:val="20"/>
              </w:rPr>
            </w:pPr>
            <w:r w:rsidRPr="00E64278">
              <w:rPr>
                <w:rFonts w:eastAsia="Calibri"/>
                <w:sz w:val="20"/>
              </w:rPr>
              <w:lastRenderedPageBreak/>
              <w:t>July 15, 2014</w:t>
            </w:r>
          </w:p>
          <w:p w:rsidR="00C63B76" w:rsidRPr="00E64278" w:rsidRDefault="00C63B76" w:rsidP="00C63B76">
            <w:pPr>
              <w:jc w:val="both"/>
              <w:rPr>
                <w:rFonts w:eastAsia="Calibri"/>
                <w:sz w:val="20"/>
              </w:rPr>
            </w:pPr>
            <w:r w:rsidRPr="00E64278">
              <w:rPr>
                <w:rFonts w:eastAsia="Calibri"/>
                <w:sz w:val="20"/>
              </w:rPr>
              <w:t>Nova Scotia Court of Appeal</w:t>
            </w:r>
          </w:p>
          <w:p w:rsidR="00C63B76" w:rsidRPr="00E64278" w:rsidRDefault="00C63B76" w:rsidP="00C63B76">
            <w:pPr>
              <w:jc w:val="both"/>
              <w:rPr>
                <w:rFonts w:eastAsia="Calibri"/>
                <w:sz w:val="20"/>
              </w:rPr>
            </w:pPr>
            <w:r w:rsidRPr="00E64278">
              <w:rPr>
                <w:rFonts w:eastAsia="Calibri"/>
                <w:sz w:val="20"/>
              </w:rPr>
              <w:t>(Oland, Farrar and Bryson JJ.A.)</w:t>
            </w:r>
          </w:p>
          <w:p w:rsidR="00C63B76" w:rsidRPr="00E64278" w:rsidRDefault="00BA13BB" w:rsidP="00C63B76">
            <w:pPr>
              <w:jc w:val="both"/>
              <w:rPr>
                <w:rFonts w:eastAsia="Calibri"/>
                <w:sz w:val="20"/>
              </w:rPr>
            </w:pPr>
            <w:hyperlink r:id="rId26" w:history="1">
              <w:r w:rsidR="00C63B76" w:rsidRPr="00E64278">
                <w:rPr>
                  <w:rFonts w:eastAsia="Calibri"/>
                  <w:color w:val="0000FF"/>
                  <w:sz w:val="20"/>
                  <w:u w:val="single"/>
                </w:rPr>
                <w:t>2014 NSCA 73</w:t>
              </w:r>
            </w:hyperlink>
          </w:p>
          <w:p w:rsidR="00C63B76" w:rsidRPr="00E64278" w:rsidRDefault="00C63B76" w:rsidP="00C63B76">
            <w:pPr>
              <w:jc w:val="both"/>
              <w:rPr>
                <w:rFonts w:eastAsia="Calibri"/>
                <w:sz w:val="20"/>
              </w:rPr>
            </w:pPr>
          </w:p>
        </w:tc>
        <w:tc>
          <w:tcPr>
            <w:tcW w:w="243" w:type="pct"/>
          </w:tcPr>
          <w:p w:rsidR="00C63B76" w:rsidRPr="00E64278" w:rsidRDefault="00C63B76" w:rsidP="00C63B76">
            <w:pPr>
              <w:jc w:val="both"/>
              <w:rPr>
                <w:rFonts w:eastAsia="Calibri"/>
                <w:sz w:val="20"/>
              </w:rPr>
            </w:pPr>
          </w:p>
        </w:tc>
        <w:tc>
          <w:tcPr>
            <w:tcW w:w="2330" w:type="pct"/>
          </w:tcPr>
          <w:p w:rsidR="00C63B76" w:rsidRPr="00E64278" w:rsidRDefault="00C63B76" w:rsidP="00C63B76">
            <w:pPr>
              <w:jc w:val="both"/>
              <w:rPr>
                <w:rFonts w:eastAsia="Calibri"/>
                <w:sz w:val="20"/>
              </w:rPr>
            </w:pPr>
            <w:r w:rsidRPr="00E64278">
              <w:rPr>
                <w:rFonts w:eastAsia="Calibri"/>
                <w:sz w:val="20"/>
              </w:rPr>
              <w:t>Applicants’ motion for reconsideration not accepted for hearing</w:t>
            </w:r>
          </w:p>
          <w:p w:rsidR="00C63B76" w:rsidRPr="00E64278" w:rsidRDefault="00C63B76" w:rsidP="00C63B76">
            <w:pPr>
              <w:jc w:val="both"/>
              <w:rPr>
                <w:rFonts w:eastAsia="Calibri"/>
                <w:sz w:val="20"/>
              </w:rPr>
            </w:pPr>
          </w:p>
          <w:p w:rsidR="00C63B76" w:rsidRPr="00E64278" w:rsidRDefault="00C63B76" w:rsidP="00C63B76">
            <w:pPr>
              <w:jc w:val="both"/>
              <w:rPr>
                <w:rFonts w:eastAsia="Calibri"/>
                <w:sz w:val="20"/>
              </w:rPr>
            </w:pPr>
          </w:p>
        </w:tc>
      </w:tr>
      <w:tr w:rsidR="00C63B76" w:rsidRPr="00E64278" w:rsidTr="00C63B76">
        <w:trPr>
          <w:cantSplit/>
        </w:trPr>
        <w:tc>
          <w:tcPr>
            <w:tcW w:w="2427" w:type="pct"/>
          </w:tcPr>
          <w:p w:rsidR="00C63B76" w:rsidRPr="00E64278" w:rsidRDefault="00C63B76" w:rsidP="00C63B76">
            <w:pPr>
              <w:jc w:val="both"/>
              <w:rPr>
                <w:rFonts w:eastAsia="Calibri"/>
                <w:sz w:val="20"/>
              </w:rPr>
            </w:pPr>
            <w:r w:rsidRPr="00E64278">
              <w:rPr>
                <w:rFonts w:eastAsia="Calibri"/>
                <w:sz w:val="20"/>
              </w:rPr>
              <w:t>July 25, 2014</w:t>
            </w:r>
          </w:p>
          <w:p w:rsidR="00C63B76" w:rsidRPr="00E64278" w:rsidRDefault="00C63B76" w:rsidP="00C63B76">
            <w:pPr>
              <w:jc w:val="both"/>
              <w:rPr>
                <w:rFonts w:eastAsia="Calibri"/>
                <w:sz w:val="20"/>
              </w:rPr>
            </w:pPr>
            <w:r w:rsidRPr="00E64278">
              <w:rPr>
                <w:rFonts w:eastAsia="Calibri"/>
                <w:sz w:val="20"/>
              </w:rPr>
              <w:t>Supreme Court of Canada</w:t>
            </w:r>
          </w:p>
        </w:tc>
        <w:tc>
          <w:tcPr>
            <w:tcW w:w="243" w:type="pct"/>
          </w:tcPr>
          <w:p w:rsidR="00C63B76" w:rsidRPr="00E64278" w:rsidRDefault="00C63B76" w:rsidP="00C63B76">
            <w:pPr>
              <w:jc w:val="both"/>
              <w:rPr>
                <w:rFonts w:eastAsia="Calibri"/>
                <w:sz w:val="20"/>
              </w:rPr>
            </w:pPr>
          </w:p>
        </w:tc>
        <w:tc>
          <w:tcPr>
            <w:tcW w:w="2330" w:type="pct"/>
          </w:tcPr>
          <w:p w:rsidR="00C63B76" w:rsidRPr="00E64278" w:rsidRDefault="00C63B76" w:rsidP="00C63B76">
            <w:pPr>
              <w:jc w:val="both"/>
              <w:rPr>
                <w:rFonts w:eastAsia="Calibri"/>
                <w:sz w:val="20"/>
              </w:rPr>
            </w:pPr>
            <w:r w:rsidRPr="00E64278">
              <w:rPr>
                <w:rFonts w:eastAsia="Calibri"/>
                <w:sz w:val="20"/>
              </w:rPr>
              <w:t>Application for leave to appeal filed</w:t>
            </w:r>
          </w:p>
          <w:p w:rsidR="00C63B76" w:rsidRPr="00E64278" w:rsidRDefault="00C63B76" w:rsidP="00C63B76">
            <w:pPr>
              <w:jc w:val="both"/>
              <w:rPr>
                <w:rFonts w:eastAsia="Calibri"/>
                <w:sz w:val="20"/>
              </w:rPr>
            </w:pPr>
          </w:p>
        </w:tc>
      </w:tr>
    </w:tbl>
    <w:p w:rsidR="00C63B76" w:rsidRDefault="00C63B76" w:rsidP="00C63B76">
      <w:pPr>
        <w:rPr>
          <w:sz w:val="20"/>
          <w:szCs w:val="20"/>
        </w:rPr>
      </w:pPr>
    </w:p>
    <w:p w:rsidR="00C63B76" w:rsidRPr="00C50A5C" w:rsidRDefault="00BA13BB" w:rsidP="00C63B76">
      <w:pPr>
        <w:rPr>
          <w:sz w:val="20"/>
          <w:szCs w:val="20"/>
        </w:rPr>
      </w:pPr>
      <w:r>
        <w:rPr>
          <w:sz w:val="20"/>
          <w:szCs w:val="20"/>
          <w:lang w:val="fr-CA"/>
        </w:rPr>
        <w:pict>
          <v:rect id="_x0000_i1035" style="width:2in;height:1pt" o:hrpct="0" o:hralign="center" o:hrstd="t" o:hrnoshade="t" o:hr="t" fillcolor="black [3213]" stroked="f"/>
        </w:pict>
      </w:r>
    </w:p>
    <w:p w:rsidR="00C63B76" w:rsidRDefault="00C63B76" w:rsidP="00C63B76">
      <w:pPr>
        <w:rPr>
          <w:sz w:val="20"/>
          <w:szCs w:val="20"/>
        </w:rPr>
      </w:pPr>
    </w:p>
    <w:p w:rsidR="00C63B76" w:rsidRPr="001B157C" w:rsidRDefault="00C63B76" w:rsidP="00C63B76">
      <w:pPr>
        <w:rPr>
          <w:sz w:val="20"/>
          <w:szCs w:val="20"/>
          <w:u w:val="single"/>
          <w:lang w:val="fr-CA"/>
        </w:rPr>
      </w:pPr>
      <w:r w:rsidRPr="001B157C">
        <w:rPr>
          <w:sz w:val="20"/>
          <w:szCs w:val="20"/>
          <w:u w:val="single"/>
          <w:lang w:val="fr-CA"/>
        </w:rPr>
        <w:t>RÉSUMÉ DE L’AFFAIRE</w:t>
      </w:r>
    </w:p>
    <w:p w:rsidR="00C63B76" w:rsidRDefault="00C63B76" w:rsidP="00C63B7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63B76" w:rsidRPr="00BA13BB" w:rsidTr="00C63B76">
        <w:tc>
          <w:tcPr>
            <w:tcW w:w="5000" w:type="pct"/>
            <w:gridSpan w:val="3"/>
          </w:tcPr>
          <w:p w:rsidR="00C63B76" w:rsidRPr="00E64278" w:rsidRDefault="00C63B76" w:rsidP="00C63B76">
            <w:pPr>
              <w:jc w:val="both"/>
              <w:rPr>
                <w:sz w:val="20"/>
                <w:lang w:val="fr-CA" w:eastAsia="en-CA"/>
              </w:rPr>
            </w:pPr>
            <w:r w:rsidRPr="00E64278">
              <w:rPr>
                <w:sz w:val="20"/>
                <w:lang w:val="fr-CA" w:eastAsia="en-CA"/>
              </w:rPr>
              <w:t>Procédure civile – Recours collectif – Certification – La Cour d’appel a infirmé la décision du juge de première instance d’autoriser les demandeurs à exercer un recours collectif – Des torts environnementaux à grande échelle peuvent-ils être l’objet de poursuites sous forme de recours collectifs au Canada? – De quels recours disposent les Canadiens qui ont subi un préjudice à la suite d’une contamination environnementale?</w:t>
            </w:r>
          </w:p>
        </w:tc>
      </w:tr>
      <w:tr w:rsidR="00C63B76" w:rsidRPr="00BA13BB" w:rsidTr="00C63B76">
        <w:tc>
          <w:tcPr>
            <w:tcW w:w="5000" w:type="pct"/>
            <w:gridSpan w:val="3"/>
          </w:tcPr>
          <w:p w:rsidR="00C63B76" w:rsidRPr="00E64278" w:rsidRDefault="00C63B76" w:rsidP="00C63B76">
            <w:pPr>
              <w:jc w:val="both"/>
              <w:rPr>
                <w:rFonts w:eastAsia="Calibri"/>
                <w:sz w:val="20"/>
                <w:lang w:val="fr-CA"/>
              </w:rPr>
            </w:pPr>
          </w:p>
        </w:tc>
      </w:tr>
      <w:tr w:rsidR="00C63B76" w:rsidRPr="00BA13BB" w:rsidTr="00C63B76">
        <w:tc>
          <w:tcPr>
            <w:tcW w:w="5000" w:type="pct"/>
            <w:gridSpan w:val="3"/>
          </w:tcPr>
          <w:p w:rsidR="00C63B76" w:rsidRPr="00E64278" w:rsidRDefault="00C63B76" w:rsidP="00C63B76">
            <w:pPr>
              <w:shd w:val="clear" w:color="auto" w:fill="FFFFFF"/>
              <w:autoSpaceDE w:val="0"/>
              <w:autoSpaceDN w:val="0"/>
              <w:jc w:val="both"/>
              <w:rPr>
                <w:sz w:val="20"/>
                <w:lang w:val="fr-CA" w:eastAsia="en-CA"/>
              </w:rPr>
            </w:pPr>
            <w:r w:rsidRPr="00E64278">
              <w:rPr>
                <w:sz w:val="20"/>
                <w:lang w:val="fr-CA" w:eastAsia="en-CA"/>
              </w:rPr>
              <w:t xml:space="preserve">Les demandeurs sont des propriétaires fonciers et des résidents de Sydney (Nouvelle-Écosse). Les aciéries situées à Sydney ont ouvert en 1903 et ont appartenu à des intérêts privés jusqu’en 1967.  À cette époque, Sydney Steel Corporation (« Sysco ») été créée pour exploiter les fours à coke.  La société a assuré l’exploitation de ces fours jusqu’à leur fermeture définitive en 1998, à l’exception de la période de 1968 à 1974, pendant laquelle ils ont été exploités par une société d’État fédérale.  Sysco a également exploité les aciéries de 1967 jusqu’à leur fermeture en 2000. Les demandeurs ont intenté leur action en 2004 et ils ont allégué que les émissions atmosphériques provenant de l’exploitation des aciéries avaient causé un préjudice – à eux et à leurs propriétés.  Au soutien de leur action, les demandeurs ont plaidé la batterie, la responsabilité stricte, la nuisance, l’atteinte immobilière, l’exploitation négligente des aciéries, la négligence dans l’application d’un règlement et un manquement à l’obligation fiduciaire.  Les demandeurs ont demandé à être désignés représentants du groupe décrit comme les propriétaires de biens immobiliers et les résidents qui avaient habité pendant au moins sept ans dans les limites territoriales décrites dans le recours collectif, près des aciéries.  Ils ont demandé la certification en application de la </w:t>
            </w:r>
            <w:r w:rsidRPr="00E64278">
              <w:rPr>
                <w:i/>
                <w:sz w:val="20"/>
                <w:lang w:val="fr-CA" w:eastAsia="en-CA"/>
              </w:rPr>
              <w:t>Class Proceedings Act</w:t>
            </w:r>
            <w:r w:rsidRPr="00E64278">
              <w:rPr>
                <w:sz w:val="20"/>
                <w:lang w:val="fr-CA" w:eastAsia="en-CA"/>
              </w:rPr>
              <w:t>, S.N.S. 2007, ch. 28.</w:t>
            </w:r>
          </w:p>
          <w:p w:rsidR="00C63B76" w:rsidRPr="00E64278" w:rsidRDefault="00C63B76" w:rsidP="00C63B76">
            <w:pPr>
              <w:shd w:val="clear" w:color="auto" w:fill="FFFFFF"/>
              <w:autoSpaceDE w:val="0"/>
              <w:autoSpaceDN w:val="0"/>
              <w:spacing w:after="100" w:afterAutospacing="1"/>
              <w:jc w:val="both"/>
              <w:rPr>
                <w:sz w:val="20"/>
                <w:lang w:val="fr-CA" w:eastAsia="en-CA"/>
              </w:rPr>
            </w:pPr>
          </w:p>
        </w:tc>
      </w:tr>
      <w:tr w:rsidR="00C63B76" w:rsidRPr="00E64278" w:rsidTr="00C63B76">
        <w:tc>
          <w:tcPr>
            <w:tcW w:w="2427" w:type="pct"/>
          </w:tcPr>
          <w:p w:rsidR="00C63B76" w:rsidRPr="00E64278" w:rsidRDefault="00C63B76" w:rsidP="00C63B76">
            <w:pPr>
              <w:jc w:val="both"/>
              <w:rPr>
                <w:rFonts w:eastAsia="Calibri"/>
                <w:sz w:val="20"/>
                <w:lang w:val="fr-CA"/>
              </w:rPr>
            </w:pPr>
            <w:r w:rsidRPr="00E64278">
              <w:rPr>
                <w:rFonts w:eastAsia="Calibri"/>
                <w:sz w:val="20"/>
                <w:lang w:val="fr-CA"/>
              </w:rPr>
              <w:t>24 juin 2010 et 6 juillet 2011</w:t>
            </w:r>
          </w:p>
          <w:p w:rsidR="00C63B76" w:rsidRPr="00E64278" w:rsidRDefault="00C63B76" w:rsidP="00C63B76">
            <w:pPr>
              <w:jc w:val="both"/>
              <w:rPr>
                <w:rFonts w:eastAsia="Calibri"/>
                <w:sz w:val="20"/>
                <w:lang w:val="fr-CA"/>
              </w:rPr>
            </w:pPr>
            <w:r w:rsidRPr="00E64278">
              <w:rPr>
                <w:rFonts w:eastAsia="Calibri"/>
                <w:sz w:val="20"/>
                <w:lang w:val="fr-CA"/>
              </w:rPr>
              <w:t>Cour suprême de la Nouvelle-Écosse</w:t>
            </w:r>
          </w:p>
          <w:p w:rsidR="00C63B76" w:rsidRPr="00E64278" w:rsidRDefault="00C63B76" w:rsidP="00C63B76">
            <w:pPr>
              <w:jc w:val="both"/>
              <w:rPr>
                <w:rFonts w:eastAsia="Calibri"/>
                <w:sz w:val="20"/>
                <w:lang w:val="fr-CA"/>
              </w:rPr>
            </w:pPr>
            <w:r w:rsidRPr="00E64278">
              <w:rPr>
                <w:rFonts w:eastAsia="Calibri"/>
                <w:sz w:val="20"/>
                <w:lang w:val="fr-CA"/>
              </w:rPr>
              <w:t>(Juge Murphy)</w:t>
            </w:r>
          </w:p>
          <w:p w:rsidR="00C63B76" w:rsidRPr="00E64278" w:rsidRDefault="00BA13BB" w:rsidP="00C63B76">
            <w:pPr>
              <w:jc w:val="both"/>
              <w:rPr>
                <w:rFonts w:eastAsia="Calibri"/>
                <w:sz w:val="20"/>
                <w:lang w:val="fr-CA"/>
              </w:rPr>
            </w:pPr>
            <w:hyperlink r:id="rId27" w:history="1">
              <w:r w:rsidR="00C63B76" w:rsidRPr="00E64278">
                <w:rPr>
                  <w:rFonts w:eastAsia="Calibri"/>
                  <w:color w:val="0000FF"/>
                  <w:sz w:val="20"/>
                  <w:u w:val="single"/>
                  <w:lang w:val="fr-CA"/>
                </w:rPr>
                <w:t>2011 NSSC 484</w:t>
              </w:r>
            </w:hyperlink>
          </w:p>
          <w:p w:rsidR="00C63B76" w:rsidRPr="00E64278" w:rsidRDefault="00C63B76" w:rsidP="00C63B76">
            <w:pPr>
              <w:jc w:val="both"/>
              <w:rPr>
                <w:rFonts w:eastAsia="Calibri"/>
                <w:sz w:val="20"/>
                <w:lang w:val="fr-CA"/>
              </w:rPr>
            </w:pPr>
          </w:p>
        </w:tc>
        <w:tc>
          <w:tcPr>
            <w:tcW w:w="243" w:type="pct"/>
          </w:tcPr>
          <w:p w:rsidR="00C63B76" w:rsidRPr="00E64278" w:rsidRDefault="00C63B76" w:rsidP="00C63B76">
            <w:pPr>
              <w:jc w:val="both"/>
              <w:rPr>
                <w:rFonts w:eastAsia="Calibri"/>
                <w:sz w:val="20"/>
                <w:lang w:val="fr-CA"/>
              </w:rPr>
            </w:pPr>
          </w:p>
        </w:tc>
        <w:tc>
          <w:tcPr>
            <w:tcW w:w="2330" w:type="pct"/>
          </w:tcPr>
          <w:p w:rsidR="00C63B76" w:rsidRPr="00E64278" w:rsidRDefault="00C63B76" w:rsidP="00C63B76">
            <w:pPr>
              <w:jc w:val="both"/>
              <w:rPr>
                <w:rFonts w:eastAsia="Calibri"/>
                <w:sz w:val="20"/>
                <w:lang w:val="fr-CA"/>
              </w:rPr>
            </w:pPr>
            <w:r w:rsidRPr="00E64278">
              <w:rPr>
                <w:rFonts w:eastAsia="Calibri"/>
                <w:sz w:val="20"/>
                <w:lang w:val="fr-CA"/>
              </w:rPr>
              <w:t>Certification du recours collectif</w:t>
            </w:r>
          </w:p>
        </w:tc>
      </w:tr>
      <w:tr w:rsidR="00C63B76" w:rsidRPr="00BA13BB" w:rsidTr="00C63B76">
        <w:tc>
          <w:tcPr>
            <w:tcW w:w="2427" w:type="pct"/>
          </w:tcPr>
          <w:p w:rsidR="00C63B76" w:rsidRPr="00E64278" w:rsidRDefault="00C63B76" w:rsidP="00C63B76">
            <w:pPr>
              <w:jc w:val="both"/>
              <w:rPr>
                <w:rFonts w:eastAsia="Calibri"/>
                <w:sz w:val="20"/>
                <w:lang w:val="fr-CA"/>
              </w:rPr>
            </w:pPr>
            <w:r w:rsidRPr="00E64278">
              <w:rPr>
                <w:rFonts w:eastAsia="Calibri"/>
                <w:sz w:val="20"/>
                <w:lang w:val="fr-CA"/>
              </w:rPr>
              <w:t>4 décembre 2013</w:t>
            </w:r>
          </w:p>
          <w:p w:rsidR="00C63B76" w:rsidRPr="00E64278" w:rsidRDefault="00C63B76" w:rsidP="00C63B76">
            <w:pPr>
              <w:jc w:val="both"/>
              <w:rPr>
                <w:rFonts w:eastAsia="Calibri"/>
                <w:sz w:val="20"/>
                <w:lang w:val="fr-CA"/>
              </w:rPr>
            </w:pPr>
            <w:r w:rsidRPr="00E64278">
              <w:rPr>
                <w:rFonts w:eastAsia="Calibri"/>
                <w:sz w:val="20"/>
                <w:lang w:val="fr-CA"/>
              </w:rPr>
              <w:t>Cour d’appel de la Nouvelle-Écosse</w:t>
            </w:r>
          </w:p>
          <w:p w:rsidR="00C63B76" w:rsidRPr="00E64278" w:rsidRDefault="00C63B76" w:rsidP="00C63B76">
            <w:pPr>
              <w:jc w:val="both"/>
              <w:rPr>
                <w:rFonts w:eastAsia="Calibri"/>
                <w:sz w:val="20"/>
                <w:lang w:val="fr-CA"/>
              </w:rPr>
            </w:pPr>
            <w:r w:rsidRPr="00E64278">
              <w:rPr>
                <w:rFonts w:eastAsia="Calibri"/>
                <w:sz w:val="20"/>
                <w:lang w:val="fr-CA"/>
              </w:rPr>
              <w:t>(Juges Oland, Farrar et Bryson)</w:t>
            </w:r>
          </w:p>
          <w:p w:rsidR="00C63B76" w:rsidRPr="00E64278" w:rsidRDefault="00BA13BB" w:rsidP="00C63B76">
            <w:pPr>
              <w:jc w:val="both"/>
              <w:rPr>
                <w:rFonts w:eastAsia="Calibri"/>
                <w:sz w:val="20"/>
                <w:lang w:val="fr-CA"/>
              </w:rPr>
            </w:pPr>
            <w:hyperlink r:id="rId28" w:history="1">
              <w:r w:rsidR="00C63B76" w:rsidRPr="00E64278">
                <w:rPr>
                  <w:rFonts w:eastAsia="Calibri"/>
                  <w:color w:val="0000FF"/>
                  <w:sz w:val="20"/>
                  <w:u w:val="single"/>
                  <w:lang w:val="fr-CA"/>
                </w:rPr>
                <w:t xml:space="preserve"> 2013 NSCA 143</w:t>
              </w:r>
            </w:hyperlink>
          </w:p>
          <w:p w:rsidR="00C63B76" w:rsidRPr="00E64278" w:rsidRDefault="00C63B76" w:rsidP="00C63B76">
            <w:pPr>
              <w:jc w:val="both"/>
              <w:rPr>
                <w:rFonts w:eastAsia="Calibri"/>
                <w:sz w:val="20"/>
                <w:lang w:val="fr-CA"/>
              </w:rPr>
            </w:pPr>
          </w:p>
        </w:tc>
        <w:tc>
          <w:tcPr>
            <w:tcW w:w="243" w:type="pct"/>
          </w:tcPr>
          <w:p w:rsidR="00C63B76" w:rsidRPr="00E64278" w:rsidRDefault="00C63B76" w:rsidP="00C63B76">
            <w:pPr>
              <w:jc w:val="both"/>
              <w:rPr>
                <w:rFonts w:eastAsia="Calibri"/>
                <w:sz w:val="20"/>
                <w:lang w:val="fr-CA"/>
              </w:rPr>
            </w:pPr>
          </w:p>
        </w:tc>
        <w:tc>
          <w:tcPr>
            <w:tcW w:w="2330" w:type="pct"/>
          </w:tcPr>
          <w:p w:rsidR="00C63B76" w:rsidRPr="00E64278" w:rsidRDefault="00C63B76" w:rsidP="00C63B76">
            <w:pPr>
              <w:jc w:val="both"/>
              <w:rPr>
                <w:rFonts w:eastAsia="Calibri"/>
                <w:sz w:val="20"/>
                <w:lang w:val="fr-CA"/>
              </w:rPr>
            </w:pPr>
            <w:r w:rsidRPr="00E64278">
              <w:rPr>
                <w:rFonts w:eastAsia="Calibri"/>
                <w:sz w:val="20"/>
                <w:lang w:val="fr-CA"/>
              </w:rPr>
              <w:t>Appel des intimés accueilli; certification de l’action, annulée</w:t>
            </w:r>
          </w:p>
          <w:p w:rsidR="00C63B76" w:rsidRPr="00E64278" w:rsidRDefault="00C63B76" w:rsidP="00C63B76">
            <w:pPr>
              <w:jc w:val="both"/>
              <w:rPr>
                <w:rFonts w:eastAsia="Calibri"/>
                <w:sz w:val="20"/>
                <w:lang w:val="fr-CA"/>
              </w:rPr>
            </w:pPr>
          </w:p>
          <w:p w:rsidR="00C63B76" w:rsidRPr="00E64278" w:rsidRDefault="00C63B76" w:rsidP="00C63B76">
            <w:pPr>
              <w:jc w:val="both"/>
              <w:rPr>
                <w:rFonts w:eastAsia="Calibri"/>
                <w:sz w:val="20"/>
                <w:lang w:val="fr-CA"/>
              </w:rPr>
            </w:pPr>
          </w:p>
        </w:tc>
      </w:tr>
      <w:tr w:rsidR="00C63B76" w:rsidRPr="00BA13BB" w:rsidTr="00C63B76">
        <w:tc>
          <w:tcPr>
            <w:tcW w:w="2427" w:type="pct"/>
          </w:tcPr>
          <w:p w:rsidR="00C63B76" w:rsidRPr="00E64278" w:rsidRDefault="00C63B76" w:rsidP="00C63B76">
            <w:pPr>
              <w:jc w:val="both"/>
              <w:rPr>
                <w:rFonts w:eastAsia="Calibri"/>
                <w:sz w:val="20"/>
                <w:lang w:val="fr-CA"/>
              </w:rPr>
            </w:pPr>
            <w:r w:rsidRPr="00E64278">
              <w:rPr>
                <w:rFonts w:eastAsia="Calibri"/>
                <w:sz w:val="20"/>
                <w:lang w:val="fr-CA"/>
              </w:rPr>
              <w:t>15 juillet 2014</w:t>
            </w:r>
          </w:p>
          <w:p w:rsidR="00C63B76" w:rsidRPr="00E64278" w:rsidRDefault="00C63B76" w:rsidP="00C63B76">
            <w:pPr>
              <w:jc w:val="both"/>
              <w:rPr>
                <w:rFonts w:eastAsia="Calibri"/>
                <w:sz w:val="20"/>
                <w:lang w:val="fr-CA"/>
              </w:rPr>
            </w:pPr>
            <w:r w:rsidRPr="00E64278">
              <w:rPr>
                <w:rFonts w:eastAsia="Calibri"/>
                <w:sz w:val="20"/>
                <w:lang w:val="fr-CA"/>
              </w:rPr>
              <w:t>Cour d’appel de la Nouvelle-Écosse</w:t>
            </w:r>
          </w:p>
          <w:p w:rsidR="00C63B76" w:rsidRPr="00E64278" w:rsidRDefault="00C63B76" w:rsidP="00C63B76">
            <w:pPr>
              <w:jc w:val="both"/>
              <w:rPr>
                <w:rFonts w:eastAsia="Calibri"/>
                <w:sz w:val="20"/>
                <w:lang w:val="fr-CA"/>
              </w:rPr>
            </w:pPr>
            <w:r w:rsidRPr="00E64278">
              <w:rPr>
                <w:rFonts w:eastAsia="Calibri"/>
                <w:sz w:val="20"/>
                <w:lang w:val="fr-CA"/>
              </w:rPr>
              <w:t>(Juges Oland, Farrar et Bryson)</w:t>
            </w:r>
          </w:p>
          <w:p w:rsidR="00C63B76" w:rsidRPr="00E64278" w:rsidRDefault="00BA13BB" w:rsidP="00C63B76">
            <w:pPr>
              <w:jc w:val="both"/>
              <w:rPr>
                <w:rFonts w:eastAsia="Calibri"/>
                <w:sz w:val="20"/>
                <w:lang w:val="fr-CA"/>
              </w:rPr>
            </w:pPr>
            <w:hyperlink r:id="rId29" w:history="1">
              <w:r w:rsidR="00C63B76" w:rsidRPr="00E64278">
                <w:rPr>
                  <w:rFonts w:eastAsia="Calibri"/>
                  <w:color w:val="0000FF"/>
                  <w:sz w:val="20"/>
                  <w:u w:val="single"/>
                  <w:lang w:val="fr-CA"/>
                </w:rPr>
                <w:t>2014 NSCA 73</w:t>
              </w:r>
            </w:hyperlink>
          </w:p>
          <w:p w:rsidR="00C63B76" w:rsidRPr="00E64278" w:rsidRDefault="00C63B76" w:rsidP="00C63B76">
            <w:pPr>
              <w:jc w:val="both"/>
              <w:rPr>
                <w:rFonts w:eastAsia="Calibri"/>
                <w:sz w:val="20"/>
                <w:lang w:val="fr-CA"/>
              </w:rPr>
            </w:pPr>
          </w:p>
        </w:tc>
        <w:tc>
          <w:tcPr>
            <w:tcW w:w="243" w:type="pct"/>
          </w:tcPr>
          <w:p w:rsidR="00C63B76" w:rsidRPr="00E64278" w:rsidRDefault="00C63B76" w:rsidP="00C63B76">
            <w:pPr>
              <w:jc w:val="both"/>
              <w:rPr>
                <w:rFonts w:eastAsia="Calibri"/>
                <w:sz w:val="20"/>
                <w:lang w:val="fr-CA"/>
              </w:rPr>
            </w:pPr>
          </w:p>
        </w:tc>
        <w:tc>
          <w:tcPr>
            <w:tcW w:w="2330" w:type="pct"/>
          </w:tcPr>
          <w:p w:rsidR="00C63B76" w:rsidRPr="00E64278" w:rsidRDefault="00C63B76" w:rsidP="00C63B76">
            <w:pPr>
              <w:jc w:val="both"/>
              <w:rPr>
                <w:rFonts w:eastAsia="Calibri"/>
                <w:sz w:val="20"/>
                <w:lang w:val="fr-CA"/>
              </w:rPr>
            </w:pPr>
            <w:r w:rsidRPr="00E64278">
              <w:rPr>
                <w:rFonts w:eastAsia="Calibri"/>
                <w:sz w:val="20"/>
                <w:lang w:val="fr-CA"/>
              </w:rPr>
              <w:t>Requête des demandeurs en réexamen, rejetée sommairement</w:t>
            </w:r>
          </w:p>
          <w:p w:rsidR="00C63B76" w:rsidRPr="00E64278" w:rsidRDefault="00C63B76" w:rsidP="00C63B76">
            <w:pPr>
              <w:jc w:val="both"/>
              <w:rPr>
                <w:rFonts w:eastAsia="Calibri"/>
                <w:sz w:val="20"/>
                <w:lang w:val="fr-CA"/>
              </w:rPr>
            </w:pPr>
          </w:p>
          <w:p w:rsidR="00C63B76" w:rsidRPr="00E64278" w:rsidRDefault="00C63B76" w:rsidP="00C63B76">
            <w:pPr>
              <w:jc w:val="both"/>
              <w:rPr>
                <w:rFonts w:eastAsia="Calibri"/>
                <w:sz w:val="20"/>
                <w:lang w:val="fr-CA"/>
              </w:rPr>
            </w:pPr>
          </w:p>
        </w:tc>
      </w:tr>
      <w:tr w:rsidR="00C63B76" w:rsidRPr="00E64278" w:rsidTr="00C63B76">
        <w:tc>
          <w:tcPr>
            <w:tcW w:w="2427" w:type="pct"/>
          </w:tcPr>
          <w:p w:rsidR="00C63B76" w:rsidRPr="00E64278" w:rsidRDefault="00C63B76" w:rsidP="00C63B76">
            <w:pPr>
              <w:jc w:val="both"/>
              <w:rPr>
                <w:rFonts w:eastAsia="Calibri"/>
                <w:sz w:val="20"/>
                <w:lang w:val="fr-CA"/>
              </w:rPr>
            </w:pPr>
            <w:r w:rsidRPr="00E64278">
              <w:rPr>
                <w:rFonts w:eastAsia="Calibri"/>
                <w:sz w:val="20"/>
                <w:lang w:val="fr-CA"/>
              </w:rPr>
              <w:t>25 juillet 2014</w:t>
            </w:r>
          </w:p>
          <w:p w:rsidR="00C63B76" w:rsidRPr="00E64278" w:rsidRDefault="00C63B76" w:rsidP="00C63B76">
            <w:pPr>
              <w:jc w:val="both"/>
              <w:rPr>
                <w:rFonts w:eastAsia="Calibri"/>
                <w:sz w:val="20"/>
                <w:lang w:val="fr-CA"/>
              </w:rPr>
            </w:pPr>
            <w:r w:rsidRPr="00E64278">
              <w:rPr>
                <w:rFonts w:eastAsia="Calibri"/>
                <w:sz w:val="20"/>
                <w:lang w:val="fr-CA"/>
              </w:rPr>
              <w:t>Cour suprême du Canada</w:t>
            </w:r>
          </w:p>
        </w:tc>
        <w:tc>
          <w:tcPr>
            <w:tcW w:w="243" w:type="pct"/>
          </w:tcPr>
          <w:p w:rsidR="00C63B76" w:rsidRPr="00E64278" w:rsidRDefault="00C63B76" w:rsidP="00C63B76">
            <w:pPr>
              <w:jc w:val="both"/>
              <w:rPr>
                <w:rFonts w:eastAsia="Calibri"/>
                <w:sz w:val="20"/>
                <w:lang w:val="fr-CA"/>
              </w:rPr>
            </w:pPr>
          </w:p>
        </w:tc>
        <w:tc>
          <w:tcPr>
            <w:tcW w:w="2330" w:type="pct"/>
          </w:tcPr>
          <w:p w:rsidR="00C63B76" w:rsidRPr="00E64278" w:rsidRDefault="00C63B76" w:rsidP="00C63B76">
            <w:pPr>
              <w:jc w:val="both"/>
              <w:rPr>
                <w:rFonts w:eastAsia="Calibri"/>
                <w:sz w:val="20"/>
                <w:lang w:val="fr-CA"/>
              </w:rPr>
            </w:pPr>
            <w:r w:rsidRPr="00E64278">
              <w:rPr>
                <w:rFonts w:eastAsia="Calibri"/>
                <w:sz w:val="20"/>
                <w:lang w:val="fr-CA"/>
              </w:rPr>
              <w:t>Demande d’autorisation d’appel, déposée</w:t>
            </w:r>
          </w:p>
        </w:tc>
      </w:tr>
    </w:tbl>
    <w:p w:rsidR="00C63B76" w:rsidRDefault="00C63B76" w:rsidP="00C63B76">
      <w:pPr>
        <w:rPr>
          <w:sz w:val="20"/>
          <w:szCs w:val="20"/>
        </w:rPr>
      </w:pPr>
    </w:p>
    <w:p w:rsidR="00C63B76" w:rsidRDefault="00BA13BB" w:rsidP="00C63B76">
      <w:pPr>
        <w:rPr>
          <w:sz w:val="20"/>
          <w:szCs w:val="20"/>
          <w:lang w:val="fr-CA"/>
        </w:rPr>
      </w:pPr>
      <w:r>
        <w:rPr>
          <w:sz w:val="20"/>
          <w:szCs w:val="20"/>
          <w:lang w:val="fr-CA"/>
        </w:rPr>
        <w:pict>
          <v:rect id="_x0000_i1036" style="width:2in;height:1pt" o:hrpct="0" o:hralign="center" o:hrstd="t" o:hrnoshade="t" o:hr="t" fillcolor="black [3213]" stroked="f"/>
        </w:pict>
      </w:r>
    </w:p>
    <w:p w:rsidR="00C63B76" w:rsidRPr="00C63B76" w:rsidRDefault="00C63B76" w:rsidP="000E2959">
      <w:pPr>
        <w:rPr>
          <w:sz w:val="20"/>
          <w:szCs w:val="20"/>
        </w:rPr>
      </w:pPr>
    </w:p>
    <w:p w:rsidR="000E2959" w:rsidRPr="00C50A5C" w:rsidRDefault="00681F61" w:rsidP="000E2959">
      <w:pPr>
        <w:rPr>
          <w:b/>
          <w:sz w:val="20"/>
          <w:szCs w:val="20"/>
        </w:rPr>
      </w:pPr>
      <w:r>
        <w:rPr>
          <w:b/>
          <w:sz w:val="20"/>
          <w:szCs w:val="20"/>
        </w:rPr>
        <w:t>J</w:t>
      </w:r>
      <w:r w:rsidR="00701595">
        <w:rPr>
          <w:b/>
          <w:sz w:val="20"/>
          <w:szCs w:val="20"/>
        </w:rPr>
        <w:t>U</w:t>
      </w:r>
      <w:r>
        <w:rPr>
          <w:b/>
          <w:sz w:val="20"/>
          <w:szCs w:val="20"/>
        </w:rPr>
        <w:t>N</w:t>
      </w:r>
      <w:r w:rsidR="00701595">
        <w:rPr>
          <w:b/>
          <w:sz w:val="20"/>
          <w:szCs w:val="20"/>
        </w:rPr>
        <w:t>E</w:t>
      </w:r>
      <w:r w:rsidR="000E2959" w:rsidRPr="00C50A5C">
        <w:rPr>
          <w:b/>
          <w:sz w:val="20"/>
          <w:szCs w:val="20"/>
        </w:rPr>
        <w:t xml:space="preserve"> </w:t>
      </w:r>
      <w:r w:rsidR="00701595">
        <w:rPr>
          <w:b/>
          <w:sz w:val="20"/>
          <w:szCs w:val="20"/>
        </w:rPr>
        <w:t>11</w:t>
      </w:r>
      <w:r w:rsidR="000E2959" w:rsidRPr="00C50A5C">
        <w:rPr>
          <w:b/>
          <w:sz w:val="20"/>
          <w:szCs w:val="20"/>
        </w:rPr>
        <w:t>, 201</w:t>
      </w:r>
      <w:r>
        <w:rPr>
          <w:b/>
          <w:sz w:val="20"/>
          <w:szCs w:val="20"/>
        </w:rPr>
        <w:t>5</w:t>
      </w:r>
      <w:r w:rsidR="000E2959" w:rsidRPr="00C50A5C">
        <w:rPr>
          <w:b/>
          <w:sz w:val="20"/>
          <w:szCs w:val="20"/>
        </w:rPr>
        <w:t xml:space="preserve"> / LE </w:t>
      </w:r>
      <w:r w:rsidR="00701595">
        <w:rPr>
          <w:b/>
          <w:sz w:val="20"/>
          <w:szCs w:val="20"/>
        </w:rPr>
        <w:t>11</w:t>
      </w:r>
      <w:r w:rsidR="000E2959" w:rsidRPr="00C50A5C">
        <w:rPr>
          <w:b/>
          <w:sz w:val="20"/>
          <w:szCs w:val="20"/>
        </w:rPr>
        <w:t xml:space="preserve"> </w:t>
      </w:r>
      <w:r>
        <w:rPr>
          <w:b/>
          <w:sz w:val="20"/>
          <w:szCs w:val="20"/>
        </w:rPr>
        <w:t>J</w:t>
      </w:r>
      <w:r w:rsidR="00701595">
        <w:rPr>
          <w:b/>
          <w:sz w:val="20"/>
          <w:szCs w:val="20"/>
        </w:rPr>
        <w:t>UI</w:t>
      </w:r>
      <w:r>
        <w:rPr>
          <w:b/>
          <w:sz w:val="20"/>
          <w:szCs w:val="20"/>
        </w:rPr>
        <w:t>N</w:t>
      </w:r>
      <w:r w:rsidR="000E2959" w:rsidRPr="00C50A5C">
        <w:rPr>
          <w:b/>
          <w:sz w:val="20"/>
          <w:szCs w:val="20"/>
        </w:rPr>
        <w:t xml:space="preserve"> 201</w:t>
      </w:r>
      <w:r>
        <w:rPr>
          <w:b/>
          <w:sz w:val="20"/>
          <w:szCs w:val="20"/>
        </w:rPr>
        <w:t>5</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17B82" w:rsidRPr="00BA13BB" w:rsidTr="002F2EB6">
        <w:trPr>
          <w:cantSplit/>
        </w:trPr>
        <w:tc>
          <w:tcPr>
            <w:tcW w:w="1458" w:type="dxa"/>
          </w:tcPr>
          <w:p w:rsidR="00517B82" w:rsidRPr="008E741B" w:rsidRDefault="00517B82" w:rsidP="002F2EB6">
            <w:pPr>
              <w:rPr>
                <w:sz w:val="20"/>
                <w:szCs w:val="20"/>
              </w:rPr>
            </w:pPr>
            <w:r w:rsidRPr="008E741B">
              <w:rPr>
                <w:rStyle w:val="SCCFileNumberChar"/>
                <w:sz w:val="20"/>
                <w:szCs w:val="20"/>
              </w:rPr>
              <w:t>36262</w:t>
            </w:r>
          </w:p>
          <w:p w:rsidR="00517B82" w:rsidRPr="008E741B" w:rsidRDefault="00517B82" w:rsidP="002F2EB6">
            <w:pPr>
              <w:rPr>
                <w:b/>
                <w:sz w:val="20"/>
                <w:szCs w:val="20"/>
                <w:lang w:val="fr-CA"/>
              </w:rPr>
            </w:pPr>
          </w:p>
        </w:tc>
        <w:tc>
          <w:tcPr>
            <w:tcW w:w="8118" w:type="dxa"/>
          </w:tcPr>
          <w:p w:rsidR="00517B82" w:rsidRPr="008E741B" w:rsidRDefault="00517B82" w:rsidP="002F2EB6">
            <w:pPr>
              <w:rPr>
                <w:sz w:val="20"/>
                <w:szCs w:val="20"/>
                <w:lang w:val="fr-CA"/>
              </w:rPr>
            </w:pPr>
            <w:r w:rsidRPr="008E741B">
              <w:rPr>
                <w:rStyle w:val="SCCLsocChar"/>
                <w:sz w:val="20"/>
                <w:szCs w:val="20"/>
              </w:rPr>
              <w:t>Nadèje Merceus c. Sa Majesté la Reine</w:t>
            </w:r>
            <w:r w:rsidRPr="008E741B">
              <w:rPr>
                <w:sz w:val="20"/>
                <w:szCs w:val="20"/>
                <w:lang w:val="fr-CA"/>
              </w:rPr>
              <w:t xml:space="preserve"> (Qc) (Criminelle) (Autorisation)</w:t>
            </w:r>
          </w:p>
          <w:p w:rsidR="00517B82" w:rsidRPr="008E741B" w:rsidRDefault="00517B82" w:rsidP="002F2EB6">
            <w:pPr>
              <w:rPr>
                <w:sz w:val="20"/>
                <w:szCs w:val="20"/>
                <w:lang w:val="fr-CA"/>
              </w:rPr>
            </w:pPr>
          </w:p>
        </w:tc>
      </w:tr>
      <w:tr w:rsidR="00517B82" w:rsidRPr="00BA13BB" w:rsidTr="002F2EB6">
        <w:trPr>
          <w:cantSplit/>
        </w:trPr>
        <w:tc>
          <w:tcPr>
            <w:tcW w:w="1458" w:type="dxa"/>
          </w:tcPr>
          <w:p w:rsidR="00517B82" w:rsidRPr="008E741B" w:rsidRDefault="00517B82" w:rsidP="002F2EB6">
            <w:pPr>
              <w:rPr>
                <w:sz w:val="20"/>
                <w:szCs w:val="20"/>
              </w:rPr>
            </w:pPr>
            <w:r w:rsidRPr="008E741B">
              <w:rPr>
                <w:sz w:val="20"/>
                <w:szCs w:val="20"/>
              </w:rPr>
              <w:t>Coram :</w:t>
            </w:r>
          </w:p>
        </w:tc>
        <w:tc>
          <w:tcPr>
            <w:tcW w:w="8118" w:type="dxa"/>
          </w:tcPr>
          <w:p w:rsidR="00517B82" w:rsidRPr="008E741B" w:rsidRDefault="00517B82" w:rsidP="002F2EB6">
            <w:pPr>
              <w:rPr>
                <w:sz w:val="20"/>
                <w:szCs w:val="20"/>
                <w:lang w:val="fr-CA"/>
              </w:rPr>
            </w:pPr>
            <w:r w:rsidRPr="008E741B">
              <w:rPr>
                <w:rStyle w:val="SCCCoramChar"/>
                <w:sz w:val="20"/>
                <w:szCs w:val="20"/>
              </w:rPr>
              <w:t>La juge en chef McLachlin et les juges Wagner et Gascon</w:t>
            </w:r>
          </w:p>
          <w:p w:rsidR="00517B82" w:rsidRPr="008E741B" w:rsidRDefault="00517B82" w:rsidP="002F2EB6">
            <w:pPr>
              <w:rPr>
                <w:sz w:val="20"/>
                <w:szCs w:val="20"/>
                <w:u w:val="single"/>
                <w:lang w:val="fr-CA"/>
              </w:rPr>
            </w:pPr>
          </w:p>
        </w:tc>
      </w:tr>
      <w:tr w:rsidR="00517B82" w:rsidRPr="008E741B" w:rsidTr="002F2EB6">
        <w:trPr>
          <w:cantSplit/>
        </w:trPr>
        <w:tc>
          <w:tcPr>
            <w:tcW w:w="9576" w:type="dxa"/>
            <w:gridSpan w:val="2"/>
          </w:tcPr>
          <w:p w:rsidR="00517B82" w:rsidRPr="008E741B" w:rsidRDefault="00517B82" w:rsidP="002F2EB6">
            <w:pPr>
              <w:pStyle w:val="SCCShortJudgment"/>
              <w:rPr>
                <w:szCs w:val="20"/>
                <w:lang w:val="fr-CA"/>
              </w:rPr>
            </w:pPr>
            <w:r w:rsidRPr="008E741B">
              <w:rPr>
                <w:szCs w:val="20"/>
                <w:lang w:val="fr-CA"/>
              </w:rPr>
              <w:t>La requête en prorogation du délai de signification et de dépôt de la demande d’autorisation d’appel est accueillie. La demande d’autorisation d’appel de l’arrêt de la Cour d’appel du Québec (Montréal), numéros 500-10-004413-090, 500-10-004422-091 et 500-10-004426-092, 2014 QCCA 1766, daté du 29 août 2014, est rejetée.</w:t>
            </w:r>
          </w:p>
          <w:p w:rsidR="00517B82" w:rsidRPr="008E741B" w:rsidRDefault="00517B82" w:rsidP="002F2EB6">
            <w:pPr>
              <w:pStyle w:val="SCCShortJudgment"/>
              <w:ind w:firstLine="0"/>
              <w:rPr>
                <w:szCs w:val="20"/>
                <w:lang w:val="fr-CA"/>
              </w:rPr>
            </w:pPr>
          </w:p>
          <w:p w:rsidR="00517B82" w:rsidRPr="008E741B" w:rsidRDefault="00517B82" w:rsidP="002F2EB6">
            <w:pPr>
              <w:pStyle w:val="SCCShortJudgment"/>
              <w:rPr>
                <w:szCs w:val="20"/>
              </w:rPr>
            </w:pPr>
            <w:r w:rsidRPr="008E741B">
              <w:rPr>
                <w:szCs w:val="20"/>
              </w:rPr>
              <w:t>The motion for an extension of time to serve and file the application or leave to appeal is granted.  The application for leave to appeal from the judgment of the Court of Appeal of Quebec (Montréal), Numbers 500-10-004413-090, 500-10-004422-091 and 500-10-004426-092, 2014 QCCA 1766, dated August 29, 2014, is dismissed.</w:t>
            </w:r>
          </w:p>
        </w:tc>
      </w:tr>
    </w:tbl>
    <w:p w:rsidR="00701595" w:rsidRDefault="00701595" w:rsidP="000E2959">
      <w:pPr>
        <w:rPr>
          <w:sz w:val="20"/>
          <w:szCs w:val="20"/>
        </w:rPr>
      </w:pPr>
    </w:p>
    <w:p w:rsidR="00701595" w:rsidRPr="001B157C" w:rsidRDefault="00701595" w:rsidP="00701595">
      <w:pPr>
        <w:rPr>
          <w:sz w:val="20"/>
          <w:szCs w:val="20"/>
          <w:u w:val="single"/>
        </w:rPr>
      </w:pPr>
      <w:r w:rsidRPr="001B157C">
        <w:rPr>
          <w:sz w:val="20"/>
          <w:szCs w:val="20"/>
          <w:u w:val="single"/>
        </w:rPr>
        <w:t>CASE SUMMARY</w:t>
      </w:r>
    </w:p>
    <w:p w:rsidR="00701595" w:rsidRDefault="00701595" w:rsidP="0070159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E3EB9" w:rsidRPr="00860B3B" w:rsidTr="00C63B76">
        <w:tc>
          <w:tcPr>
            <w:tcW w:w="5000" w:type="pct"/>
            <w:gridSpan w:val="3"/>
          </w:tcPr>
          <w:p w:rsidR="00DE3EB9" w:rsidRPr="00860B3B" w:rsidRDefault="00DE3EB9" w:rsidP="00C63B76">
            <w:pPr>
              <w:jc w:val="both"/>
              <w:rPr>
                <w:sz w:val="20"/>
              </w:rPr>
            </w:pPr>
            <w:r w:rsidRPr="00860B3B">
              <w:rPr>
                <w:sz w:val="20"/>
              </w:rPr>
              <w:t>Criminal law – Second degree murder – Unreasonable verdict – Charge to jury – Forms of participation in offence – Crown’s argument – Motion for separate trials – Whether Court of Appeal erred in holding that guilty verdict could be returned against co</w:t>
            </w:r>
            <w:r w:rsidRPr="00860B3B">
              <w:rPr>
                <w:sz w:val="20"/>
              </w:rPr>
              <w:noBreakHyphen/>
              <w:t>accused through s. 21(1)(</w:t>
            </w:r>
            <w:r w:rsidRPr="00860B3B">
              <w:rPr>
                <w:i/>
                <w:sz w:val="20"/>
              </w:rPr>
              <w:t>a</w:t>
            </w:r>
            <w:r w:rsidRPr="00860B3B">
              <w:rPr>
                <w:sz w:val="20"/>
              </w:rPr>
              <w:t>) and (</w:t>
            </w:r>
            <w:r w:rsidRPr="00860B3B">
              <w:rPr>
                <w:i/>
                <w:sz w:val="20"/>
              </w:rPr>
              <w:t>b</w:t>
            </w:r>
            <w:r w:rsidRPr="00860B3B">
              <w:rPr>
                <w:sz w:val="20"/>
              </w:rPr>
              <w:t xml:space="preserve">) of </w:t>
            </w:r>
            <w:r w:rsidRPr="00860B3B">
              <w:rPr>
                <w:i/>
                <w:sz w:val="20"/>
              </w:rPr>
              <w:t>Criminal Code</w:t>
            </w:r>
            <w:r w:rsidRPr="00860B3B">
              <w:rPr>
                <w:sz w:val="20"/>
              </w:rPr>
              <w:t>, R.S.C. 1985, c. C</w:t>
            </w:r>
            <w:r w:rsidRPr="00860B3B">
              <w:rPr>
                <w:sz w:val="20"/>
              </w:rPr>
              <w:noBreakHyphen/>
              <w:t>46 – Whether Court of Appeal erred in holding that verdict not unreasonable under s. 21(1)(</w:t>
            </w:r>
            <w:r w:rsidRPr="00860B3B">
              <w:rPr>
                <w:i/>
                <w:sz w:val="20"/>
              </w:rPr>
              <w:t>a</w:t>
            </w:r>
            <w:r w:rsidRPr="00860B3B">
              <w:rPr>
                <w:sz w:val="20"/>
              </w:rPr>
              <w:t>) – Whether Court of Appeal erred in finding that Crown’s argument not intended to be understood as common venture – Whether Court of Appeal erred in reinterpreting facts of case three times – Whether Court of Appeal erred in finding that trial judge could dismiss motion for separate trial.</w:t>
            </w:r>
          </w:p>
        </w:tc>
      </w:tr>
      <w:tr w:rsidR="00DE3EB9" w:rsidRPr="00860B3B" w:rsidTr="00C63B76">
        <w:tc>
          <w:tcPr>
            <w:tcW w:w="5000" w:type="pct"/>
            <w:gridSpan w:val="3"/>
          </w:tcPr>
          <w:p w:rsidR="00DE3EB9" w:rsidRPr="00860B3B" w:rsidRDefault="00DE3EB9" w:rsidP="00C63B76">
            <w:pPr>
              <w:jc w:val="both"/>
              <w:rPr>
                <w:sz w:val="20"/>
              </w:rPr>
            </w:pPr>
          </w:p>
        </w:tc>
      </w:tr>
      <w:tr w:rsidR="00DE3EB9" w:rsidRPr="00860B3B" w:rsidTr="00C63B76">
        <w:tc>
          <w:tcPr>
            <w:tcW w:w="5000" w:type="pct"/>
            <w:gridSpan w:val="3"/>
          </w:tcPr>
          <w:p w:rsidR="00DE3EB9" w:rsidRPr="00860B3B" w:rsidRDefault="00DE3EB9" w:rsidP="00C63B76">
            <w:pPr>
              <w:jc w:val="both"/>
              <w:rPr>
                <w:sz w:val="20"/>
              </w:rPr>
            </w:pPr>
            <w:r w:rsidRPr="00860B3B">
              <w:rPr>
                <w:sz w:val="20"/>
              </w:rPr>
              <w:t>The applicant, Ms. Merceus, and her co</w:t>
            </w:r>
            <w:r w:rsidRPr="00860B3B">
              <w:rPr>
                <w:sz w:val="20"/>
              </w:rPr>
              <w:noBreakHyphen/>
              <w:t>accused were convicted of second degree murder and improperly interfering with a dead body.  At trial, the prosecution argued that the two co</w:t>
            </w:r>
            <w:r w:rsidRPr="00860B3B">
              <w:rPr>
                <w:sz w:val="20"/>
              </w:rPr>
              <w:noBreakHyphen/>
              <w:t>accused had together attacked the victim by surprise and had then continued helping each other to get rid the body.  The co</w:t>
            </w:r>
            <w:r w:rsidRPr="00860B3B">
              <w:rPr>
                <w:sz w:val="20"/>
              </w:rPr>
              <w:noBreakHyphen/>
              <w:t xml:space="preserve">accused each advanced the theory that the other had committed the murder alone.  On appeal, the applicant made several arguments, including with regard to the unreasonableness of the verdict, the trial judge’s refusal to allow her motion for separate trials, the Crown’s allegedly prejudicial argument and the instructions to the jury concerning s. 21(1) of the </w:t>
            </w:r>
            <w:r w:rsidRPr="00860B3B">
              <w:rPr>
                <w:i/>
                <w:sz w:val="20"/>
              </w:rPr>
              <w:t>Criminal Code</w:t>
            </w:r>
            <w:r w:rsidRPr="00860B3B">
              <w:rPr>
                <w:sz w:val="20"/>
              </w:rPr>
              <w:t>.  The Court of Appeal dismissed the appeal.</w:t>
            </w:r>
          </w:p>
          <w:p w:rsidR="00DE3EB9" w:rsidRPr="00860B3B" w:rsidRDefault="00DE3EB9" w:rsidP="00C63B76">
            <w:pPr>
              <w:jc w:val="both"/>
              <w:rPr>
                <w:sz w:val="20"/>
              </w:rPr>
            </w:pPr>
          </w:p>
        </w:tc>
      </w:tr>
      <w:tr w:rsidR="00DE3EB9" w:rsidRPr="00860B3B" w:rsidTr="00C63B76">
        <w:tc>
          <w:tcPr>
            <w:tcW w:w="2427" w:type="pct"/>
          </w:tcPr>
          <w:p w:rsidR="00DE3EB9" w:rsidRPr="00860B3B" w:rsidRDefault="00DE3EB9" w:rsidP="00C63B76">
            <w:pPr>
              <w:jc w:val="both"/>
              <w:rPr>
                <w:sz w:val="20"/>
              </w:rPr>
            </w:pPr>
            <w:r w:rsidRPr="00860B3B">
              <w:rPr>
                <w:sz w:val="20"/>
              </w:rPr>
              <w:t>May 9, 2009</w:t>
            </w:r>
          </w:p>
          <w:p w:rsidR="00DE3EB9" w:rsidRPr="00860B3B" w:rsidRDefault="00DE3EB9" w:rsidP="00C63B76">
            <w:pPr>
              <w:jc w:val="both"/>
              <w:rPr>
                <w:sz w:val="20"/>
              </w:rPr>
            </w:pPr>
            <w:r w:rsidRPr="00860B3B">
              <w:rPr>
                <w:sz w:val="20"/>
              </w:rPr>
              <w:t>Quebec Superior Court</w:t>
            </w:r>
          </w:p>
          <w:p w:rsidR="00DE3EB9" w:rsidRPr="00860B3B" w:rsidRDefault="00DE3EB9" w:rsidP="00C63B76">
            <w:pPr>
              <w:jc w:val="both"/>
              <w:rPr>
                <w:sz w:val="20"/>
              </w:rPr>
            </w:pPr>
            <w:r w:rsidRPr="00860B3B">
              <w:rPr>
                <w:sz w:val="20"/>
              </w:rPr>
              <w:t>(Vincent J.)</w:t>
            </w:r>
          </w:p>
          <w:p w:rsidR="00DE3EB9" w:rsidRPr="00860B3B" w:rsidRDefault="00DE3EB9" w:rsidP="00C63B76">
            <w:pPr>
              <w:jc w:val="both"/>
              <w:rPr>
                <w:sz w:val="20"/>
              </w:rPr>
            </w:pPr>
          </w:p>
        </w:tc>
        <w:tc>
          <w:tcPr>
            <w:tcW w:w="243" w:type="pct"/>
          </w:tcPr>
          <w:p w:rsidR="00DE3EB9" w:rsidRPr="00860B3B" w:rsidRDefault="00DE3EB9" w:rsidP="00C63B76">
            <w:pPr>
              <w:jc w:val="both"/>
              <w:rPr>
                <w:sz w:val="20"/>
              </w:rPr>
            </w:pPr>
          </w:p>
        </w:tc>
        <w:tc>
          <w:tcPr>
            <w:tcW w:w="2330" w:type="pct"/>
          </w:tcPr>
          <w:p w:rsidR="00DE3EB9" w:rsidRPr="00860B3B" w:rsidRDefault="00DE3EB9" w:rsidP="00C63B76">
            <w:pPr>
              <w:jc w:val="both"/>
              <w:rPr>
                <w:sz w:val="20"/>
              </w:rPr>
            </w:pPr>
            <w:r w:rsidRPr="00860B3B">
              <w:rPr>
                <w:sz w:val="20"/>
              </w:rPr>
              <w:t>Applicant convicted of second degree murder and improperly interfering with dead body</w:t>
            </w:r>
          </w:p>
          <w:p w:rsidR="00DE3EB9" w:rsidRPr="00860B3B" w:rsidRDefault="00DE3EB9" w:rsidP="00C63B76">
            <w:pPr>
              <w:jc w:val="both"/>
              <w:rPr>
                <w:sz w:val="20"/>
              </w:rPr>
            </w:pPr>
          </w:p>
        </w:tc>
      </w:tr>
      <w:tr w:rsidR="00DE3EB9" w:rsidRPr="00860B3B" w:rsidTr="00C63B76">
        <w:tc>
          <w:tcPr>
            <w:tcW w:w="2427" w:type="pct"/>
          </w:tcPr>
          <w:p w:rsidR="00DE3EB9" w:rsidRPr="00860B3B" w:rsidRDefault="00DE3EB9" w:rsidP="00C63B76">
            <w:pPr>
              <w:jc w:val="both"/>
              <w:rPr>
                <w:sz w:val="20"/>
              </w:rPr>
            </w:pPr>
            <w:r w:rsidRPr="00860B3B">
              <w:rPr>
                <w:sz w:val="20"/>
              </w:rPr>
              <w:t>August 29, 2014</w:t>
            </w:r>
          </w:p>
          <w:p w:rsidR="00DE3EB9" w:rsidRPr="00860B3B" w:rsidRDefault="00DE3EB9" w:rsidP="00C63B76">
            <w:pPr>
              <w:jc w:val="both"/>
              <w:rPr>
                <w:sz w:val="20"/>
              </w:rPr>
            </w:pPr>
            <w:r w:rsidRPr="00860B3B">
              <w:rPr>
                <w:sz w:val="20"/>
              </w:rPr>
              <w:t>Quebec Court of Appeal (Montréal)</w:t>
            </w:r>
          </w:p>
          <w:p w:rsidR="00DE3EB9" w:rsidRPr="00860B3B" w:rsidRDefault="00DE3EB9" w:rsidP="00C63B76">
            <w:pPr>
              <w:jc w:val="both"/>
              <w:rPr>
                <w:sz w:val="20"/>
                <w:lang w:val="fr-CA"/>
              </w:rPr>
            </w:pPr>
            <w:r w:rsidRPr="00860B3B">
              <w:rPr>
                <w:sz w:val="20"/>
                <w:lang w:val="fr-CA"/>
              </w:rPr>
              <w:t>(Pelletier, Kasirer and Lévesque JJ.A.)</w:t>
            </w:r>
          </w:p>
          <w:p w:rsidR="00DE3EB9" w:rsidRPr="00860B3B" w:rsidRDefault="00BA13BB" w:rsidP="00C63B76">
            <w:pPr>
              <w:jc w:val="both"/>
              <w:rPr>
                <w:sz w:val="20"/>
              </w:rPr>
            </w:pPr>
            <w:hyperlink r:id="rId30" w:history="1">
              <w:r w:rsidR="00DE3EB9" w:rsidRPr="00860B3B">
                <w:rPr>
                  <w:color w:val="0000FF" w:themeColor="hyperlink"/>
                  <w:sz w:val="20"/>
                  <w:u w:val="single"/>
                </w:rPr>
                <w:t>2014 QCCA 1766</w:t>
              </w:r>
            </w:hyperlink>
          </w:p>
          <w:p w:rsidR="00DE3EB9" w:rsidRPr="00860B3B" w:rsidRDefault="00DE3EB9" w:rsidP="00C63B76">
            <w:pPr>
              <w:jc w:val="both"/>
              <w:rPr>
                <w:sz w:val="20"/>
              </w:rPr>
            </w:pPr>
          </w:p>
        </w:tc>
        <w:tc>
          <w:tcPr>
            <w:tcW w:w="243" w:type="pct"/>
          </w:tcPr>
          <w:p w:rsidR="00DE3EB9" w:rsidRPr="00860B3B" w:rsidRDefault="00DE3EB9" w:rsidP="00C63B76">
            <w:pPr>
              <w:jc w:val="both"/>
              <w:rPr>
                <w:sz w:val="20"/>
              </w:rPr>
            </w:pPr>
          </w:p>
        </w:tc>
        <w:tc>
          <w:tcPr>
            <w:tcW w:w="2330" w:type="pct"/>
          </w:tcPr>
          <w:p w:rsidR="00DE3EB9" w:rsidRPr="00860B3B" w:rsidRDefault="00DE3EB9" w:rsidP="00C63B76">
            <w:pPr>
              <w:jc w:val="both"/>
              <w:rPr>
                <w:sz w:val="20"/>
              </w:rPr>
            </w:pPr>
            <w:r w:rsidRPr="00860B3B">
              <w:rPr>
                <w:sz w:val="20"/>
              </w:rPr>
              <w:t>Appeal dismissed</w:t>
            </w:r>
          </w:p>
          <w:p w:rsidR="00DE3EB9" w:rsidRPr="00860B3B" w:rsidRDefault="00DE3EB9" w:rsidP="00C63B76">
            <w:pPr>
              <w:jc w:val="both"/>
              <w:rPr>
                <w:sz w:val="20"/>
              </w:rPr>
            </w:pPr>
          </w:p>
        </w:tc>
      </w:tr>
      <w:tr w:rsidR="00DE3EB9" w:rsidRPr="00860B3B" w:rsidTr="00C63B76">
        <w:tc>
          <w:tcPr>
            <w:tcW w:w="2427" w:type="pct"/>
          </w:tcPr>
          <w:p w:rsidR="00DE3EB9" w:rsidRPr="00860B3B" w:rsidRDefault="00DE3EB9" w:rsidP="00C63B76">
            <w:pPr>
              <w:jc w:val="both"/>
              <w:rPr>
                <w:sz w:val="20"/>
              </w:rPr>
            </w:pPr>
            <w:r w:rsidRPr="00860B3B">
              <w:rPr>
                <w:sz w:val="20"/>
              </w:rPr>
              <w:t>January 15, 2015</w:t>
            </w:r>
          </w:p>
          <w:p w:rsidR="00DE3EB9" w:rsidRPr="00860B3B" w:rsidRDefault="00DE3EB9" w:rsidP="00C63B76">
            <w:pPr>
              <w:jc w:val="both"/>
              <w:rPr>
                <w:sz w:val="20"/>
              </w:rPr>
            </w:pPr>
            <w:r w:rsidRPr="00860B3B">
              <w:rPr>
                <w:sz w:val="20"/>
              </w:rPr>
              <w:t>Supreme Court of Canada</w:t>
            </w:r>
          </w:p>
        </w:tc>
        <w:tc>
          <w:tcPr>
            <w:tcW w:w="243" w:type="pct"/>
          </w:tcPr>
          <w:p w:rsidR="00DE3EB9" w:rsidRPr="00860B3B" w:rsidRDefault="00DE3EB9" w:rsidP="00C63B76">
            <w:pPr>
              <w:jc w:val="both"/>
              <w:rPr>
                <w:sz w:val="20"/>
              </w:rPr>
            </w:pPr>
          </w:p>
        </w:tc>
        <w:tc>
          <w:tcPr>
            <w:tcW w:w="2330" w:type="pct"/>
          </w:tcPr>
          <w:p w:rsidR="00DE3EB9" w:rsidRPr="00860B3B" w:rsidRDefault="00DE3EB9" w:rsidP="00C63B76">
            <w:pPr>
              <w:jc w:val="both"/>
              <w:rPr>
                <w:sz w:val="20"/>
              </w:rPr>
            </w:pPr>
            <w:r w:rsidRPr="00860B3B">
              <w:rPr>
                <w:sz w:val="20"/>
              </w:rPr>
              <w:t>Motion to extend time and application for leave to appeal filed</w:t>
            </w:r>
          </w:p>
        </w:tc>
      </w:tr>
    </w:tbl>
    <w:p w:rsidR="00701595" w:rsidRPr="00DE3EB9" w:rsidRDefault="00701595" w:rsidP="00701595">
      <w:pPr>
        <w:rPr>
          <w:sz w:val="20"/>
          <w:szCs w:val="20"/>
        </w:rPr>
      </w:pPr>
    </w:p>
    <w:p w:rsidR="00701595" w:rsidRPr="00C50A5C" w:rsidRDefault="00BA13BB" w:rsidP="00701595">
      <w:pPr>
        <w:rPr>
          <w:sz w:val="20"/>
          <w:szCs w:val="20"/>
        </w:rPr>
      </w:pPr>
      <w:r>
        <w:rPr>
          <w:sz w:val="20"/>
          <w:szCs w:val="20"/>
          <w:lang w:val="fr-CA"/>
        </w:rPr>
        <w:pict>
          <v:rect id="_x0000_i1037" style="width:2in;height:1pt" o:hrpct="0" o:hralign="center" o:hrstd="t" o:hrnoshade="t" o:hr="t" fillcolor="black [3213]" stroked="f"/>
        </w:pict>
      </w:r>
    </w:p>
    <w:p w:rsidR="00701595" w:rsidRDefault="00701595" w:rsidP="00701595">
      <w:pPr>
        <w:rPr>
          <w:sz w:val="20"/>
          <w:szCs w:val="20"/>
        </w:rPr>
      </w:pPr>
    </w:p>
    <w:p w:rsidR="00701595" w:rsidRPr="001B157C" w:rsidRDefault="00701595" w:rsidP="00701595">
      <w:pPr>
        <w:rPr>
          <w:sz w:val="20"/>
          <w:szCs w:val="20"/>
          <w:u w:val="single"/>
          <w:lang w:val="fr-CA"/>
        </w:rPr>
      </w:pPr>
      <w:r w:rsidRPr="001B157C">
        <w:rPr>
          <w:sz w:val="20"/>
          <w:szCs w:val="20"/>
          <w:u w:val="single"/>
          <w:lang w:val="fr-CA"/>
        </w:rPr>
        <w:t>RÉSUMÉ DE L’AFFAIRE</w:t>
      </w:r>
    </w:p>
    <w:p w:rsidR="00701595" w:rsidRDefault="00701595" w:rsidP="0070159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E3EB9" w:rsidRPr="00BA13BB" w:rsidTr="00C63B76">
        <w:tc>
          <w:tcPr>
            <w:tcW w:w="5000" w:type="pct"/>
            <w:gridSpan w:val="3"/>
          </w:tcPr>
          <w:p w:rsidR="00DE3EB9" w:rsidRPr="00860B3B" w:rsidRDefault="00DE3EB9" w:rsidP="00C63B76">
            <w:pPr>
              <w:jc w:val="both"/>
              <w:rPr>
                <w:sz w:val="20"/>
                <w:lang w:val="fr-CA"/>
              </w:rPr>
            </w:pPr>
            <w:r w:rsidRPr="00860B3B">
              <w:rPr>
                <w:sz w:val="20"/>
                <w:lang w:val="fr-CA"/>
              </w:rPr>
              <w:t xml:space="preserve">Droit criminel – Meurtre au deuxième degré – Verdict déraisonnable – Exposé au jury – Formes de participation à une </w:t>
            </w:r>
            <w:r w:rsidRPr="00860B3B">
              <w:rPr>
                <w:sz w:val="20"/>
                <w:lang w:val="fr-CA"/>
              </w:rPr>
              <w:lastRenderedPageBreak/>
              <w:t>infraction – Plaidoirie du ministère public – Requête pour procès séparés – La Cour d’appel a-t-elle fait erreur en décidant qu’un verdict de culpabilité pouvait être rendu contre les co-accusés par le biais des al. 21(1)</w:t>
            </w:r>
            <w:r w:rsidRPr="00860B3B">
              <w:rPr>
                <w:i/>
                <w:sz w:val="20"/>
                <w:lang w:val="fr-CA"/>
              </w:rPr>
              <w:t>a</w:t>
            </w:r>
            <w:r w:rsidRPr="00860B3B">
              <w:rPr>
                <w:sz w:val="20"/>
                <w:lang w:val="fr-CA"/>
              </w:rPr>
              <w:t>) et 21(1)</w:t>
            </w:r>
            <w:r w:rsidRPr="00860B3B">
              <w:rPr>
                <w:i/>
                <w:sz w:val="20"/>
                <w:lang w:val="fr-CA"/>
              </w:rPr>
              <w:t>b</w:t>
            </w:r>
            <w:r w:rsidRPr="00860B3B">
              <w:rPr>
                <w:sz w:val="20"/>
                <w:lang w:val="fr-CA"/>
              </w:rPr>
              <w:t xml:space="preserve">) du </w:t>
            </w:r>
            <w:r w:rsidRPr="00860B3B">
              <w:rPr>
                <w:i/>
                <w:sz w:val="20"/>
                <w:lang w:val="fr-CA"/>
              </w:rPr>
              <w:t>Code criminel</w:t>
            </w:r>
            <w:r w:rsidRPr="00860B3B">
              <w:rPr>
                <w:sz w:val="20"/>
                <w:lang w:val="fr-CA"/>
              </w:rPr>
              <w:t>, L.R.C. 1985, ch. C-46? – La Cour d’appel a-t-elle fait erreur en décidant que c’était sous l’al. 21(1)</w:t>
            </w:r>
            <w:r w:rsidRPr="00860B3B">
              <w:rPr>
                <w:i/>
                <w:sz w:val="20"/>
                <w:lang w:val="fr-CA"/>
              </w:rPr>
              <w:t>a</w:t>
            </w:r>
            <w:r w:rsidRPr="00860B3B">
              <w:rPr>
                <w:sz w:val="20"/>
                <w:lang w:val="fr-CA"/>
              </w:rPr>
              <w:t>) que le verdict n’était pas déraisonnable? – La Cour d’appel a-t-elle fait erreur en concluant que la plaidoirie du ministère public ne visait pas à être comprise comme étant une aventure commune? – La Cour d’appel a-t-elle fait erreur en réinterprétant à trois reprises les faits de la cause? – La Cour d’appel a-t-elle fait erreur en déclarant que le juge de première instance pouvait rejeter la requête pour procès séparé?</w:t>
            </w:r>
          </w:p>
        </w:tc>
      </w:tr>
      <w:tr w:rsidR="00DE3EB9" w:rsidRPr="00BA13BB" w:rsidTr="00C63B76">
        <w:tc>
          <w:tcPr>
            <w:tcW w:w="5000" w:type="pct"/>
            <w:gridSpan w:val="3"/>
          </w:tcPr>
          <w:p w:rsidR="00DE3EB9" w:rsidRPr="00860B3B" w:rsidRDefault="00DE3EB9" w:rsidP="00C63B76">
            <w:pPr>
              <w:jc w:val="both"/>
              <w:rPr>
                <w:sz w:val="20"/>
                <w:lang w:val="fr-CA"/>
              </w:rPr>
            </w:pPr>
          </w:p>
        </w:tc>
      </w:tr>
      <w:tr w:rsidR="00DE3EB9" w:rsidRPr="00860B3B" w:rsidTr="00C63B76">
        <w:tc>
          <w:tcPr>
            <w:tcW w:w="5000" w:type="pct"/>
            <w:gridSpan w:val="3"/>
          </w:tcPr>
          <w:p w:rsidR="00DE3EB9" w:rsidRPr="00860B3B" w:rsidRDefault="00DE3EB9" w:rsidP="00C63B76">
            <w:pPr>
              <w:jc w:val="both"/>
              <w:rPr>
                <w:sz w:val="20"/>
                <w:lang w:val="fr-CA"/>
              </w:rPr>
            </w:pPr>
            <w:r w:rsidRPr="00860B3B">
              <w:rPr>
                <w:sz w:val="20"/>
                <w:lang w:val="fr-CA"/>
              </w:rPr>
              <w:t xml:space="preserve">Madame Merceus, demanderesse, et son coaccusé ont été reconnu coupables de meurtre au deuxième degré et d’outrage à un cadavre.  Au procès, la poursuite a soutenu que les deux coaccusés avaient, ensemble, attaqué la victime par surprise et qu’ils avaient continué à s’entraider par la suite pour faire disparaître le corps.  Les coaccusés, eux, ont chacun avancé la thèse que l’autre était l’unique auteur du meurtre.  En appel, la demanderesse a formulé plusieurs arguments, dont ceux relatifs au caractère déraisonnable du verdict, au refus du premier juge d’accueillir sa requête pour procès séparés, à la plaidoirie prétendument préjudiciable du ministère public et aux directives au jury quant à l’art. 21(1) du </w:t>
            </w:r>
            <w:r w:rsidRPr="00860B3B">
              <w:rPr>
                <w:i/>
                <w:sz w:val="20"/>
                <w:lang w:val="fr-CA"/>
              </w:rPr>
              <w:t>Code criminel</w:t>
            </w:r>
            <w:r w:rsidRPr="00860B3B">
              <w:rPr>
                <w:sz w:val="20"/>
                <w:lang w:val="fr-CA"/>
              </w:rPr>
              <w:t>. La Cour d’appel a rejeté l’appel.</w:t>
            </w:r>
          </w:p>
          <w:p w:rsidR="00DE3EB9" w:rsidRPr="00860B3B" w:rsidRDefault="00DE3EB9" w:rsidP="00C63B76">
            <w:pPr>
              <w:jc w:val="both"/>
              <w:rPr>
                <w:sz w:val="20"/>
                <w:lang w:val="fr-CA"/>
              </w:rPr>
            </w:pPr>
          </w:p>
        </w:tc>
      </w:tr>
      <w:tr w:rsidR="00DE3EB9" w:rsidRPr="00BA13BB" w:rsidTr="00C63B76">
        <w:tc>
          <w:tcPr>
            <w:tcW w:w="2427" w:type="pct"/>
          </w:tcPr>
          <w:p w:rsidR="00DE3EB9" w:rsidRPr="00860B3B" w:rsidRDefault="00DE3EB9" w:rsidP="00C63B76">
            <w:pPr>
              <w:jc w:val="both"/>
              <w:rPr>
                <w:sz w:val="20"/>
                <w:lang w:val="fr-CA"/>
              </w:rPr>
            </w:pPr>
            <w:r w:rsidRPr="00860B3B">
              <w:rPr>
                <w:sz w:val="20"/>
                <w:lang w:val="fr-CA"/>
              </w:rPr>
              <w:t>Le 9 mai 2009</w:t>
            </w:r>
          </w:p>
          <w:p w:rsidR="00DE3EB9" w:rsidRPr="00860B3B" w:rsidRDefault="00DE3EB9" w:rsidP="00C63B76">
            <w:pPr>
              <w:jc w:val="both"/>
              <w:rPr>
                <w:sz w:val="20"/>
                <w:lang w:val="fr-CA"/>
              </w:rPr>
            </w:pPr>
            <w:r w:rsidRPr="00860B3B">
              <w:rPr>
                <w:sz w:val="20"/>
                <w:lang w:val="fr-CA"/>
              </w:rPr>
              <w:t>Cour supérieure du Québec</w:t>
            </w:r>
          </w:p>
          <w:p w:rsidR="00DE3EB9" w:rsidRPr="00860B3B" w:rsidRDefault="00DE3EB9" w:rsidP="00C63B76">
            <w:pPr>
              <w:jc w:val="both"/>
              <w:rPr>
                <w:sz w:val="20"/>
                <w:lang w:val="fr-CA"/>
              </w:rPr>
            </w:pPr>
            <w:r w:rsidRPr="00860B3B">
              <w:rPr>
                <w:sz w:val="20"/>
                <w:lang w:val="fr-CA"/>
              </w:rPr>
              <w:t>(Le juge Vincent)</w:t>
            </w:r>
          </w:p>
          <w:p w:rsidR="00DE3EB9" w:rsidRPr="00860B3B" w:rsidRDefault="00DE3EB9" w:rsidP="00C63B76">
            <w:pPr>
              <w:jc w:val="both"/>
              <w:rPr>
                <w:sz w:val="20"/>
              </w:rPr>
            </w:pPr>
          </w:p>
        </w:tc>
        <w:tc>
          <w:tcPr>
            <w:tcW w:w="243" w:type="pct"/>
          </w:tcPr>
          <w:p w:rsidR="00DE3EB9" w:rsidRPr="00860B3B" w:rsidRDefault="00DE3EB9" w:rsidP="00C63B76">
            <w:pPr>
              <w:jc w:val="both"/>
              <w:rPr>
                <w:sz w:val="20"/>
              </w:rPr>
            </w:pPr>
          </w:p>
        </w:tc>
        <w:tc>
          <w:tcPr>
            <w:tcW w:w="2330" w:type="pct"/>
          </w:tcPr>
          <w:p w:rsidR="00DE3EB9" w:rsidRPr="00860B3B" w:rsidRDefault="00DE3EB9" w:rsidP="00C63B76">
            <w:pPr>
              <w:jc w:val="both"/>
              <w:rPr>
                <w:sz w:val="20"/>
                <w:lang w:val="fr-CA"/>
              </w:rPr>
            </w:pPr>
            <w:r w:rsidRPr="00860B3B">
              <w:rPr>
                <w:sz w:val="20"/>
                <w:lang w:val="fr-CA"/>
              </w:rPr>
              <w:t>Demanderesse déclarée coupable de meurtre au deuxième degré et d’outrage à un cadavre</w:t>
            </w:r>
          </w:p>
          <w:p w:rsidR="00DE3EB9" w:rsidRPr="00860B3B" w:rsidRDefault="00DE3EB9" w:rsidP="00C63B76">
            <w:pPr>
              <w:jc w:val="both"/>
              <w:rPr>
                <w:sz w:val="20"/>
                <w:lang w:val="fr-CA"/>
              </w:rPr>
            </w:pPr>
          </w:p>
        </w:tc>
      </w:tr>
      <w:tr w:rsidR="00DE3EB9" w:rsidRPr="00860B3B" w:rsidTr="00C63B76">
        <w:tc>
          <w:tcPr>
            <w:tcW w:w="2427" w:type="pct"/>
          </w:tcPr>
          <w:p w:rsidR="00DE3EB9" w:rsidRPr="00860B3B" w:rsidRDefault="00DE3EB9" w:rsidP="00C63B76">
            <w:pPr>
              <w:jc w:val="both"/>
              <w:rPr>
                <w:sz w:val="20"/>
                <w:lang w:val="fr-CA"/>
              </w:rPr>
            </w:pPr>
            <w:r w:rsidRPr="00860B3B">
              <w:rPr>
                <w:sz w:val="20"/>
                <w:lang w:val="fr-CA"/>
              </w:rPr>
              <w:t>Le 29 août 2014</w:t>
            </w:r>
          </w:p>
          <w:p w:rsidR="00DE3EB9" w:rsidRPr="00860B3B" w:rsidRDefault="00DE3EB9" w:rsidP="00C63B76">
            <w:pPr>
              <w:jc w:val="both"/>
              <w:rPr>
                <w:sz w:val="20"/>
                <w:lang w:val="fr-CA"/>
              </w:rPr>
            </w:pPr>
            <w:r w:rsidRPr="00860B3B">
              <w:rPr>
                <w:sz w:val="20"/>
                <w:lang w:val="fr-CA"/>
              </w:rPr>
              <w:t>Cour d’appel du Québec (Montréal)</w:t>
            </w:r>
          </w:p>
          <w:p w:rsidR="00DE3EB9" w:rsidRPr="00860B3B" w:rsidRDefault="00DE3EB9" w:rsidP="00C63B76">
            <w:pPr>
              <w:jc w:val="both"/>
              <w:rPr>
                <w:sz w:val="20"/>
                <w:lang w:val="fr-CA"/>
              </w:rPr>
            </w:pPr>
            <w:r w:rsidRPr="00860B3B">
              <w:rPr>
                <w:sz w:val="20"/>
                <w:lang w:val="fr-CA"/>
              </w:rPr>
              <w:t>(Les juges Pelletier, Kasirer et Lévesque)</w:t>
            </w:r>
          </w:p>
          <w:p w:rsidR="00DE3EB9" w:rsidRPr="00860B3B" w:rsidRDefault="00BA13BB" w:rsidP="00C63B76">
            <w:pPr>
              <w:jc w:val="both"/>
              <w:rPr>
                <w:sz w:val="20"/>
                <w:lang w:val="fr-CA"/>
              </w:rPr>
            </w:pPr>
            <w:hyperlink r:id="rId31" w:history="1">
              <w:r w:rsidR="00DE3EB9" w:rsidRPr="00860B3B">
                <w:rPr>
                  <w:color w:val="0000FF" w:themeColor="hyperlink"/>
                  <w:sz w:val="20"/>
                  <w:u w:val="single"/>
                  <w:lang w:val="fr-CA"/>
                </w:rPr>
                <w:t>2014 QCCA 1766</w:t>
              </w:r>
            </w:hyperlink>
          </w:p>
          <w:p w:rsidR="00DE3EB9" w:rsidRPr="00860B3B" w:rsidRDefault="00DE3EB9" w:rsidP="00C63B76">
            <w:pPr>
              <w:jc w:val="both"/>
              <w:rPr>
                <w:sz w:val="20"/>
                <w:lang w:val="fr-CA"/>
              </w:rPr>
            </w:pPr>
          </w:p>
        </w:tc>
        <w:tc>
          <w:tcPr>
            <w:tcW w:w="243" w:type="pct"/>
          </w:tcPr>
          <w:p w:rsidR="00DE3EB9" w:rsidRPr="00860B3B" w:rsidRDefault="00DE3EB9" w:rsidP="00C63B76">
            <w:pPr>
              <w:jc w:val="both"/>
              <w:rPr>
                <w:sz w:val="20"/>
                <w:lang w:val="fr-CA"/>
              </w:rPr>
            </w:pPr>
          </w:p>
        </w:tc>
        <w:tc>
          <w:tcPr>
            <w:tcW w:w="2330" w:type="pct"/>
          </w:tcPr>
          <w:p w:rsidR="00DE3EB9" w:rsidRPr="00860B3B" w:rsidRDefault="00DE3EB9" w:rsidP="00C63B76">
            <w:pPr>
              <w:jc w:val="both"/>
              <w:rPr>
                <w:sz w:val="20"/>
                <w:lang w:val="fr-CA"/>
              </w:rPr>
            </w:pPr>
            <w:r w:rsidRPr="00860B3B">
              <w:rPr>
                <w:sz w:val="20"/>
                <w:lang w:val="fr-CA"/>
              </w:rPr>
              <w:t>Appel rejeté</w:t>
            </w:r>
          </w:p>
          <w:p w:rsidR="00DE3EB9" w:rsidRPr="00860B3B" w:rsidRDefault="00DE3EB9" w:rsidP="00C63B76">
            <w:pPr>
              <w:jc w:val="both"/>
              <w:rPr>
                <w:sz w:val="20"/>
                <w:lang w:val="fr-CA"/>
              </w:rPr>
            </w:pPr>
          </w:p>
        </w:tc>
      </w:tr>
      <w:tr w:rsidR="00DE3EB9" w:rsidRPr="00BA13BB" w:rsidTr="00C63B76">
        <w:tc>
          <w:tcPr>
            <w:tcW w:w="2427" w:type="pct"/>
          </w:tcPr>
          <w:p w:rsidR="00DE3EB9" w:rsidRPr="00860B3B" w:rsidRDefault="00DE3EB9" w:rsidP="00C63B76">
            <w:pPr>
              <w:jc w:val="both"/>
              <w:rPr>
                <w:sz w:val="20"/>
                <w:lang w:val="fr-CA"/>
              </w:rPr>
            </w:pPr>
            <w:r w:rsidRPr="00860B3B">
              <w:rPr>
                <w:sz w:val="20"/>
                <w:lang w:val="fr-CA"/>
              </w:rPr>
              <w:t>Le 15 janvier 2015</w:t>
            </w:r>
          </w:p>
          <w:p w:rsidR="00DE3EB9" w:rsidRPr="00860B3B" w:rsidRDefault="00DE3EB9" w:rsidP="00C63B76">
            <w:pPr>
              <w:jc w:val="both"/>
              <w:rPr>
                <w:sz w:val="20"/>
                <w:lang w:val="fr-CA"/>
              </w:rPr>
            </w:pPr>
            <w:r w:rsidRPr="00860B3B">
              <w:rPr>
                <w:sz w:val="20"/>
                <w:lang w:val="fr-CA"/>
              </w:rPr>
              <w:t>Cour suprême du Canada</w:t>
            </w:r>
          </w:p>
        </w:tc>
        <w:tc>
          <w:tcPr>
            <w:tcW w:w="243" w:type="pct"/>
          </w:tcPr>
          <w:p w:rsidR="00DE3EB9" w:rsidRPr="00860B3B" w:rsidRDefault="00DE3EB9" w:rsidP="00C63B76">
            <w:pPr>
              <w:jc w:val="both"/>
              <w:rPr>
                <w:sz w:val="20"/>
                <w:lang w:val="fr-CA"/>
              </w:rPr>
            </w:pPr>
          </w:p>
        </w:tc>
        <w:tc>
          <w:tcPr>
            <w:tcW w:w="2330" w:type="pct"/>
          </w:tcPr>
          <w:p w:rsidR="00DE3EB9" w:rsidRPr="00860B3B" w:rsidRDefault="00DE3EB9" w:rsidP="00C63B76">
            <w:pPr>
              <w:jc w:val="both"/>
              <w:rPr>
                <w:sz w:val="20"/>
                <w:lang w:val="fr-CA"/>
              </w:rPr>
            </w:pPr>
            <w:r w:rsidRPr="00860B3B">
              <w:rPr>
                <w:sz w:val="20"/>
                <w:lang w:val="fr-CA"/>
              </w:rPr>
              <w:t>Requête en prorogation de délai et demande d'autorisation d’appel déposées</w:t>
            </w:r>
          </w:p>
        </w:tc>
      </w:tr>
    </w:tbl>
    <w:p w:rsidR="00701595" w:rsidRPr="00DE3EB9" w:rsidRDefault="00701595" w:rsidP="00701595">
      <w:pPr>
        <w:rPr>
          <w:sz w:val="20"/>
          <w:szCs w:val="20"/>
          <w:lang w:val="fr-CA"/>
        </w:rPr>
      </w:pPr>
    </w:p>
    <w:p w:rsidR="00701595" w:rsidRDefault="00BA13BB" w:rsidP="00701595">
      <w:pPr>
        <w:rPr>
          <w:sz w:val="20"/>
          <w:szCs w:val="20"/>
        </w:rPr>
      </w:pPr>
      <w:r>
        <w:rPr>
          <w:sz w:val="20"/>
          <w:szCs w:val="20"/>
          <w:lang w:val="fr-CA"/>
        </w:rPr>
        <w:pict>
          <v:rect id="_x0000_i1038" style="width:2in;height:1pt" o:hrpct="0" o:hralign="center" o:hrstd="t" o:hrnoshade="t" o:hr="t" fillcolor="black [3213]" stroked="f"/>
        </w:pict>
      </w:r>
    </w:p>
    <w:p w:rsidR="00701595" w:rsidRDefault="00701595" w:rsidP="0070159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17B82" w:rsidRPr="008E741B" w:rsidTr="002F2EB6">
        <w:trPr>
          <w:cantSplit/>
        </w:trPr>
        <w:tc>
          <w:tcPr>
            <w:tcW w:w="1458" w:type="dxa"/>
          </w:tcPr>
          <w:p w:rsidR="00517B82" w:rsidRPr="008E741B" w:rsidRDefault="00517B82" w:rsidP="002F2EB6">
            <w:pPr>
              <w:rPr>
                <w:sz w:val="20"/>
                <w:szCs w:val="20"/>
              </w:rPr>
            </w:pPr>
            <w:r w:rsidRPr="008E741B">
              <w:rPr>
                <w:rStyle w:val="SCCFileNumberChar"/>
                <w:sz w:val="20"/>
                <w:szCs w:val="20"/>
              </w:rPr>
              <w:t>36335</w:t>
            </w:r>
          </w:p>
          <w:p w:rsidR="00517B82" w:rsidRPr="008E741B" w:rsidRDefault="00517B82" w:rsidP="002F2EB6">
            <w:pPr>
              <w:rPr>
                <w:b/>
                <w:sz w:val="20"/>
                <w:szCs w:val="20"/>
                <w:lang w:val="fr-CA"/>
              </w:rPr>
            </w:pPr>
          </w:p>
        </w:tc>
        <w:tc>
          <w:tcPr>
            <w:tcW w:w="8118" w:type="dxa"/>
          </w:tcPr>
          <w:p w:rsidR="00517B82" w:rsidRPr="008E741B" w:rsidRDefault="00517B82" w:rsidP="002F2EB6">
            <w:pPr>
              <w:jc w:val="both"/>
              <w:rPr>
                <w:sz w:val="20"/>
                <w:szCs w:val="20"/>
              </w:rPr>
            </w:pPr>
            <w:r w:rsidRPr="008E741B">
              <w:rPr>
                <w:rStyle w:val="SCCLsocChar"/>
                <w:sz w:val="20"/>
                <w:szCs w:val="20"/>
                <w:lang w:val="en-CA"/>
              </w:rPr>
              <w:t>George Wilcox v. Attorney General of Canada on behalf of the United States of America AND BETWEEN George Wilcox v. Minister of Justice</w:t>
            </w:r>
            <w:r w:rsidRPr="008E741B">
              <w:rPr>
                <w:sz w:val="20"/>
                <w:szCs w:val="20"/>
              </w:rPr>
              <w:t xml:space="preserve"> (B.C.) (Criminal) (By Leave)</w:t>
            </w:r>
          </w:p>
          <w:p w:rsidR="00517B82" w:rsidRPr="008E741B" w:rsidRDefault="00517B82" w:rsidP="002F2EB6">
            <w:pPr>
              <w:jc w:val="both"/>
              <w:rPr>
                <w:sz w:val="20"/>
                <w:szCs w:val="20"/>
              </w:rPr>
            </w:pPr>
          </w:p>
        </w:tc>
      </w:tr>
      <w:tr w:rsidR="00517B82" w:rsidRPr="008E741B" w:rsidTr="002F2EB6">
        <w:trPr>
          <w:cantSplit/>
        </w:trPr>
        <w:tc>
          <w:tcPr>
            <w:tcW w:w="1458" w:type="dxa"/>
          </w:tcPr>
          <w:p w:rsidR="00517B82" w:rsidRPr="008E741B" w:rsidRDefault="00517B82" w:rsidP="002F2EB6">
            <w:pPr>
              <w:rPr>
                <w:sz w:val="20"/>
                <w:szCs w:val="20"/>
              </w:rPr>
            </w:pPr>
            <w:r w:rsidRPr="008E741B">
              <w:rPr>
                <w:sz w:val="20"/>
                <w:szCs w:val="20"/>
              </w:rPr>
              <w:t>Coram :</w:t>
            </w:r>
          </w:p>
        </w:tc>
        <w:tc>
          <w:tcPr>
            <w:tcW w:w="8118" w:type="dxa"/>
          </w:tcPr>
          <w:p w:rsidR="00517B82" w:rsidRPr="008E741B" w:rsidRDefault="00517B82" w:rsidP="002F2EB6">
            <w:pPr>
              <w:rPr>
                <w:sz w:val="20"/>
                <w:szCs w:val="20"/>
              </w:rPr>
            </w:pPr>
            <w:r w:rsidRPr="008E741B">
              <w:rPr>
                <w:rStyle w:val="SCCCoramChar"/>
                <w:sz w:val="20"/>
                <w:szCs w:val="20"/>
                <w:lang w:val="en-CA"/>
              </w:rPr>
              <w:t>McLachlin C.J. and Wagner and Gascon JJ.</w:t>
            </w:r>
          </w:p>
          <w:p w:rsidR="00517B82" w:rsidRPr="008E741B" w:rsidRDefault="00517B82" w:rsidP="002F2EB6">
            <w:pPr>
              <w:rPr>
                <w:sz w:val="20"/>
                <w:szCs w:val="20"/>
                <w:u w:val="single"/>
              </w:rPr>
            </w:pPr>
          </w:p>
        </w:tc>
      </w:tr>
      <w:tr w:rsidR="00517B82" w:rsidRPr="00BA13BB" w:rsidTr="002F2EB6">
        <w:trPr>
          <w:cantSplit/>
        </w:trPr>
        <w:tc>
          <w:tcPr>
            <w:tcW w:w="9576" w:type="dxa"/>
            <w:gridSpan w:val="2"/>
          </w:tcPr>
          <w:p w:rsidR="00517B82" w:rsidRPr="008E741B" w:rsidRDefault="00517B82" w:rsidP="002F2EB6">
            <w:pPr>
              <w:pStyle w:val="SCCShortJudgment"/>
              <w:rPr>
                <w:szCs w:val="20"/>
              </w:rPr>
            </w:pPr>
            <w:r w:rsidRPr="008E741B">
              <w:rPr>
                <w:szCs w:val="20"/>
              </w:rPr>
              <w:t>The application for leave to appeal from the judgment of the Court of Appeal for British Columbia (Vancouver), Number CA041188, 2015 BCCA 39, dated February 4, 2015, is dismissed.</w:t>
            </w:r>
          </w:p>
          <w:p w:rsidR="00517B82" w:rsidRPr="008E741B" w:rsidRDefault="00517B82" w:rsidP="002F2EB6">
            <w:pPr>
              <w:pStyle w:val="SCCShortJudgment"/>
              <w:ind w:firstLine="0"/>
              <w:rPr>
                <w:szCs w:val="20"/>
              </w:rPr>
            </w:pPr>
          </w:p>
          <w:p w:rsidR="00517B82" w:rsidRPr="008E741B" w:rsidRDefault="00517B82" w:rsidP="002F2EB6">
            <w:pPr>
              <w:pStyle w:val="SCCShortJudgment"/>
              <w:rPr>
                <w:szCs w:val="20"/>
                <w:lang w:val="fr-CA"/>
              </w:rPr>
            </w:pPr>
            <w:r w:rsidRPr="008E741B">
              <w:rPr>
                <w:szCs w:val="20"/>
                <w:lang w:val="fr-CA"/>
              </w:rPr>
              <w:t>La demande d’autorisation d’appel de l’arrêt de la Cour d’appel de la Colombie-Britannique (Vancouver), numéro CA041188, 2015 BCCA 39, daté du 4 février 2015, est rejetée.</w:t>
            </w:r>
          </w:p>
        </w:tc>
      </w:tr>
    </w:tbl>
    <w:p w:rsidR="00701595" w:rsidRPr="00517B82" w:rsidRDefault="00701595" w:rsidP="00701595">
      <w:pPr>
        <w:rPr>
          <w:sz w:val="20"/>
          <w:szCs w:val="20"/>
          <w:lang w:val="fr-CA"/>
        </w:rPr>
      </w:pPr>
    </w:p>
    <w:p w:rsidR="00701595" w:rsidRPr="001B157C" w:rsidRDefault="00701595" w:rsidP="00701595">
      <w:pPr>
        <w:rPr>
          <w:sz w:val="20"/>
          <w:szCs w:val="20"/>
          <w:u w:val="single"/>
        </w:rPr>
      </w:pPr>
      <w:r w:rsidRPr="001B157C">
        <w:rPr>
          <w:sz w:val="20"/>
          <w:szCs w:val="20"/>
          <w:u w:val="single"/>
        </w:rPr>
        <w:t>CASE SUMMARY</w:t>
      </w:r>
    </w:p>
    <w:p w:rsidR="00701595" w:rsidRDefault="00701595" w:rsidP="0070159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E3EB9" w:rsidRPr="00860B3B" w:rsidTr="00C63B76">
        <w:tc>
          <w:tcPr>
            <w:tcW w:w="5000" w:type="pct"/>
            <w:gridSpan w:val="3"/>
          </w:tcPr>
          <w:p w:rsidR="00DE3EB9" w:rsidRPr="00860B3B" w:rsidRDefault="00DE3EB9" w:rsidP="00C63B76">
            <w:pPr>
              <w:jc w:val="both"/>
              <w:rPr>
                <w:sz w:val="20"/>
              </w:rPr>
            </w:pPr>
            <w:r w:rsidRPr="00860B3B">
              <w:rPr>
                <w:i/>
                <w:sz w:val="20"/>
              </w:rPr>
              <w:t>Charter of Rights and Freedoms</w:t>
            </w:r>
            <w:r w:rsidRPr="00860B3B">
              <w:rPr>
                <w:sz w:val="20"/>
              </w:rPr>
              <w:t xml:space="preserve"> — Liberty — Mobility — Right to remain in Canada — Extradition — Surrender — Committal — Assurances — Whether Court of Appeal erred in holding that sentence faced in United States by person sought for extradition would not shock the conscience of the community — Whether Court of Appeal erred in respect to application of s. 7(4.1) of the </w:t>
            </w:r>
            <w:r w:rsidRPr="00860B3B">
              <w:rPr>
                <w:i/>
                <w:sz w:val="20"/>
              </w:rPr>
              <w:t>Criminal Code</w:t>
            </w:r>
            <w:r w:rsidRPr="00860B3B">
              <w:rPr>
                <w:sz w:val="20"/>
              </w:rPr>
              <w:t xml:space="preserve"> and s. 6(1) of the </w:t>
            </w:r>
            <w:r w:rsidRPr="00860B3B">
              <w:rPr>
                <w:i/>
                <w:sz w:val="20"/>
              </w:rPr>
              <w:t>Charter</w:t>
            </w:r>
            <w:r w:rsidRPr="00860B3B">
              <w:rPr>
                <w:sz w:val="20"/>
              </w:rPr>
              <w:t xml:space="preserve"> — Whether Court of Appeal erred by not referring the matter back to the Minister to seek assurances.</w:t>
            </w:r>
          </w:p>
        </w:tc>
      </w:tr>
      <w:tr w:rsidR="00DE3EB9" w:rsidRPr="00860B3B" w:rsidTr="00C63B76">
        <w:tc>
          <w:tcPr>
            <w:tcW w:w="5000" w:type="pct"/>
            <w:gridSpan w:val="3"/>
          </w:tcPr>
          <w:p w:rsidR="00DE3EB9" w:rsidRPr="00860B3B" w:rsidRDefault="00DE3EB9" w:rsidP="00C63B76">
            <w:pPr>
              <w:jc w:val="both"/>
              <w:rPr>
                <w:sz w:val="20"/>
              </w:rPr>
            </w:pPr>
          </w:p>
        </w:tc>
      </w:tr>
      <w:tr w:rsidR="00DE3EB9" w:rsidRPr="00860B3B" w:rsidTr="00C63B76">
        <w:tc>
          <w:tcPr>
            <w:tcW w:w="5000" w:type="pct"/>
            <w:gridSpan w:val="3"/>
          </w:tcPr>
          <w:p w:rsidR="00DE3EB9" w:rsidRPr="00860B3B" w:rsidRDefault="00DE3EB9" w:rsidP="00C63B76">
            <w:pPr>
              <w:autoSpaceDE w:val="0"/>
              <w:autoSpaceDN w:val="0"/>
              <w:adjustRightInd w:val="0"/>
              <w:jc w:val="both"/>
              <w:rPr>
                <w:color w:val="000000"/>
                <w:sz w:val="20"/>
              </w:rPr>
            </w:pPr>
            <w:r w:rsidRPr="00860B3B">
              <w:rPr>
                <w:color w:val="000000"/>
                <w:sz w:val="20"/>
              </w:rPr>
              <w:lastRenderedPageBreak/>
              <w:t xml:space="preserve">Mr. Wilcox was convicted by a jury </w:t>
            </w:r>
            <w:r w:rsidRPr="00860B3B">
              <w:rPr>
                <w:i/>
                <w:color w:val="000000"/>
                <w:sz w:val="20"/>
              </w:rPr>
              <w:t>in absentia</w:t>
            </w:r>
            <w:r w:rsidRPr="00860B3B">
              <w:rPr>
                <w:color w:val="000000"/>
                <w:sz w:val="20"/>
              </w:rPr>
              <w:t xml:space="preserve"> in Arizona on two counts of sexual conduct with a minor under fifteen years.  The jury could not reach a verdict with respect to two other counts alleging sexual misconduct and a mistrial was declared with respect to those counts.  Mr. Wilcox is alleged to have masturbated the complainant and to have engaged in an act of oral sexual contact with the complainant.  The complainant, his step-son, then aged 13, suffered a brain injury in an accident as a one-year-old resulting in severe muscle spasms, blindness, and inability to speak.  The United States of America seeks Mr. Wilcox’s extradition for re-trial on the two counts that resulted in mistrial and sentencing on the convictions.  For each charge, Arizona law provides for a mitigated sentence of 13 years, a presumptive sentence of 20 years, and an aggravated sentence of 27 years.  All sentences must be consecutive.  However, if Mr. Wilcox successfully appeals the convictions in Arizona and is convicted again in a re-trial, he would face a 40-year presumptive sentence and a 26-year minimum sentence, consecutive, on each of the two counts that were appealed.  As well, Arizona reserves the right, if he appeals, to re-try the counts that did not result in convictions and to seek aggravated sentences.  </w:t>
            </w:r>
          </w:p>
          <w:p w:rsidR="00DE3EB9" w:rsidRPr="00860B3B" w:rsidRDefault="00DE3EB9" w:rsidP="00C63B76">
            <w:pPr>
              <w:jc w:val="both"/>
              <w:rPr>
                <w:sz w:val="20"/>
              </w:rPr>
            </w:pPr>
          </w:p>
        </w:tc>
      </w:tr>
      <w:tr w:rsidR="00DE3EB9" w:rsidRPr="00860B3B" w:rsidTr="00C63B76">
        <w:tc>
          <w:tcPr>
            <w:tcW w:w="2427" w:type="pct"/>
          </w:tcPr>
          <w:p w:rsidR="00DE3EB9" w:rsidRPr="00860B3B" w:rsidRDefault="00DE3EB9" w:rsidP="00C63B76">
            <w:pPr>
              <w:jc w:val="both"/>
              <w:rPr>
                <w:sz w:val="20"/>
              </w:rPr>
            </w:pPr>
            <w:r w:rsidRPr="00860B3B">
              <w:rPr>
                <w:sz w:val="20"/>
              </w:rPr>
              <w:t>August 13, 2013</w:t>
            </w:r>
          </w:p>
          <w:p w:rsidR="00DE3EB9" w:rsidRPr="00860B3B" w:rsidRDefault="00DE3EB9" w:rsidP="00C63B76">
            <w:pPr>
              <w:jc w:val="both"/>
              <w:rPr>
                <w:sz w:val="20"/>
              </w:rPr>
            </w:pPr>
            <w:r w:rsidRPr="00860B3B">
              <w:rPr>
                <w:sz w:val="20"/>
              </w:rPr>
              <w:t>Supreme Court of British Columbia</w:t>
            </w:r>
          </w:p>
          <w:p w:rsidR="00DE3EB9" w:rsidRPr="00860B3B" w:rsidRDefault="00DE3EB9" w:rsidP="00C63B76">
            <w:pPr>
              <w:jc w:val="both"/>
              <w:rPr>
                <w:sz w:val="20"/>
              </w:rPr>
            </w:pPr>
            <w:r w:rsidRPr="00860B3B">
              <w:rPr>
                <w:sz w:val="20"/>
              </w:rPr>
              <w:t>(Cullen J.)</w:t>
            </w:r>
          </w:p>
          <w:p w:rsidR="00DE3EB9" w:rsidRPr="00860B3B" w:rsidRDefault="00BA13BB" w:rsidP="00C63B76">
            <w:pPr>
              <w:jc w:val="both"/>
              <w:rPr>
                <w:sz w:val="20"/>
              </w:rPr>
            </w:pPr>
            <w:hyperlink r:id="rId32" w:history="1">
              <w:r w:rsidR="00DE3EB9" w:rsidRPr="00860B3B">
                <w:rPr>
                  <w:color w:val="0000FF" w:themeColor="hyperlink"/>
                  <w:sz w:val="20"/>
                  <w:u w:val="single"/>
                </w:rPr>
                <w:t>2013 BCSC 2541</w:t>
              </w:r>
            </w:hyperlink>
          </w:p>
          <w:p w:rsidR="00DE3EB9" w:rsidRPr="00860B3B" w:rsidRDefault="00DE3EB9" w:rsidP="00C63B76">
            <w:pPr>
              <w:jc w:val="both"/>
              <w:rPr>
                <w:sz w:val="20"/>
              </w:rPr>
            </w:pPr>
          </w:p>
        </w:tc>
        <w:tc>
          <w:tcPr>
            <w:tcW w:w="243" w:type="pct"/>
          </w:tcPr>
          <w:p w:rsidR="00DE3EB9" w:rsidRPr="00860B3B" w:rsidRDefault="00DE3EB9" w:rsidP="00C63B76">
            <w:pPr>
              <w:jc w:val="both"/>
              <w:rPr>
                <w:sz w:val="20"/>
              </w:rPr>
            </w:pPr>
          </w:p>
        </w:tc>
        <w:tc>
          <w:tcPr>
            <w:tcW w:w="2330" w:type="pct"/>
          </w:tcPr>
          <w:p w:rsidR="00DE3EB9" w:rsidRPr="00860B3B" w:rsidRDefault="00DE3EB9" w:rsidP="00C63B76">
            <w:pPr>
              <w:jc w:val="both"/>
              <w:rPr>
                <w:sz w:val="20"/>
              </w:rPr>
            </w:pPr>
            <w:r w:rsidRPr="00860B3B">
              <w:rPr>
                <w:sz w:val="20"/>
              </w:rPr>
              <w:t>Applicant committed for extradition</w:t>
            </w:r>
          </w:p>
          <w:p w:rsidR="00DE3EB9" w:rsidRPr="00860B3B" w:rsidRDefault="00DE3EB9" w:rsidP="00C63B76">
            <w:pPr>
              <w:jc w:val="both"/>
              <w:rPr>
                <w:sz w:val="20"/>
              </w:rPr>
            </w:pPr>
          </w:p>
        </w:tc>
      </w:tr>
      <w:tr w:rsidR="00DE3EB9" w:rsidRPr="00860B3B" w:rsidTr="00C63B76">
        <w:tc>
          <w:tcPr>
            <w:tcW w:w="2427" w:type="pct"/>
          </w:tcPr>
          <w:p w:rsidR="00DE3EB9" w:rsidRPr="00860B3B" w:rsidRDefault="00DE3EB9" w:rsidP="00C63B76">
            <w:pPr>
              <w:jc w:val="both"/>
              <w:rPr>
                <w:sz w:val="20"/>
              </w:rPr>
            </w:pPr>
            <w:r w:rsidRPr="00860B3B">
              <w:rPr>
                <w:sz w:val="20"/>
              </w:rPr>
              <w:t>March 4, 2014</w:t>
            </w:r>
          </w:p>
          <w:p w:rsidR="00DE3EB9" w:rsidRPr="00860B3B" w:rsidRDefault="00DE3EB9" w:rsidP="00C63B76">
            <w:pPr>
              <w:jc w:val="both"/>
              <w:rPr>
                <w:sz w:val="20"/>
              </w:rPr>
            </w:pPr>
            <w:r w:rsidRPr="00860B3B">
              <w:rPr>
                <w:sz w:val="20"/>
              </w:rPr>
              <w:t>Minister of Justice</w:t>
            </w:r>
          </w:p>
          <w:p w:rsidR="00DE3EB9" w:rsidRPr="00860B3B" w:rsidRDefault="00DE3EB9" w:rsidP="00C63B76">
            <w:pPr>
              <w:jc w:val="both"/>
              <w:rPr>
                <w:sz w:val="20"/>
              </w:rPr>
            </w:pPr>
          </w:p>
        </w:tc>
        <w:tc>
          <w:tcPr>
            <w:tcW w:w="243" w:type="pct"/>
          </w:tcPr>
          <w:p w:rsidR="00DE3EB9" w:rsidRPr="00860B3B" w:rsidRDefault="00DE3EB9" w:rsidP="00C63B76">
            <w:pPr>
              <w:jc w:val="both"/>
              <w:rPr>
                <w:sz w:val="20"/>
              </w:rPr>
            </w:pPr>
          </w:p>
        </w:tc>
        <w:tc>
          <w:tcPr>
            <w:tcW w:w="2330" w:type="pct"/>
          </w:tcPr>
          <w:p w:rsidR="00DE3EB9" w:rsidRPr="00860B3B" w:rsidRDefault="00DE3EB9" w:rsidP="00C63B76">
            <w:pPr>
              <w:jc w:val="both"/>
              <w:rPr>
                <w:sz w:val="20"/>
              </w:rPr>
            </w:pPr>
            <w:r w:rsidRPr="00860B3B">
              <w:rPr>
                <w:sz w:val="20"/>
              </w:rPr>
              <w:t>Surrender order issued</w:t>
            </w:r>
          </w:p>
        </w:tc>
      </w:tr>
      <w:tr w:rsidR="00DE3EB9" w:rsidRPr="00860B3B" w:rsidTr="00C63B76">
        <w:tc>
          <w:tcPr>
            <w:tcW w:w="2427" w:type="pct"/>
          </w:tcPr>
          <w:p w:rsidR="00DE3EB9" w:rsidRPr="00860B3B" w:rsidRDefault="00DE3EB9" w:rsidP="00C63B76">
            <w:pPr>
              <w:jc w:val="both"/>
              <w:rPr>
                <w:sz w:val="20"/>
              </w:rPr>
            </w:pPr>
            <w:r w:rsidRPr="00860B3B">
              <w:rPr>
                <w:sz w:val="20"/>
              </w:rPr>
              <w:t>February 4, 2015</w:t>
            </w:r>
          </w:p>
          <w:p w:rsidR="00DE3EB9" w:rsidRPr="00860B3B" w:rsidRDefault="00DE3EB9" w:rsidP="00C63B76">
            <w:pPr>
              <w:jc w:val="both"/>
              <w:rPr>
                <w:sz w:val="20"/>
              </w:rPr>
            </w:pPr>
            <w:r w:rsidRPr="00860B3B">
              <w:rPr>
                <w:sz w:val="20"/>
              </w:rPr>
              <w:t xml:space="preserve">Court of Appeal for British Columbia </w:t>
            </w:r>
          </w:p>
          <w:p w:rsidR="00DE3EB9" w:rsidRPr="00860B3B" w:rsidRDefault="00DE3EB9" w:rsidP="00C63B76">
            <w:pPr>
              <w:jc w:val="both"/>
              <w:rPr>
                <w:sz w:val="20"/>
              </w:rPr>
            </w:pPr>
            <w:r w:rsidRPr="00860B3B">
              <w:rPr>
                <w:sz w:val="20"/>
              </w:rPr>
              <w:t>(Vancouver)</w:t>
            </w:r>
          </w:p>
          <w:p w:rsidR="00DE3EB9" w:rsidRPr="00860B3B" w:rsidRDefault="00DE3EB9" w:rsidP="00C63B76">
            <w:pPr>
              <w:jc w:val="both"/>
              <w:rPr>
                <w:sz w:val="20"/>
              </w:rPr>
            </w:pPr>
            <w:r w:rsidRPr="00860B3B">
              <w:rPr>
                <w:sz w:val="20"/>
              </w:rPr>
              <w:t>(Saunders, Bennett, Willcock JJ.A.)</w:t>
            </w:r>
          </w:p>
          <w:p w:rsidR="00DE3EB9" w:rsidRPr="00860B3B" w:rsidRDefault="00DE3EB9" w:rsidP="00C63B76">
            <w:pPr>
              <w:jc w:val="both"/>
              <w:rPr>
                <w:sz w:val="20"/>
              </w:rPr>
            </w:pPr>
            <w:r w:rsidRPr="00860B3B">
              <w:rPr>
                <w:sz w:val="20"/>
              </w:rPr>
              <w:t xml:space="preserve">CA041188; </w:t>
            </w:r>
            <w:hyperlink r:id="rId33" w:history="1">
              <w:r w:rsidRPr="00860B3B">
                <w:rPr>
                  <w:color w:val="0000FF" w:themeColor="hyperlink"/>
                  <w:sz w:val="20"/>
                  <w:u w:val="single"/>
                </w:rPr>
                <w:t>2015 BCCA 39</w:t>
              </w:r>
            </w:hyperlink>
          </w:p>
          <w:p w:rsidR="00DE3EB9" w:rsidRPr="00860B3B" w:rsidRDefault="00DE3EB9" w:rsidP="00C63B76">
            <w:pPr>
              <w:jc w:val="both"/>
              <w:rPr>
                <w:sz w:val="20"/>
              </w:rPr>
            </w:pPr>
          </w:p>
        </w:tc>
        <w:tc>
          <w:tcPr>
            <w:tcW w:w="243" w:type="pct"/>
          </w:tcPr>
          <w:p w:rsidR="00DE3EB9" w:rsidRPr="00860B3B" w:rsidRDefault="00DE3EB9" w:rsidP="00C63B76">
            <w:pPr>
              <w:jc w:val="both"/>
              <w:rPr>
                <w:sz w:val="20"/>
              </w:rPr>
            </w:pPr>
          </w:p>
        </w:tc>
        <w:tc>
          <w:tcPr>
            <w:tcW w:w="2330" w:type="pct"/>
          </w:tcPr>
          <w:p w:rsidR="00DE3EB9" w:rsidRPr="00860B3B" w:rsidRDefault="00DE3EB9" w:rsidP="00C63B76">
            <w:pPr>
              <w:jc w:val="both"/>
              <w:rPr>
                <w:sz w:val="20"/>
              </w:rPr>
            </w:pPr>
            <w:r w:rsidRPr="00860B3B">
              <w:rPr>
                <w:sz w:val="20"/>
              </w:rPr>
              <w:t>Appeal from committal order and application for judicial review of surrender order dismissed</w:t>
            </w:r>
          </w:p>
          <w:p w:rsidR="00DE3EB9" w:rsidRPr="00860B3B" w:rsidRDefault="00DE3EB9" w:rsidP="00C63B76">
            <w:pPr>
              <w:jc w:val="both"/>
              <w:rPr>
                <w:sz w:val="20"/>
              </w:rPr>
            </w:pPr>
          </w:p>
        </w:tc>
      </w:tr>
      <w:tr w:rsidR="00DE3EB9" w:rsidRPr="00860B3B" w:rsidTr="00C63B76">
        <w:tc>
          <w:tcPr>
            <w:tcW w:w="2427" w:type="pct"/>
          </w:tcPr>
          <w:p w:rsidR="00DE3EB9" w:rsidRPr="00860B3B" w:rsidRDefault="00DE3EB9" w:rsidP="00C63B76">
            <w:pPr>
              <w:jc w:val="both"/>
              <w:rPr>
                <w:sz w:val="20"/>
              </w:rPr>
            </w:pPr>
            <w:r w:rsidRPr="00860B3B">
              <w:rPr>
                <w:sz w:val="20"/>
              </w:rPr>
              <w:t>March 31, 2015</w:t>
            </w:r>
          </w:p>
          <w:p w:rsidR="00DE3EB9" w:rsidRPr="00860B3B" w:rsidRDefault="00DE3EB9" w:rsidP="00C63B76">
            <w:pPr>
              <w:jc w:val="both"/>
              <w:rPr>
                <w:sz w:val="20"/>
              </w:rPr>
            </w:pPr>
            <w:r w:rsidRPr="00860B3B">
              <w:rPr>
                <w:sz w:val="20"/>
              </w:rPr>
              <w:t>Supreme Court of Canada</w:t>
            </w:r>
          </w:p>
        </w:tc>
        <w:tc>
          <w:tcPr>
            <w:tcW w:w="243" w:type="pct"/>
          </w:tcPr>
          <w:p w:rsidR="00DE3EB9" w:rsidRPr="00860B3B" w:rsidRDefault="00DE3EB9" w:rsidP="00C63B76">
            <w:pPr>
              <w:jc w:val="both"/>
              <w:rPr>
                <w:sz w:val="20"/>
              </w:rPr>
            </w:pPr>
          </w:p>
        </w:tc>
        <w:tc>
          <w:tcPr>
            <w:tcW w:w="2330" w:type="pct"/>
          </w:tcPr>
          <w:p w:rsidR="00DE3EB9" w:rsidRPr="00860B3B" w:rsidRDefault="00DE3EB9" w:rsidP="00C63B76">
            <w:pPr>
              <w:jc w:val="both"/>
              <w:rPr>
                <w:sz w:val="20"/>
              </w:rPr>
            </w:pPr>
            <w:r w:rsidRPr="00860B3B">
              <w:rPr>
                <w:sz w:val="20"/>
              </w:rPr>
              <w:t>Application for leave to appeal filed</w:t>
            </w:r>
          </w:p>
          <w:p w:rsidR="00DE3EB9" w:rsidRPr="00860B3B" w:rsidRDefault="00DE3EB9" w:rsidP="00C63B76">
            <w:pPr>
              <w:jc w:val="both"/>
              <w:rPr>
                <w:sz w:val="20"/>
              </w:rPr>
            </w:pPr>
          </w:p>
        </w:tc>
      </w:tr>
    </w:tbl>
    <w:p w:rsidR="00701595" w:rsidRPr="00DE3EB9" w:rsidRDefault="00701595" w:rsidP="00701595">
      <w:pPr>
        <w:rPr>
          <w:sz w:val="20"/>
          <w:szCs w:val="20"/>
        </w:rPr>
      </w:pPr>
    </w:p>
    <w:p w:rsidR="00701595" w:rsidRPr="00C50A5C" w:rsidRDefault="00BA13BB" w:rsidP="00701595">
      <w:pPr>
        <w:rPr>
          <w:sz w:val="20"/>
          <w:szCs w:val="20"/>
        </w:rPr>
      </w:pPr>
      <w:r>
        <w:rPr>
          <w:sz w:val="20"/>
          <w:szCs w:val="20"/>
          <w:lang w:val="fr-CA"/>
        </w:rPr>
        <w:pict>
          <v:rect id="_x0000_i1039" style="width:2in;height:1pt" o:hrpct="0" o:hralign="center" o:hrstd="t" o:hrnoshade="t" o:hr="t" fillcolor="black [3213]" stroked="f"/>
        </w:pict>
      </w:r>
    </w:p>
    <w:p w:rsidR="00701595" w:rsidRDefault="00701595" w:rsidP="00701595">
      <w:pPr>
        <w:rPr>
          <w:sz w:val="20"/>
          <w:szCs w:val="20"/>
        </w:rPr>
      </w:pPr>
    </w:p>
    <w:p w:rsidR="00701595" w:rsidRPr="001B157C" w:rsidRDefault="00701595" w:rsidP="00701595">
      <w:pPr>
        <w:rPr>
          <w:sz w:val="20"/>
          <w:szCs w:val="20"/>
          <w:u w:val="single"/>
          <w:lang w:val="fr-CA"/>
        </w:rPr>
      </w:pPr>
      <w:r w:rsidRPr="001B157C">
        <w:rPr>
          <w:sz w:val="20"/>
          <w:szCs w:val="20"/>
          <w:u w:val="single"/>
          <w:lang w:val="fr-CA"/>
        </w:rPr>
        <w:t>RÉSUMÉ DE L’AFFAIRE</w:t>
      </w:r>
    </w:p>
    <w:p w:rsidR="00701595" w:rsidRDefault="00701595" w:rsidP="0070159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E3EB9" w:rsidRPr="00BA13BB" w:rsidTr="00C63B76">
        <w:tc>
          <w:tcPr>
            <w:tcW w:w="5000" w:type="pct"/>
            <w:gridSpan w:val="3"/>
          </w:tcPr>
          <w:p w:rsidR="00DE3EB9" w:rsidRPr="00860B3B" w:rsidRDefault="00DE3EB9" w:rsidP="00C63B76">
            <w:pPr>
              <w:jc w:val="both"/>
              <w:rPr>
                <w:sz w:val="20"/>
                <w:lang w:val="fr-CA"/>
              </w:rPr>
            </w:pPr>
            <w:r w:rsidRPr="00860B3B">
              <w:rPr>
                <w:i/>
                <w:sz w:val="20"/>
                <w:lang w:val="fr-CA"/>
              </w:rPr>
              <w:t>Charte des droits et libertés</w:t>
            </w:r>
            <w:r w:rsidRPr="00860B3B">
              <w:rPr>
                <w:sz w:val="20"/>
                <w:lang w:val="fr-CA"/>
              </w:rPr>
              <w:t xml:space="preserve"> — Liberté — Liberté de circulation — Droit de demeurer au Canada — Extradition — Remise — Incarcération — Assurances — La Cour d’appel a-t-elle eu tort de statuer que la peine dont l’intéressé est passible aux États-Unis ne choquerait pas la conscience de la collectivité? — La Cour d’appel a-t-elle commis une erreur dans l’application du par. 7(4.1) du </w:t>
            </w:r>
            <w:r w:rsidRPr="00860B3B">
              <w:rPr>
                <w:i/>
                <w:sz w:val="20"/>
                <w:lang w:val="fr-CA"/>
              </w:rPr>
              <w:t>Code criminel</w:t>
            </w:r>
            <w:r w:rsidRPr="00860B3B">
              <w:rPr>
                <w:sz w:val="20"/>
                <w:lang w:val="fr-CA"/>
              </w:rPr>
              <w:t xml:space="preserve"> et du par. 6(1) de la </w:t>
            </w:r>
            <w:r w:rsidRPr="00860B3B">
              <w:rPr>
                <w:i/>
                <w:sz w:val="20"/>
                <w:lang w:val="fr-CA"/>
              </w:rPr>
              <w:t>Charte</w:t>
            </w:r>
            <w:r w:rsidRPr="00860B3B">
              <w:rPr>
                <w:sz w:val="20"/>
                <w:lang w:val="fr-CA"/>
              </w:rPr>
              <w:t>? — La Cour d’appel a-t-elle eu tort de ne pas renvoyer l’affaire au ministre pour obtenir des assurances?</w:t>
            </w:r>
          </w:p>
        </w:tc>
      </w:tr>
      <w:tr w:rsidR="00DE3EB9" w:rsidRPr="00BA13BB" w:rsidTr="00C63B76">
        <w:tc>
          <w:tcPr>
            <w:tcW w:w="5000" w:type="pct"/>
            <w:gridSpan w:val="3"/>
          </w:tcPr>
          <w:p w:rsidR="00DE3EB9" w:rsidRPr="00860B3B" w:rsidRDefault="00DE3EB9" w:rsidP="00C63B76">
            <w:pPr>
              <w:jc w:val="both"/>
              <w:rPr>
                <w:sz w:val="20"/>
                <w:lang w:val="fr-CA"/>
              </w:rPr>
            </w:pPr>
          </w:p>
        </w:tc>
      </w:tr>
      <w:tr w:rsidR="00DE3EB9" w:rsidRPr="00BA13BB" w:rsidTr="00C63B76">
        <w:tc>
          <w:tcPr>
            <w:tcW w:w="5000" w:type="pct"/>
            <w:gridSpan w:val="3"/>
          </w:tcPr>
          <w:p w:rsidR="00DE3EB9" w:rsidRPr="00860B3B" w:rsidRDefault="00DE3EB9" w:rsidP="00C63B76">
            <w:pPr>
              <w:autoSpaceDE w:val="0"/>
              <w:autoSpaceDN w:val="0"/>
              <w:adjustRightInd w:val="0"/>
              <w:jc w:val="both"/>
              <w:rPr>
                <w:color w:val="000000"/>
                <w:sz w:val="20"/>
                <w:lang w:val="fr-CA"/>
              </w:rPr>
            </w:pPr>
            <w:r w:rsidRPr="00860B3B">
              <w:rPr>
                <w:color w:val="000000"/>
                <w:sz w:val="20"/>
                <w:lang w:val="fr-CA"/>
              </w:rPr>
              <w:t xml:space="preserve">Un jury en Arizona a déclaré M. Wilcox coupable </w:t>
            </w:r>
            <w:r w:rsidRPr="00860B3B">
              <w:rPr>
                <w:i/>
                <w:color w:val="000000"/>
                <w:sz w:val="20"/>
                <w:lang w:val="fr-CA"/>
              </w:rPr>
              <w:t>in absentia</w:t>
            </w:r>
            <w:r w:rsidRPr="00860B3B">
              <w:rPr>
                <w:color w:val="000000"/>
                <w:sz w:val="20"/>
                <w:lang w:val="fr-CA"/>
              </w:rPr>
              <w:t xml:space="preserve"> de deux chefs de conduite sexuelle avec un mineur âgé de moins de quinze ans.  Le jury n’a pas pu rendre de verdict à l’égard de deux autres chefs d’inconduite sexuelle et le procès a été annulé relativement à ces chefs.  Il est allégué que M. Wilcox aurait masturbé le plaignant et  qu’il se serait livré à des contacts sexuels oraux avec lui.  Le plaignant, son beau-fils, alors âgé de treize ans, avait subi à l’âge d’un an une lésion cérébrale dans un accident, entraînant de graves spasmes musculaires, la cécité et l’incapacité de parler.  Les États-Unis d’Amérique demandent l’extradition de M. Wilcox pour qu’il subisse un nouveau procès relativement aux deux chefs qui ont donné lieu à un procès nul et pour l’imposition de sa peine relativement aux déclarations de culpabilité.  Pour chaque accusation, le droit de l’Arizona prévoit une peine atténuée de 13 ans, une peine de base de 20 ans et une peine aggravée de 27 ans.  Toutes les peines doivent être consécutives.  Toutefois, si M. Wilcox a gain de cause dans ses appels des déclarations de culpabilité en Arizona et s’il est déclaré coupable de nouveau à l’issue d’un nouveau procès, il serait passible d’une peine de base de 40 ans et d’une peine minimale de </w:t>
            </w:r>
            <w:r w:rsidRPr="00860B3B">
              <w:rPr>
                <w:color w:val="000000"/>
                <w:sz w:val="20"/>
                <w:lang w:val="fr-CA"/>
              </w:rPr>
              <w:lastRenderedPageBreak/>
              <w:t xml:space="preserve">26 ans, à purger consécutivement, relativement à chacun des chefs faisant l’objet de l’appel.  En outre, l’Arizona se réserve le droit, si le demandeur interjette appel, de le juger de nouveau à l’égard des deux chefs qui n’avaient pas donné lieu à des déclarations de culpabilité, et de demander des peines aggravées.  </w:t>
            </w:r>
          </w:p>
          <w:p w:rsidR="00DE3EB9" w:rsidRPr="00860B3B" w:rsidRDefault="00DE3EB9" w:rsidP="00C63B76">
            <w:pPr>
              <w:jc w:val="both"/>
              <w:rPr>
                <w:sz w:val="20"/>
                <w:lang w:val="fr-CA"/>
              </w:rPr>
            </w:pPr>
          </w:p>
        </w:tc>
      </w:tr>
      <w:tr w:rsidR="00DE3EB9" w:rsidRPr="00321A34" w:rsidTr="00C63B76">
        <w:tc>
          <w:tcPr>
            <w:tcW w:w="2427" w:type="pct"/>
          </w:tcPr>
          <w:p w:rsidR="00DE3EB9" w:rsidRPr="00860B3B" w:rsidRDefault="00DE3EB9" w:rsidP="00C63B76">
            <w:pPr>
              <w:jc w:val="both"/>
              <w:rPr>
                <w:sz w:val="20"/>
                <w:lang w:val="fr-CA"/>
              </w:rPr>
            </w:pPr>
            <w:r w:rsidRPr="00860B3B">
              <w:rPr>
                <w:sz w:val="20"/>
                <w:lang w:val="fr-CA"/>
              </w:rPr>
              <w:lastRenderedPageBreak/>
              <w:t>13 août 2013</w:t>
            </w:r>
          </w:p>
          <w:p w:rsidR="00DE3EB9" w:rsidRPr="00860B3B" w:rsidRDefault="00DE3EB9" w:rsidP="00C63B76">
            <w:pPr>
              <w:jc w:val="both"/>
              <w:rPr>
                <w:sz w:val="20"/>
                <w:lang w:val="fr-CA"/>
              </w:rPr>
            </w:pPr>
            <w:r w:rsidRPr="00860B3B">
              <w:rPr>
                <w:sz w:val="20"/>
                <w:lang w:val="fr-CA"/>
              </w:rPr>
              <w:t>Cour suprême de la Colombie-Britannique (Juge Cullen)</w:t>
            </w:r>
          </w:p>
          <w:p w:rsidR="00DE3EB9" w:rsidRPr="00860B3B" w:rsidRDefault="00BA13BB" w:rsidP="00C63B76">
            <w:pPr>
              <w:jc w:val="both"/>
              <w:rPr>
                <w:sz w:val="20"/>
                <w:lang w:val="fr-CA"/>
              </w:rPr>
            </w:pPr>
            <w:hyperlink r:id="rId34" w:history="1">
              <w:r w:rsidR="00DE3EB9" w:rsidRPr="00860B3B">
                <w:rPr>
                  <w:color w:val="0000FF" w:themeColor="hyperlink"/>
                  <w:sz w:val="20"/>
                  <w:u w:val="single"/>
                  <w:lang w:val="fr-CA"/>
                </w:rPr>
                <w:t>2013 BCSC 2541</w:t>
              </w:r>
            </w:hyperlink>
          </w:p>
          <w:p w:rsidR="00DE3EB9" w:rsidRPr="00860B3B" w:rsidRDefault="00DE3EB9" w:rsidP="00C63B76">
            <w:pPr>
              <w:jc w:val="both"/>
              <w:rPr>
                <w:sz w:val="20"/>
                <w:lang w:val="fr-CA"/>
              </w:rPr>
            </w:pPr>
          </w:p>
        </w:tc>
        <w:tc>
          <w:tcPr>
            <w:tcW w:w="243" w:type="pct"/>
          </w:tcPr>
          <w:p w:rsidR="00DE3EB9" w:rsidRPr="00860B3B" w:rsidRDefault="00DE3EB9" w:rsidP="00C63B76">
            <w:pPr>
              <w:jc w:val="both"/>
              <w:rPr>
                <w:sz w:val="20"/>
                <w:lang w:val="fr-CA"/>
              </w:rPr>
            </w:pPr>
          </w:p>
        </w:tc>
        <w:tc>
          <w:tcPr>
            <w:tcW w:w="2330" w:type="pct"/>
          </w:tcPr>
          <w:p w:rsidR="00DE3EB9" w:rsidRPr="00860B3B" w:rsidRDefault="00DE3EB9" w:rsidP="00C63B76">
            <w:pPr>
              <w:jc w:val="both"/>
              <w:rPr>
                <w:sz w:val="20"/>
                <w:lang w:val="fr-CA"/>
              </w:rPr>
            </w:pPr>
            <w:r w:rsidRPr="00860B3B">
              <w:rPr>
                <w:sz w:val="20"/>
                <w:lang w:val="fr-CA"/>
              </w:rPr>
              <w:t>Incarcération du demandeur en vue de son extradition</w:t>
            </w:r>
          </w:p>
          <w:p w:rsidR="00DE3EB9" w:rsidRPr="00860B3B" w:rsidRDefault="00DE3EB9" w:rsidP="00C63B76">
            <w:pPr>
              <w:jc w:val="both"/>
              <w:rPr>
                <w:sz w:val="20"/>
                <w:lang w:val="fr-CA"/>
              </w:rPr>
            </w:pPr>
          </w:p>
        </w:tc>
      </w:tr>
      <w:tr w:rsidR="00DE3EB9" w:rsidRPr="00860B3B" w:rsidTr="00C63B76">
        <w:tc>
          <w:tcPr>
            <w:tcW w:w="2427" w:type="pct"/>
          </w:tcPr>
          <w:p w:rsidR="00DE3EB9" w:rsidRPr="00860B3B" w:rsidRDefault="00DE3EB9" w:rsidP="00C63B76">
            <w:pPr>
              <w:jc w:val="both"/>
              <w:rPr>
                <w:sz w:val="20"/>
                <w:lang w:val="fr-CA"/>
              </w:rPr>
            </w:pPr>
            <w:r w:rsidRPr="00860B3B">
              <w:rPr>
                <w:sz w:val="20"/>
                <w:lang w:val="fr-CA"/>
              </w:rPr>
              <w:t>4 mars 2014</w:t>
            </w:r>
          </w:p>
          <w:p w:rsidR="00DE3EB9" w:rsidRPr="00860B3B" w:rsidRDefault="00DE3EB9" w:rsidP="00C63B76">
            <w:pPr>
              <w:jc w:val="both"/>
              <w:rPr>
                <w:sz w:val="20"/>
                <w:lang w:val="fr-CA"/>
              </w:rPr>
            </w:pPr>
            <w:r w:rsidRPr="00860B3B">
              <w:rPr>
                <w:sz w:val="20"/>
                <w:lang w:val="fr-CA"/>
              </w:rPr>
              <w:t>Ministre de la Justice</w:t>
            </w:r>
          </w:p>
          <w:p w:rsidR="00DE3EB9" w:rsidRPr="00860B3B" w:rsidRDefault="00DE3EB9" w:rsidP="00C63B76">
            <w:pPr>
              <w:jc w:val="both"/>
              <w:rPr>
                <w:sz w:val="20"/>
                <w:lang w:val="fr-CA"/>
              </w:rPr>
            </w:pPr>
          </w:p>
        </w:tc>
        <w:tc>
          <w:tcPr>
            <w:tcW w:w="243" w:type="pct"/>
          </w:tcPr>
          <w:p w:rsidR="00DE3EB9" w:rsidRPr="00860B3B" w:rsidRDefault="00DE3EB9" w:rsidP="00C63B76">
            <w:pPr>
              <w:jc w:val="both"/>
              <w:rPr>
                <w:sz w:val="20"/>
                <w:lang w:val="fr-CA"/>
              </w:rPr>
            </w:pPr>
          </w:p>
        </w:tc>
        <w:tc>
          <w:tcPr>
            <w:tcW w:w="2330" w:type="pct"/>
          </w:tcPr>
          <w:p w:rsidR="00DE3EB9" w:rsidRPr="00860B3B" w:rsidRDefault="00DE3EB9" w:rsidP="00C63B76">
            <w:pPr>
              <w:jc w:val="both"/>
              <w:rPr>
                <w:sz w:val="20"/>
                <w:lang w:val="fr-CA"/>
              </w:rPr>
            </w:pPr>
            <w:r w:rsidRPr="00860B3B">
              <w:rPr>
                <w:sz w:val="20"/>
                <w:lang w:val="fr-CA"/>
              </w:rPr>
              <w:t>Arrêté d’extradition</w:t>
            </w:r>
          </w:p>
        </w:tc>
      </w:tr>
      <w:tr w:rsidR="00DE3EB9" w:rsidRPr="00321A34" w:rsidTr="00C63B76">
        <w:tc>
          <w:tcPr>
            <w:tcW w:w="2427" w:type="pct"/>
          </w:tcPr>
          <w:p w:rsidR="00DE3EB9" w:rsidRPr="00860B3B" w:rsidRDefault="00DE3EB9" w:rsidP="00C63B76">
            <w:pPr>
              <w:jc w:val="both"/>
              <w:rPr>
                <w:sz w:val="20"/>
                <w:lang w:val="fr-CA"/>
              </w:rPr>
            </w:pPr>
            <w:r w:rsidRPr="00860B3B">
              <w:rPr>
                <w:sz w:val="20"/>
                <w:lang w:val="fr-CA"/>
              </w:rPr>
              <w:t>4 février 2015</w:t>
            </w:r>
          </w:p>
          <w:p w:rsidR="00DE3EB9" w:rsidRPr="00860B3B" w:rsidRDefault="00DE3EB9" w:rsidP="00C63B76">
            <w:pPr>
              <w:jc w:val="both"/>
              <w:rPr>
                <w:sz w:val="20"/>
                <w:lang w:val="fr-CA"/>
              </w:rPr>
            </w:pPr>
            <w:r w:rsidRPr="00860B3B">
              <w:rPr>
                <w:sz w:val="20"/>
                <w:lang w:val="fr-CA"/>
              </w:rPr>
              <w:t>Cour d’appel de la Colombie-Britannique</w:t>
            </w:r>
          </w:p>
          <w:p w:rsidR="00DE3EB9" w:rsidRPr="00860B3B" w:rsidRDefault="00DE3EB9" w:rsidP="00C63B76">
            <w:pPr>
              <w:jc w:val="both"/>
              <w:rPr>
                <w:sz w:val="20"/>
                <w:lang w:val="fr-CA"/>
              </w:rPr>
            </w:pPr>
            <w:r w:rsidRPr="00860B3B">
              <w:rPr>
                <w:sz w:val="20"/>
                <w:lang w:val="fr-CA"/>
              </w:rPr>
              <w:t>(Vancouver)</w:t>
            </w:r>
          </w:p>
          <w:p w:rsidR="00DE3EB9" w:rsidRPr="00860B3B" w:rsidRDefault="00DE3EB9" w:rsidP="00C63B76">
            <w:pPr>
              <w:jc w:val="both"/>
              <w:rPr>
                <w:sz w:val="20"/>
                <w:lang w:val="fr-CA"/>
              </w:rPr>
            </w:pPr>
            <w:r w:rsidRPr="00860B3B">
              <w:rPr>
                <w:sz w:val="20"/>
                <w:lang w:val="fr-CA"/>
              </w:rPr>
              <w:t>(Juges Saunders, Bennett et Willcock)</w:t>
            </w:r>
          </w:p>
          <w:p w:rsidR="00DE3EB9" w:rsidRPr="00860B3B" w:rsidRDefault="00DE3EB9" w:rsidP="00C63B76">
            <w:pPr>
              <w:jc w:val="both"/>
              <w:rPr>
                <w:sz w:val="20"/>
                <w:lang w:val="fr-CA"/>
              </w:rPr>
            </w:pPr>
            <w:r w:rsidRPr="00860B3B">
              <w:rPr>
                <w:sz w:val="20"/>
                <w:lang w:val="fr-CA"/>
              </w:rPr>
              <w:t xml:space="preserve">CA041188; </w:t>
            </w:r>
            <w:hyperlink r:id="rId35" w:history="1">
              <w:r w:rsidRPr="00860B3B">
                <w:rPr>
                  <w:color w:val="0000FF" w:themeColor="hyperlink"/>
                  <w:sz w:val="20"/>
                  <w:u w:val="single"/>
                  <w:lang w:val="fr-CA"/>
                </w:rPr>
                <w:t>2015 BCCA 39</w:t>
              </w:r>
            </w:hyperlink>
          </w:p>
          <w:p w:rsidR="00DE3EB9" w:rsidRPr="00860B3B" w:rsidRDefault="00DE3EB9" w:rsidP="00C63B76">
            <w:pPr>
              <w:jc w:val="both"/>
              <w:rPr>
                <w:sz w:val="20"/>
                <w:lang w:val="fr-CA"/>
              </w:rPr>
            </w:pPr>
          </w:p>
        </w:tc>
        <w:tc>
          <w:tcPr>
            <w:tcW w:w="243" w:type="pct"/>
          </w:tcPr>
          <w:p w:rsidR="00DE3EB9" w:rsidRPr="00860B3B" w:rsidRDefault="00DE3EB9" w:rsidP="00C63B76">
            <w:pPr>
              <w:jc w:val="both"/>
              <w:rPr>
                <w:sz w:val="20"/>
                <w:lang w:val="fr-CA"/>
              </w:rPr>
            </w:pPr>
          </w:p>
        </w:tc>
        <w:tc>
          <w:tcPr>
            <w:tcW w:w="2330" w:type="pct"/>
          </w:tcPr>
          <w:p w:rsidR="00DE3EB9" w:rsidRPr="00860B3B" w:rsidRDefault="00DE3EB9" w:rsidP="00C63B76">
            <w:pPr>
              <w:jc w:val="both"/>
              <w:rPr>
                <w:sz w:val="20"/>
                <w:lang w:val="fr-CA"/>
              </w:rPr>
            </w:pPr>
            <w:r w:rsidRPr="00860B3B">
              <w:rPr>
                <w:sz w:val="20"/>
                <w:lang w:val="fr-CA"/>
              </w:rPr>
              <w:t>Rejet de l’appel de l’ordonnance d’incarcération et de la demande de contrôle judiciaire de l’arrêté d’extradition</w:t>
            </w:r>
          </w:p>
          <w:p w:rsidR="00DE3EB9" w:rsidRPr="00860B3B" w:rsidRDefault="00DE3EB9" w:rsidP="00C63B76">
            <w:pPr>
              <w:jc w:val="both"/>
              <w:rPr>
                <w:sz w:val="20"/>
                <w:lang w:val="fr-CA"/>
              </w:rPr>
            </w:pPr>
          </w:p>
        </w:tc>
      </w:tr>
      <w:tr w:rsidR="00DE3EB9" w:rsidRPr="00321A34" w:rsidTr="00C63B76">
        <w:tc>
          <w:tcPr>
            <w:tcW w:w="2427" w:type="pct"/>
          </w:tcPr>
          <w:p w:rsidR="00DE3EB9" w:rsidRPr="00860B3B" w:rsidRDefault="00DE3EB9" w:rsidP="00C63B76">
            <w:pPr>
              <w:jc w:val="both"/>
              <w:rPr>
                <w:sz w:val="20"/>
                <w:lang w:val="fr-CA"/>
              </w:rPr>
            </w:pPr>
            <w:r w:rsidRPr="00860B3B">
              <w:rPr>
                <w:sz w:val="20"/>
                <w:lang w:val="fr-CA"/>
              </w:rPr>
              <w:t>31 mars 2015</w:t>
            </w:r>
          </w:p>
          <w:p w:rsidR="00DE3EB9" w:rsidRPr="00860B3B" w:rsidRDefault="00DE3EB9" w:rsidP="00C63B76">
            <w:pPr>
              <w:jc w:val="both"/>
              <w:rPr>
                <w:sz w:val="20"/>
                <w:lang w:val="fr-CA"/>
              </w:rPr>
            </w:pPr>
            <w:r w:rsidRPr="00860B3B">
              <w:rPr>
                <w:sz w:val="20"/>
                <w:lang w:val="fr-CA"/>
              </w:rPr>
              <w:t>Cour suprême du Canada</w:t>
            </w:r>
          </w:p>
        </w:tc>
        <w:tc>
          <w:tcPr>
            <w:tcW w:w="243" w:type="pct"/>
          </w:tcPr>
          <w:p w:rsidR="00DE3EB9" w:rsidRPr="00860B3B" w:rsidRDefault="00DE3EB9" w:rsidP="00C63B76">
            <w:pPr>
              <w:jc w:val="both"/>
              <w:rPr>
                <w:sz w:val="20"/>
                <w:lang w:val="fr-CA"/>
              </w:rPr>
            </w:pPr>
          </w:p>
        </w:tc>
        <w:tc>
          <w:tcPr>
            <w:tcW w:w="2330" w:type="pct"/>
          </w:tcPr>
          <w:p w:rsidR="00DE3EB9" w:rsidRPr="00860B3B" w:rsidRDefault="00DE3EB9" w:rsidP="00C63B76">
            <w:pPr>
              <w:jc w:val="both"/>
              <w:rPr>
                <w:sz w:val="20"/>
                <w:lang w:val="fr-CA"/>
              </w:rPr>
            </w:pPr>
            <w:r w:rsidRPr="00860B3B">
              <w:rPr>
                <w:sz w:val="20"/>
                <w:lang w:val="fr-CA"/>
              </w:rPr>
              <w:t>Dépôt de la demande d’autorisation d’appel</w:t>
            </w:r>
          </w:p>
          <w:p w:rsidR="00DE3EB9" w:rsidRPr="00860B3B" w:rsidRDefault="00DE3EB9" w:rsidP="00C63B76">
            <w:pPr>
              <w:jc w:val="both"/>
              <w:rPr>
                <w:sz w:val="20"/>
                <w:lang w:val="fr-CA"/>
              </w:rPr>
            </w:pPr>
          </w:p>
        </w:tc>
      </w:tr>
    </w:tbl>
    <w:p w:rsidR="00701595" w:rsidRPr="00DE3EB9" w:rsidRDefault="00701595" w:rsidP="00701595">
      <w:pPr>
        <w:rPr>
          <w:sz w:val="20"/>
          <w:szCs w:val="20"/>
          <w:lang w:val="fr-CA"/>
        </w:rPr>
      </w:pPr>
    </w:p>
    <w:p w:rsidR="00701595" w:rsidRDefault="00BA13BB" w:rsidP="00701595">
      <w:pPr>
        <w:rPr>
          <w:sz w:val="20"/>
          <w:szCs w:val="20"/>
        </w:rPr>
      </w:pPr>
      <w:r>
        <w:rPr>
          <w:sz w:val="20"/>
          <w:szCs w:val="20"/>
          <w:lang w:val="fr-CA"/>
        </w:rPr>
        <w:pict>
          <v:rect id="_x0000_i1040" style="width:2in;height:1pt" o:hrpct="0" o:hralign="center" o:hrstd="t" o:hrnoshade="t" o:hr="t" fillcolor="black [3213]" stroked="f"/>
        </w:pict>
      </w:r>
    </w:p>
    <w:p w:rsidR="00701595" w:rsidRDefault="00701595" w:rsidP="00701595">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5B3238" w:rsidRPr="005B3238" w:rsidRDefault="005B3238" w:rsidP="005B3238">
      <w:pPr>
        <w:tabs>
          <w:tab w:val="left" w:pos="-1440"/>
          <w:tab w:val="left" w:pos="-720"/>
        </w:tabs>
        <w:jc w:val="both"/>
        <w:rPr>
          <w:rFonts w:eastAsia="Times New Roman" w:cs="Times New Roman"/>
          <w:sz w:val="20"/>
          <w:szCs w:val="20"/>
          <w:lang w:val="fr-CA" w:eastAsia="en-CA"/>
        </w:rPr>
      </w:pPr>
      <w:r w:rsidRPr="005B3238">
        <w:rPr>
          <w:rFonts w:eastAsia="Times New Roman" w:cs="Times New Roman"/>
          <w:sz w:val="20"/>
          <w:szCs w:val="20"/>
          <w:lang w:val="fr-CA" w:eastAsia="en-CA"/>
        </w:rPr>
        <w:t>01.06.2015</w:t>
      </w:r>
    </w:p>
    <w:p w:rsidR="005B3238" w:rsidRPr="005B3238" w:rsidRDefault="005B3238" w:rsidP="005B3238">
      <w:pPr>
        <w:tabs>
          <w:tab w:val="left" w:pos="-1440"/>
          <w:tab w:val="left" w:pos="-720"/>
        </w:tabs>
        <w:jc w:val="both"/>
        <w:rPr>
          <w:rFonts w:eastAsia="Times New Roman" w:cs="Times New Roman"/>
          <w:sz w:val="20"/>
          <w:szCs w:val="20"/>
          <w:lang w:val="fr-CA" w:eastAsia="en-CA"/>
        </w:rPr>
      </w:pPr>
    </w:p>
    <w:p w:rsidR="005B3238" w:rsidRPr="005B3238" w:rsidRDefault="005B3238" w:rsidP="005B3238">
      <w:pPr>
        <w:tabs>
          <w:tab w:val="left" w:pos="-1440"/>
          <w:tab w:val="left" w:pos="-720"/>
        </w:tabs>
        <w:jc w:val="both"/>
        <w:rPr>
          <w:rFonts w:eastAsia="Times New Roman" w:cs="Times New Roman"/>
          <w:sz w:val="20"/>
          <w:szCs w:val="20"/>
          <w:lang w:val="fr-CA" w:eastAsia="en-CA"/>
        </w:rPr>
      </w:pPr>
      <w:r w:rsidRPr="005B3238">
        <w:rPr>
          <w:rFonts w:eastAsia="Times New Roman" w:cs="Times New Roman"/>
          <w:sz w:val="20"/>
          <w:szCs w:val="20"/>
          <w:lang w:val="fr-CA" w:eastAsia="en-CA"/>
        </w:rPr>
        <w:t>Before / Devant :   GASCON J. / LE JUGE GASCON</w:t>
      </w:r>
    </w:p>
    <w:p w:rsidR="005B3238" w:rsidRPr="005B3238" w:rsidRDefault="005B3238" w:rsidP="005B3238">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5B3238" w:rsidRPr="005B3238" w:rsidTr="002F2EB6">
        <w:tc>
          <w:tcPr>
            <w:tcW w:w="4338" w:type="dxa"/>
            <w:gridSpan w:val="2"/>
          </w:tcPr>
          <w:p w:rsidR="005B3238" w:rsidRPr="005B3238" w:rsidRDefault="005B3238" w:rsidP="005B3238">
            <w:pPr>
              <w:rPr>
                <w:b/>
              </w:rPr>
            </w:pPr>
            <w:r w:rsidRPr="005B3238">
              <w:rPr>
                <w:b/>
                <w:bCs/>
                <w:color w:val="000000"/>
                <w:lang w:val="en-GB"/>
              </w:rPr>
              <w:t>Motion for an extension of time and motions for leave to intervene</w:t>
            </w:r>
            <w:r w:rsidRPr="005B3238">
              <w:rPr>
                <w:lang w:val="en-US"/>
              </w:rPr>
              <w:t xml:space="preserve"> </w:t>
            </w:r>
            <w:r w:rsidR="00AD34D7" w:rsidRPr="005B3238">
              <w:rPr>
                <w:lang w:val="en-US"/>
              </w:rPr>
              <w:fldChar w:fldCharType="begin"/>
            </w:r>
            <w:r w:rsidRPr="005B3238">
              <w:instrText xml:space="preserve"> SEQ CHAPTER \h \r 1</w:instrText>
            </w:r>
            <w:r w:rsidR="00AD34D7" w:rsidRPr="005B3238">
              <w:rPr>
                <w:lang w:val="en-US"/>
              </w:rPr>
              <w:fldChar w:fldCharType="end"/>
            </w:r>
          </w:p>
        </w:tc>
        <w:tc>
          <w:tcPr>
            <w:tcW w:w="1170" w:type="dxa"/>
          </w:tcPr>
          <w:p w:rsidR="005B3238" w:rsidRPr="005B3238" w:rsidRDefault="005B3238" w:rsidP="005B3238"/>
          <w:p w:rsidR="005B3238" w:rsidRPr="005B3238" w:rsidRDefault="005B3238" w:rsidP="005B3238"/>
          <w:p w:rsidR="005B3238" w:rsidRPr="005B3238" w:rsidRDefault="005B3238" w:rsidP="005B3238"/>
        </w:tc>
        <w:tc>
          <w:tcPr>
            <w:tcW w:w="4327" w:type="dxa"/>
          </w:tcPr>
          <w:p w:rsidR="005B3238" w:rsidRPr="005B3238" w:rsidRDefault="005B3238" w:rsidP="005B3238">
            <w:pPr>
              <w:rPr>
                <w:b/>
                <w:lang w:val="fr-CA"/>
              </w:rPr>
            </w:pPr>
            <w:r w:rsidRPr="005B3238">
              <w:rPr>
                <w:b/>
                <w:bCs/>
                <w:color w:val="000000"/>
                <w:lang w:val="fr-CA"/>
              </w:rPr>
              <w:t>Requête en prorogation de délai et requêtes en autorisation d’intervenir</w:t>
            </w:r>
            <w:r w:rsidRPr="005B3238">
              <w:rPr>
                <w:lang w:val="fr-CA"/>
              </w:rPr>
              <w:t xml:space="preserve"> </w:t>
            </w:r>
            <w:r w:rsidR="00AD34D7" w:rsidRPr="005B3238">
              <w:rPr>
                <w:lang w:val="en-US"/>
              </w:rPr>
              <w:fldChar w:fldCharType="begin"/>
            </w:r>
            <w:r w:rsidRPr="005B3238">
              <w:rPr>
                <w:lang w:val="fr-CA"/>
              </w:rPr>
              <w:instrText xml:space="preserve"> SEQ CHAPTER \h \r 1</w:instrText>
            </w:r>
            <w:r w:rsidR="00AD34D7" w:rsidRPr="005B3238">
              <w:rPr>
                <w:lang w:val="en-US"/>
              </w:rPr>
              <w:fldChar w:fldCharType="end"/>
            </w:r>
          </w:p>
        </w:tc>
      </w:tr>
      <w:tr w:rsidR="005B3238" w:rsidRPr="005B3238" w:rsidTr="002F2EB6">
        <w:trPr>
          <w:trHeight w:hRule="exact" w:val="576"/>
        </w:trPr>
        <w:tc>
          <w:tcPr>
            <w:tcW w:w="1368" w:type="dxa"/>
          </w:tcPr>
          <w:p w:rsidR="005B3238" w:rsidRPr="005B3238" w:rsidRDefault="005B3238" w:rsidP="005B3238">
            <w:r w:rsidRPr="005B3238">
              <w:t>BY / PAR</w:t>
            </w:r>
          </w:p>
        </w:tc>
        <w:tc>
          <w:tcPr>
            <w:tcW w:w="2970" w:type="dxa"/>
          </w:tcPr>
          <w:p w:rsidR="005B3238" w:rsidRPr="005B3238" w:rsidRDefault="005B3238" w:rsidP="005B3238">
            <w:r w:rsidRPr="005B3238">
              <w:rPr>
                <w:lang w:val="en-US"/>
              </w:rPr>
              <w:t>Attorney General for Saskatchewan;</w:t>
            </w:r>
          </w:p>
        </w:tc>
        <w:tc>
          <w:tcPr>
            <w:tcW w:w="1170" w:type="dxa"/>
          </w:tcPr>
          <w:p w:rsidR="005B3238" w:rsidRPr="005B3238" w:rsidRDefault="005B3238" w:rsidP="005B3238"/>
        </w:tc>
        <w:tc>
          <w:tcPr>
            <w:tcW w:w="4327" w:type="dxa"/>
          </w:tcPr>
          <w:p w:rsidR="005B3238" w:rsidRPr="005B3238" w:rsidRDefault="005B3238" w:rsidP="005B3238"/>
        </w:tc>
      </w:tr>
      <w:tr w:rsidR="005B3238" w:rsidRPr="005B3238" w:rsidTr="002F2EB6">
        <w:trPr>
          <w:trHeight w:hRule="exact" w:val="360"/>
        </w:trPr>
        <w:tc>
          <w:tcPr>
            <w:tcW w:w="1368" w:type="dxa"/>
          </w:tcPr>
          <w:p w:rsidR="005B3238" w:rsidRPr="005B3238" w:rsidRDefault="005B3238" w:rsidP="005B3238"/>
        </w:tc>
        <w:tc>
          <w:tcPr>
            <w:tcW w:w="2970" w:type="dxa"/>
          </w:tcPr>
          <w:p w:rsidR="005B3238" w:rsidRPr="005B3238" w:rsidRDefault="005B3238" w:rsidP="005B3238">
            <w:pPr>
              <w:rPr>
                <w:lang w:val="en-US"/>
              </w:rPr>
            </w:pPr>
            <w:r w:rsidRPr="005B3238">
              <w:rPr>
                <w:lang w:val="en-US"/>
              </w:rPr>
              <w:t>Attorney General of Alberta;</w:t>
            </w:r>
          </w:p>
        </w:tc>
        <w:tc>
          <w:tcPr>
            <w:tcW w:w="1170" w:type="dxa"/>
          </w:tcPr>
          <w:p w:rsidR="005B3238" w:rsidRPr="005B3238" w:rsidRDefault="005B3238" w:rsidP="005B3238"/>
        </w:tc>
        <w:tc>
          <w:tcPr>
            <w:tcW w:w="4327" w:type="dxa"/>
          </w:tcPr>
          <w:p w:rsidR="005B3238" w:rsidRPr="005B3238" w:rsidRDefault="005B3238" w:rsidP="005B3238"/>
        </w:tc>
      </w:tr>
      <w:tr w:rsidR="005B3238" w:rsidRPr="005B3238" w:rsidTr="002F2EB6">
        <w:trPr>
          <w:trHeight w:hRule="exact" w:val="1296"/>
        </w:trPr>
        <w:tc>
          <w:tcPr>
            <w:tcW w:w="1368" w:type="dxa"/>
          </w:tcPr>
          <w:p w:rsidR="005B3238" w:rsidRPr="005B3238" w:rsidRDefault="005B3238" w:rsidP="005B3238"/>
        </w:tc>
        <w:tc>
          <w:tcPr>
            <w:tcW w:w="2970" w:type="dxa"/>
          </w:tcPr>
          <w:p w:rsidR="005B3238" w:rsidRPr="005B3238" w:rsidRDefault="005B3238" w:rsidP="005B3238">
            <w:pPr>
              <w:rPr>
                <w:lang w:val="en-US"/>
              </w:rPr>
            </w:pPr>
            <w:r w:rsidRPr="005B3238">
              <w:rPr>
                <w:lang w:val="en-US"/>
              </w:rPr>
              <w:t>Native Council of Nova Scotia, the New Brunswick Aboriginal Peoples Council and the Native Council of Prince Edward Island (joint);</w:t>
            </w:r>
          </w:p>
        </w:tc>
        <w:tc>
          <w:tcPr>
            <w:tcW w:w="1170" w:type="dxa"/>
          </w:tcPr>
          <w:p w:rsidR="005B3238" w:rsidRPr="005B3238" w:rsidRDefault="005B3238" w:rsidP="005B3238"/>
        </w:tc>
        <w:tc>
          <w:tcPr>
            <w:tcW w:w="4327" w:type="dxa"/>
          </w:tcPr>
          <w:p w:rsidR="005B3238" w:rsidRPr="005B3238" w:rsidRDefault="005B3238" w:rsidP="005B3238"/>
        </w:tc>
      </w:tr>
      <w:tr w:rsidR="005B3238" w:rsidRPr="005B3238" w:rsidTr="002F2EB6">
        <w:trPr>
          <w:trHeight w:hRule="exact" w:val="576"/>
        </w:trPr>
        <w:tc>
          <w:tcPr>
            <w:tcW w:w="1368" w:type="dxa"/>
          </w:tcPr>
          <w:p w:rsidR="005B3238" w:rsidRPr="005B3238" w:rsidRDefault="005B3238" w:rsidP="005B3238"/>
        </w:tc>
        <w:tc>
          <w:tcPr>
            <w:tcW w:w="2970" w:type="dxa"/>
          </w:tcPr>
          <w:p w:rsidR="005B3238" w:rsidRPr="005B3238" w:rsidRDefault="005B3238" w:rsidP="005B3238">
            <w:pPr>
              <w:rPr>
                <w:lang w:val="en-US"/>
              </w:rPr>
            </w:pPr>
            <w:r w:rsidRPr="005B3238">
              <w:rPr>
                <w:lang w:val="en-US"/>
              </w:rPr>
              <w:t>Metis Settlements General Council;</w:t>
            </w:r>
          </w:p>
        </w:tc>
        <w:tc>
          <w:tcPr>
            <w:tcW w:w="1170" w:type="dxa"/>
          </w:tcPr>
          <w:p w:rsidR="005B3238" w:rsidRPr="005B3238" w:rsidRDefault="005B3238" w:rsidP="005B3238"/>
        </w:tc>
        <w:tc>
          <w:tcPr>
            <w:tcW w:w="4327" w:type="dxa"/>
          </w:tcPr>
          <w:p w:rsidR="005B3238" w:rsidRPr="005B3238" w:rsidRDefault="005B3238" w:rsidP="005B3238"/>
        </w:tc>
      </w:tr>
      <w:tr w:rsidR="005B3238" w:rsidRPr="005B3238" w:rsidTr="002F2EB6">
        <w:trPr>
          <w:trHeight w:hRule="exact" w:val="360"/>
        </w:trPr>
        <w:tc>
          <w:tcPr>
            <w:tcW w:w="1368" w:type="dxa"/>
          </w:tcPr>
          <w:p w:rsidR="005B3238" w:rsidRPr="005B3238" w:rsidRDefault="005B3238" w:rsidP="005B3238"/>
        </w:tc>
        <w:tc>
          <w:tcPr>
            <w:tcW w:w="2970" w:type="dxa"/>
          </w:tcPr>
          <w:p w:rsidR="005B3238" w:rsidRPr="005B3238" w:rsidRDefault="005B3238" w:rsidP="005B3238">
            <w:pPr>
              <w:rPr>
                <w:lang w:val="en-US"/>
              </w:rPr>
            </w:pPr>
            <w:r w:rsidRPr="005B3238">
              <w:rPr>
                <w:lang w:val="en-US"/>
              </w:rPr>
              <w:t>Manitoba Métis Federation;</w:t>
            </w:r>
          </w:p>
        </w:tc>
        <w:tc>
          <w:tcPr>
            <w:tcW w:w="1170" w:type="dxa"/>
          </w:tcPr>
          <w:p w:rsidR="005B3238" w:rsidRPr="005B3238" w:rsidRDefault="005B3238" w:rsidP="005B3238"/>
        </w:tc>
        <w:tc>
          <w:tcPr>
            <w:tcW w:w="4327" w:type="dxa"/>
          </w:tcPr>
          <w:p w:rsidR="005B3238" w:rsidRPr="005B3238" w:rsidRDefault="005B3238" w:rsidP="005B3238"/>
        </w:tc>
      </w:tr>
      <w:tr w:rsidR="005B3238" w:rsidRPr="005B3238" w:rsidTr="002F2EB6">
        <w:trPr>
          <w:trHeight w:hRule="exact" w:val="1296"/>
        </w:trPr>
        <w:tc>
          <w:tcPr>
            <w:tcW w:w="1368" w:type="dxa"/>
          </w:tcPr>
          <w:p w:rsidR="005B3238" w:rsidRPr="005B3238" w:rsidRDefault="005B3238" w:rsidP="005B3238"/>
        </w:tc>
        <w:tc>
          <w:tcPr>
            <w:tcW w:w="2970" w:type="dxa"/>
          </w:tcPr>
          <w:p w:rsidR="005B3238" w:rsidRPr="005B3238" w:rsidRDefault="005B3238" w:rsidP="005B3238">
            <w:pPr>
              <w:rPr>
                <w:lang w:val="en-US"/>
              </w:rPr>
            </w:pPr>
            <w:r w:rsidRPr="005B3238">
              <w:rPr>
                <w:lang w:val="en-US"/>
              </w:rPr>
              <w:t>Peavine Métis Settlement, the East Prairie Métis Settlement, the Elizabeth Métis Settlement and the Paddle Prairie Métis Settlement (joint);</w:t>
            </w:r>
          </w:p>
        </w:tc>
        <w:tc>
          <w:tcPr>
            <w:tcW w:w="1170" w:type="dxa"/>
          </w:tcPr>
          <w:p w:rsidR="005B3238" w:rsidRPr="005B3238" w:rsidRDefault="005B3238" w:rsidP="005B3238"/>
        </w:tc>
        <w:tc>
          <w:tcPr>
            <w:tcW w:w="4327" w:type="dxa"/>
          </w:tcPr>
          <w:p w:rsidR="005B3238" w:rsidRPr="005B3238" w:rsidRDefault="005B3238" w:rsidP="005B3238"/>
        </w:tc>
      </w:tr>
      <w:tr w:rsidR="005B3238" w:rsidRPr="005B3238" w:rsidTr="002F2EB6">
        <w:trPr>
          <w:trHeight w:hRule="exact" w:val="360"/>
        </w:trPr>
        <w:tc>
          <w:tcPr>
            <w:tcW w:w="1368" w:type="dxa"/>
          </w:tcPr>
          <w:p w:rsidR="005B3238" w:rsidRPr="005B3238" w:rsidRDefault="005B3238" w:rsidP="005B3238"/>
        </w:tc>
        <w:tc>
          <w:tcPr>
            <w:tcW w:w="2970" w:type="dxa"/>
          </w:tcPr>
          <w:p w:rsidR="005B3238" w:rsidRPr="005B3238" w:rsidRDefault="005B3238" w:rsidP="005B3238">
            <w:pPr>
              <w:rPr>
                <w:lang w:val="en-US"/>
              </w:rPr>
            </w:pPr>
            <w:r w:rsidRPr="005B3238">
              <w:rPr>
                <w:lang w:val="en-US"/>
              </w:rPr>
              <w:t>Te’mexw Treaty Association;</w:t>
            </w:r>
          </w:p>
        </w:tc>
        <w:tc>
          <w:tcPr>
            <w:tcW w:w="1170" w:type="dxa"/>
          </w:tcPr>
          <w:p w:rsidR="005B3238" w:rsidRPr="005B3238" w:rsidRDefault="005B3238" w:rsidP="005B3238"/>
        </w:tc>
        <w:tc>
          <w:tcPr>
            <w:tcW w:w="4327" w:type="dxa"/>
          </w:tcPr>
          <w:p w:rsidR="005B3238" w:rsidRPr="005B3238" w:rsidRDefault="005B3238" w:rsidP="005B3238"/>
        </w:tc>
      </w:tr>
      <w:tr w:rsidR="005B3238" w:rsidRPr="005B3238" w:rsidTr="002F2EB6">
        <w:trPr>
          <w:trHeight w:hRule="exact" w:val="360"/>
        </w:trPr>
        <w:tc>
          <w:tcPr>
            <w:tcW w:w="1368" w:type="dxa"/>
          </w:tcPr>
          <w:p w:rsidR="005B3238" w:rsidRPr="005B3238" w:rsidRDefault="005B3238" w:rsidP="005B3238"/>
        </w:tc>
        <w:tc>
          <w:tcPr>
            <w:tcW w:w="2970" w:type="dxa"/>
          </w:tcPr>
          <w:p w:rsidR="005B3238" w:rsidRPr="005B3238" w:rsidRDefault="005B3238" w:rsidP="005B3238">
            <w:pPr>
              <w:rPr>
                <w:lang w:val="en-US"/>
              </w:rPr>
            </w:pPr>
            <w:r w:rsidRPr="005B3238">
              <w:rPr>
                <w:lang w:val="en-US"/>
              </w:rPr>
              <w:t>Métis Federation of Canada;</w:t>
            </w:r>
          </w:p>
        </w:tc>
        <w:tc>
          <w:tcPr>
            <w:tcW w:w="1170" w:type="dxa"/>
          </w:tcPr>
          <w:p w:rsidR="005B3238" w:rsidRPr="005B3238" w:rsidRDefault="005B3238" w:rsidP="005B3238"/>
        </w:tc>
        <w:tc>
          <w:tcPr>
            <w:tcW w:w="4327" w:type="dxa"/>
          </w:tcPr>
          <w:p w:rsidR="005B3238" w:rsidRPr="005B3238" w:rsidRDefault="005B3238" w:rsidP="005B3238"/>
        </w:tc>
      </w:tr>
      <w:tr w:rsidR="005B3238" w:rsidRPr="005B3238" w:rsidTr="002F2EB6">
        <w:trPr>
          <w:trHeight w:hRule="exact" w:val="360"/>
        </w:trPr>
        <w:tc>
          <w:tcPr>
            <w:tcW w:w="1368" w:type="dxa"/>
          </w:tcPr>
          <w:p w:rsidR="005B3238" w:rsidRPr="005B3238" w:rsidRDefault="005B3238" w:rsidP="005B3238"/>
        </w:tc>
        <w:tc>
          <w:tcPr>
            <w:tcW w:w="2970" w:type="dxa"/>
          </w:tcPr>
          <w:p w:rsidR="005B3238" w:rsidRPr="005B3238" w:rsidRDefault="005B3238" w:rsidP="005B3238">
            <w:pPr>
              <w:rPr>
                <w:lang w:val="en-US"/>
              </w:rPr>
            </w:pPr>
            <w:r w:rsidRPr="005B3238">
              <w:rPr>
                <w:lang w:val="en-US"/>
              </w:rPr>
              <w:t>Aseniwuche Winewak Nation;</w:t>
            </w:r>
          </w:p>
        </w:tc>
        <w:tc>
          <w:tcPr>
            <w:tcW w:w="1170" w:type="dxa"/>
          </w:tcPr>
          <w:p w:rsidR="005B3238" w:rsidRPr="005B3238" w:rsidRDefault="005B3238" w:rsidP="005B3238"/>
        </w:tc>
        <w:tc>
          <w:tcPr>
            <w:tcW w:w="4327" w:type="dxa"/>
          </w:tcPr>
          <w:p w:rsidR="005B3238" w:rsidRPr="005B3238" w:rsidRDefault="005B3238" w:rsidP="005B3238"/>
        </w:tc>
      </w:tr>
      <w:tr w:rsidR="005B3238" w:rsidRPr="005B3238" w:rsidTr="002F2EB6">
        <w:trPr>
          <w:trHeight w:hRule="exact" w:val="360"/>
        </w:trPr>
        <w:tc>
          <w:tcPr>
            <w:tcW w:w="1368" w:type="dxa"/>
          </w:tcPr>
          <w:p w:rsidR="005B3238" w:rsidRPr="005B3238" w:rsidRDefault="005B3238" w:rsidP="005B3238"/>
        </w:tc>
        <w:tc>
          <w:tcPr>
            <w:tcW w:w="2970" w:type="dxa"/>
          </w:tcPr>
          <w:p w:rsidR="005B3238" w:rsidRPr="005B3238" w:rsidRDefault="005B3238" w:rsidP="005B3238">
            <w:pPr>
              <w:rPr>
                <w:lang w:val="en-US"/>
              </w:rPr>
            </w:pPr>
            <w:r w:rsidRPr="005B3238">
              <w:rPr>
                <w:lang w:val="en-US"/>
              </w:rPr>
              <w:t>Chiefs of Ontario;</w:t>
            </w:r>
          </w:p>
        </w:tc>
        <w:tc>
          <w:tcPr>
            <w:tcW w:w="1170" w:type="dxa"/>
          </w:tcPr>
          <w:p w:rsidR="005B3238" w:rsidRPr="005B3238" w:rsidRDefault="005B3238" w:rsidP="005B3238"/>
        </w:tc>
        <w:tc>
          <w:tcPr>
            <w:tcW w:w="4327" w:type="dxa"/>
          </w:tcPr>
          <w:p w:rsidR="005B3238" w:rsidRPr="005B3238" w:rsidRDefault="005B3238" w:rsidP="005B3238"/>
        </w:tc>
      </w:tr>
      <w:tr w:rsidR="005B3238" w:rsidRPr="005B3238" w:rsidTr="002F2EB6">
        <w:trPr>
          <w:trHeight w:hRule="exact" w:val="360"/>
        </w:trPr>
        <w:tc>
          <w:tcPr>
            <w:tcW w:w="1368" w:type="dxa"/>
          </w:tcPr>
          <w:p w:rsidR="005B3238" w:rsidRPr="005B3238" w:rsidRDefault="005B3238" w:rsidP="005B3238"/>
        </w:tc>
        <w:tc>
          <w:tcPr>
            <w:tcW w:w="2970" w:type="dxa"/>
          </w:tcPr>
          <w:p w:rsidR="005B3238" w:rsidRPr="005B3238" w:rsidRDefault="005B3238" w:rsidP="005B3238">
            <w:pPr>
              <w:rPr>
                <w:lang w:val="en-US"/>
              </w:rPr>
            </w:pPr>
            <w:r w:rsidRPr="005B3238">
              <w:rPr>
                <w:lang w:val="en-US"/>
              </w:rPr>
              <w:t>Gift Lake Métis Settlement;</w:t>
            </w:r>
          </w:p>
        </w:tc>
        <w:tc>
          <w:tcPr>
            <w:tcW w:w="1170" w:type="dxa"/>
          </w:tcPr>
          <w:p w:rsidR="005B3238" w:rsidRPr="005B3238" w:rsidRDefault="005B3238" w:rsidP="005B3238"/>
        </w:tc>
        <w:tc>
          <w:tcPr>
            <w:tcW w:w="4327" w:type="dxa"/>
          </w:tcPr>
          <w:p w:rsidR="005B3238" w:rsidRPr="005B3238" w:rsidRDefault="005B3238" w:rsidP="005B3238"/>
        </w:tc>
      </w:tr>
      <w:tr w:rsidR="005B3238" w:rsidRPr="005B3238" w:rsidTr="002F2EB6">
        <w:trPr>
          <w:trHeight w:hRule="exact" w:val="360"/>
        </w:trPr>
        <w:tc>
          <w:tcPr>
            <w:tcW w:w="1368" w:type="dxa"/>
          </w:tcPr>
          <w:p w:rsidR="005B3238" w:rsidRPr="005B3238" w:rsidRDefault="005B3238" w:rsidP="005B3238"/>
        </w:tc>
        <w:tc>
          <w:tcPr>
            <w:tcW w:w="2970" w:type="dxa"/>
          </w:tcPr>
          <w:p w:rsidR="005B3238" w:rsidRPr="005B3238" w:rsidRDefault="005B3238" w:rsidP="005B3238">
            <w:pPr>
              <w:rPr>
                <w:lang w:val="en-US"/>
              </w:rPr>
            </w:pPr>
            <w:r w:rsidRPr="005B3238">
              <w:t>Native Alliance of Quebec;</w:t>
            </w:r>
          </w:p>
        </w:tc>
        <w:tc>
          <w:tcPr>
            <w:tcW w:w="1170" w:type="dxa"/>
          </w:tcPr>
          <w:p w:rsidR="005B3238" w:rsidRPr="005B3238" w:rsidRDefault="005B3238" w:rsidP="005B3238"/>
        </w:tc>
        <w:tc>
          <w:tcPr>
            <w:tcW w:w="4327" w:type="dxa"/>
          </w:tcPr>
          <w:p w:rsidR="005B3238" w:rsidRPr="005B3238" w:rsidRDefault="005B3238" w:rsidP="005B3238"/>
        </w:tc>
      </w:tr>
      <w:tr w:rsidR="005B3238" w:rsidRPr="005B3238" w:rsidTr="002F2EB6">
        <w:trPr>
          <w:trHeight w:hRule="exact" w:val="360"/>
        </w:trPr>
        <w:tc>
          <w:tcPr>
            <w:tcW w:w="1368" w:type="dxa"/>
          </w:tcPr>
          <w:p w:rsidR="005B3238" w:rsidRPr="005B3238" w:rsidRDefault="005B3238" w:rsidP="005B3238"/>
        </w:tc>
        <w:tc>
          <w:tcPr>
            <w:tcW w:w="2970" w:type="dxa"/>
          </w:tcPr>
          <w:p w:rsidR="005B3238" w:rsidRPr="005B3238" w:rsidRDefault="005B3238" w:rsidP="005B3238">
            <w:r w:rsidRPr="005B3238">
              <w:rPr>
                <w:lang w:val="en-US"/>
              </w:rPr>
              <w:t>Métis Nation of Ontario;</w:t>
            </w:r>
          </w:p>
        </w:tc>
        <w:tc>
          <w:tcPr>
            <w:tcW w:w="1170" w:type="dxa"/>
          </w:tcPr>
          <w:p w:rsidR="005B3238" w:rsidRPr="005B3238" w:rsidRDefault="005B3238" w:rsidP="005B3238"/>
        </w:tc>
        <w:tc>
          <w:tcPr>
            <w:tcW w:w="4327" w:type="dxa"/>
          </w:tcPr>
          <w:p w:rsidR="005B3238" w:rsidRPr="005B3238" w:rsidRDefault="005B3238" w:rsidP="005B3238"/>
        </w:tc>
      </w:tr>
      <w:tr w:rsidR="005B3238" w:rsidRPr="005B3238" w:rsidTr="002F2EB6">
        <w:trPr>
          <w:trHeight w:hRule="exact" w:val="360"/>
        </w:trPr>
        <w:tc>
          <w:tcPr>
            <w:tcW w:w="1368" w:type="dxa"/>
          </w:tcPr>
          <w:p w:rsidR="005B3238" w:rsidRPr="005B3238" w:rsidRDefault="005B3238" w:rsidP="005B3238"/>
        </w:tc>
        <w:tc>
          <w:tcPr>
            <w:tcW w:w="2970" w:type="dxa"/>
          </w:tcPr>
          <w:p w:rsidR="005B3238" w:rsidRPr="005B3238" w:rsidRDefault="005B3238" w:rsidP="005B3238">
            <w:pPr>
              <w:rPr>
                <w:lang w:val="en-US"/>
              </w:rPr>
            </w:pPr>
            <w:r w:rsidRPr="005B3238">
              <w:rPr>
                <w:lang w:val="en-US"/>
              </w:rPr>
              <w:t>Assembly of First Nations;</w:t>
            </w:r>
          </w:p>
        </w:tc>
        <w:tc>
          <w:tcPr>
            <w:tcW w:w="1170" w:type="dxa"/>
          </w:tcPr>
          <w:p w:rsidR="005B3238" w:rsidRPr="005B3238" w:rsidRDefault="005B3238" w:rsidP="005B3238"/>
        </w:tc>
        <w:tc>
          <w:tcPr>
            <w:tcW w:w="4327" w:type="dxa"/>
          </w:tcPr>
          <w:p w:rsidR="005B3238" w:rsidRPr="005B3238" w:rsidRDefault="005B3238" w:rsidP="005B3238"/>
        </w:tc>
      </w:tr>
      <w:tr w:rsidR="005B3238" w:rsidRPr="005B3238" w:rsidTr="002F2EB6">
        <w:trPr>
          <w:trHeight w:hRule="exact" w:val="360"/>
        </w:trPr>
        <w:tc>
          <w:tcPr>
            <w:tcW w:w="1368" w:type="dxa"/>
          </w:tcPr>
          <w:p w:rsidR="005B3238" w:rsidRPr="005B3238" w:rsidRDefault="005B3238" w:rsidP="005B3238"/>
        </w:tc>
        <w:tc>
          <w:tcPr>
            <w:tcW w:w="2970" w:type="dxa"/>
          </w:tcPr>
          <w:p w:rsidR="005B3238" w:rsidRPr="005B3238" w:rsidRDefault="005B3238" w:rsidP="005B3238">
            <w:pPr>
              <w:rPr>
                <w:lang w:val="en-US"/>
              </w:rPr>
            </w:pPr>
            <w:r w:rsidRPr="005B3238">
              <w:rPr>
                <w:lang w:val="en-US"/>
              </w:rPr>
              <w:t>Métis National Council</w:t>
            </w:r>
          </w:p>
        </w:tc>
        <w:tc>
          <w:tcPr>
            <w:tcW w:w="1170" w:type="dxa"/>
          </w:tcPr>
          <w:p w:rsidR="005B3238" w:rsidRPr="005B3238" w:rsidRDefault="005B3238" w:rsidP="005B3238"/>
        </w:tc>
        <w:tc>
          <w:tcPr>
            <w:tcW w:w="4327" w:type="dxa"/>
          </w:tcPr>
          <w:p w:rsidR="005B3238" w:rsidRPr="005B3238" w:rsidRDefault="005B3238" w:rsidP="005B3238"/>
        </w:tc>
      </w:tr>
      <w:tr w:rsidR="005B3238" w:rsidRPr="005B3238" w:rsidTr="002F2EB6">
        <w:tc>
          <w:tcPr>
            <w:tcW w:w="1368" w:type="dxa"/>
          </w:tcPr>
          <w:p w:rsidR="005B3238" w:rsidRPr="005B3238" w:rsidRDefault="005B3238" w:rsidP="005B3238"/>
        </w:tc>
        <w:tc>
          <w:tcPr>
            <w:tcW w:w="2970" w:type="dxa"/>
          </w:tcPr>
          <w:p w:rsidR="005B3238" w:rsidRPr="005B3238" w:rsidRDefault="005B3238" w:rsidP="005B3238">
            <w:pPr>
              <w:rPr>
                <w:lang w:val="en-US"/>
              </w:rPr>
            </w:pPr>
          </w:p>
        </w:tc>
        <w:tc>
          <w:tcPr>
            <w:tcW w:w="1170" w:type="dxa"/>
          </w:tcPr>
          <w:p w:rsidR="005B3238" w:rsidRPr="005B3238" w:rsidRDefault="005B3238" w:rsidP="005B3238"/>
        </w:tc>
        <w:tc>
          <w:tcPr>
            <w:tcW w:w="4327" w:type="dxa"/>
          </w:tcPr>
          <w:p w:rsidR="005B3238" w:rsidRPr="005B3238" w:rsidRDefault="005B3238" w:rsidP="005B3238"/>
        </w:tc>
      </w:tr>
      <w:tr w:rsidR="005B3238" w:rsidRPr="005B3238" w:rsidTr="002F2EB6">
        <w:tc>
          <w:tcPr>
            <w:tcW w:w="1368" w:type="dxa"/>
          </w:tcPr>
          <w:p w:rsidR="005B3238" w:rsidRPr="005B3238" w:rsidRDefault="005B3238" w:rsidP="005B3238">
            <w:r w:rsidRPr="005B3238">
              <w:t>IN / DANS :</w:t>
            </w:r>
          </w:p>
        </w:tc>
        <w:tc>
          <w:tcPr>
            <w:tcW w:w="2970" w:type="dxa"/>
          </w:tcPr>
          <w:p w:rsidR="005B3238" w:rsidRPr="005B3238" w:rsidRDefault="005B3238" w:rsidP="005B3238">
            <w:r w:rsidRPr="005B3238">
              <w:t>Harry Daniels et al.</w:t>
            </w:r>
          </w:p>
          <w:p w:rsidR="005B3238" w:rsidRPr="005B3238" w:rsidRDefault="005B3238" w:rsidP="005B3238"/>
          <w:p w:rsidR="005B3238" w:rsidRPr="005B3238" w:rsidRDefault="005B3238" w:rsidP="005B3238">
            <w:r w:rsidRPr="005B3238">
              <w:tab/>
              <w:t>v. (35945)</w:t>
            </w:r>
          </w:p>
          <w:p w:rsidR="005B3238" w:rsidRPr="005B3238" w:rsidRDefault="005B3238" w:rsidP="005B3238"/>
          <w:p w:rsidR="005B3238" w:rsidRPr="005B3238" w:rsidRDefault="005B3238" w:rsidP="005B3238">
            <w:r w:rsidRPr="005B3238">
              <w:t>Her Majesty the Queen as represented by the Minister of Indian Affairs and Northern Development et al. (F.C.)</w:t>
            </w:r>
          </w:p>
        </w:tc>
        <w:tc>
          <w:tcPr>
            <w:tcW w:w="1170" w:type="dxa"/>
          </w:tcPr>
          <w:p w:rsidR="005B3238" w:rsidRPr="005B3238" w:rsidRDefault="005B3238" w:rsidP="005B3238"/>
        </w:tc>
        <w:tc>
          <w:tcPr>
            <w:tcW w:w="4327" w:type="dxa"/>
          </w:tcPr>
          <w:p w:rsidR="005B3238" w:rsidRPr="005B3238" w:rsidRDefault="005B3238" w:rsidP="005B3238"/>
        </w:tc>
      </w:tr>
    </w:tbl>
    <w:p w:rsidR="005B3238" w:rsidRPr="005B3238" w:rsidRDefault="005B3238" w:rsidP="005B3238">
      <w:pPr>
        <w:tabs>
          <w:tab w:val="left" w:pos="-1440"/>
          <w:tab w:val="left" w:pos="-720"/>
        </w:tabs>
        <w:jc w:val="both"/>
        <w:rPr>
          <w:rFonts w:eastAsia="Times New Roman" w:cs="Times New Roman"/>
          <w:sz w:val="20"/>
          <w:szCs w:val="20"/>
          <w:lang w:eastAsia="en-CA"/>
        </w:rPr>
      </w:pPr>
    </w:p>
    <w:p w:rsidR="005B3238" w:rsidRPr="005B3238" w:rsidRDefault="005B3238" w:rsidP="005B3238">
      <w:pPr>
        <w:tabs>
          <w:tab w:val="left" w:pos="-1440"/>
          <w:tab w:val="left" w:pos="-720"/>
        </w:tabs>
        <w:jc w:val="both"/>
        <w:rPr>
          <w:rFonts w:eastAsia="Times New Roman" w:cs="Times New Roman"/>
          <w:sz w:val="20"/>
          <w:szCs w:val="20"/>
          <w:lang w:val="fr-CA" w:eastAsia="en-CA"/>
        </w:rPr>
      </w:pPr>
      <w:r w:rsidRPr="005B3238">
        <w:rPr>
          <w:rFonts w:eastAsia="Times New Roman" w:cs="Times New Roman"/>
          <w:b/>
          <w:sz w:val="20"/>
          <w:szCs w:val="20"/>
          <w:lang w:val="fr-CA" w:eastAsia="en-CA"/>
        </w:rPr>
        <w:t>GRANTED IN PART / ACCORDÉES EN PARTIE</w:t>
      </w:r>
    </w:p>
    <w:p w:rsidR="005B3238" w:rsidRPr="005B3238" w:rsidRDefault="005B3238" w:rsidP="005B3238">
      <w:pPr>
        <w:tabs>
          <w:tab w:val="left" w:pos="-1440"/>
          <w:tab w:val="left" w:pos="-720"/>
        </w:tabs>
        <w:jc w:val="both"/>
        <w:rPr>
          <w:rFonts w:eastAsia="Times New Roman" w:cs="Times New Roman"/>
          <w:sz w:val="20"/>
          <w:szCs w:val="20"/>
          <w:lang w:val="fr-CA" w:eastAsia="en-CA"/>
        </w:rPr>
      </w:pPr>
    </w:p>
    <w:p w:rsidR="005B3238" w:rsidRPr="005B3238" w:rsidRDefault="005B3238" w:rsidP="005B3238">
      <w:pPr>
        <w:spacing w:line="233" w:lineRule="auto"/>
        <w:jc w:val="both"/>
        <w:rPr>
          <w:rFonts w:eastAsia="Times New Roman" w:cs="Times New Roman"/>
          <w:sz w:val="20"/>
          <w:szCs w:val="20"/>
          <w:lang w:val="en-US" w:eastAsia="en-CA"/>
        </w:rPr>
      </w:pPr>
      <w:r w:rsidRPr="005B3238">
        <w:rPr>
          <w:rFonts w:eastAsia="Times New Roman" w:cs="Times New Roman"/>
          <w:b/>
          <w:bCs/>
          <w:sz w:val="20"/>
          <w:szCs w:val="20"/>
          <w:lang w:val="en-US" w:eastAsia="en-CA"/>
        </w:rPr>
        <w:t xml:space="preserve">UPON APPLICATIONS </w:t>
      </w:r>
      <w:r w:rsidRPr="005B3238">
        <w:rPr>
          <w:rFonts w:eastAsia="Times New Roman" w:cs="Times New Roman"/>
          <w:sz w:val="20"/>
          <w:szCs w:val="20"/>
          <w:lang w:val="en-US" w:eastAsia="en-CA"/>
        </w:rPr>
        <w:t xml:space="preserve">by the Attorney General for Saskatchewan, the Attorney General of Alberta, the Native Council of Nova Scotia, the New Brunswick Aboriginal Peoples Council and the Native Council of Prince Edward </w:t>
      </w:r>
      <w:r w:rsidRPr="005B3238">
        <w:rPr>
          <w:rFonts w:eastAsia="Times New Roman" w:cs="Times New Roman"/>
          <w:sz w:val="20"/>
          <w:szCs w:val="20"/>
          <w:lang w:val="en-US" w:eastAsia="en-CA"/>
        </w:rPr>
        <w:lastRenderedPageBreak/>
        <w:t>Island (joint), the Metis Settlements General Council, the Manitoba Métis Federation, the Peavine Métis Settlement, the East Prairie Métis Settlement, the Elizabeth Métis Settlement and the Paddle Prairie Métis Settlement (joint), the Te’mexw Treaty Association, the Métis Federation of Canada, the Aseniwuche Winewak Nation, the Chiefs of Ontario, the Gift Lake Métis Settlement, the</w:t>
      </w:r>
      <w:r w:rsidRPr="005B3238">
        <w:rPr>
          <w:rFonts w:eastAsia="Times New Roman" w:cs="Times New Roman"/>
          <w:sz w:val="20"/>
          <w:szCs w:val="20"/>
          <w:lang w:eastAsia="en-CA"/>
        </w:rPr>
        <w:t xml:space="preserve"> Native Alliance of Quebec, the</w:t>
      </w:r>
      <w:r w:rsidRPr="005B3238">
        <w:rPr>
          <w:rFonts w:eastAsia="Times New Roman" w:cs="Times New Roman"/>
          <w:sz w:val="20"/>
          <w:szCs w:val="20"/>
          <w:lang w:val="en-US" w:eastAsia="en-CA"/>
        </w:rPr>
        <w:t xml:space="preserve"> Métis Nation of Ontario, the Assembly of First Nations and the Métis National Council for leave to intervene in the above appeal;</w:t>
      </w:r>
    </w:p>
    <w:p w:rsidR="005B3238" w:rsidRPr="005B3238" w:rsidRDefault="005B3238" w:rsidP="005B3238">
      <w:pPr>
        <w:spacing w:line="233" w:lineRule="auto"/>
        <w:jc w:val="both"/>
        <w:rPr>
          <w:rFonts w:eastAsia="Times New Roman" w:cs="Times New Roman"/>
          <w:sz w:val="20"/>
          <w:szCs w:val="20"/>
          <w:lang w:val="en-US" w:eastAsia="en-CA"/>
        </w:rPr>
      </w:pPr>
    </w:p>
    <w:p w:rsidR="005B3238" w:rsidRPr="005B3238" w:rsidRDefault="005B3238" w:rsidP="005B3238">
      <w:pPr>
        <w:spacing w:line="233" w:lineRule="auto"/>
        <w:jc w:val="both"/>
        <w:rPr>
          <w:rFonts w:eastAsia="Times New Roman" w:cs="Times New Roman"/>
          <w:sz w:val="20"/>
          <w:szCs w:val="20"/>
          <w:lang w:eastAsia="en-CA"/>
        </w:rPr>
      </w:pPr>
      <w:r w:rsidRPr="005B3238">
        <w:rPr>
          <w:rFonts w:eastAsia="Times New Roman" w:cs="Times New Roman"/>
          <w:b/>
          <w:sz w:val="20"/>
          <w:szCs w:val="20"/>
          <w:lang w:val="en-US" w:eastAsia="en-CA"/>
        </w:rPr>
        <w:t>AND UPON APPLICATION</w:t>
      </w:r>
      <w:r w:rsidRPr="005B3238">
        <w:rPr>
          <w:rFonts w:eastAsia="Times New Roman" w:cs="Times New Roman"/>
          <w:sz w:val="20"/>
          <w:szCs w:val="20"/>
          <w:lang w:val="en-US" w:eastAsia="en-CA"/>
        </w:rPr>
        <w:t xml:space="preserve"> by the Métis National Council for an extension of time to serve and file a motion for leave to intervene;</w:t>
      </w:r>
    </w:p>
    <w:p w:rsidR="005B3238" w:rsidRPr="005B3238" w:rsidRDefault="005B3238" w:rsidP="005B3238">
      <w:pPr>
        <w:spacing w:line="233" w:lineRule="auto"/>
        <w:jc w:val="both"/>
        <w:rPr>
          <w:rFonts w:eastAsia="Times New Roman" w:cs="Times New Roman"/>
          <w:sz w:val="20"/>
          <w:szCs w:val="20"/>
          <w:lang w:eastAsia="en-CA"/>
        </w:rPr>
      </w:pPr>
    </w:p>
    <w:p w:rsidR="005B3238" w:rsidRPr="005B3238" w:rsidRDefault="005B3238" w:rsidP="005B3238">
      <w:pPr>
        <w:spacing w:line="233" w:lineRule="auto"/>
        <w:jc w:val="both"/>
        <w:rPr>
          <w:rFonts w:eastAsia="Times New Roman" w:cs="Times New Roman"/>
          <w:sz w:val="20"/>
          <w:szCs w:val="20"/>
          <w:lang w:val="en-US" w:eastAsia="en-CA"/>
        </w:rPr>
      </w:pPr>
      <w:r w:rsidRPr="005B3238">
        <w:rPr>
          <w:rFonts w:eastAsia="Times New Roman" w:cs="Times New Roman"/>
          <w:b/>
          <w:bCs/>
          <w:sz w:val="20"/>
          <w:szCs w:val="20"/>
          <w:lang w:val="en-US" w:eastAsia="en-CA"/>
        </w:rPr>
        <w:t>AND THE MATERIAL FILED</w:t>
      </w:r>
      <w:r w:rsidRPr="005B3238">
        <w:rPr>
          <w:rFonts w:eastAsia="Times New Roman" w:cs="Times New Roman"/>
          <w:sz w:val="20"/>
          <w:szCs w:val="20"/>
          <w:lang w:val="en-US" w:eastAsia="en-CA"/>
        </w:rPr>
        <w:t xml:space="preserve"> having been read;</w:t>
      </w:r>
    </w:p>
    <w:p w:rsidR="005B3238" w:rsidRPr="005B3238" w:rsidRDefault="005B3238" w:rsidP="005B3238">
      <w:pPr>
        <w:spacing w:line="233" w:lineRule="auto"/>
        <w:jc w:val="both"/>
        <w:rPr>
          <w:rFonts w:eastAsia="Times New Roman" w:cs="Times New Roman"/>
          <w:sz w:val="20"/>
          <w:szCs w:val="20"/>
          <w:lang w:val="en-US" w:eastAsia="en-CA"/>
        </w:rPr>
      </w:pPr>
    </w:p>
    <w:p w:rsidR="005B3238" w:rsidRPr="005B3238" w:rsidRDefault="005B3238" w:rsidP="005B3238">
      <w:pPr>
        <w:spacing w:line="233" w:lineRule="auto"/>
        <w:jc w:val="both"/>
        <w:rPr>
          <w:rFonts w:eastAsia="Times New Roman" w:cs="Times New Roman"/>
          <w:b/>
          <w:bCs/>
          <w:sz w:val="20"/>
          <w:szCs w:val="20"/>
          <w:lang w:val="en-US" w:eastAsia="en-CA"/>
        </w:rPr>
      </w:pPr>
      <w:r w:rsidRPr="005B3238">
        <w:rPr>
          <w:rFonts w:eastAsia="Times New Roman" w:cs="Times New Roman"/>
          <w:b/>
          <w:bCs/>
          <w:sz w:val="20"/>
          <w:szCs w:val="20"/>
          <w:lang w:val="en-US" w:eastAsia="en-CA"/>
        </w:rPr>
        <w:t>IT IS HEREBY ORDERED THAT:</w:t>
      </w:r>
    </w:p>
    <w:p w:rsidR="005B3238" w:rsidRPr="005B3238" w:rsidRDefault="005B3238" w:rsidP="005B3238">
      <w:pPr>
        <w:spacing w:line="233" w:lineRule="auto"/>
        <w:jc w:val="both"/>
        <w:rPr>
          <w:rFonts w:eastAsia="Times New Roman" w:cs="Times New Roman"/>
          <w:b/>
          <w:bCs/>
          <w:sz w:val="20"/>
          <w:szCs w:val="20"/>
          <w:lang w:val="en-US" w:eastAsia="en-CA"/>
        </w:rPr>
      </w:pPr>
    </w:p>
    <w:p w:rsidR="005B3238" w:rsidRPr="005B3238" w:rsidRDefault="005B3238" w:rsidP="005B3238">
      <w:pPr>
        <w:spacing w:line="233" w:lineRule="auto"/>
        <w:jc w:val="both"/>
        <w:rPr>
          <w:rFonts w:eastAsia="Times New Roman" w:cs="Times New Roman"/>
          <w:sz w:val="20"/>
          <w:szCs w:val="20"/>
          <w:lang w:val="en-US" w:eastAsia="en-CA"/>
        </w:rPr>
      </w:pPr>
      <w:r w:rsidRPr="005B3238">
        <w:rPr>
          <w:rFonts w:eastAsia="Times New Roman" w:cs="Times New Roman"/>
          <w:bCs/>
          <w:sz w:val="20"/>
          <w:szCs w:val="20"/>
          <w:lang w:val="en-US" w:eastAsia="en-CA"/>
        </w:rPr>
        <w:t>The motion for an extension of time is granted.</w:t>
      </w:r>
    </w:p>
    <w:p w:rsidR="005B3238" w:rsidRPr="005B3238" w:rsidRDefault="005B3238" w:rsidP="005B3238">
      <w:pPr>
        <w:spacing w:line="233" w:lineRule="auto"/>
        <w:jc w:val="both"/>
        <w:rPr>
          <w:rFonts w:eastAsia="Times New Roman" w:cs="Times New Roman"/>
          <w:sz w:val="20"/>
          <w:szCs w:val="20"/>
          <w:lang w:val="en-US" w:eastAsia="en-CA"/>
        </w:rPr>
      </w:pPr>
    </w:p>
    <w:p w:rsidR="005B3238" w:rsidRPr="005B3238" w:rsidRDefault="005B3238" w:rsidP="005B3238">
      <w:pPr>
        <w:spacing w:line="233" w:lineRule="auto"/>
        <w:jc w:val="both"/>
        <w:rPr>
          <w:rFonts w:eastAsia="Times New Roman" w:cs="Times New Roman"/>
          <w:sz w:val="20"/>
          <w:szCs w:val="20"/>
          <w:lang w:val="en-US" w:eastAsia="en-CA"/>
        </w:rPr>
      </w:pPr>
      <w:r w:rsidRPr="005B3238">
        <w:rPr>
          <w:rFonts w:eastAsia="Times New Roman" w:cs="Times New Roman"/>
          <w:sz w:val="20"/>
          <w:szCs w:val="20"/>
          <w:lang w:val="en-US" w:eastAsia="en-CA"/>
        </w:rPr>
        <w:t>The motions for leave to intervene of the Attorney General for Saskatchewan, the Attorney General of Alberta, the Native Council of Nova Scotia, the New Brunswick Aboriginal Peoples Council and the Native Council of Prince Edward Island (joint), the Metis Settlements General Council, the Te’mexw Treaty Association, the Métis Federation of Canada, the Aseniwuche Winewak Nation, the Chiefs of Ontario, the Gift Lake Métis Settlement, the</w:t>
      </w:r>
      <w:r w:rsidRPr="005B3238">
        <w:rPr>
          <w:rFonts w:eastAsia="Times New Roman" w:cs="Times New Roman"/>
          <w:sz w:val="20"/>
          <w:szCs w:val="20"/>
          <w:lang w:eastAsia="en-CA"/>
        </w:rPr>
        <w:t xml:space="preserve"> Native Alliance of Quebec, </w:t>
      </w:r>
      <w:r w:rsidRPr="005B3238">
        <w:rPr>
          <w:rFonts w:eastAsia="Times New Roman" w:cs="Times New Roman"/>
          <w:sz w:val="20"/>
          <w:szCs w:val="20"/>
          <w:lang w:val="en-US" w:eastAsia="en-CA"/>
        </w:rPr>
        <w:t>the Assembly of First Nations and the Métis National Council are granted and the said twelve (12) interveners or groups of interveners shall be entitled to each serve and file a factum not exceeding ten (10) pages in length on or before July 27, 2015.</w:t>
      </w:r>
    </w:p>
    <w:p w:rsidR="005B3238" w:rsidRPr="005B3238" w:rsidRDefault="005B3238" w:rsidP="005B3238">
      <w:pPr>
        <w:spacing w:line="233" w:lineRule="auto"/>
        <w:jc w:val="both"/>
        <w:rPr>
          <w:rFonts w:eastAsia="Times New Roman" w:cs="Times New Roman"/>
          <w:sz w:val="20"/>
          <w:szCs w:val="20"/>
          <w:lang w:val="en-US" w:eastAsia="en-CA"/>
        </w:rPr>
      </w:pPr>
    </w:p>
    <w:p w:rsidR="005B3238" w:rsidRPr="005B3238" w:rsidRDefault="005B3238" w:rsidP="005B3238">
      <w:pPr>
        <w:spacing w:line="233" w:lineRule="auto"/>
        <w:jc w:val="both"/>
        <w:rPr>
          <w:rFonts w:eastAsia="Times New Roman" w:cs="Times New Roman"/>
          <w:sz w:val="20"/>
          <w:szCs w:val="20"/>
          <w:lang w:val="en-US" w:eastAsia="en-CA"/>
        </w:rPr>
      </w:pPr>
      <w:r w:rsidRPr="005B3238">
        <w:rPr>
          <w:rFonts w:eastAsia="Times New Roman" w:cs="Times New Roman"/>
          <w:sz w:val="20"/>
          <w:szCs w:val="20"/>
          <w:lang w:val="en-US" w:eastAsia="en-CA"/>
        </w:rPr>
        <w:t>The motions for leave to intervene by the Manitoba Métis Federation, the Peavine Métis Settlement, the East Prairie Métis Settlement, the Elizabeth Métis Settlement and the Paddle Prairie Métis Settlement (joint) and the Métis Nation of Ontario, are dismissed.</w:t>
      </w:r>
    </w:p>
    <w:p w:rsidR="005B3238" w:rsidRPr="005B3238" w:rsidRDefault="005B3238" w:rsidP="005B3238">
      <w:pPr>
        <w:spacing w:line="233" w:lineRule="auto"/>
        <w:jc w:val="both"/>
        <w:rPr>
          <w:rFonts w:eastAsia="Times New Roman" w:cs="Times New Roman"/>
          <w:sz w:val="20"/>
          <w:szCs w:val="20"/>
          <w:lang w:val="en-US" w:eastAsia="en-CA"/>
        </w:rPr>
      </w:pPr>
    </w:p>
    <w:p w:rsidR="005B3238" w:rsidRPr="005B3238" w:rsidRDefault="005B3238" w:rsidP="005B3238">
      <w:pPr>
        <w:spacing w:line="233" w:lineRule="auto"/>
        <w:jc w:val="both"/>
        <w:rPr>
          <w:rFonts w:eastAsia="Times New Roman" w:cs="Times New Roman"/>
          <w:sz w:val="20"/>
          <w:szCs w:val="20"/>
          <w:lang w:val="en-US" w:eastAsia="en-CA"/>
        </w:rPr>
      </w:pPr>
      <w:r w:rsidRPr="005B3238">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5B3238" w:rsidRPr="005B3238" w:rsidRDefault="005B3238" w:rsidP="005B3238">
      <w:pPr>
        <w:spacing w:line="233" w:lineRule="auto"/>
        <w:jc w:val="both"/>
        <w:rPr>
          <w:rFonts w:eastAsia="Times New Roman" w:cs="Times New Roman"/>
          <w:sz w:val="20"/>
          <w:szCs w:val="20"/>
          <w:lang w:val="en-US" w:eastAsia="en-CA"/>
        </w:rPr>
      </w:pPr>
    </w:p>
    <w:p w:rsidR="005B3238" w:rsidRPr="005B3238" w:rsidRDefault="005B3238" w:rsidP="005B3238">
      <w:pPr>
        <w:spacing w:line="233" w:lineRule="auto"/>
        <w:jc w:val="both"/>
        <w:rPr>
          <w:rFonts w:eastAsia="Times New Roman" w:cs="Times New Roman"/>
          <w:sz w:val="20"/>
          <w:szCs w:val="20"/>
          <w:lang w:val="en-US" w:eastAsia="en-CA"/>
        </w:rPr>
      </w:pPr>
      <w:r w:rsidRPr="005B3238">
        <w:rPr>
          <w:rFonts w:eastAsia="Times New Roman" w:cs="Times New Roman"/>
          <w:sz w:val="20"/>
          <w:szCs w:val="20"/>
          <w:lang w:val="en-US" w:eastAsia="en-CA"/>
        </w:rPr>
        <w:t xml:space="preserve">The interveners are not entitled to raise new issues or to adduce further evidence or otherwise to supplement the record of the parties. </w:t>
      </w:r>
    </w:p>
    <w:p w:rsidR="005B3238" w:rsidRPr="005B3238" w:rsidRDefault="005B3238" w:rsidP="005B3238">
      <w:pPr>
        <w:spacing w:line="233" w:lineRule="auto"/>
        <w:jc w:val="both"/>
        <w:rPr>
          <w:rFonts w:eastAsia="Times New Roman" w:cs="Times New Roman"/>
          <w:sz w:val="20"/>
          <w:szCs w:val="20"/>
          <w:lang w:val="en-US" w:eastAsia="en-CA"/>
        </w:rPr>
      </w:pPr>
    </w:p>
    <w:p w:rsidR="005B3238" w:rsidRPr="005B3238" w:rsidRDefault="005B3238" w:rsidP="005B3238">
      <w:pPr>
        <w:spacing w:line="233" w:lineRule="auto"/>
        <w:jc w:val="both"/>
        <w:rPr>
          <w:rFonts w:eastAsia="Times New Roman" w:cs="Times New Roman"/>
          <w:sz w:val="20"/>
          <w:szCs w:val="20"/>
          <w:lang w:val="en-US" w:eastAsia="en-CA"/>
        </w:rPr>
      </w:pPr>
      <w:r w:rsidRPr="005B3238">
        <w:rPr>
          <w:rFonts w:eastAsia="Times New Roman" w:cs="Times New Roman"/>
          <w:sz w:val="20"/>
          <w:szCs w:val="20"/>
          <w:lang w:val="en-US" w:eastAsia="en-CA"/>
        </w:rPr>
        <w:t>Pursuant to Rule 59(1)(</w:t>
      </w:r>
      <w:r w:rsidRPr="005B3238">
        <w:rPr>
          <w:rFonts w:eastAsia="Times New Roman" w:cs="Times New Roman"/>
          <w:i/>
          <w:iCs/>
          <w:sz w:val="20"/>
          <w:szCs w:val="20"/>
          <w:lang w:val="en-US" w:eastAsia="en-CA"/>
        </w:rPr>
        <w:t>a</w:t>
      </w:r>
      <w:r w:rsidRPr="005B3238">
        <w:rPr>
          <w:rFonts w:eastAsia="Times New Roman" w:cs="Times New Roman"/>
          <w:sz w:val="20"/>
          <w:szCs w:val="20"/>
          <w:lang w:val="en-US" w:eastAsia="en-CA"/>
        </w:rPr>
        <w:t xml:space="preserve">) of the </w:t>
      </w:r>
      <w:r w:rsidRPr="005B3238">
        <w:rPr>
          <w:rFonts w:eastAsia="Times New Roman" w:cs="Times New Roman"/>
          <w:i/>
          <w:iCs/>
          <w:sz w:val="20"/>
          <w:szCs w:val="20"/>
          <w:lang w:val="en-US" w:eastAsia="en-CA"/>
        </w:rPr>
        <w:t>Rules of the Supreme Court of Canada</w:t>
      </w:r>
      <w:r w:rsidRPr="005B3238">
        <w:rPr>
          <w:rFonts w:eastAsia="Times New Roman" w:cs="Times New Roman"/>
          <w:sz w:val="20"/>
          <w:szCs w:val="20"/>
          <w:lang w:val="en-US" w:eastAsia="en-CA"/>
        </w:rPr>
        <w:t>, the interveners shall pay to the appellants and respondents any additional disbursements occasioned to the appellants and respondents by their intervention.</w:t>
      </w:r>
    </w:p>
    <w:p w:rsidR="005B3238" w:rsidRPr="005B3238" w:rsidRDefault="005B3238" w:rsidP="005B3238">
      <w:pPr>
        <w:spacing w:line="233" w:lineRule="auto"/>
        <w:jc w:val="both"/>
        <w:rPr>
          <w:rFonts w:eastAsia="Times New Roman" w:cs="Times New Roman"/>
          <w:sz w:val="20"/>
          <w:szCs w:val="20"/>
          <w:lang w:val="en-US" w:eastAsia="en-CA"/>
        </w:rPr>
      </w:pPr>
    </w:p>
    <w:p w:rsidR="005B3238" w:rsidRPr="005B3238" w:rsidRDefault="005B3238" w:rsidP="005B3238">
      <w:pPr>
        <w:jc w:val="both"/>
        <w:rPr>
          <w:rFonts w:eastAsia="Times New Roman" w:cs="Times New Roman"/>
          <w:sz w:val="20"/>
          <w:szCs w:val="20"/>
          <w:lang w:val="en-US" w:eastAsia="en-CA"/>
        </w:rPr>
      </w:pPr>
      <w:r w:rsidRPr="005B3238">
        <w:rPr>
          <w:rFonts w:eastAsia="Times New Roman" w:cs="Times New Roman"/>
          <w:sz w:val="20"/>
          <w:szCs w:val="20"/>
          <w:lang w:val="en-US" w:eastAsia="en-CA"/>
        </w:rPr>
        <w:t>The appellants and the respondents are permitted to each serve and file a single factum not exceeding ten (10) pages in reply to these interventions on or before August 10, 2015.</w:t>
      </w:r>
    </w:p>
    <w:p w:rsidR="005B3238" w:rsidRPr="005B3238" w:rsidRDefault="005B3238" w:rsidP="005B3238">
      <w:pPr>
        <w:jc w:val="both"/>
        <w:rPr>
          <w:rFonts w:eastAsia="Times New Roman" w:cs="Times New Roman"/>
          <w:sz w:val="20"/>
          <w:szCs w:val="20"/>
          <w:lang w:val="en-US" w:eastAsia="en-CA"/>
        </w:rPr>
      </w:pPr>
    </w:p>
    <w:p w:rsidR="005B3238" w:rsidRPr="005B3238" w:rsidRDefault="005B3238" w:rsidP="005B3238">
      <w:pPr>
        <w:jc w:val="both"/>
        <w:rPr>
          <w:rFonts w:eastAsia="Times New Roman" w:cs="Times New Roman"/>
          <w:sz w:val="20"/>
          <w:szCs w:val="20"/>
          <w:lang w:val="en-US" w:eastAsia="en-CA"/>
        </w:rPr>
      </w:pPr>
    </w:p>
    <w:p w:rsidR="005B3238" w:rsidRPr="005B3238" w:rsidRDefault="005B3238" w:rsidP="005B3238">
      <w:pPr>
        <w:jc w:val="both"/>
        <w:rPr>
          <w:rFonts w:eastAsia="Times New Roman" w:cs="Times New Roman"/>
          <w:sz w:val="20"/>
          <w:szCs w:val="20"/>
          <w:lang w:val="en-US" w:eastAsia="en-CA"/>
        </w:rPr>
      </w:pPr>
    </w:p>
    <w:p w:rsidR="005B3238" w:rsidRPr="005B3238" w:rsidRDefault="005B3238" w:rsidP="005B3238">
      <w:pPr>
        <w:spacing w:line="232" w:lineRule="auto"/>
        <w:jc w:val="both"/>
        <w:rPr>
          <w:rFonts w:eastAsia="Times New Roman" w:cs="Times New Roman"/>
          <w:sz w:val="20"/>
          <w:szCs w:val="20"/>
          <w:lang w:val="fr-CA" w:eastAsia="en-CA"/>
        </w:rPr>
      </w:pPr>
      <w:r w:rsidRPr="005B3238">
        <w:rPr>
          <w:rFonts w:eastAsia="Times New Roman" w:cs="Times New Roman"/>
          <w:b/>
          <w:bCs/>
          <w:sz w:val="20"/>
          <w:szCs w:val="20"/>
          <w:lang w:val="fr-CA" w:eastAsia="en-CA"/>
        </w:rPr>
        <w:t xml:space="preserve">À LA SUITE DES DEMANDES </w:t>
      </w:r>
      <w:r w:rsidRPr="005B3238">
        <w:rPr>
          <w:rFonts w:eastAsia="Times New Roman" w:cs="Times New Roman"/>
          <w:bCs/>
          <w:sz w:val="20"/>
          <w:szCs w:val="20"/>
          <w:lang w:val="fr-CA" w:eastAsia="en-CA"/>
        </w:rPr>
        <w:t>présentées par le Procureur général de la Saskatchewan, le Procureur général de l’Alberta, le Native Council of Nova Scotia, le New Brunswick Aboriginal Peoples Council et le Native Council of Prince Edward Island (conjointe), le Metis Settlements General Council, la Manitoba Métis Federation, le Peavine Métis Settlement, le East Prairie Métis Settlement, le Elizabeth Métis Settlement et le Paddle Prairie Métis Settlement (conjointe), le Te’mexw Treaty Association, la Fédération Métisse du Canada, le Aseniwuche Winewak Nation, les Chiefs of Ontario, le Gift Lake Métis Settlement, l’Alliance autochtone du Québec, le Métis Nation of Ontario, l’Assemblée des premières nations et le Ralliement national des Métis en vue d’intervenir dans l’appel</w:t>
      </w:r>
      <w:r w:rsidRPr="005B3238">
        <w:rPr>
          <w:rFonts w:eastAsia="Times New Roman" w:cs="Times New Roman"/>
          <w:sz w:val="20"/>
          <w:szCs w:val="20"/>
          <w:lang w:val="fr-CA" w:eastAsia="en-CA"/>
        </w:rPr>
        <w:t>;</w:t>
      </w:r>
    </w:p>
    <w:p w:rsidR="005B3238" w:rsidRPr="005B3238" w:rsidRDefault="005B3238" w:rsidP="005B3238">
      <w:pPr>
        <w:spacing w:line="232" w:lineRule="auto"/>
        <w:jc w:val="both"/>
        <w:rPr>
          <w:rFonts w:eastAsia="Times New Roman" w:cs="Times New Roman"/>
          <w:b/>
          <w:sz w:val="20"/>
          <w:szCs w:val="20"/>
          <w:lang w:val="fr-CA" w:eastAsia="en-CA"/>
        </w:rPr>
      </w:pPr>
    </w:p>
    <w:p w:rsidR="005B3238" w:rsidRPr="005B3238" w:rsidRDefault="005B3238" w:rsidP="005B3238">
      <w:pPr>
        <w:spacing w:line="232" w:lineRule="auto"/>
        <w:jc w:val="both"/>
        <w:rPr>
          <w:rFonts w:eastAsia="Times New Roman" w:cs="Times New Roman"/>
          <w:b/>
          <w:sz w:val="20"/>
          <w:szCs w:val="20"/>
          <w:lang w:val="fr-CA" w:eastAsia="en-CA"/>
        </w:rPr>
      </w:pPr>
      <w:r w:rsidRPr="005B3238">
        <w:rPr>
          <w:rFonts w:eastAsia="Times New Roman" w:cs="Times New Roman"/>
          <w:b/>
          <w:sz w:val="20"/>
          <w:szCs w:val="20"/>
          <w:lang w:val="fr-CA" w:eastAsia="en-CA"/>
        </w:rPr>
        <w:t xml:space="preserve">ET À LA SUITE DE LA DEMANDE </w:t>
      </w:r>
      <w:r w:rsidRPr="005B3238">
        <w:rPr>
          <w:rFonts w:eastAsia="Times New Roman" w:cs="Times New Roman"/>
          <w:sz w:val="20"/>
          <w:szCs w:val="20"/>
          <w:lang w:val="fr-CA" w:eastAsia="en-CA"/>
        </w:rPr>
        <w:t xml:space="preserve">présentée par le </w:t>
      </w:r>
      <w:r w:rsidRPr="005B3238">
        <w:rPr>
          <w:rFonts w:eastAsia="Times New Roman" w:cs="Times New Roman"/>
          <w:bCs/>
          <w:sz w:val="20"/>
          <w:szCs w:val="20"/>
          <w:lang w:val="fr-CA" w:eastAsia="en-CA"/>
        </w:rPr>
        <w:t>Ralliement national des Métis</w:t>
      </w:r>
      <w:r w:rsidRPr="005B3238">
        <w:rPr>
          <w:rFonts w:eastAsia="Times New Roman" w:cs="Times New Roman"/>
          <w:sz w:val="20"/>
          <w:szCs w:val="20"/>
          <w:lang w:val="fr-CA" w:eastAsia="en-CA"/>
        </w:rPr>
        <w:t xml:space="preserve"> en prorogation</w:t>
      </w:r>
      <w:r w:rsidRPr="005B3238">
        <w:rPr>
          <w:rFonts w:eastAsia="Times New Roman" w:cs="Times New Roman"/>
          <w:b/>
          <w:sz w:val="20"/>
          <w:szCs w:val="20"/>
          <w:lang w:val="fr-CA" w:eastAsia="en-CA"/>
        </w:rPr>
        <w:t xml:space="preserve"> </w:t>
      </w:r>
      <w:r w:rsidRPr="005B3238">
        <w:rPr>
          <w:rFonts w:eastAsia="Times New Roman" w:cs="Times New Roman"/>
          <w:sz w:val="20"/>
          <w:szCs w:val="20"/>
          <w:lang w:val="fr-CA" w:eastAsia="en-CA"/>
        </w:rPr>
        <w:t>du délai</w:t>
      </w:r>
      <w:r w:rsidRPr="005B3238">
        <w:rPr>
          <w:rFonts w:eastAsia="Times New Roman" w:cs="Times New Roman"/>
          <w:b/>
          <w:sz w:val="20"/>
          <w:szCs w:val="20"/>
          <w:lang w:val="fr-CA" w:eastAsia="en-CA"/>
        </w:rPr>
        <w:t xml:space="preserve"> </w:t>
      </w:r>
      <w:r w:rsidRPr="005B3238">
        <w:rPr>
          <w:rFonts w:eastAsia="Times New Roman" w:cs="Times New Roman"/>
          <w:sz w:val="20"/>
          <w:szCs w:val="20"/>
          <w:lang w:val="fr-CA" w:eastAsia="en-CA"/>
        </w:rPr>
        <w:t>pour déposer et signifier une requête en autorisation d’intervenir;</w:t>
      </w:r>
      <w:r w:rsidRPr="005B3238">
        <w:rPr>
          <w:rFonts w:eastAsia="Times New Roman" w:cs="Times New Roman"/>
          <w:b/>
          <w:sz w:val="20"/>
          <w:szCs w:val="20"/>
          <w:lang w:val="fr-CA" w:eastAsia="en-CA"/>
        </w:rPr>
        <w:t xml:space="preserve"> </w:t>
      </w:r>
    </w:p>
    <w:p w:rsidR="005B3238" w:rsidRPr="005B3238" w:rsidRDefault="005B3238" w:rsidP="005B3238">
      <w:pPr>
        <w:spacing w:line="232" w:lineRule="auto"/>
        <w:jc w:val="both"/>
        <w:rPr>
          <w:rFonts w:eastAsia="Times New Roman" w:cs="Times New Roman"/>
          <w:sz w:val="20"/>
          <w:szCs w:val="20"/>
          <w:lang w:val="fr-CA" w:eastAsia="en-CA"/>
        </w:rPr>
      </w:pPr>
    </w:p>
    <w:p w:rsidR="005B3238" w:rsidRPr="005B3238" w:rsidRDefault="005B3238" w:rsidP="005B3238">
      <w:pPr>
        <w:spacing w:line="232" w:lineRule="auto"/>
        <w:jc w:val="both"/>
        <w:rPr>
          <w:rFonts w:eastAsia="Times New Roman" w:cs="Times New Roman"/>
          <w:sz w:val="20"/>
          <w:szCs w:val="20"/>
          <w:lang w:val="fr-CA" w:eastAsia="en-CA"/>
        </w:rPr>
      </w:pPr>
      <w:r w:rsidRPr="005B3238">
        <w:rPr>
          <w:rFonts w:eastAsia="Times New Roman" w:cs="Times New Roman"/>
          <w:b/>
          <w:bCs/>
          <w:sz w:val="20"/>
          <w:szCs w:val="20"/>
          <w:lang w:val="fr-CA" w:eastAsia="en-CA"/>
        </w:rPr>
        <w:t xml:space="preserve">ET APRÈS EXAMEN </w:t>
      </w:r>
      <w:r w:rsidRPr="005B3238">
        <w:rPr>
          <w:rFonts w:eastAsia="Times New Roman" w:cs="Times New Roman"/>
          <w:bCs/>
          <w:sz w:val="20"/>
          <w:szCs w:val="20"/>
          <w:lang w:val="fr-CA" w:eastAsia="en-CA"/>
        </w:rPr>
        <w:t>des documents déposés</w:t>
      </w:r>
      <w:r w:rsidRPr="005B3238">
        <w:rPr>
          <w:rFonts w:eastAsia="Times New Roman" w:cs="Times New Roman"/>
          <w:sz w:val="20"/>
          <w:szCs w:val="20"/>
          <w:lang w:val="fr-CA" w:eastAsia="en-CA"/>
        </w:rPr>
        <w:t>;</w:t>
      </w:r>
    </w:p>
    <w:p w:rsidR="005B3238" w:rsidRPr="005B3238" w:rsidRDefault="005B3238" w:rsidP="005B3238">
      <w:pPr>
        <w:spacing w:line="232" w:lineRule="auto"/>
        <w:jc w:val="both"/>
        <w:rPr>
          <w:rFonts w:eastAsia="Times New Roman" w:cs="Times New Roman"/>
          <w:sz w:val="20"/>
          <w:szCs w:val="20"/>
          <w:lang w:val="fr-CA" w:eastAsia="en-CA"/>
        </w:rPr>
      </w:pPr>
    </w:p>
    <w:p w:rsidR="005B3238" w:rsidRPr="005B3238" w:rsidRDefault="005B3238" w:rsidP="005B3238">
      <w:pPr>
        <w:spacing w:line="232" w:lineRule="auto"/>
        <w:jc w:val="both"/>
        <w:rPr>
          <w:rFonts w:eastAsia="Times New Roman" w:cs="Times New Roman"/>
          <w:sz w:val="20"/>
          <w:szCs w:val="20"/>
          <w:lang w:val="fr-CA" w:eastAsia="en-CA"/>
        </w:rPr>
      </w:pPr>
      <w:r w:rsidRPr="005B3238">
        <w:rPr>
          <w:rFonts w:eastAsia="Times New Roman" w:cs="Times New Roman"/>
          <w:b/>
          <w:bCs/>
          <w:sz w:val="20"/>
          <w:szCs w:val="20"/>
          <w:lang w:val="fr-CA" w:eastAsia="en-CA"/>
        </w:rPr>
        <w:t>IL EST ORDONNÉ CE QUI SUIT :</w:t>
      </w:r>
    </w:p>
    <w:p w:rsidR="005B3238" w:rsidRPr="005B3238" w:rsidRDefault="005B3238" w:rsidP="005B3238">
      <w:pPr>
        <w:spacing w:line="232" w:lineRule="auto"/>
        <w:jc w:val="both"/>
        <w:rPr>
          <w:rFonts w:eastAsia="Times New Roman" w:cs="Times New Roman"/>
          <w:sz w:val="20"/>
          <w:szCs w:val="20"/>
          <w:lang w:val="fr-CA" w:eastAsia="en-CA"/>
        </w:rPr>
      </w:pPr>
    </w:p>
    <w:p w:rsidR="005B3238" w:rsidRPr="005B3238" w:rsidRDefault="005B3238" w:rsidP="005B3238">
      <w:pPr>
        <w:spacing w:line="232" w:lineRule="auto"/>
        <w:jc w:val="both"/>
        <w:rPr>
          <w:rFonts w:eastAsia="Times New Roman" w:cs="Times New Roman"/>
          <w:sz w:val="20"/>
          <w:szCs w:val="20"/>
          <w:lang w:val="fr-CA" w:eastAsia="en-CA"/>
        </w:rPr>
      </w:pPr>
      <w:r w:rsidRPr="005B3238">
        <w:rPr>
          <w:rFonts w:eastAsia="Times New Roman" w:cs="Times New Roman"/>
          <w:sz w:val="20"/>
          <w:szCs w:val="20"/>
          <w:lang w:val="fr-CA" w:eastAsia="en-CA"/>
        </w:rPr>
        <w:t>La requête en prorogation du délai est accueillie.</w:t>
      </w:r>
    </w:p>
    <w:p w:rsidR="005B3238" w:rsidRPr="005B3238" w:rsidRDefault="005B3238" w:rsidP="005B3238">
      <w:pPr>
        <w:spacing w:line="232" w:lineRule="auto"/>
        <w:jc w:val="both"/>
        <w:rPr>
          <w:rFonts w:eastAsia="Times New Roman" w:cs="Times New Roman"/>
          <w:sz w:val="20"/>
          <w:szCs w:val="20"/>
          <w:lang w:val="fr-CA" w:eastAsia="en-CA"/>
        </w:rPr>
      </w:pPr>
    </w:p>
    <w:p w:rsidR="005B3238" w:rsidRPr="005B3238" w:rsidRDefault="005B3238" w:rsidP="005B3238">
      <w:pPr>
        <w:spacing w:line="232" w:lineRule="auto"/>
        <w:jc w:val="both"/>
        <w:rPr>
          <w:rFonts w:eastAsia="Times New Roman" w:cs="Times New Roman"/>
          <w:sz w:val="20"/>
          <w:szCs w:val="20"/>
          <w:lang w:val="fr-CA" w:eastAsia="en-CA"/>
        </w:rPr>
      </w:pPr>
      <w:r w:rsidRPr="005B3238">
        <w:rPr>
          <w:rFonts w:eastAsia="Times New Roman" w:cs="Times New Roman"/>
          <w:sz w:val="20"/>
          <w:szCs w:val="20"/>
          <w:lang w:val="fr-CA" w:eastAsia="en-CA"/>
        </w:rPr>
        <w:t>Les requêtes en autorisation d’intervenir du</w:t>
      </w:r>
      <w:r w:rsidRPr="005B3238">
        <w:rPr>
          <w:rFonts w:eastAsia="Times New Roman" w:cs="Times New Roman"/>
          <w:bCs/>
          <w:sz w:val="20"/>
          <w:szCs w:val="20"/>
          <w:lang w:val="fr-CA" w:eastAsia="en-CA"/>
        </w:rPr>
        <w:t xml:space="preserve"> le Procureur général de la Saskatchewan, le Procureur général de l’Alberta, le Native Council of Nova Scotia, le New Brunswick Aboriginal Peoples Council et le Native Council of Prince Edward Island (conjointe), le Metis Settlements General Council, le Te’mexw Treaty Association, la Fédération Métisse du Canada, le Aseniwuche Winewak Nation, les Chiefs of Ontario, le Gift Lake Métis Settlement, l’Alliance autochtone du Québec, l’Assemblée des premières nations et le Ralliement national des Métis </w:t>
      </w:r>
      <w:r w:rsidRPr="005B3238">
        <w:rPr>
          <w:rFonts w:eastAsia="Times New Roman" w:cs="Times New Roman"/>
          <w:sz w:val="20"/>
          <w:szCs w:val="20"/>
          <w:lang w:val="fr-CA" w:eastAsia="en-CA"/>
        </w:rPr>
        <w:t>sont accueillies et chacun de ces douze (12) intervenants ou groupes d’intervenants pourra signifier et déposer un mémoire d’au plus dix (10) pages au plus tard le 27 juillet 2015.</w:t>
      </w:r>
    </w:p>
    <w:p w:rsidR="005B3238" w:rsidRPr="005B3238" w:rsidRDefault="005B3238" w:rsidP="005B3238">
      <w:pPr>
        <w:spacing w:line="232" w:lineRule="auto"/>
        <w:jc w:val="both"/>
        <w:rPr>
          <w:rFonts w:eastAsia="Times New Roman" w:cs="Times New Roman"/>
          <w:sz w:val="20"/>
          <w:szCs w:val="20"/>
          <w:lang w:val="fr-CA" w:eastAsia="en-CA"/>
        </w:rPr>
      </w:pPr>
    </w:p>
    <w:p w:rsidR="005B3238" w:rsidRPr="005B3238" w:rsidRDefault="005B3238" w:rsidP="005B3238">
      <w:pPr>
        <w:spacing w:line="232" w:lineRule="auto"/>
        <w:jc w:val="both"/>
        <w:rPr>
          <w:rFonts w:eastAsia="Times New Roman" w:cs="Times New Roman"/>
          <w:sz w:val="20"/>
          <w:szCs w:val="20"/>
          <w:lang w:val="fr-CA" w:eastAsia="en-CA"/>
        </w:rPr>
      </w:pPr>
      <w:r w:rsidRPr="005B3238">
        <w:rPr>
          <w:rFonts w:eastAsia="Times New Roman" w:cs="Times New Roman"/>
          <w:sz w:val="20"/>
          <w:szCs w:val="20"/>
          <w:lang w:val="fr-CA" w:eastAsia="en-CA"/>
        </w:rPr>
        <w:t xml:space="preserve">Les requêtes en autorisation d’intervenir </w:t>
      </w:r>
      <w:r w:rsidRPr="005B3238">
        <w:rPr>
          <w:rFonts w:eastAsia="Times New Roman" w:cs="Times New Roman"/>
          <w:bCs/>
          <w:sz w:val="20"/>
          <w:szCs w:val="20"/>
          <w:lang w:val="fr-CA" w:eastAsia="en-CA"/>
        </w:rPr>
        <w:t>de la Manitoba Métis Federation,</w:t>
      </w:r>
      <w:r w:rsidRPr="005B3238">
        <w:rPr>
          <w:rFonts w:eastAsia="Times New Roman" w:cs="Times New Roman"/>
          <w:sz w:val="20"/>
          <w:szCs w:val="20"/>
          <w:lang w:val="fr-CA" w:eastAsia="en-CA"/>
        </w:rPr>
        <w:t xml:space="preserve"> </w:t>
      </w:r>
      <w:r w:rsidRPr="005B3238">
        <w:rPr>
          <w:rFonts w:eastAsia="Times New Roman" w:cs="Times New Roman"/>
          <w:bCs/>
          <w:sz w:val="20"/>
          <w:szCs w:val="20"/>
          <w:lang w:val="fr-CA" w:eastAsia="en-CA"/>
        </w:rPr>
        <w:t xml:space="preserve">du Peavine Métis Settlement, du East Prairie Métis Settlement, du Elizabeth Métis Settlement et du Paddle Prairie Métis Settlement (conjointe) et </w:t>
      </w:r>
      <w:r w:rsidRPr="005B3238">
        <w:rPr>
          <w:rFonts w:eastAsia="Times New Roman" w:cs="Times New Roman"/>
          <w:sz w:val="20"/>
          <w:szCs w:val="20"/>
          <w:lang w:val="fr-CA" w:eastAsia="en-CA"/>
        </w:rPr>
        <w:t>de la</w:t>
      </w:r>
      <w:r w:rsidRPr="005B3238">
        <w:rPr>
          <w:rFonts w:eastAsia="Times New Roman" w:cs="Times New Roman"/>
          <w:bCs/>
          <w:sz w:val="20"/>
          <w:szCs w:val="20"/>
          <w:lang w:val="fr-CA" w:eastAsia="en-CA"/>
        </w:rPr>
        <w:t xml:space="preserve"> Métis Nation of Ontario sont rejetées.</w:t>
      </w:r>
    </w:p>
    <w:p w:rsidR="005B3238" w:rsidRPr="005B3238" w:rsidRDefault="005B3238" w:rsidP="005B3238">
      <w:pPr>
        <w:spacing w:line="232" w:lineRule="auto"/>
        <w:jc w:val="both"/>
        <w:rPr>
          <w:rFonts w:eastAsia="Times New Roman" w:cs="Times New Roman"/>
          <w:sz w:val="20"/>
          <w:szCs w:val="20"/>
          <w:lang w:val="fr-CA" w:eastAsia="en-CA"/>
        </w:rPr>
      </w:pPr>
    </w:p>
    <w:p w:rsidR="005B3238" w:rsidRPr="005B3238" w:rsidRDefault="005B3238" w:rsidP="005B3238">
      <w:pPr>
        <w:spacing w:line="232" w:lineRule="auto"/>
        <w:jc w:val="both"/>
        <w:rPr>
          <w:rFonts w:eastAsia="Times New Roman" w:cs="Times New Roman"/>
          <w:sz w:val="20"/>
          <w:szCs w:val="20"/>
          <w:lang w:val="fr-CA" w:eastAsia="en-CA"/>
        </w:rPr>
      </w:pPr>
      <w:r w:rsidRPr="005B3238">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5B3238" w:rsidRPr="005B3238" w:rsidRDefault="005B3238" w:rsidP="005B3238">
      <w:pPr>
        <w:spacing w:line="232" w:lineRule="auto"/>
        <w:jc w:val="both"/>
        <w:rPr>
          <w:rFonts w:eastAsia="Times New Roman" w:cs="Times New Roman"/>
          <w:sz w:val="20"/>
          <w:szCs w:val="20"/>
          <w:lang w:val="fr-CA" w:eastAsia="en-CA"/>
        </w:rPr>
      </w:pPr>
    </w:p>
    <w:p w:rsidR="005B3238" w:rsidRPr="005B3238" w:rsidRDefault="005B3238" w:rsidP="005B3238">
      <w:pPr>
        <w:spacing w:line="232" w:lineRule="auto"/>
        <w:jc w:val="both"/>
        <w:rPr>
          <w:rFonts w:eastAsia="Times New Roman" w:cs="Times New Roman"/>
          <w:sz w:val="20"/>
          <w:szCs w:val="20"/>
          <w:lang w:val="fr-CA" w:eastAsia="en-CA"/>
        </w:rPr>
      </w:pPr>
      <w:r w:rsidRPr="005B3238">
        <w:rPr>
          <w:rFonts w:eastAsia="Times New Roman" w:cs="Times New Roman"/>
          <w:sz w:val="20"/>
          <w:szCs w:val="20"/>
          <w:lang w:val="fr-CA" w:eastAsia="en-CA"/>
        </w:rPr>
        <w:t xml:space="preserve">Les intervenants n’ont pas le droit de soulever de nouvelles questions, de produire d’autres éléments de preuve ni de compléter de quelque autre façon le dossier des </w:t>
      </w:r>
      <w:r w:rsidR="00AD34D7" w:rsidRPr="005B3238">
        <w:rPr>
          <w:rFonts w:eastAsia="Times New Roman" w:cs="Times New Roman"/>
          <w:sz w:val="20"/>
          <w:szCs w:val="20"/>
          <w:lang w:eastAsia="en-CA"/>
        </w:rPr>
        <w:fldChar w:fldCharType="begin"/>
      </w:r>
      <w:r w:rsidRPr="005B3238">
        <w:rPr>
          <w:rFonts w:eastAsia="Times New Roman" w:cs="Times New Roman"/>
          <w:sz w:val="20"/>
          <w:szCs w:val="20"/>
          <w:lang w:val="fr-CA" w:eastAsia="en-CA"/>
        </w:rPr>
        <w:instrText xml:space="preserve"> SEQ CHAPTER \h \r 1</w:instrText>
      </w:r>
      <w:r w:rsidR="00AD34D7" w:rsidRPr="005B3238">
        <w:rPr>
          <w:rFonts w:eastAsia="Times New Roman" w:cs="Times New Roman"/>
          <w:sz w:val="20"/>
          <w:szCs w:val="20"/>
          <w:lang w:eastAsia="en-CA"/>
        </w:rPr>
        <w:fldChar w:fldCharType="end"/>
      </w:r>
      <w:r w:rsidRPr="005B3238">
        <w:rPr>
          <w:rFonts w:eastAsia="Times New Roman" w:cs="Times New Roman"/>
          <w:bCs/>
          <w:sz w:val="20"/>
          <w:szCs w:val="20"/>
          <w:lang w:val="fr-CA" w:eastAsia="en-CA"/>
        </w:rPr>
        <w:t>parties.</w:t>
      </w:r>
    </w:p>
    <w:p w:rsidR="005B3238" w:rsidRPr="005B3238" w:rsidRDefault="005B3238" w:rsidP="005B3238">
      <w:pPr>
        <w:spacing w:line="232" w:lineRule="auto"/>
        <w:jc w:val="both"/>
        <w:rPr>
          <w:rFonts w:eastAsia="Times New Roman" w:cs="Times New Roman"/>
          <w:sz w:val="20"/>
          <w:szCs w:val="20"/>
          <w:lang w:val="fr-CA" w:eastAsia="en-CA"/>
        </w:rPr>
      </w:pPr>
    </w:p>
    <w:p w:rsidR="005B3238" w:rsidRPr="005B3238" w:rsidRDefault="005B3238" w:rsidP="005B3238">
      <w:pPr>
        <w:jc w:val="both"/>
        <w:rPr>
          <w:rFonts w:eastAsia="Times New Roman" w:cs="Times New Roman"/>
          <w:sz w:val="20"/>
          <w:szCs w:val="20"/>
          <w:lang w:val="fr-CA" w:eastAsia="fr-FR"/>
        </w:rPr>
      </w:pPr>
      <w:r w:rsidRPr="005B3238">
        <w:rPr>
          <w:rFonts w:eastAsia="Times New Roman" w:cs="Times New Roman"/>
          <w:sz w:val="20"/>
          <w:szCs w:val="20"/>
          <w:lang w:val="fr-CA" w:eastAsia="en-CA"/>
        </w:rPr>
        <w:t>Conformément à l’alinéa 59(1)</w:t>
      </w:r>
      <w:r w:rsidRPr="005B3238">
        <w:rPr>
          <w:rFonts w:eastAsia="Times New Roman" w:cs="Times New Roman"/>
          <w:i/>
          <w:iCs/>
          <w:sz w:val="20"/>
          <w:szCs w:val="20"/>
          <w:lang w:val="fr-CA" w:eastAsia="en-CA"/>
        </w:rPr>
        <w:t>a</w:t>
      </w:r>
      <w:r w:rsidRPr="005B3238">
        <w:rPr>
          <w:rFonts w:eastAsia="Times New Roman" w:cs="Times New Roman"/>
          <w:sz w:val="20"/>
          <w:szCs w:val="20"/>
          <w:lang w:val="fr-CA" w:eastAsia="en-CA"/>
        </w:rPr>
        <w:t xml:space="preserve">) des </w:t>
      </w:r>
      <w:r w:rsidRPr="005B3238">
        <w:rPr>
          <w:rFonts w:eastAsia="Times New Roman" w:cs="Times New Roman"/>
          <w:i/>
          <w:iCs/>
          <w:sz w:val="20"/>
          <w:szCs w:val="20"/>
          <w:lang w:val="fr-CA" w:eastAsia="en-CA"/>
        </w:rPr>
        <w:t>Règles de la Cour suprême du Canada</w:t>
      </w:r>
      <w:r w:rsidRPr="005B3238">
        <w:rPr>
          <w:rFonts w:eastAsia="Times New Roman" w:cs="Times New Roman"/>
          <w:sz w:val="20"/>
          <w:szCs w:val="20"/>
          <w:lang w:val="fr-CA" w:eastAsia="en-CA"/>
        </w:rPr>
        <w:t>, les intervenants paieront aux appelants et aux intimés tous débours supplémentaires résultant de leurs interventions.</w:t>
      </w:r>
    </w:p>
    <w:p w:rsidR="005B3238" w:rsidRPr="005B3238" w:rsidRDefault="005B3238" w:rsidP="005B3238">
      <w:pPr>
        <w:ind w:left="720"/>
        <w:contextualSpacing/>
        <w:jc w:val="both"/>
        <w:rPr>
          <w:rFonts w:cs="Times New Roman"/>
          <w:sz w:val="20"/>
          <w:szCs w:val="20"/>
          <w:lang w:val="fr-CA"/>
        </w:rPr>
      </w:pPr>
    </w:p>
    <w:p w:rsidR="005B3238" w:rsidRPr="005B3238" w:rsidRDefault="005B3238" w:rsidP="005B3238">
      <w:pPr>
        <w:spacing w:line="232" w:lineRule="auto"/>
        <w:jc w:val="both"/>
        <w:rPr>
          <w:rFonts w:eastAsia="Times New Roman" w:cs="Times New Roman"/>
          <w:sz w:val="20"/>
          <w:szCs w:val="20"/>
          <w:lang w:val="fr-CA" w:eastAsia="en-CA"/>
        </w:rPr>
      </w:pPr>
      <w:r w:rsidRPr="005B3238">
        <w:rPr>
          <w:rFonts w:eastAsia="Times New Roman" w:cs="Times New Roman"/>
          <w:sz w:val="20"/>
          <w:szCs w:val="20"/>
          <w:lang w:val="fr-CA" w:eastAsia="en-CA"/>
        </w:rPr>
        <w:t>Les appelants et les intimés sont chacun autorisés à signifier et déposer un seul mémoire d’au plus dix (10) pages en réplique à ces interventions au plus tard le 10 août 2015.</w:t>
      </w:r>
    </w:p>
    <w:p w:rsidR="005B3238" w:rsidRPr="005B3238" w:rsidRDefault="005B3238" w:rsidP="005B3238">
      <w:pPr>
        <w:tabs>
          <w:tab w:val="left" w:pos="-1440"/>
          <w:tab w:val="left" w:pos="-720"/>
        </w:tabs>
        <w:jc w:val="both"/>
        <w:rPr>
          <w:rFonts w:eastAsia="Times New Roman" w:cs="Times New Roman"/>
          <w:sz w:val="20"/>
          <w:szCs w:val="20"/>
          <w:lang w:val="fr-CA" w:eastAsia="en-CA"/>
        </w:rPr>
      </w:pPr>
    </w:p>
    <w:p w:rsidR="005B3238" w:rsidRPr="005B3238" w:rsidRDefault="00BA13BB" w:rsidP="005B3238">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3" style="width:2in;height:1pt" o:hrpct="0" o:hralign="center" o:hrstd="t" o:hrnoshade="t" o:hr="t" fillcolor="black [3213]" stroked="f"/>
        </w:pict>
      </w:r>
    </w:p>
    <w:p w:rsidR="005B3238" w:rsidRPr="005B3238" w:rsidRDefault="005B3238" w:rsidP="005B3238">
      <w:pPr>
        <w:tabs>
          <w:tab w:val="left" w:pos="-1440"/>
          <w:tab w:val="left" w:pos="-720"/>
        </w:tabs>
        <w:jc w:val="both"/>
        <w:rPr>
          <w:rFonts w:eastAsia="Times New Roman" w:cs="Times New Roman"/>
          <w:sz w:val="20"/>
          <w:szCs w:val="20"/>
          <w:lang w:val="fr-CA" w:eastAsia="en-CA"/>
        </w:rPr>
      </w:pPr>
    </w:p>
    <w:p w:rsidR="005B3238" w:rsidRPr="005B3238" w:rsidRDefault="005B3238" w:rsidP="005B3238">
      <w:pPr>
        <w:tabs>
          <w:tab w:val="left" w:pos="-1440"/>
          <w:tab w:val="left" w:pos="-720"/>
        </w:tabs>
        <w:jc w:val="both"/>
        <w:rPr>
          <w:rFonts w:eastAsia="Times New Roman" w:cs="Times New Roman"/>
          <w:sz w:val="20"/>
          <w:szCs w:val="20"/>
          <w:lang w:eastAsia="en-CA"/>
        </w:rPr>
      </w:pPr>
      <w:r w:rsidRPr="005B3238">
        <w:rPr>
          <w:rFonts w:eastAsia="Times New Roman" w:cs="Times New Roman"/>
          <w:sz w:val="20"/>
          <w:szCs w:val="20"/>
          <w:lang w:eastAsia="en-CA"/>
        </w:rPr>
        <w:t>04.06.2015</w:t>
      </w:r>
    </w:p>
    <w:p w:rsidR="005B3238" w:rsidRPr="005B3238" w:rsidRDefault="005B3238" w:rsidP="005B3238">
      <w:pPr>
        <w:tabs>
          <w:tab w:val="left" w:pos="-1440"/>
          <w:tab w:val="left" w:pos="-720"/>
        </w:tabs>
        <w:jc w:val="both"/>
        <w:rPr>
          <w:rFonts w:eastAsia="Times New Roman" w:cs="Times New Roman"/>
          <w:sz w:val="20"/>
          <w:szCs w:val="20"/>
          <w:lang w:val="fr-CA" w:eastAsia="en-CA"/>
        </w:rPr>
      </w:pPr>
    </w:p>
    <w:p w:rsidR="005B3238" w:rsidRPr="005B3238" w:rsidRDefault="005B3238" w:rsidP="005B3238">
      <w:pPr>
        <w:tabs>
          <w:tab w:val="left" w:pos="-1440"/>
          <w:tab w:val="left" w:pos="-720"/>
        </w:tabs>
        <w:jc w:val="both"/>
        <w:rPr>
          <w:rFonts w:eastAsia="Times New Roman" w:cs="Times New Roman"/>
          <w:sz w:val="20"/>
          <w:szCs w:val="20"/>
          <w:lang w:eastAsia="en-CA"/>
        </w:rPr>
      </w:pPr>
      <w:r w:rsidRPr="005B3238">
        <w:rPr>
          <w:rFonts w:eastAsia="Times New Roman" w:cs="Times New Roman"/>
          <w:sz w:val="20"/>
          <w:szCs w:val="20"/>
          <w:lang w:eastAsia="en-CA"/>
        </w:rPr>
        <w:t>Before / Devant:   THE DEPUTY REGISTRAR / LE REGISTRAIRE ADJOINT</w:t>
      </w:r>
    </w:p>
    <w:p w:rsidR="005B3238" w:rsidRPr="005B3238" w:rsidRDefault="005B3238" w:rsidP="005B3238">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5B3238" w:rsidRPr="005B3238" w:rsidTr="002F2EB6">
        <w:tc>
          <w:tcPr>
            <w:tcW w:w="4338" w:type="dxa"/>
          </w:tcPr>
          <w:p w:rsidR="005B3238" w:rsidRPr="005B3238" w:rsidRDefault="00AD34D7" w:rsidP="005B3238">
            <w:pPr>
              <w:tabs>
                <w:tab w:val="left" w:pos="-1440"/>
                <w:tab w:val="left" w:pos="-720"/>
              </w:tabs>
              <w:jc w:val="both"/>
              <w:rPr>
                <w:b/>
              </w:rPr>
            </w:pPr>
            <w:r w:rsidRPr="005B3238">
              <w:rPr>
                <w:szCs w:val="24"/>
                <w:lang w:val="en-US"/>
              </w:rPr>
              <w:fldChar w:fldCharType="begin"/>
            </w:r>
            <w:r w:rsidR="005B3238" w:rsidRPr="005B3238">
              <w:rPr>
                <w:szCs w:val="24"/>
                <w:lang w:val="en-US"/>
              </w:rPr>
              <w:instrText xml:space="preserve"> SEQ CHAPTER \h \r 1</w:instrText>
            </w:r>
            <w:r w:rsidRPr="005B3238">
              <w:rPr>
                <w:szCs w:val="24"/>
                <w:lang w:val="en-US"/>
              </w:rPr>
              <w:fldChar w:fldCharType="end"/>
            </w:r>
            <w:r w:rsidR="005B3238" w:rsidRPr="005B3238">
              <w:rPr>
                <w:b/>
                <w:bCs/>
                <w:lang w:val="en-US"/>
              </w:rPr>
              <w:t>Motion to extend time</w:t>
            </w:r>
          </w:p>
        </w:tc>
        <w:tc>
          <w:tcPr>
            <w:tcW w:w="1170" w:type="dxa"/>
          </w:tcPr>
          <w:p w:rsidR="005B3238" w:rsidRPr="005B3238" w:rsidRDefault="005B3238" w:rsidP="005B3238">
            <w:pPr>
              <w:tabs>
                <w:tab w:val="left" w:pos="-1440"/>
                <w:tab w:val="left" w:pos="-720"/>
              </w:tabs>
              <w:jc w:val="both"/>
            </w:pPr>
          </w:p>
          <w:p w:rsidR="005B3238" w:rsidRPr="005B3238" w:rsidRDefault="005B3238" w:rsidP="005B3238">
            <w:pPr>
              <w:tabs>
                <w:tab w:val="left" w:pos="-1440"/>
                <w:tab w:val="left" w:pos="-720"/>
              </w:tabs>
              <w:jc w:val="both"/>
            </w:pPr>
          </w:p>
        </w:tc>
        <w:tc>
          <w:tcPr>
            <w:tcW w:w="4327" w:type="dxa"/>
          </w:tcPr>
          <w:p w:rsidR="005B3238" w:rsidRPr="005B3238" w:rsidRDefault="005B3238" w:rsidP="005B3238">
            <w:pPr>
              <w:tabs>
                <w:tab w:val="left" w:pos="-1440"/>
                <w:tab w:val="left" w:pos="-720"/>
              </w:tabs>
              <w:jc w:val="both"/>
              <w:rPr>
                <w:lang w:val="fr-CA"/>
              </w:rPr>
            </w:pPr>
            <w:r w:rsidRPr="005B3238">
              <w:rPr>
                <w:b/>
                <w:bCs/>
                <w:color w:val="000000"/>
                <w:lang w:val="fr-CA"/>
              </w:rPr>
              <w:t>Requête en prorogation de délai</w:t>
            </w:r>
            <w:r w:rsidRPr="005B3238">
              <w:rPr>
                <w:szCs w:val="24"/>
                <w:lang w:val="fr-CA"/>
              </w:rPr>
              <w:t xml:space="preserve"> </w:t>
            </w:r>
            <w:r w:rsidR="00AD34D7" w:rsidRPr="005B3238">
              <w:rPr>
                <w:szCs w:val="24"/>
                <w:lang w:val="en-US"/>
              </w:rPr>
              <w:fldChar w:fldCharType="begin"/>
            </w:r>
            <w:r w:rsidRPr="005B3238">
              <w:rPr>
                <w:szCs w:val="24"/>
                <w:lang w:val="fr-CA"/>
              </w:rPr>
              <w:instrText xml:space="preserve"> SEQ CHAPTER \h \r 1</w:instrText>
            </w:r>
            <w:r w:rsidR="00AD34D7" w:rsidRPr="005B3238">
              <w:rPr>
                <w:szCs w:val="24"/>
                <w:lang w:val="en-US"/>
              </w:rPr>
              <w:fldChar w:fldCharType="end"/>
            </w:r>
            <w:r w:rsidR="00AD34D7" w:rsidRPr="005B3238">
              <w:rPr>
                <w:szCs w:val="24"/>
                <w:lang w:val="en-US"/>
              </w:rPr>
              <w:fldChar w:fldCharType="begin"/>
            </w:r>
            <w:r w:rsidRPr="005B3238">
              <w:rPr>
                <w:szCs w:val="24"/>
                <w:lang w:val="fr-CA"/>
              </w:rPr>
              <w:instrText xml:space="preserve"> SEQ CHAPTER \h \r 1</w:instrText>
            </w:r>
            <w:r w:rsidR="00AD34D7" w:rsidRPr="005B3238">
              <w:rPr>
                <w:szCs w:val="24"/>
                <w:lang w:val="en-US"/>
              </w:rPr>
              <w:fldChar w:fldCharType="end"/>
            </w:r>
          </w:p>
        </w:tc>
      </w:tr>
      <w:tr w:rsidR="005B3238" w:rsidRPr="005B3238" w:rsidTr="002F2EB6">
        <w:tc>
          <w:tcPr>
            <w:tcW w:w="4338" w:type="dxa"/>
          </w:tcPr>
          <w:p w:rsidR="005B3238" w:rsidRPr="005B3238" w:rsidRDefault="005B3238" w:rsidP="005B3238">
            <w:pPr>
              <w:tabs>
                <w:tab w:val="left" w:pos="-1440"/>
                <w:tab w:val="left" w:pos="-720"/>
              </w:tabs>
              <w:jc w:val="both"/>
            </w:pPr>
            <w:r w:rsidRPr="005B3238">
              <w:t>Her Majesty the Queen</w:t>
            </w:r>
          </w:p>
          <w:p w:rsidR="005B3238" w:rsidRPr="005B3238" w:rsidRDefault="005B3238" w:rsidP="005B3238">
            <w:pPr>
              <w:tabs>
                <w:tab w:val="left" w:pos="-1440"/>
                <w:tab w:val="left" w:pos="-720"/>
              </w:tabs>
              <w:jc w:val="both"/>
            </w:pPr>
          </w:p>
          <w:p w:rsidR="005B3238" w:rsidRPr="005B3238" w:rsidRDefault="005B3238" w:rsidP="005B3238">
            <w:pPr>
              <w:tabs>
                <w:tab w:val="left" w:pos="-1440"/>
                <w:tab w:val="left" w:pos="-720"/>
              </w:tabs>
              <w:jc w:val="both"/>
            </w:pPr>
            <w:r w:rsidRPr="005B3238">
              <w:tab/>
              <w:t>v. (36112)</w:t>
            </w:r>
          </w:p>
          <w:p w:rsidR="005B3238" w:rsidRPr="005B3238" w:rsidRDefault="005B3238" w:rsidP="005B3238">
            <w:pPr>
              <w:tabs>
                <w:tab w:val="left" w:pos="-1440"/>
                <w:tab w:val="left" w:pos="-720"/>
              </w:tabs>
              <w:jc w:val="both"/>
            </w:pPr>
          </w:p>
          <w:p w:rsidR="005B3238" w:rsidRPr="005B3238" w:rsidRDefault="005B3238" w:rsidP="005B3238">
            <w:pPr>
              <w:tabs>
                <w:tab w:val="left" w:pos="-1440"/>
                <w:tab w:val="left" w:pos="-720"/>
              </w:tabs>
              <w:jc w:val="both"/>
            </w:pPr>
            <w:r w:rsidRPr="005B3238">
              <w:t>Kenneth Gavin Williamson (Crim.) (Ont.)</w:t>
            </w:r>
          </w:p>
        </w:tc>
        <w:tc>
          <w:tcPr>
            <w:tcW w:w="1170" w:type="dxa"/>
          </w:tcPr>
          <w:p w:rsidR="005B3238" w:rsidRPr="005B3238" w:rsidRDefault="005B3238" w:rsidP="005B3238">
            <w:pPr>
              <w:tabs>
                <w:tab w:val="left" w:pos="-1440"/>
                <w:tab w:val="left" w:pos="-720"/>
              </w:tabs>
              <w:jc w:val="both"/>
            </w:pPr>
          </w:p>
        </w:tc>
        <w:tc>
          <w:tcPr>
            <w:tcW w:w="4327" w:type="dxa"/>
          </w:tcPr>
          <w:p w:rsidR="005B3238" w:rsidRPr="005B3238" w:rsidRDefault="005B3238" w:rsidP="005B3238">
            <w:pPr>
              <w:tabs>
                <w:tab w:val="left" w:pos="-1440"/>
                <w:tab w:val="left" w:pos="-720"/>
              </w:tabs>
              <w:jc w:val="both"/>
            </w:pPr>
          </w:p>
        </w:tc>
      </w:tr>
    </w:tbl>
    <w:p w:rsidR="005B3238" w:rsidRPr="005B3238" w:rsidRDefault="005B3238" w:rsidP="005B3238">
      <w:pPr>
        <w:tabs>
          <w:tab w:val="left" w:pos="-1440"/>
          <w:tab w:val="left" w:pos="-720"/>
        </w:tabs>
        <w:jc w:val="both"/>
        <w:rPr>
          <w:rFonts w:eastAsia="Times New Roman" w:cs="Times New Roman"/>
          <w:sz w:val="20"/>
          <w:szCs w:val="20"/>
          <w:lang w:eastAsia="en-CA"/>
        </w:rPr>
      </w:pPr>
    </w:p>
    <w:p w:rsidR="005B3238" w:rsidRPr="005B3238" w:rsidRDefault="005B3238" w:rsidP="005B3238">
      <w:pPr>
        <w:tabs>
          <w:tab w:val="left" w:pos="-1440"/>
          <w:tab w:val="left" w:pos="-720"/>
        </w:tabs>
        <w:jc w:val="both"/>
        <w:rPr>
          <w:rFonts w:eastAsia="Times New Roman" w:cs="Times New Roman"/>
          <w:b/>
          <w:sz w:val="20"/>
          <w:szCs w:val="20"/>
          <w:lang w:eastAsia="en-CA"/>
        </w:rPr>
      </w:pPr>
      <w:r w:rsidRPr="005B3238">
        <w:rPr>
          <w:rFonts w:eastAsia="Times New Roman" w:cs="Times New Roman"/>
          <w:b/>
          <w:sz w:val="20"/>
          <w:szCs w:val="20"/>
          <w:lang w:eastAsia="en-CA"/>
        </w:rPr>
        <w:t>GRANTED / ACCORDÉE</w:t>
      </w:r>
    </w:p>
    <w:p w:rsidR="005B3238" w:rsidRPr="005B3238" w:rsidRDefault="005B3238" w:rsidP="005B3238">
      <w:pPr>
        <w:tabs>
          <w:tab w:val="left" w:pos="-1440"/>
          <w:tab w:val="left" w:pos="-720"/>
        </w:tabs>
        <w:jc w:val="both"/>
        <w:rPr>
          <w:rFonts w:eastAsia="Times New Roman" w:cs="Times New Roman"/>
          <w:sz w:val="20"/>
          <w:szCs w:val="20"/>
          <w:lang w:eastAsia="en-CA"/>
        </w:rPr>
      </w:pPr>
    </w:p>
    <w:p w:rsidR="005B3238" w:rsidRPr="005B3238" w:rsidRDefault="005B3238" w:rsidP="005B3238">
      <w:pPr>
        <w:spacing w:line="233" w:lineRule="auto"/>
        <w:jc w:val="both"/>
        <w:rPr>
          <w:rFonts w:eastAsia="Times New Roman" w:cs="Times New Roman"/>
          <w:sz w:val="20"/>
          <w:szCs w:val="20"/>
          <w:lang w:eastAsia="en-CA"/>
        </w:rPr>
      </w:pPr>
      <w:r w:rsidRPr="005B3238">
        <w:rPr>
          <w:rFonts w:eastAsia="Times New Roman" w:cs="Times New Roman"/>
          <w:b/>
          <w:sz w:val="20"/>
          <w:szCs w:val="20"/>
          <w:lang w:val="en-US" w:eastAsia="en-CA"/>
        </w:rPr>
        <w:t xml:space="preserve">UPON APPLICATION </w:t>
      </w:r>
      <w:r w:rsidRPr="005B3238">
        <w:rPr>
          <w:rFonts w:eastAsia="Times New Roman" w:cs="Times New Roman"/>
          <w:sz w:val="20"/>
          <w:szCs w:val="20"/>
          <w:lang w:val="en-US" w:eastAsia="en-CA"/>
        </w:rPr>
        <w:t>by the appellant for an extension of time to</w:t>
      </w:r>
      <w:r w:rsidRPr="005B3238">
        <w:rPr>
          <w:rFonts w:eastAsia="Times New Roman" w:cs="Times New Roman"/>
          <w:b/>
          <w:sz w:val="20"/>
          <w:szCs w:val="20"/>
          <w:lang w:val="en-US" w:eastAsia="en-CA"/>
        </w:rPr>
        <w:t xml:space="preserve"> </w:t>
      </w:r>
      <w:r w:rsidRPr="005B3238">
        <w:rPr>
          <w:rFonts w:eastAsia="Times New Roman" w:cs="Times New Roman"/>
          <w:sz w:val="20"/>
          <w:szCs w:val="20"/>
          <w:lang w:val="en-US" w:eastAsia="en-CA"/>
        </w:rPr>
        <w:t>serve and file its book of authorities to May 14, 2015;</w:t>
      </w:r>
    </w:p>
    <w:p w:rsidR="005B3238" w:rsidRPr="005B3238" w:rsidRDefault="005B3238" w:rsidP="005B3238">
      <w:pPr>
        <w:spacing w:line="233" w:lineRule="auto"/>
        <w:jc w:val="both"/>
        <w:rPr>
          <w:rFonts w:eastAsia="Times New Roman" w:cs="Times New Roman"/>
          <w:b/>
          <w:sz w:val="20"/>
          <w:szCs w:val="20"/>
          <w:lang w:eastAsia="en-CA"/>
        </w:rPr>
      </w:pPr>
    </w:p>
    <w:p w:rsidR="005B3238" w:rsidRPr="005B3238" w:rsidRDefault="005B3238" w:rsidP="005B3238">
      <w:pPr>
        <w:spacing w:line="233" w:lineRule="auto"/>
        <w:jc w:val="both"/>
        <w:rPr>
          <w:rFonts w:eastAsia="Times New Roman" w:cs="Times New Roman"/>
          <w:sz w:val="20"/>
          <w:szCs w:val="20"/>
          <w:lang w:val="en-US" w:eastAsia="en-CA"/>
        </w:rPr>
      </w:pPr>
      <w:r w:rsidRPr="005B3238">
        <w:rPr>
          <w:rFonts w:eastAsia="Times New Roman" w:cs="Times New Roman"/>
          <w:b/>
          <w:bCs/>
          <w:sz w:val="20"/>
          <w:szCs w:val="20"/>
          <w:lang w:val="en-US" w:eastAsia="en-CA"/>
        </w:rPr>
        <w:t>AND THE MATERIAL FILED</w:t>
      </w:r>
      <w:r w:rsidRPr="005B3238">
        <w:rPr>
          <w:rFonts w:eastAsia="Times New Roman" w:cs="Times New Roman"/>
          <w:sz w:val="20"/>
          <w:szCs w:val="20"/>
          <w:lang w:val="en-US" w:eastAsia="en-CA"/>
        </w:rPr>
        <w:t xml:space="preserve"> having been read;</w:t>
      </w:r>
    </w:p>
    <w:p w:rsidR="005B3238" w:rsidRPr="005B3238" w:rsidRDefault="005B3238" w:rsidP="005B3238">
      <w:pPr>
        <w:spacing w:line="233" w:lineRule="auto"/>
        <w:jc w:val="both"/>
        <w:rPr>
          <w:rFonts w:eastAsia="Times New Roman" w:cs="Times New Roman"/>
          <w:sz w:val="20"/>
          <w:szCs w:val="20"/>
          <w:lang w:val="en-US" w:eastAsia="en-CA"/>
        </w:rPr>
      </w:pPr>
    </w:p>
    <w:p w:rsidR="005B3238" w:rsidRPr="005B3238" w:rsidRDefault="005B3238" w:rsidP="005B3238">
      <w:pPr>
        <w:spacing w:line="233" w:lineRule="auto"/>
        <w:jc w:val="both"/>
        <w:rPr>
          <w:rFonts w:eastAsia="Times New Roman" w:cs="Times New Roman"/>
          <w:b/>
          <w:bCs/>
          <w:sz w:val="20"/>
          <w:szCs w:val="20"/>
          <w:lang w:val="en-US" w:eastAsia="en-CA"/>
        </w:rPr>
      </w:pPr>
      <w:r w:rsidRPr="005B3238">
        <w:rPr>
          <w:rFonts w:eastAsia="Times New Roman" w:cs="Times New Roman"/>
          <w:b/>
          <w:bCs/>
          <w:sz w:val="20"/>
          <w:szCs w:val="20"/>
          <w:lang w:val="en-US" w:eastAsia="en-CA"/>
        </w:rPr>
        <w:t>IT IS HEREBY ORDERED THAT:</w:t>
      </w:r>
    </w:p>
    <w:p w:rsidR="005B3238" w:rsidRPr="005B3238" w:rsidRDefault="005B3238" w:rsidP="005B3238">
      <w:pPr>
        <w:spacing w:line="233" w:lineRule="auto"/>
        <w:jc w:val="both"/>
        <w:rPr>
          <w:rFonts w:eastAsia="Times New Roman" w:cs="Times New Roman"/>
          <w:b/>
          <w:bCs/>
          <w:sz w:val="20"/>
          <w:szCs w:val="20"/>
          <w:lang w:val="en-US" w:eastAsia="en-CA"/>
        </w:rPr>
      </w:pPr>
    </w:p>
    <w:p w:rsidR="005B3238" w:rsidRPr="005B3238" w:rsidRDefault="005B3238" w:rsidP="005B3238">
      <w:pPr>
        <w:jc w:val="both"/>
        <w:rPr>
          <w:rFonts w:eastAsia="Times New Roman" w:cs="Times New Roman"/>
          <w:sz w:val="20"/>
          <w:szCs w:val="20"/>
          <w:lang w:val="fr-CA" w:eastAsia="en-CA"/>
        </w:rPr>
      </w:pPr>
      <w:r w:rsidRPr="005B3238">
        <w:rPr>
          <w:rFonts w:eastAsia="Times New Roman" w:cs="Times New Roman"/>
          <w:sz w:val="20"/>
          <w:szCs w:val="20"/>
          <w:lang w:val="fr-CA" w:eastAsia="en-CA"/>
        </w:rPr>
        <w:t>The motion is granted. </w:t>
      </w:r>
    </w:p>
    <w:p w:rsidR="005B3238" w:rsidRPr="005B3238" w:rsidRDefault="005B3238" w:rsidP="005B3238">
      <w:pPr>
        <w:jc w:val="both"/>
        <w:rPr>
          <w:rFonts w:eastAsia="Times New Roman" w:cs="Times New Roman"/>
          <w:sz w:val="20"/>
          <w:szCs w:val="20"/>
          <w:lang w:val="fr-CA" w:eastAsia="en-CA"/>
        </w:rPr>
      </w:pPr>
    </w:p>
    <w:p w:rsidR="005B3238" w:rsidRPr="005B3238" w:rsidRDefault="005B3238" w:rsidP="005B3238">
      <w:pPr>
        <w:jc w:val="both"/>
        <w:rPr>
          <w:rFonts w:eastAsia="Times New Roman" w:cs="Times New Roman"/>
          <w:sz w:val="20"/>
          <w:szCs w:val="20"/>
          <w:lang w:val="fr-CA" w:eastAsia="en-CA"/>
        </w:rPr>
      </w:pPr>
    </w:p>
    <w:p w:rsidR="005B3238" w:rsidRPr="005B3238" w:rsidRDefault="005B3238" w:rsidP="005B3238">
      <w:pPr>
        <w:jc w:val="both"/>
        <w:rPr>
          <w:rFonts w:eastAsia="Times New Roman" w:cs="Times New Roman"/>
          <w:sz w:val="20"/>
          <w:szCs w:val="20"/>
          <w:lang w:val="fr-CA" w:eastAsia="en-CA"/>
        </w:rPr>
      </w:pPr>
    </w:p>
    <w:p w:rsidR="005B3238" w:rsidRDefault="005B3238" w:rsidP="005B3238">
      <w:pPr>
        <w:spacing w:line="233" w:lineRule="auto"/>
        <w:jc w:val="both"/>
        <w:rPr>
          <w:rFonts w:eastAsia="Times New Roman" w:cs="Times New Roman"/>
          <w:sz w:val="20"/>
          <w:szCs w:val="20"/>
          <w:lang w:val="fr-CA" w:eastAsia="en-CA"/>
        </w:rPr>
      </w:pPr>
      <w:r w:rsidRPr="005B3238">
        <w:rPr>
          <w:rFonts w:eastAsia="Times New Roman" w:cs="Times New Roman"/>
          <w:b/>
          <w:sz w:val="20"/>
          <w:szCs w:val="20"/>
          <w:lang w:val="fr-CA" w:eastAsia="en-CA"/>
        </w:rPr>
        <w:t>À LA SUITE DE LA DEMANDE</w:t>
      </w:r>
      <w:r w:rsidRPr="005B3238">
        <w:rPr>
          <w:rFonts w:eastAsia="Times New Roman" w:cs="Times New Roman"/>
          <w:sz w:val="20"/>
          <w:szCs w:val="20"/>
          <w:lang w:val="fr-CA" w:eastAsia="en-CA"/>
        </w:rPr>
        <w:t xml:space="preserve"> présentée par l’appelante pour obtenir la prorogation du délai pour la signification et le dépôt de son recueil de sources au 14 mai 2015;</w:t>
      </w:r>
    </w:p>
    <w:p w:rsidR="005B3238" w:rsidRPr="005B3238" w:rsidRDefault="005B3238" w:rsidP="005B3238">
      <w:pPr>
        <w:spacing w:line="233" w:lineRule="auto"/>
        <w:jc w:val="both"/>
        <w:rPr>
          <w:rFonts w:eastAsia="Times New Roman" w:cs="Times New Roman"/>
          <w:sz w:val="20"/>
          <w:szCs w:val="20"/>
          <w:lang w:val="fr-CA" w:eastAsia="en-CA"/>
        </w:rPr>
      </w:pPr>
    </w:p>
    <w:p w:rsidR="005B3238" w:rsidRDefault="005B3238">
      <w:pPr>
        <w:rPr>
          <w:rFonts w:eastAsia="Times New Roman" w:cs="Times New Roman"/>
          <w:sz w:val="20"/>
          <w:szCs w:val="20"/>
          <w:lang w:val="fr-CA" w:eastAsia="en-CA"/>
        </w:rPr>
      </w:pPr>
      <w:r>
        <w:rPr>
          <w:rFonts w:eastAsia="Times New Roman" w:cs="Times New Roman"/>
          <w:sz w:val="20"/>
          <w:szCs w:val="20"/>
          <w:lang w:val="fr-CA" w:eastAsia="en-CA"/>
        </w:rPr>
        <w:br w:type="page"/>
      </w:r>
    </w:p>
    <w:p w:rsidR="005B3238" w:rsidRPr="005B3238" w:rsidRDefault="005B3238" w:rsidP="005B3238">
      <w:pPr>
        <w:spacing w:line="233" w:lineRule="auto"/>
        <w:jc w:val="both"/>
        <w:rPr>
          <w:rFonts w:eastAsia="Times New Roman" w:cs="Times New Roman"/>
          <w:sz w:val="20"/>
          <w:szCs w:val="20"/>
          <w:lang w:val="fr-CA" w:eastAsia="en-CA"/>
        </w:rPr>
      </w:pPr>
      <w:r w:rsidRPr="005B3238">
        <w:rPr>
          <w:rFonts w:eastAsia="Times New Roman" w:cs="Times New Roman"/>
          <w:b/>
          <w:sz w:val="20"/>
          <w:szCs w:val="20"/>
          <w:lang w:val="fr-CA" w:eastAsia="en-CA"/>
        </w:rPr>
        <w:lastRenderedPageBreak/>
        <w:t>ET APRÈS EXAMEN</w:t>
      </w:r>
      <w:r w:rsidRPr="005B3238">
        <w:rPr>
          <w:rFonts w:eastAsia="Times New Roman" w:cs="Times New Roman"/>
          <w:sz w:val="20"/>
          <w:szCs w:val="20"/>
          <w:lang w:val="fr-CA" w:eastAsia="en-CA"/>
        </w:rPr>
        <w:t xml:space="preserve"> des documents déposés;</w:t>
      </w:r>
    </w:p>
    <w:p w:rsidR="005B3238" w:rsidRPr="005B3238" w:rsidRDefault="005B3238" w:rsidP="005B3238">
      <w:pPr>
        <w:spacing w:line="233" w:lineRule="auto"/>
        <w:jc w:val="both"/>
        <w:rPr>
          <w:rFonts w:eastAsia="Times New Roman" w:cs="Times New Roman"/>
          <w:sz w:val="20"/>
          <w:szCs w:val="20"/>
          <w:lang w:val="fr-CA" w:eastAsia="en-CA"/>
        </w:rPr>
      </w:pPr>
    </w:p>
    <w:p w:rsidR="005B3238" w:rsidRPr="005B3238" w:rsidRDefault="005B3238" w:rsidP="005B3238">
      <w:pPr>
        <w:spacing w:line="233" w:lineRule="auto"/>
        <w:jc w:val="both"/>
        <w:rPr>
          <w:rFonts w:eastAsia="Times New Roman" w:cs="Times New Roman"/>
          <w:b/>
          <w:sz w:val="20"/>
          <w:szCs w:val="20"/>
          <w:lang w:val="fr-CA" w:eastAsia="en-CA"/>
        </w:rPr>
      </w:pPr>
      <w:r w:rsidRPr="005B3238">
        <w:rPr>
          <w:rFonts w:eastAsia="Times New Roman" w:cs="Times New Roman"/>
          <w:b/>
          <w:sz w:val="20"/>
          <w:szCs w:val="20"/>
          <w:lang w:val="fr-CA" w:eastAsia="en-CA"/>
        </w:rPr>
        <w:t>IL EST ORDONNÉ CE QUI SUIT :</w:t>
      </w:r>
    </w:p>
    <w:p w:rsidR="005B3238" w:rsidRPr="005B3238" w:rsidRDefault="005B3238" w:rsidP="005B3238">
      <w:pPr>
        <w:spacing w:line="233" w:lineRule="auto"/>
        <w:jc w:val="both"/>
        <w:rPr>
          <w:rFonts w:eastAsia="Times New Roman" w:cs="Times New Roman"/>
          <w:sz w:val="20"/>
          <w:szCs w:val="20"/>
          <w:lang w:val="fr-CA" w:eastAsia="en-CA"/>
        </w:rPr>
      </w:pPr>
    </w:p>
    <w:p w:rsidR="005B3238" w:rsidRPr="005B3238" w:rsidRDefault="005B3238" w:rsidP="005B3238">
      <w:pPr>
        <w:spacing w:line="233" w:lineRule="auto"/>
        <w:jc w:val="both"/>
        <w:rPr>
          <w:rFonts w:eastAsia="Times New Roman" w:cs="Times New Roman"/>
          <w:sz w:val="20"/>
          <w:szCs w:val="20"/>
          <w:lang w:val="fr-CA" w:eastAsia="en-CA"/>
        </w:rPr>
      </w:pPr>
      <w:r w:rsidRPr="005B3238">
        <w:rPr>
          <w:rFonts w:eastAsia="Times New Roman" w:cs="Times New Roman"/>
          <w:sz w:val="20"/>
          <w:szCs w:val="20"/>
          <w:lang w:val="fr-CA" w:eastAsia="en-CA"/>
        </w:rPr>
        <w:t>La requête est accueillie.</w:t>
      </w:r>
    </w:p>
    <w:p w:rsidR="005B3238" w:rsidRPr="005B3238" w:rsidRDefault="005B3238" w:rsidP="005B3238">
      <w:pPr>
        <w:tabs>
          <w:tab w:val="left" w:pos="-1440"/>
          <w:tab w:val="left" w:pos="-720"/>
        </w:tabs>
        <w:jc w:val="both"/>
        <w:rPr>
          <w:rFonts w:eastAsia="Times New Roman" w:cs="Times New Roman"/>
          <w:sz w:val="20"/>
          <w:szCs w:val="20"/>
          <w:lang w:val="fr-CA" w:eastAsia="en-CA"/>
        </w:rPr>
      </w:pPr>
    </w:p>
    <w:p w:rsidR="005B3238" w:rsidRPr="005B3238" w:rsidRDefault="00BA13BB" w:rsidP="005B3238">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4" style="width:2in;height:1pt" o:hrpct="0" o:hralign="center" o:hrstd="t" o:hrnoshade="t" o:hr="t" fillcolor="black [3213]" stroked="f"/>
        </w:pict>
      </w:r>
    </w:p>
    <w:p w:rsidR="005B3238" w:rsidRPr="005B3238" w:rsidRDefault="005B3238" w:rsidP="005B3238">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321A34"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0F24AF">
        <w:trPr>
          <w:cantSplit/>
        </w:trPr>
        <w:tc>
          <w:tcPr>
            <w:tcW w:w="2206" w:type="pct"/>
            <w:tcMar>
              <w:left w:w="0" w:type="dxa"/>
              <w:right w:w="0" w:type="dxa"/>
            </w:tcMar>
          </w:tcPr>
          <w:p w:rsidR="0086340B" w:rsidRPr="003B3977" w:rsidRDefault="000E4EEE" w:rsidP="005F1ED8">
            <w:pPr>
              <w:rPr>
                <w:sz w:val="20"/>
                <w:szCs w:val="20"/>
              </w:rPr>
            </w:pPr>
            <w:r>
              <w:rPr>
                <w:sz w:val="20"/>
                <w:szCs w:val="20"/>
              </w:rPr>
              <w:t>29</w:t>
            </w:r>
            <w:r w:rsidR="0086340B" w:rsidRPr="003B3977">
              <w:rPr>
                <w:sz w:val="20"/>
                <w:szCs w:val="20"/>
              </w:rPr>
              <w:t>.</w:t>
            </w:r>
            <w:r>
              <w:rPr>
                <w:sz w:val="20"/>
                <w:szCs w:val="20"/>
              </w:rPr>
              <w:t>05</w:t>
            </w:r>
            <w:r w:rsidR="0086340B" w:rsidRPr="003B3977">
              <w:rPr>
                <w:sz w:val="20"/>
                <w:szCs w:val="20"/>
              </w:rPr>
              <w:t>.201</w:t>
            </w:r>
            <w:r>
              <w:rPr>
                <w:sz w:val="20"/>
                <w:szCs w:val="20"/>
              </w:rPr>
              <w:t>5</w:t>
            </w:r>
          </w:p>
          <w:p w:rsidR="0086340B" w:rsidRPr="003B3977" w:rsidRDefault="0086340B" w:rsidP="005F1ED8">
            <w:pPr>
              <w:rPr>
                <w:sz w:val="20"/>
                <w:szCs w:val="20"/>
              </w:rPr>
            </w:pPr>
          </w:p>
          <w:p w:rsidR="0086340B" w:rsidRPr="003B3977" w:rsidRDefault="000E4EEE" w:rsidP="005F1ED8">
            <w:pPr>
              <w:rPr>
                <w:b/>
                <w:sz w:val="20"/>
                <w:szCs w:val="20"/>
              </w:rPr>
            </w:pPr>
            <w:r>
              <w:rPr>
                <w:b/>
                <w:sz w:val="20"/>
                <w:szCs w:val="20"/>
              </w:rPr>
              <w:t>Johnny Mennillo</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r>
            <w:r w:rsidR="000E4EEE">
              <w:rPr>
                <w:b/>
                <w:sz w:val="20"/>
                <w:szCs w:val="20"/>
              </w:rPr>
              <w:t>c</w:t>
            </w:r>
            <w:r w:rsidRPr="003B3977">
              <w:rPr>
                <w:b/>
                <w:sz w:val="20"/>
                <w:szCs w:val="20"/>
              </w:rPr>
              <w:t>. (3</w:t>
            </w:r>
            <w:r w:rsidR="000E4EEE">
              <w:rPr>
                <w:b/>
                <w:sz w:val="20"/>
                <w:szCs w:val="20"/>
              </w:rPr>
              <w:t>61</w:t>
            </w:r>
            <w:r>
              <w:rPr>
                <w:b/>
                <w:sz w:val="20"/>
                <w:szCs w:val="20"/>
              </w:rPr>
              <w:t>2</w:t>
            </w:r>
            <w:r w:rsidR="000E4EEE">
              <w:rPr>
                <w:b/>
                <w:sz w:val="20"/>
                <w:szCs w:val="20"/>
              </w:rPr>
              <w:t>4</w:t>
            </w:r>
            <w:r w:rsidRPr="003B3977">
              <w:rPr>
                <w:b/>
                <w:sz w:val="20"/>
                <w:szCs w:val="20"/>
              </w:rPr>
              <w:t>)</w:t>
            </w:r>
          </w:p>
          <w:p w:rsidR="0086340B" w:rsidRPr="003B3977" w:rsidRDefault="0086340B" w:rsidP="005F1ED8">
            <w:pPr>
              <w:rPr>
                <w:b/>
                <w:sz w:val="20"/>
                <w:szCs w:val="20"/>
              </w:rPr>
            </w:pPr>
          </w:p>
          <w:p w:rsidR="0086340B" w:rsidRPr="003B3977" w:rsidRDefault="000E4EEE" w:rsidP="005F1ED8">
            <w:pPr>
              <w:rPr>
                <w:b/>
                <w:sz w:val="20"/>
                <w:szCs w:val="20"/>
              </w:rPr>
            </w:pPr>
            <w:r>
              <w:rPr>
                <w:b/>
                <w:sz w:val="20"/>
                <w:szCs w:val="20"/>
              </w:rPr>
              <w:t>Intramodal I</w:t>
            </w:r>
            <w:r w:rsidR="0086340B">
              <w:rPr>
                <w:b/>
                <w:sz w:val="20"/>
                <w:szCs w:val="20"/>
              </w:rPr>
              <w:t>n</w:t>
            </w:r>
            <w:r>
              <w:rPr>
                <w:b/>
                <w:sz w:val="20"/>
                <w:szCs w:val="20"/>
              </w:rPr>
              <w:t>c</w:t>
            </w:r>
            <w:r w:rsidR="0086340B">
              <w:rPr>
                <w:b/>
                <w:sz w:val="20"/>
                <w:szCs w:val="20"/>
              </w:rPr>
              <w:t>.</w:t>
            </w:r>
            <w:r w:rsidR="0086340B" w:rsidRPr="003B3977">
              <w:rPr>
                <w:b/>
                <w:sz w:val="20"/>
                <w:szCs w:val="20"/>
              </w:rPr>
              <w:t xml:space="preserve"> (</w:t>
            </w:r>
            <w:r>
              <w:rPr>
                <w:b/>
                <w:sz w:val="20"/>
                <w:szCs w:val="20"/>
              </w:rPr>
              <w:t>Qc</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0E4EEE">
              <w:rPr>
                <w:sz w:val="20"/>
                <w:szCs w:val="20"/>
              </w:rPr>
              <w:t>Autorisation</w:t>
            </w:r>
            <w:r w:rsidRPr="003B3977">
              <w:rPr>
                <w:sz w:val="20"/>
                <w:szCs w:val="20"/>
              </w:rPr>
              <w:t>)</w:t>
            </w:r>
          </w:p>
          <w:p w:rsidR="0086340B" w:rsidRPr="003B3977" w:rsidRDefault="0086340B" w:rsidP="005F1ED8">
            <w:pPr>
              <w:rPr>
                <w:sz w:val="20"/>
                <w:szCs w:val="20"/>
              </w:rPr>
            </w:pPr>
          </w:p>
          <w:p w:rsidR="0086340B" w:rsidRPr="003B3977" w:rsidRDefault="00BA13BB" w:rsidP="005F1ED8">
            <w:pPr>
              <w:rPr>
                <w:sz w:val="20"/>
                <w:szCs w:val="20"/>
                <w:lang w:val="fr-CA"/>
              </w:rPr>
            </w:pPr>
            <w:r>
              <w:rPr>
                <w:sz w:val="20"/>
                <w:szCs w:val="20"/>
                <w:lang w:val="fr-CA"/>
              </w:rPr>
              <w:pict>
                <v:rect id="_x0000_i1047"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0E4EEE" w:rsidRDefault="000E4EEE" w:rsidP="005F1ED8">
            <w:pPr>
              <w:rPr>
                <w:sz w:val="20"/>
                <w:szCs w:val="20"/>
              </w:rPr>
            </w:pPr>
            <w:r w:rsidRPr="000E4EEE">
              <w:rPr>
                <w:sz w:val="20"/>
                <w:szCs w:val="20"/>
              </w:rPr>
              <w:t>29</w:t>
            </w:r>
            <w:r w:rsidR="0086340B" w:rsidRPr="000E4EEE">
              <w:rPr>
                <w:sz w:val="20"/>
                <w:szCs w:val="20"/>
              </w:rPr>
              <w:t>.</w:t>
            </w:r>
            <w:r w:rsidRPr="000E4EEE">
              <w:rPr>
                <w:sz w:val="20"/>
                <w:szCs w:val="20"/>
              </w:rPr>
              <w:t>05</w:t>
            </w:r>
            <w:r w:rsidR="0086340B" w:rsidRPr="000E4EEE">
              <w:rPr>
                <w:sz w:val="20"/>
                <w:szCs w:val="20"/>
              </w:rPr>
              <w:t>.201</w:t>
            </w:r>
            <w:r w:rsidRPr="000E4EEE">
              <w:rPr>
                <w:sz w:val="20"/>
                <w:szCs w:val="20"/>
              </w:rPr>
              <w:t>5</w:t>
            </w:r>
          </w:p>
          <w:p w:rsidR="0086340B" w:rsidRPr="000E4EEE" w:rsidRDefault="0086340B" w:rsidP="005F1ED8">
            <w:pPr>
              <w:rPr>
                <w:sz w:val="20"/>
                <w:szCs w:val="20"/>
              </w:rPr>
            </w:pPr>
          </w:p>
          <w:p w:rsidR="0086340B" w:rsidRPr="000E4EEE" w:rsidRDefault="000E4EEE" w:rsidP="005F1ED8">
            <w:pPr>
              <w:rPr>
                <w:b/>
                <w:sz w:val="20"/>
                <w:szCs w:val="20"/>
              </w:rPr>
            </w:pPr>
            <w:r w:rsidRPr="000E4EEE">
              <w:rPr>
                <w:b/>
                <w:sz w:val="20"/>
                <w:szCs w:val="20"/>
              </w:rPr>
              <w:t>Jessica E</w:t>
            </w:r>
            <w:r w:rsidR="0086340B" w:rsidRPr="000E4EEE">
              <w:rPr>
                <w:b/>
                <w:sz w:val="20"/>
                <w:szCs w:val="20"/>
              </w:rPr>
              <w:t>r</w:t>
            </w:r>
            <w:r w:rsidRPr="000E4EEE">
              <w:rPr>
                <w:b/>
                <w:sz w:val="20"/>
                <w:szCs w:val="20"/>
              </w:rPr>
              <w:t>nst</w:t>
            </w:r>
          </w:p>
          <w:p w:rsidR="0086340B" w:rsidRPr="000E4EEE" w:rsidRDefault="0086340B" w:rsidP="005F1ED8">
            <w:pPr>
              <w:rPr>
                <w:b/>
                <w:sz w:val="20"/>
                <w:szCs w:val="20"/>
              </w:rPr>
            </w:pPr>
          </w:p>
          <w:p w:rsidR="0086340B" w:rsidRPr="000E4EEE" w:rsidRDefault="0086340B" w:rsidP="005F1ED8">
            <w:pPr>
              <w:rPr>
                <w:b/>
                <w:sz w:val="20"/>
                <w:szCs w:val="20"/>
              </w:rPr>
            </w:pPr>
            <w:r w:rsidRPr="000E4EEE">
              <w:rPr>
                <w:b/>
                <w:sz w:val="20"/>
                <w:szCs w:val="20"/>
              </w:rPr>
              <w:tab/>
            </w:r>
            <w:r w:rsidR="000E4EEE" w:rsidRPr="000E4EEE">
              <w:rPr>
                <w:b/>
                <w:sz w:val="20"/>
                <w:szCs w:val="20"/>
              </w:rPr>
              <w:t>v</w:t>
            </w:r>
            <w:r w:rsidRPr="000E4EEE">
              <w:rPr>
                <w:b/>
                <w:sz w:val="20"/>
                <w:szCs w:val="20"/>
              </w:rPr>
              <w:t>. (3</w:t>
            </w:r>
            <w:r w:rsidR="000E4EEE" w:rsidRPr="000E4EEE">
              <w:rPr>
                <w:b/>
                <w:sz w:val="20"/>
                <w:szCs w:val="20"/>
              </w:rPr>
              <w:t>6167</w:t>
            </w:r>
            <w:r w:rsidRPr="000E4EEE">
              <w:rPr>
                <w:b/>
                <w:sz w:val="20"/>
                <w:szCs w:val="20"/>
              </w:rPr>
              <w:t>)</w:t>
            </w:r>
          </w:p>
          <w:p w:rsidR="0086340B" w:rsidRPr="000E4EEE" w:rsidRDefault="0086340B" w:rsidP="005F1ED8">
            <w:pPr>
              <w:rPr>
                <w:b/>
                <w:sz w:val="20"/>
                <w:szCs w:val="20"/>
              </w:rPr>
            </w:pPr>
          </w:p>
          <w:p w:rsidR="0086340B" w:rsidRPr="000E4EEE" w:rsidRDefault="000E4EEE" w:rsidP="005F1ED8">
            <w:pPr>
              <w:rPr>
                <w:b/>
                <w:sz w:val="20"/>
                <w:szCs w:val="20"/>
              </w:rPr>
            </w:pPr>
            <w:r w:rsidRPr="000E4EEE">
              <w:rPr>
                <w:b/>
                <w:sz w:val="20"/>
                <w:szCs w:val="20"/>
              </w:rPr>
              <w:t>Alb</w:t>
            </w:r>
            <w:r w:rsidR="0086340B" w:rsidRPr="000E4EEE">
              <w:rPr>
                <w:b/>
                <w:sz w:val="20"/>
                <w:szCs w:val="20"/>
              </w:rPr>
              <w:t>er</w:t>
            </w:r>
            <w:r w:rsidRPr="000E4EEE">
              <w:rPr>
                <w:b/>
                <w:sz w:val="20"/>
                <w:szCs w:val="20"/>
              </w:rPr>
              <w:t>t</w:t>
            </w:r>
            <w:r w:rsidR="0086340B" w:rsidRPr="000E4EEE">
              <w:rPr>
                <w:b/>
                <w:sz w:val="20"/>
                <w:szCs w:val="20"/>
              </w:rPr>
              <w:t>a</w:t>
            </w:r>
            <w:r w:rsidRPr="000E4EEE">
              <w:rPr>
                <w:b/>
                <w:sz w:val="20"/>
                <w:szCs w:val="20"/>
              </w:rPr>
              <w:t xml:space="preserve"> E</w:t>
            </w:r>
            <w:r w:rsidR="0086340B" w:rsidRPr="000E4EEE">
              <w:rPr>
                <w:b/>
                <w:sz w:val="20"/>
                <w:szCs w:val="20"/>
              </w:rPr>
              <w:t>n</w:t>
            </w:r>
            <w:r w:rsidRPr="000E4EEE">
              <w:rPr>
                <w:b/>
                <w:sz w:val="20"/>
                <w:szCs w:val="20"/>
              </w:rPr>
              <w:t>ergy Regul</w:t>
            </w:r>
            <w:r w:rsidR="0086340B" w:rsidRPr="000E4EEE">
              <w:rPr>
                <w:b/>
                <w:sz w:val="20"/>
                <w:szCs w:val="20"/>
              </w:rPr>
              <w:t>at</w:t>
            </w:r>
            <w:r w:rsidRPr="000E4EEE">
              <w:rPr>
                <w:b/>
                <w:sz w:val="20"/>
                <w:szCs w:val="20"/>
              </w:rPr>
              <w:t>o</w:t>
            </w:r>
            <w:r w:rsidR="0086340B" w:rsidRPr="000E4EEE">
              <w:rPr>
                <w:b/>
                <w:sz w:val="20"/>
                <w:szCs w:val="20"/>
              </w:rPr>
              <w:t>r (</w:t>
            </w:r>
            <w:r w:rsidRPr="000E4EEE">
              <w:rPr>
                <w:b/>
                <w:sz w:val="20"/>
                <w:szCs w:val="20"/>
              </w:rPr>
              <w:t>Alta.</w:t>
            </w:r>
            <w:r w:rsidR="0086340B" w:rsidRPr="000E4EEE">
              <w:rPr>
                <w:b/>
                <w:sz w:val="20"/>
                <w:szCs w:val="20"/>
              </w:rPr>
              <w:t>)</w:t>
            </w:r>
          </w:p>
          <w:p w:rsidR="0086340B" w:rsidRPr="000E4EEE" w:rsidRDefault="0086340B" w:rsidP="005F1ED8">
            <w:pPr>
              <w:rPr>
                <w:sz w:val="20"/>
                <w:szCs w:val="20"/>
              </w:rPr>
            </w:pPr>
          </w:p>
          <w:p w:rsidR="0086340B" w:rsidRPr="003B3977" w:rsidRDefault="0086340B" w:rsidP="005F1ED8">
            <w:pPr>
              <w:rPr>
                <w:sz w:val="20"/>
                <w:szCs w:val="20"/>
              </w:rPr>
            </w:pPr>
            <w:r w:rsidRPr="003B3977">
              <w:rPr>
                <w:sz w:val="20"/>
                <w:szCs w:val="20"/>
              </w:rPr>
              <w:t>(</w:t>
            </w:r>
            <w:r w:rsidR="000E4EEE">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BA13BB" w:rsidP="005F1ED8">
            <w:pPr>
              <w:rPr>
                <w:sz w:val="20"/>
                <w:szCs w:val="20"/>
              </w:rPr>
            </w:pPr>
            <w:r>
              <w:rPr>
                <w:sz w:val="20"/>
                <w:szCs w:val="20"/>
                <w:lang w:val="fr-CA"/>
              </w:rPr>
              <w:pict>
                <v:rect id="_x0000_i1048" style="width:106.1pt;height:1pt" o:hrpct="500" o:hralign="center" o:hrstd="t" o:hrnoshade="t" o:hr="t" fillcolor="black [3213]" stroked="f"/>
              </w:pict>
            </w:r>
          </w:p>
        </w:tc>
      </w:tr>
      <w:tr w:rsidR="0086340B" w:rsidRPr="00130B0E" w:rsidTr="000F24AF">
        <w:trPr>
          <w:cantSplit/>
        </w:trPr>
        <w:tc>
          <w:tcPr>
            <w:tcW w:w="2206" w:type="pct"/>
            <w:tcMar>
              <w:left w:w="0" w:type="dxa"/>
              <w:right w:w="0" w:type="dxa"/>
            </w:tcMar>
          </w:tcPr>
          <w:p w:rsidR="0086340B" w:rsidRPr="003B3977" w:rsidRDefault="000E4EEE" w:rsidP="005F1ED8">
            <w:pPr>
              <w:rPr>
                <w:sz w:val="20"/>
                <w:szCs w:val="20"/>
              </w:rPr>
            </w:pPr>
            <w:r>
              <w:rPr>
                <w:sz w:val="20"/>
                <w:szCs w:val="20"/>
              </w:rPr>
              <w:t>01</w:t>
            </w:r>
            <w:r w:rsidR="0086340B" w:rsidRPr="003B3977">
              <w:rPr>
                <w:sz w:val="20"/>
                <w:szCs w:val="20"/>
              </w:rPr>
              <w:t>.</w:t>
            </w:r>
            <w:r>
              <w:rPr>
                <w:sz w:val="20"/>
                <w:szCs w:val="20"/>
              </w:rPr>
              <w:t>06</w:t>
            </w:r>
            <w:r w:rsidR="0086340B" w:rsidRPr="003B3977">
              <w:rPr>
                <w:sz w:val="20"/>
                <w:szCs w:val="20"/>
              </w:rPr>
              <w:t>.201</w:t>
            </w:r>
            <w:r>
              <w:rPr>
                <w:sz w:val="20"/>
                <w:szCs w:val="20"/>
              </w:rPr>
              <w:t>5</w:t>
            </w:r>
          </w:p>
          <w:p w:rsidR="0086340B" w:rsidRPr="003B3977" w:rsidRDefault="0086340B" w:rsidP="005F1ED8">
            <w:pPr>
              <w:rPr>
                <w:sz w:val="20"/>
                <w:szCs w:val="20"/>
              </w:rPr>
            </w:pPr>
          </w:p>
          <w:p w:rsidR="0086340B" w:rsidRPr="003B3977" w:rsidRDefault="000E4EEE" w:rsidP="005F1ED8">
            <w:pPr>
              <w:rPr>
                <w:b/>
                <w:sz w:val="20"/>
                <w:szCs w:val="20"/>
              </w:rPr>
            </w:pPr>
            <w:r>
              <w:rPr>
                <w:b/>
                <w:sz w:val="20"/>
                <w:szCs w:val="20"/>
              </w:rPr>
              <w:t>Jos</w:t>
            </w:r>
            <w:r w:rsidR="0086340B">
              <w:rPr>
                <w:b/>
                <w:sz w:val="20"/>
                <w:szCs w:val="20"/>
              </w:rPr>
              <w:t>e</w:t>
            </w:r>
            <w:r>
              <w:rPr>
                <w:b/>
                <w:sz w:val="20"/>
                <w:szCs w:val="20"/>
              </w:rPr>
              <w:t>ph Rya</w:t>
            </w:r>
            <w:r w:rsidR="0086340B" w:rsidRPr="003B3977">
              <w:rPr>
                <w:b/>
                <w:sz w:val="20"/>
                <w:szCs w:val="20"/>
              </w:rPr>
              <w:t>n</w:t>
            </w:r>
            <w:r>
              <w:rPr>
                <w:b/>
                <w:sz w:val="20"/>
                <w:szCs w:val="20"/>
              </w:rPr>
              <w:t xml:space="preserve"> Ll</w:t>
            </w:r>
            <w:r w:rsidR="0086340B">
              <w:rPr>
                <w:b/>
                <w:sz w:val="20"/>
                <w:szCs w:val="20"/>
              </w:rPr>
              <w:t>o</w:t>
            </w:r>
            <w:r>
              <w:rPr>
                <w:b/>
                <w:sz w:val="20"/>
                <w:szCs w:val="20"/>
              </w:rPr>
              <w:t>yd</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Pr>
                <w:b/>
                <w:sz w:val="20"/>
                <w:szCs w:val="20"/>
              </w:rPr>
              <w:t>5</w:t>
            </w:r>
            <w:r w:rsidR="000E4EEE">
              <w:rPr>
                <w:b/>
                <w:sz w:val="20"/>
                <w:szCs w:val="20"/>
              </w:rPr>
              <w:t>982</w:t>
            </w:r>
            <w:r w:rsidRPr="003B3977">
              <w:rPr>
                <w:b/>
                <w:sz w:val="20"/>
                <w:szCs w:val="20"/>
              </w:rPr>
              <w:t>)</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Her Majesty the Queen (</w:t>
            </w:r>
            <w:r w:rsidR="000E4EEE">
              <w:rPr>
                <w:b/>
                <w:sz w:val="20"/>
                <w:szCs w:val="20"/>
              </w:rPr>
              <w:t>B</w:t>
            </w:r>
            <w:r>
              <w:rPr>
                <w:b/>
                <w:sz w:val="20"/>
                <w:szCs w:val="20"/>
              </w:rPr>
              <w:t>.</w:t>
            </w:r>
            <w:r w:rsidR="000E4EEE">
              <w:rPr>
                <w:b/>
                <w:sz w:val="20"/>
                <w:szCs w:val="20"/>
              </w:rPr>
              <w:t>C</w:t>
            </w:r>
            <w:r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0E4EEE">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BA13BB" w:rsidP="005F1ED8">
            <w:pPr>
              <w:rPr>
                <w:sz w:val="20"/>
                <w:szCs w:val="20"/>
              </w:rPr>
            </w:pPr>
            <w:r>
              <w:rPr>
                <w:sz w:val="20"/>
                <w:szCs w:val="20"/>
                <w:lang w:val="fr-CA"/>
              </w:rPr>
              <w:pict>
                <v:rect id="_x0000_i1049"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0F24AF" w:rsidRPr="000E4EEE" w:rsidRDefault="000F24AF" w:rsidP="000F24AF">
            <w:pPr>
              <w:rPr>
                <w:sz w:val="20"/>
                <w:szCs w:val="20"/>
              </w:rPr>
            </w:pPr>
            <w:r>
              <w:rPr>
                <w:sz w:val="20"/>
                <w:szCs w:val="20"/>
              </w:rPr>
              <w:t>03</w:t>
            </w:r>
            <w:r w:rsidRPr="000E4EEE">
              <w:rPr>
                <w:sz w:val="20"/>
                <w:szCs w:val="20"/>
              </w:rPr>
              <w:t>.0</w:t>
            </w:r>
            <w:r>
              <w:rPr>
                <w:sz w:val="20"/>
                <w:szCs w:val="20"/>
              </w:rPr>
              <w:t>6</w:t>
            </w:r>
            <w:r w:rsidRPr="000E4EEE">
              <w:rPr>
                <w:sz w:val="20"/>
                <w:szCs w:val="20"/>
              </w:rPr>
              <w:t>.2015</w:t>
            </w:r>
          </w:p>
          <w:p w:rsidR="000F24AF" w:rsidRPr="000E4EEE" w:rsidRDefault="000F24AF" w:rsidP="000F24AF">
            <w:pPr>
              <w:rPr>
                <w:sz w:val="20"/>
                <w:szCs w:val="20"/>
              </w:rPr>
            </w:pPr>
          </w:p>
          <w:p w:rsidR="000F24AF" w:rsidRPr="000E4EEE" w:rsidRDefault="000F24AF" w:rsidP="000F24AF">
            <w:pPr>
              <w:rPr>
                <w:b/>
                <w:sz w:val="20"/>
                <w:szCs w:val="20"/>
              </w:rPr>
            </w:pPr>
            <w:r>
              <w:rPr>
                <w:b/>
                <w:sz w:val="20"/>
                <w:szCs w:val="20"/>
              </w:rPr>
              <w:t>Can</w:t>
            </w:r>
            <w:r w:rsidRPr="000E4EEE">
              <w:rPr>
                <w:b/>
                <w:sz w:val="20"/>
                <w:szCs w:val="20"/>
              </w:rPr>
              <w:t>a</w:t>
            </w:r>
            <w:r>
              <w:rPr>
                <w:b/>
                <w:sz w:val="20"/>
                <w:szCs w:val="20"/>
              </w:rPr>
              <w:t>dian Pacific Railway Company</w:t>
            </w:r>
          </w:p>
          <w:p w:rsidR="000F24AF" w:rsidRPr="000E4EEE" w:rsidRDefault="000F24AF" w:rsidP="000F24AF">
            <w:pPr>
              <w:rPr>
                <w:b/>
                <w:sz w:val="20"/>
                <w:szCs w:val="20"/>
              </w:rPr>
            </w:pPr>
          </w:p>
          <w:p w:rsidR="000F24AF" w:rsidRPr="000E4EEE" w:rsidRDefault="000F24AF" w:rsidP="000F24AF">
            <w:pPr>
              <w:rPr>
                <w:b/>
                <w:sz w:val="20"/>
                <w:szCs w:val="20"/>
              </w:rPr>
            </w:pPr>
            <w:r w:rsidRPr="000E4EEE">
              <w:rPr>
                <w:b/>
                <w:sz w:val="20"/>
                <w:szCs w:val="20"/>
              </w:rPr>
              <w:tab/>
              <w:t>v. (36</w:t>
            </w:r>
            <w:r>
              <w:rPr>
                <w:b/>
                <w:sz w:val="20"/>
                <w:szCs w:val="20"/>
              </w:rPr>
              <w:t>223</w:t>
            </w:r>
            <w:r w:rsidRPr="000E4EEE">
              <w:rPr>
                <w:b/>
                <w:sz w:val="20"/>
                <w:szCs w:val="20"/>
              </w:rPr>
              <w:t>)</w:t>
            </w:r>
          </w:p>
          <w:p w:rsidR="000F24AF" w:rsidRPr="000E4EEE" w:rsidRDefault="000F24AF" w:rsidP="000F24AF">
            <w:pPr>
              <w:rPr>
                <w:b/>
                <w:sz w:val="20"/>
                <w:szCs w:val="20"/>
              </w:rPr>
            </w:pPr>
          </w:p>
          <w:p w:rsidR="000F24AF" w:rsidRPr="000E4EEE" w:rsidRDefault="000F24AF" w:rsidP="000F24AF">
            <w:pPr>
              <w:rPr>
                <w:b/>
                <w:sz w:val="20"/>
                <w:szCs w:val="20"/>
              </w:rPr>
            </w:pPr>
            <w:r w:rsidRPr="000E4EEE">
              <w:rPr>
                <w:b/>
                <w:sz w:val="20"/>
                <w:szCs w:val="20"/>
              </w:rPr>
              <w:t>At</w:t>
            </w:r>
            <w:r>
              <w:rPr>
                <w:b/>
                <w:sz w:val="20"/>
                <w:szCs w:val="20"/>
              </w:rPr>
              <w:t>torney Gener</w:t>
            </w:r>
            <w:r w:rsidRPr="000E4EEE">
              <w:rPr>
                <w:b/>
                <w:sz w:val="20"/>
                <w:szCs w:val="20"/>
              </w:rPr>
              <w:t>al</w:t>
            </w:r>
            <w:r>
              <w:rPr>
                <w:b/>
                <w:sz w:val="20"/>
                <w:szCs w:val="20"/>
              </w:rPr>
              <w:t xml:space="preserve"> </w:t>
            </w:r>
            <w:r w:rsidRPr="000E4EEE">
              <w:rPr>
                <w:b/>
                <w:sz w:val="20"/>
                <w:szCs w:val="20"/>
              </w:rPr>
              <w:t>o</w:t>
            </w:r>
            <w:r>
              <w:rPr>
                <w:b/>
                <w:sz w:val="20"/>
                <w:szCs w:val="20"/>
              </w:rPr>
              <w:t>f Canada et al.</w:t>
            </w:r>
            <w:r w:rsidRPr="000E4EEE">
              <w:rPr>
                <w:b/>
                <w:sz w:val="20"/>
                <w:szCs w:val="20"/>
              </w:rPr>
              <w:t xml:space="preserve"> (</w:t>
            </w:r>
            <w:r>
              <w:rPr>
                <w:b/>
                <w:sz w:val="20"/>
                <w:szCs w:val="20"/>
              </w:rPr>
              <w:t>F.C</w:t>
            </w:r>
            <w:r w:rsidRPr="000E4EEE">
              <w:rPr>
                <w:b/>
                <w:sz w:val="20"/>
                <w:szCs w:val="20"/>
              </w:rPr>
              <w:t>.)</w:t>
            </w:r>
          </w:p>
          <w:p w:rsidR="000F24AF" w:rsidRPr="000E4EEE" w:rsidRDefault="000F24AF" w:rsidP="000F24AF">
            <w:pPr>
              <w:rPr>
                <w:sz w:val="20"/>
                <w:szCs w:val="20"/>
              </w:rPr>
            </w:pPr>
          </w:p>
          <w:p w:rsidR="000F24AF" w:rsidRPr="003B3977" w:rsidRDefault="000F24AF" w:rsidP="000F24AF">
            <w:pPr>
              <w:rPr>
                <w:sz w:val="20"/>
                <w:szCs w:val="20"/>
              </w:rPr>
            </w:pPr>
            <w:r w:rsidRPr="003B3977">
              <w:rPr>
                <w:sz w:val="20"/>
                <w:szCs w:val="20"/>
              </w:rPr>
              <w:t>(</w:t>
            </w:r>
            <w:r>
              <w:rPr>
                <w:sz w:val="20"/>
                <w:szCs w:val="20"/>
              </w:rPr>
              <w:t>By Leave</w:t>
            </w:r>
            <w:r w:rsidRPr="003B3977">
              <w:rPr>
                <w:sz w:val="20"/>
                <w:szCs w:val="20"/>
              </w:rPr>
              <w:t>)</w:t>
            </w:r>
          </w:p>
          <w:p w:rsidR="000F24AF" w:rsidRPr="003B3977" w:rsidRDefault="000F24AF" w:rsidP="000F24AF">
            <w:pPr>
              <w:rPr>
                <w:sz w:val="20"/>
                <w:szCs w:val="20"/>
              </w:rPr>
            </w:pPr>
          </w:p>
          <w:p w:rsidR="0086340B" w:rsidRPr="00130B0E" w:rsidRDefault="00BA13BB" w:rsidP="000F24AF">
            <w:pPr>
              <w:rPr>
                <w:sz w:val="20"/>
                <w:szCs w:val="20"/>
                <w:lang w:val="fr-CA"/>
              </w:rPr>
            </w:pPr>
            <w:r>
              <w:rPr>
                <w:sz w:val="20"/>
                <w:szCs w:val="20"/>
                <w:lang w:val="fr-CA"/>
              </w:rPr>
              <w:pict>
                <v:rect id="_x0000_i1050"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321A34"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080"/>
        <w:gridCol w:w="4417"/>
      </w:tblGrid>
      <w:tr w:rsidR="00802863" w:rsidRPr="00C50A5C" w:rsidTr="00C1697B">
        <w:trPr>
          <w:cantSplit/>
        </w:trPr>
        <w:tc>
          <w:tcPr>
            <w:tcW w:w="4338" w:type="dxa"/>
            <w:shd w:val="clear" w:color="auto" w:fill="auto"/>
          </w:tcPr>
          <w:p w:rsidR="00C1697B" w:rsidRPr="00C50A5C" w:rsidRDefault="00A97593" w:rsidP="00C1697B">
            <w:pPr>
              <w:rPr>
                <w:sz w:val="20"/>
                <w:szCs w:val="20"/>
              </w:rPr>
            </w:pPr>
            <w:r>
              <w:rPr>
                <w:sz w:val="20"/>
                <w:szCs w:val="20"/>
              </w:rPr>
              <w:t>29</w:t>
            </w:r>
            <w:r w:rsidR="00C1697B" w:rsidRPr="00C50A5C">
              <w:rPr>
                <w:sz w:val="20"/>
                <w:szCs w:val="20"/>
              </w:rPr>
              <w:t>.05.201</w:t>
            </w:r>
            <w:r>
              <w:rPr>
                <w:sz w:val="20"/>
                <w:szCs w:val="20"/>
              </w:rPr>
              <w:t>5</w:t>
            </w:r>
          </w:p>
          <w:p w:rsidR="00C1697B" w:rsidRPr="00C50A5C" w:rsidRDefault="00C1697B" w:rsidP="00C1697B">
            <w:pPr>
              <w:rPr>
                <w:sz w:val="20"/>
                <w:szCs w:val="20"/>
              </w:rPr>
            </w:pPr>
          </w:p>
          <w:p w:rsidR="00C1697B" w:rsidRPr="00C1697B" w:rsidRDefault="00A97593" w:rsidP="00C1697B">
            <w:pPr>
              <w:rPr>
                <w:b/>
                <w:sz w:val="20"/>
                <w:szCs w:val="20"/>
              </w:rPr>
            </w:pPr>
            <w:r>
              <w:rPr>
                <w:b/>
                <w:sz w:val="20"/>
                <w:szCs w:val="20"/>
              </w:rPr>
              <w:t>Ro</w:t>
            </w:r>
            <w:r w:rsidR="00C1697B" w:rsidRPr="00C1697B">
              <w:rPr>
                <w:b/>
                <w:sz w:val="20"/>
                <w:szCs w:val="20"/>
              </w:rPr>
              <w:t>n</w:t>
            </w:r>
            <w:r>
              <w:rPr>
                <w:b/>
                <w:sz w:val="20"/>
                <w:szCs w:val="20"/>
              </w:rPr>
              <w:t>ald Hond</w:t>
            </w:r>
            <w:r w:rsidR="00C1697B" w:rsidRPr="00C1697B">
              <w:rPr>
                <w:b/>
                <w:sz w:val="20"/>
                <w:szCs w:val="20"/>
              </w:rPr>
              <w:t>u</w:t>
            </w:r>
            <w:r>
              <w:rPr>
                <w:b/>
                <w:sz w:val="20"/>
                <w:szCs w:val="20"/>
              </w:rPr>
              <w:t>s J</w:t>
            </w:r>
            <w:r w:rsidR="00C1697B" w:rsidRPr="00C1697B">
              <w:rPr>
                <w:b/>
                <w:sz w:val="20"/>
                <w:szCs w:val="20"/>
              </w:rPr>
              <w:t>en</w:t>
            </w:r>
            <w:r>
              <w:rPr>
                <w:b/>
                <w:sz w:val="20"/>
                <w:szCs w:val="20"/>
              </w:rPr>
              <w:t>nings</w:t>
            </w:r>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(36</w:t>
            </w:r>
            <w:r w:rsidR="00A97593">
              <w:rPr>
                <w:b/>
                <w:sz w:val="20"/>
                <w:szCs w:val="20"/>
              </w:rPr>
              <w:t>3</w:t>
            </w:r>
            <w:r w:rsidRPr="00C1697B">
              <w:rPr>
                <w:b/>
                <w:sz w:val="20"/>
                <w:szCs w:val="20"/>
              </w:rPr>
              <w:t>9</w:t>
            </w:r>
            <w:r w:rsidR="00A97593">
              <w:rPr>
                <w:b/>
                <w:sz w:val="20"/>
                <w:szCs w:val="20"/>
              </w:rPr>
              <w:t>4</w:t>
            </w:r>
            <w:r w:rsidRPr="00C1697B">
              <w:rPr>
                <w:b/>
                <w:sz w:val="20"/>
                <w:szCs w:val="20"/>
              </w:rPr>
              <w:t>)</w:t>
            </w:r>
          </w:p>
          <w:p w:rsidR="00C1697B" w:rsidRPr="00C1697B" w:rsidRDefault="00C1697B" w:rsidP="00C1697B">
            <w:pPr>
              <w:rPr>
                <w:b/>
                <w:sz w:val="20"/>
                <w:szCs w:val="20"/>
              </w:rPr>
            </w:pPr>
          </w:p>
          <w:p w:rsidR="00C1697B" w:rsidRPr="00C1697B" w:rsidRDefault="00A97593" w:rsidP="00C1697B">
            <w:pPr>
              <w:rPr>
                <w:b/>
                <w:sz w:val="20"/>
                <w:szCs w:val="20"/>
              </w:rPr>
            </w:pPr>
            <w:r>
              <w:rPr>
                <w:b/>
                <w:sz w:val="20"/>
                <w:szCs w:val="20"/>
              </w:rPr>
              <w:t>Her Majesty the Queen</w:t>
            </w:r>
            <w:r w:rsidR="00C1697B" w:rsidRPr="00C1697B">
              <w:rPr>
                <w:b/>
                <w:sz w:val="20"/>
                <w:szCs w:val="20"/>
              </w:rPr>
              <w:t xml:space="preserve"> (</w:t>
            </w:r>
            <w:r>
              <w:rPr>
                <w:b/>
                <w:sz w:val="20"/>
                <w:szCs w:val="20"/>
              </w:rPr>
              <w:t>N.B.</w:t>
            </w:r>
            <w:r w:rsidR="00C1697B" w:rsidRPr="00C1697B">
              <w:rPr>
                <w:b/>
                <w:sz w:val="20"/>
                <w:szCs w:val="20"/>
              </w:rPr>
              <w:t xml:space="preserve">)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w:t>
            </w:r>
            <w:r w:rsidR="00A97593">
              <w:rPr>
                <w:sz w:val="20"/>
                <w:szCs w:val="20"/>
              </w:rPr>
              <w:t>As of Right</w:t>
            </w:r>
            <w:r w:rsidRPr="00C50A5C">
              <w:rPr>
                <w:sz w:val="20"/>
                <w:szCs w:val="20"/>
              </w:rPr>
              <w:t>)</w:t>
            </w:r>
          </w:p>
          <w:p w:rsidR="00802863" w:rsidRPr="00C50A5C" w:rsidRDefault="00802863" w:rsidP="00697C62">
            <w:pPr>
              <w:rPr>
                <w:sz w:val="20"/>
                <w:szCs w:val="20"/>
              </w:rPr>
            </w:pPr>
          </w:p>
          <w:p w:rsidR="00802863" w:rsidRPr="00A97593" w:rsidRDefault="00BA13BB" w:rsidP="00697C62">
            <w:pPr>
              <w:rPr>
                <w:sz w:val="20"/>
                <w:szCs w:val="20"/>
              </w:rPr>
            </w:pPr>
            <w:r>
              <w:rPr>
                <w:sz w:val="20"/>
                <w:szCs w:val="20"/>
                <w:lang w:val="fr-CA"/>
              </w:rPr>
              <w:pict>
                <v:rect id="_x0000_i1053" style="width:108pt;height:1pt" o:hrpct="0" o:hralign="center" o:hrstd="t" o:hrnoshade="t" o:hr="t" fillcolor="black [3213]" stroked="f"/>
              </w:pict>
            </w:r>
          </w:p>
        </w:tc>
        <w:tc>
          <w:tcPr>
            <w:tcW w:w="1080" w:type="dxa"/>
            <w:shd w:val="clear" w:color="auto" w:fill="auto"/>
          </w:tcPr>
          <w:p w:rsidR="00802863" w:rsidRPr="00A97593" w:rsidRDefault="00802863" w:rsidP="00802863">
            <w:pPr>
              <w:jc w:val="center"/>
              <w:rPr>
                <w:sz w:val="20"/>
                <w:szCs w:val="20"/>
              </w:rPr>
            </w:pPr>
          </w:p>
          <w:p w:rsidR="003B3977" w:rsidRPr="00A97593" w:rsidRDefault="003B3977" w:rsidP="00802863">
            <w:pPr>
              <w:jc w:val="center"/>
              <w:rPr>
                <w:sz w:val="20"/>
                <w:szCs w:val="20"/>
              </w:rPr>
            </w:pPr>
          </w:p>
          <w:p w:rsidR="003B3977" w:rsidRPr="00A97593" w:rsidRDefault="003B3977" w:rsidP="00802863">
            <w:pPr>
              <w:jc w:val="center"/>
              <w:rPr>
                <w:sz w:val="20"/>
                <w:szCs w:val="20"/>
              </w:rPr>
            </w:pPr>
          </w:p>
          <w:p w:rsidR="003B3977" w:rsidRPr="00A97593" w:rsidRDefault="003B3977" w:rsidP="00802863">
            <w:pPr>
              <w:jc w:val="center"/>
              <w:rPr>
                <w:sz w:val="20"/>
                <w:szCs w:val="20"/>
              </w:rPr>
            </w:pPr>
          </w:p>
          <w:p w:rsidR="003B3977" w:rsidRPr="00A97593" w:rsidRDefault="003B3977" w:rsidP="00802863">
            <w:pPr>
              <w:jc w:val="center"/>
              <w:rPr>
                <w:sz w:val="20"/>
                <w:szCs w:val="20"/>
              </w:rPr>
            </w:pPr>
          </w:p>
          <w:p w:rsidR="003B3977" w:rsidRPr="00A97593" w:rsidRDefault="003B3977" w:rsidP="00802863">
            <w:pPr>
              <w:jc w:val="center"/>
              <w:rPr>
                <w:sz w:val="20"/>
                <w:szCs w:val="20"/>
              </w:rPr>
            </w:pPr>
          </w:p>
          <w:p w:rsidR="003B3977" w:rsidRPr="00A97593" w:rsidRDefault="003B3977" w:rsidP="00802863">
            <w:pPr>
              <w:jc w:val="center"/>
              <w:rPr>
                <w:sz w:val="20"/>
                <w:szCs w:val="20"/>
              </w:rPr>
            </w:pPr>
          </w:p>
          <w:p w:rsidR="003B3977" w:rsidRPr="00A97593" w:rsidRDefault="003B3977" w:rsidP="00802863">
            <w:pPr>
              <w:jc w:val="center"/>
              <w:rPr>
                <w:sz w:val="20"/>
                <w:szCs w:val="20"/>
              </w:rPr>
            </w:pPr>
          </w:p>
          <w:p w:rsidR="003B3977" w:rsidRPr="00A97593" w:rsidRDefault="003B3977" w:rsidP="00802863">
            <w:pPr>
              <w:jc w:val="center"/>
              <w:rPr>
                <w:sz w:val="20"/>
                <w:szCs w:val="20"/>
              </w:rPr>
            </w:pPr>
          </w:p>
          <w:p w:rsidR="003B3977" w:rsidRPr="00A97593" w:rsidRDefault="003B3977" w:rsidP="00802863">
            <w:pPr>
              <w:jc w:val="center"/>
              <w:rPr>
                <w:sz w:val="20"/>
                <w:szCs w:val="20"/>
              </w:rPr>
            </w:pPr>
          </w:p>
          <w:p w:rsidR="003B3977" w:rsidRPr="00A97593" w:rsidRDefault="003B3977" w:rsidP="00802863">
            <w:pPr>
              <w:jc w:val="center"/>
              <w:rPr>
                <w:sz w:val="20"/>
                <w:szCs w:val="20"/>
              </w:rPr>
            </w:pPr>
          </w:p>
          <w:p w:rsidR="003B3977" w:rsidRPr="00A97593" w:rsidRDefault="003B3977" w:rsidP="00802863">
            <w:pPr>
              <w:jc w:val="center"/>
              <w:rPr>
                <w:sz w:val="20"/>
                <w:szCs w:val="20"/>
              </w:rPr>
            </w:pPr>
          </w:p>
        </w:tc>
        <w:tc>
          <w:tcPr>
            <w:tcW w:w="4417" w:type="dxa"/>
            <w:shd w:val="clear" w:color="auto" w:fill="auto"/>
          </w:tcPr>
          <w:p w:rsidR="00802863" w:rsidRPr="00A97593" w:rsidRDefault="00802863" w:rsidP="00802863">
            <w:pPr>
              <w:rPr>
                <w:sz w:val="20"/>
                <w:szCs w:val="20"/>
              </w:rPr>
            </w:pPr>
          </w:p>
        </w:tc>
      </w:tr>
    </w:tbl>
    <w:p w:rsidR="00802863" w:rsidRPr="00A97593" w:rsidRDefault="00802863" w:rsidP="00802863">
      <w:pPr>
        <w:rPr>
          <w:sz w:val="20"/>
          <w:szCs w:val="20"/>
        </w:rPr>
      </w:pPr>
    </w:p>
    <w:p w:rsidR="00D94028" w:rsidRPr="00A97593" w:rsidRDefault="00D94028" w:rsidP="00802863">
      <w:pPr>
        <w:rPr>
          <w:sz w:val="20"/>
          <w:szCs w:val="20"/>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321A34"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251851" w:rsidRDefault="0052229C" w:rsidP="0052229C">
      <w:pPr>
        <w:rPr>
          <w:b/>
          <w:sz w:val="20"/>
          <w:szCs w:val="20"/>
        </w:rPr>
      </w:pPr>
      <w:r w:rsidRPr="00251851">
        <w:rPr>
          <w:b/>
          <w:sz w:val="20"/>
          <w:szCs w:val="20"/>
        </w:rPr>
        <w:t>JU</w:t>
      </w:r>
      <w:r w:rsidR="000E4EEE" w:rsidRPr="00251851">
        <w:rPr>
          <w:b/>
          <w:sz w:val="20"/>
          <w:szCs w:val="20"/>
        </w:rPr>
        <w:t>NE</w:t>
      </w:r>
      <w:r w:rsidRPr="00251851">
        <w:rPr>
          <w:b/>
          <w:sz w:val="20"/>
          <w:szCs w:val="20"/>
        </w:rPr>
        <w:t xml:space="preserve"> 1</w:t>
      </w:r>
      <w:r w:rsidR="000E4EEE" w:rsidRPr="00251851">
        <w:rPr>
          <w:b/>
          <w:sz w:val="20"/>
          <w:szCs w:val="20"/>
        </w:rPr>
        <w:t>1</w:t>
      </w:r>
      <w:r w:rsidRPr="00251851">
        <w:rPr>
          <w:b/>
          <w:sz w:val="20"/>
          <w:szCs w:val="20"/>
        </w:rPr>
        <w:t>, 201</w:t>
      </w:r>
      <w:r w:rsidR="000E4EEE" w:rsidRPr="00251851">
        <w:rPr>
          <w:b/>
          <w:sz w:val="20"/>
          <w:szCs w:val="20"/>
        </w:rPr>
        <w:t>5</w:t>
      </w:r>
      <w:r w:rsidRPr="00251851">
        <w:rPr>
          <w:b/>
          <w:sz w:val="20"/>
          <w:szCs w:val="20"/>
        </w:rPr>
        <w:t xml:space="preserve"> / LE 1</w:t>
      </w:r>
      <w:r w:rsidR="000E4EEE" w:rsidRPr="00251851">
        <w:rPr>
          <w:b/>
          <w:sz w:val="20"/>
          <w:szCs w:val="20"/>
        </w:rPr>
        <w:t>1</w:t>
      </w:r>
      <w:r w:rsidRPr="00251851">
        <w:rPr>
          <w:b/>
          <w:sz w:val="20"/>
          <w:szCs w:val="20"/>
        </w:rPr>
        <w:t xml:space="preserve"> J</w:t>
      </w:r>
      <w:r w:rsidR="000E4EEE" w:rsidRPr="00251851">
        <w:rPr>
          <w:b/>
          <w:sz w:val="20"/>
          <w:szCs w:val="20"/>
        </w:rPr>
        <w:t>UI</w:t>
      </w:r>
      <w:r w:rsidRPr="00251851">
        <w:rPr>
          <w:b/>
          <w:sz w:val="20"/>
          <w:szCs w:val="20"/>
        </w:rPr>
        <w:t>N 201</w:t>
      </w:r>
      <w:r w:rsidR="000E4EEE" w:rsidRPr="00251851">
        <w:rPr>
          <w:b/>
          <w:sz w:val="20"/>
          <w:szCs w:val="20"/>
        </w:rPr>
        <w:t>5</w:t>
      </w:r>
    </w:p>
    <w:p w:rsidR="0052229C" w:rsidRPr="00251851" w:rsidRDefault="0052229C" w:rsidP="0052229C">
      <w:pPr>
        <w:rPr>
          <w:sz w:val="20"/>
          <w:szCs w:val="20"/>
        </w:rPr>
      </w:pPr>
    </w:p>
    <w:p w:rsidR="00251851" w:rsidRPr="009800B2" w:rsidRDefault="00AD34D7" w:rsidP="00251851">
      <w:pPr>
        <w:ind w:left="1440" w:hanging="1440"/>
        <w:jc w:val="both"/>
        <w:rPr>
          <w:rFonts w:eastAsia="Calibri"/>
          <w:sz w:val="20"/>
          <w:szCs w:val="20"/>
        </w:rPr>
      </w:pPr>
      <w:r w:rsidRPr="009800B2">
        <w:rPr>
          <w:rFonts w:eastAsia="Calibri"/>
          <w:b/>
          <w:sz w:val="20"/>
          <w:szCs w:val="20"/>
        </w:rPr>
        <w:fldChar w:fldCharType="begin"/>
      </w:r>
      <w:r w:rsidR="00251851" w:rsidRPr="009800B2">
        <w:rPr>
          <w:rFonts w:eastAsia="Calibri"/>
          <w:b/>
          <w:sz w:val="20"/>
          <w:szCs w:val="20"/>
        </w:rPr>
        <w:instrText xml:space="preserve"> SEQ CHAPTER \h \r 1</w:instrText>
      </w:r>
      <w:r w:rsidRPr="009800B2">
        <w:rPr>
          <w:rFonts w:eastAsia="Calibri"/>
          <w:b/>
          <w:sz w:val="20"/>
          <w:szCs w:val="20"/>
        </w:rPr>
        <w:fldChar w:fldCharType="end"/>
      </w:r>
      <w:r w:rsidR="00251851" w:rsidRPr="009800B2">
        <w:rPr>
          <w:rFonts w:eastAsia="Calibri"/>
          <w:b/>
          <w:sz w:val="20"/>
          <w:szCs w:val="20"/>
        </w:rPr>
        <w:t>36059</w:t>
      </w:r>
      <w:r w:rsidR="00251851" w:rsidRPr="009800B2">
        <w:rPr>
          <w:rFonts w:eastAsia="Calibri"/>
          <w:sz w:val="20"/>
          <w:szCs w:val="20"/>
        </w:rPr>
        <w:tab/>
      </w:r>
      <w:r w:rsidR="00251851" w:rsidRPr="009800B2">
        <w:rPr>
          <w:rFonts w:eastAsia="Calibri"/>
          <w:b/>
          <w:sz w:val="20"/>
          <w:szCs w:val="20"/>
          <w:u w:val="single"/>
        </w:rPr>
        <w:t>Her Majesty The Queen v. Owen Edward Smith – and – Santé Cannabis, Criminal Lawyers’ Association (Ontario), Canadian Civil Liberties Association, British Columbia Civil Liberties Association, Canadian AIDS Society, Canadian HIV/AIDS Legal Network and HIV &amp; AIDS Legal Clinic Ontario</w:t>
      </w:r>
      <w:r w:rsidR="00251851" w:rsidRPr="009800B2">
        <w:rPr>
          <w:rFonts w:eastAsia="Calibri"/>
          <w:b/>
          <w:sz w:val="20"/>
          <w:szCs w:val="20"/>
        </w:rPr>
        <w:t xml:space="preserve"> </w:t>
      </w:r>
      <w:r w:rsidR="00251851" w:rsidRPr="009800B2">
        <w:rPr>
          <w:rFonts w:eastAsia="Calibri"/>
          <w:iCs/>
          <w:sz w:val="20"/>
          <w:szCs w:val="20"/>
        </w:rPr>
        <w:t>(B.C.)</w:t>
      </w:r>
    </w:p>
    <w:p w:rsidR="00251851" w:rsidRPr="009800B2" w:rsidRDefault="00251851" w:rsidP="00251851">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0"/>
        </w:rPr>
      </w:pPr>
      <w:r w:rsidRPr="009800B2">
        <w:rPr>
          <w:rFonts w:eastAsia="Calibri"/>
          <w:b/>
          <w:sz w:val="20"/>
          <w:szCs w:val="20"/>
        </w:rPr>
        <w:t>2015 SCC 34 / 2015 CSC 34</w:t>
      </w:r>
    </w:p>
    <w:p w:rsidR="00251851" w:rsidRPr="009800B2" w:rsidRDefault="00251851" w:rsidP="0025185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0"/>
        </w:rPr>
      </w:pPr>
    </w:p>
    <w:p w:rsidR="00251851" w:rsidRPr="009800B2" w:rsidRDefault="00251851" w:rsidP="00251851">
      <w:pPr>
        <w:ind w:left="1440" w:hanging="1440"/>
        <w:rPr>
          <w:rFonts w:eastAsia="Calibri"/>
          <w:sz w:val="20"/>
          <w:szCs w:val="20"/>
          <w:u w:val="single"/>
        </w:rPr>
      </w:pPr>
      <w:r w:rsidRPr="009800B2">
        <w:rPr>
          <w:rFonts w:eastAsia="Calibri"/>
          <w:sz w:val="20"/>
          <w:szCs w:val="20"/>
        </w:rPr>
        <w:t>Coram:</w:t>
      </w:r>
      <w:r w:rsidRPr="009800B2">
        <w:rPr>
          <w:rFonts w:eastAsia="Calibri"/>
          <w:sz w:val="20"/>
          <w:szCs w:val="20"/>
        </w:rPr>
        <w:tab/>
      </w:r>
      <w:r w:rsidRPr="009800B2">
        <w:rPr>
          <w:rFonts w:eastAsia="Calibri"/>
          <w:sz w:val="20"/>
          <w:szCs w:val="20"/>
          <w:u w:val="single"/>
        </w:rPr>
        <w:t>McLachlin C.J. and Abella, Cromwell, Karakatsanis, Wagner, Gascon and Côté JJ.</w:t>
      </w:r>
    </w:p>
    <w:p w:rsidR="00251851" w:rsidRPr="009800B2" w:rsidRDefault="00251851" w:rsidP="00251851">
      <w:pPr>
        <w:ind w:left="1440" w:hanging="1440"/>
        <w:jc w:val="both"/>
        <w:rPr>
          <w:rFonts w:eastAsia="Calibri"/>
          <w:sz w:val="20"/>
          <w:szCs w:val="20"/>
          <w:u w:val="single"/>
        </w:rPr>
      </w:pPr>
    </w:p>
    <w:p w:rsidR="00251851" w:rsidRPr="009800B2" w:rsidRDefault="00251851" w:rsidP="00251851">
      <w:pPr>
        <w:jc w:val="both"/>
        <w:rPr>
          <w:sz w:val="20"/>
          <w:szCs w:val="20"/>
          <w:lang w:val="fr-CA"/>
        </w:rPr>
      </w:pPr>
      <w:r w:rsidRPr="009800B2">
        <w:rPr>
          <w:sz w:val="20"/>
          <w:szCs w:val="20"/>
        </w:rPr>
        <w:t xml:space="preserve">The appeal from the judgment </w:t>
      </w:r>
      <w:bookmarkStart w:id="2" w:name="BM_1_"/>
      <w:bookmarkEnd w:id="2"/>
      <w:r w:rsidRPr="009800B2">
        <w:rPr>
          <w:sz w:val="20"/>
          <w:szCs w:val="20"/>
        </w:rPr>
        <w:t xml:space="preserve">of the Court of Appeal for British Columbia (Vancouver), Number CA040556, 2014 BCCA 322, dated August 14, 2014, heard on March 20, 2015, is dismissed. Sections 4 and 5 of the </w:t>
      </w:r>
      <w:r w:rsidRPr="009800B2">
        <w:rPr>
          <w:i/>
          <w:sz w:val="20"/>
          <w:szCs w:val="20"/>
        </w:rPr>
        <w:t>Controlled Drugs and Substances Act</w:t>
      </w:r>
      <w:r w:rsidRPr="009800B2">
        <w:rPr>
          <w:sz w:val="20"/>
          <w:szCs w:val="20"/>
        </w:rPr>
        <w:t xml:space="preserve">, S.C. 1996, c. 19, are of no force and effect to the extent that they prohibit a person with a medical authorization from possessing cannabis derivatives for medical purposes. The Court of Appeal’s order is varied to delete the suspension of its declaration of invalidity. </w:t>
      </w:r>
      <w:r w:rsidRPr="009800B2">
        <w:rPr>
          <w:sz w:val="20"/>
          <w:szCs w:val="20"/>
          <w:lang w:val="fr-CA"/>
        </w:rPr>
        <w:t>Mr. Smith’s acquittal is affirmed.</w:t>
      </w:r>
    </w:p>
    <w:p w:rsidR="00251851" w:rsidRPr="009800B2" w:rsidRDefault="00251851" w:rsidP="00251851">
      <w:pPr>
        <w:jc w:val="both"/>
        <w:rPr>
          <w:sz w:val="20"/>
          <w:szCs w:val="20"/>
          <w:lang w:val="fr-CA"/>
        </w:rPr>
      </w:pPr>
    </w:p>
    <w:p w:rsidR="00251851" w:rsidRPr="009800B2" w:rsidRDefault="00251851" w:rsidP="00251851">
      <w:pPr>
        <w:jc w:val="both"/>
        <w:rPr>
          <w:sz w:val="20"/>
          <w:szCs w:val="20"/>
          <w:lang w:val="fr-CA"/>
        </w:rPr>
      </w:pPr>
      <w:r w:rsidRPr="009800B2">
        <w:rPr>
          <w:sz w:val="20"/>
          <w:szCs w:val="20"/>
          <w:lang w:val="fr-CA"/>
        </w:rPr>
        <w:t xml:space="preserve">L’appel interjeté contre l’arrêt de la Cour d’appel de la Colombie-Britannique (Vancouver), numéro CA040556, 2014 BCCA 322, en date du 14 août 2014, entendu le 20 mars 2015, est rejeté. Les articles 4 et 5 de la </w:t>
      </w:r>
      <w:r w:rsidRPr="009800B2">
        <w:rPr>
          <w:i/>
          <w:sz w:val="20"/>
          <w:szCs w:val="20"/>
          <w:lang w:val="fr-CA"/>
        </w:rPr>
        <w:t xml:space="preserve">Loi </w:t>
      </w:r>
      <w:r w:rsidRPr="009800B2">
        <w:rPr>
          <w:bCs/>
          <w:i/>
          <w:kern w:val="36"/>
          <w:sz w:val="20"/>
          <w:szCs w:val="20"/>
          <w:lang w:val="fr-CA"/>
        </w:rPr>
        <w:t>réglementant certaines drogues et autres substances</w:t>
      </w:r>
      <w:r w:rsidRPr="009800B2">
        <w:rPr>
          <w:sz w:val="20"/>
          <w:szCs w:val="20"/>
          <w:lang w:val="fr-CA"/>
        </w:rPr>
        <w:t>, L.C. 1996, ch.19, sont inopérants dans la mesure où ils interdisent à une personne munie d’une autorisation médicale de posséder des dérivés du cannabis à des fins médicales. L’ordonnance rendue par la Cour d’appel est modifiée afin de supprimer la suspension de sa déclaration d’invalidité. L’acquittement de M. Smith est confirmé.</w:t>
      </w:r>
    </w:p>
    <w:p w:rsidR="0052229C" w:rsidRDefault="0052229C" w:rsidP="0052229C">
      <w:pPr>
        <w:rPr>
          <w:sz w:val="20"/>
          <w:szCs w:val="20"/>
        </w:rPr>
      </w:pPr>
    </w:p>
    <w:p w:rsidR="001846F6" w:rsidRDefault="001846F6" w:rsidP="0052229C">
      <w:pPr>
        <w:rPr>
          <w:sz w:val="20"/>
          <w:szCs w:val="20"/>
        </w:rPr>
      </w:pPr>
    </w:p>
    <w:p w:rsidR="0052229C" w:rsidRPr="003B3977" w:rsidRDefault="00BA13BB" w:rsidP="0052229C">
      <w:pPr>
        <w:spacing w:line="0" w:lineRule="atLeast"/>
        <w:rPr>
          <w:sz w:val="20"/>
          <w:szCs w:val="20"/>
        </w:rPr>
      </w:pPr>
      <w:r>
        <w:rPr>
          <w:b/>
          <w:sz w:val="20"/>
          <w:szCs w:val="20"/>
        </w:rPr>
        <w:pict>
          <v:rect id="_x0000_i1056"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1846F6" w:rsidRPr="00FE2027" w:rsidRDefault="001846F6" w:rsidP="001846F6">
      <w:pPr>
        <w:jc w:val="both"/>
        <w:rPr>
          <w:sz w:val="20"/>
          <w:szCs w:val="20"/>
          <w:lang w:val="en-GB"/>
        </w:rPr>
      </w:pPr>
      <w:r w:rsidRPr="00FE2027">
        <w:rPr>
          <w:i/>
          <w:sz w:val="20"/>
          <w:szCs w:val="20"/>
          <w:lang w:val="en-GB"/>
        </w:rPr>
        <w:t xml:space="preserve">Her Majesty the Queen v. </w:t>
      </w:r>
      <w:r w:rsidRPr="00FE2027">
        <w:rPr>
          <w:i/>
          <w:sz w:val="20"/>
          <w:szCs w:val="20"/>
        </w:rPr>
        <w:t>Owen Edward Smith</w:t>
      </w:r>
      <w:r w:rsidRPr="00FE2027">
        <w:rPr>
          <w:i/>
          <w:sz w:val="20"/>
          <w:szCs w:val="20"/>
          <w:lang w:val="en-GB"/>
        </w:rPr>
        <w:t xml:space="preserve"> </w:t>
      </w:r>
      <w:r w:rsidRPr="00FE2027">
        <w:rPr>
          <w:sz w:val="20"/>
          <w:szCs w:val="20"/>
          <w:lang w:val="en-GB"/>
        </w:rPr>
        <w:t>(B.C) (</w:t>
      </w:r>
      <w:hyperlink r:id="rId66" w:history="1">
        <w:r w:rsidRPr="00FE2027">
          <w:rPr>
            <w:rStyle w:val="Hyperlink"/>
            <w:sz w:val="20"/>
            <w:szCs w:val="20"/>
            <w:lang w:val="en-GB"/>
          </w:rPr>
          <w:t>36059</w:t>
        </w:r>
      </w:hyperlink>
      <w:r w:rsidRPr="00FE2027">
        <w:rPr>
          <w:sz w:val="20"/>
          <w:szCs w:val="20"/>
          <w:lang w:val="en-GB"/>
        </w:rPr>
        <w:t>)</w:t>
      </w:r>
    </w:p>
    <w:p w:rsidR="005B3238" w:rsidRPr="005B3238" w:rsidRDefault="00730BC4" w:rsidP="005B3238">
      <w:pPr>
        <w:jc w:val="both"/>
        <w:rPr>
          <w:b/>
          <w:sz w:val="20"/>
          <w:szCs w:val="20"/>
        </w:rPr>
      </w:pPr>
      <w:r w:rsidRPr="004C618E">
        <w:rPr>
          <w:b/>
          <w:sz w:val="20"/>
          <w:szCs w:val="20"/>
        </w:rPr>
        <w:t xml:space="preserve">Indexed as: </w:t>
      </w:r>
      <w:r w:rsidRPr="00730BC4">
        <w:rPr>
          <w:rStyle w:val="SCCAppellantForIndexChar"/>
          <w:rFonts w:eastAsiaTheme="minorHAnsi"/>
          <w:sz w:val="20"/>
          <w:lang w:val="en-CA"/>
        </w:rPr>
        <w:t>R.</w:t>
      </w:r>
      <w:r w:rsidRPr="004C618E">
        <w:rPr>
          <w:b/>
          <w:sz w:val="20"/>
          <w:szCs w:val="20"/>
        </w:rPr>
        <w:t xml:space="preserve"> </w:t>
      </w:r>
      <w:r w:rsidRPr="004C618E">
        <w:rPr>
          <w:b/>
          <w:i/>
          <w:sz w:val="20"/>
          <w:szCs w:val="20"/>
        </w:rPr>
        <w:t>v.</w:t>
      </w:r>
      <w:r w:rsidRPr="004C618E">
        <w:rPr>
          <w:b/>
          <w:sz w:val="20"/>
          <w:szCs w:val="20"/>
        </w:rPr>
        <w:t xml:space="preserve"> </w:t>
      </w:r>
      <w:r w:rsidRPr="004C618E">
        <w:rPr>
          <w:rStyle w:val="SCCRespondentForIndexChar"/>
          <w:rFonts w:eastAsiaTheme="minorHAnsi"/>
          <w:sz w:val="20"/>
        </w:rPr>
        <w:t>Smith</w:t>
      </w:r>
      <w:r>
        <w:rPr>
          <w:rStyle w:val="SCCRespondentForIndexChar"/>
          <w:rFonts w:eastAsiaTheme="minorHAnsi"/>
          <w:sz w:val="20"/>
        </w:rPr>
        <w:t xml:space="preserve"> / </w:t>
      </w:r>
      <w:r w:rsidR="005B3238" w:rsidRPr="005B3238">
        <w:rPr>
          <w:b/>
          <w:sz w:val="20"/>
          <w:szCs w:val="20"/>
        </w:rPr>
        <w:t>Répertorié : </w:t>
      </w:r>
      <w:r w:rsidR="005B3238" w:rsidRPr="005B3238">
        <w:rPr>
          <w:rStyle w:val="SCCAppellantForIndexChar"/>
          <w:rFonts w:eastAsiaTheme="minorHAnsi"/>
          <w:sz w:val="20"/>
          <w:lang w:val="en-CA"/>
        </w:rPr>
        <w:t>R.</w:t>
      </w:r>
      <w:r w:rsidR="005B3238" w:rsidRPr="005B3238">
        <w:rPr>
          <w:b/>
          <w:sz w:val="20"/>
          <w:szCs w:val="20"/>
        </w:rPr>
        <w:t xml:space="preserve"> </w:t>
      </w:r>
      <w:r w:rsidR="005B3238" w:rsidRPr="005B3238">
        <w:rPr>
          <w:b/>
          <w:i/>
          <w:sz w:val="20"/>
          <w:szCs w:val="20"/>
        </w:rPr>
        <w:t>c.</w:t>
      </w:r>
      <w:r w:rsidR="005B3238" w:rsidRPr="005B3238">
        <w:rPr>
          <w:b/>
          <w:sz w:val="20"/>
          <w:szCs w:val="20"/>
        </w:rPr>
        <w:t xml:space="preserve"> </w:t>
      </w:r>
      <w:r w:rsidR="005B3238" w:rsidRPr="005B3238">
        <w:rPr>
          <w:rStyle w:val="SCCRespondentForIndexChar"/>
          <w:rFonts w:eastAsiaTheme="minorHAnsi"/>
          <w:sz w:val="20"/>
        </w:rPr>
        <w:t>Smith</w:t>
      </w:r>
    </w:p>
    <w:p w:rsidR="0052229C" w:rsidRPr="00730BC4" w:rsidRDefault="0052229C" w:rsidP="0052229C">
      <w:pPr>
        <w:pStyle w:val="SCCSystemYear"/>
        <w:jc w:val="both"/>
        <w:rPr>
          <w:sz w:val="20"/>
        </w:rPr>
      </w:pPr>
      <w:r w:rsidRPr="00730BC4">
        <w:rPr>
          <w:sz w:val="20"/>
        </w:rPr>
        <w:t>Neutral citation:  201</w:t>
      </w:r>
      <w:r w:rsidR="00020DC3" w:rsidRPr="00730BC4">
        <w:rPr>
          <w:sz w:val="20"/>
        </w:rPr>
        <w:t>5</w:t>
      </w:r>
      <w:r w:rsidRPr="00730BC4">
        <w:rPr>
          <w:sz w:val="20"/>
        </w:rPr>
        <w:t xml:space="preserve"> SCC </w:t>
      </w:r>
      <w:r w:rsidR="001846F6" w:rsidRPr="00730BC4">
        <w:rPr>
          <w:sz w:val="20"/>
        </w:rPr>
        <w:t>34</w:t>
      </w:r>
      <w:r w:rsidRPr="00730BC4">
        <w:rPr>
          <w:sz w:val="20"/>
        </w:rPr>
        <w:t xml:space="preserve"> / Référence neutre : 201</w:t>
      </w:r>
      <w:r w:rsidR="00020DC3" w:rsidRPr="00730BC4">
        <w:rPr>
          <w:sz w:val="20"/>
        </w:rPr>
        <w:t>5</w:t>
      </w:r>
      <w:r w:rsidRPr="00730BC4">
        <w:rPr>
          <w:sz w:val="20"/>
        </w:rPr>
        <w:t xml:space="preserve"> CSC </w:t>
      </w:r>
      <w:r w:rsidR="001846F6" w:rsidRPr="00730BC4">
        <w:rPr>
          <w:sz w:val="20"/>
        </w:rPr>
        <w:t>34</w:t>
      </w:r>
    </w:p>
    <w:p w:rsidR="0052229C" w:rsidRPr="00730BC4" w:rsidRDefault="0052229C" w:rsidP="0052229C">
      <w:pPr>
        <w:rPr>
          <w:rFonts w:cs="Times New Roman"/>
          <w:sz w:val="20"/>
          <w:szCs w:val="20"/>
          <w:lang w:val="fr-CA"/>
        </w:rPr>
      </w:pPr>
      <w:r w:rsidRPr="00730BC4">
        <w:rPr>
          <w:rFonts w:cs="Times New Roman"/>
          <w:sz w:val="20"/>
          <w:szCs w:val="20"/>
          <w:lang w:val="fr-CA"/>
        </w:rPr>
        <w:t xml:space="preserve">Hearing:  </w:t>
      </w:r>
      <w:r w:rsidR="00730BC4" w:rsidRPr="00730BC4">
        <w:rPr>
          <w:rFonts w:cs="Times New Roman"/>
          <w:sz w:val="20"/>
          <w:szCs w:val="20"/>
          <w:lang w:val="fr-CA"/>
        </w:rPr>
        <w:t>Ma</w:t>
      </w:r>
      <w:r w:rsidRPr="00730BC4">
        <w:rPr>
          <w:rFonts w:cs="Times New Roman"/>
          <w:sz w:val="20"/>
          <w:szCs w:val="20"/>
          <w:lang w:val="fr-CA"/>
        </w:rPr>
        <w:t>r</w:t>
      </w:r>
      <w:r w:rsidR="00730BC4" w:rsidRPr="00730BC4">
        <w:rPr>
          <w:rFonts w:cs="Times New Roman"/>
          <w:sz w:val="20"/>
          <w:szCs w:val="20"/>
          <w:lang w:val="fr-CA"/>
        </w:rPr>
        <w:t>ch</w:t>
      </w:r>
      <w:r w:rsidRPr="00730BC4">
        <w:rPr>
          <w:rFonts w:cs="Times New Roman"/>
          <w:sz w:val="20"/>
          <w:szCs w:val="20"/>
          <w:lang w:val="fr-CA"/>
        </w:rPr>
        <w:t xml:space="preserve"> 2</w:t>
      </w:r>
      <w:r w:rsidR="00730BC4" w:rsidRPr="00730BC4">
        <w:rPr>
          <w:rFonts w:cs="Times New Roman"/>
          <w:sz w:val="20"/>
          <w:szCs w:val="20"/>
          <w:lang w:val="fr-CA"/>
        </w:rPr>
        <w:t>0</w:t>
      </w:r>
      <w:r w:rsidRPr="00730BC4">
        <w:rPr>
          <w:rFonts w:cs="Times New Roman"/>
          <w:sz w:val="20"/>
          <w:szCs w:val="20"/>
          <w:lang w:val="fr-CA"/>
        </w:rPr>
        <w:t>, 201</w:t>
      </w:r>
      <w:r w:rsidR="00730BC4" w:rsidRPr="00730BC4">
        <w:rPr>
          <w:rFonts w:cs="Times New Roman"/>
          <w:sz w:val="20"/>
          <w:szCs w:val="20"/>
          <w:lang w:val="fr-CA"/>
        </w:rPr>
        <w:t>5</w:t>
      </w:r>
      <w:r w:rsidRPr="00730BC4">
        <w:rPr>
          <w:rFonts w:cs="Times New Roman"/>
          <w:sz w:val="20"/>
          <w:szCs w:val="20"/>
          <w:lang w:val="fr-CA"/>
        </w:rPr>
        <w:t xml:space="preserve"> / Judgment:  Ju</w:t>
      </w:r>
      <w:r w:rsidR="001846F6" w:rsidRPr="00730BC4">
        <w:rPr>
          <w:rFonts w:cs="Times New Roman"/>
          <w:sz w:val="20"/>
          <w:szCs w:val="20"/>
          <w:lang w:val="fr-CA"/>
        </w:rPr>
        <w:t>ne</w:t>
      </w:r>
      <w:r w:rsidRPr="00730BC4">
        <w:rPr>
          <w:rFonts w:cs="Times New Roman"/>
          <w:sz w:val="20"/>
          <w:szCs w:val="20"/>
          <w:lang w:val="fr-CA"/>
        </w:rPr>
        <w:t xml:space="preserve"> 1</w:t>
      </w:r>
      <w:r w:rsidR="001846F6" w:rsidRPr="00730BC4">
        <w:rPr>
          <w:rFonts w:cs="Times New Roman"/>
          <w:sz w:val="20"/>
          <w:szCs w:val="20"/>
          <w:lang w:val="fr-CA"/>
        </w:rPr>
        <w:t>1</w:t>
      </w:r>
      <w:r w:rsidRPr="00730BC4">
        <w:rPr>
          <w:rFonts w:cs="Times New Roman"/>
          <w:sz w:val="20"/>
          <w:szCs w:val="20"/>
          <w:lang w:val="fr-CA"/>
        </w:rPr>
        <w:t>, 201</w:t>
      </w:r>
      <w:r w:rsidR="00020DC3" w:rsidRPr="00730BC4">
        <w:rPr>
          <w:rFonts w:cs="Times New Roman"/>
          <w:sz w:val="20"/>
          <w:szCs w:val="20"/>
          <w:lang w:val="fr-CA"/>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2</w:t>
      </w:r>
      <w:r w:rsidR="00730BC4">
        <w:rPr>
          <w:rFonts w:cs="Times New Roman"/>
          <w:sz w:val="20"/>
          <w:szCs w:val="20"/>
          <w:lang w:val="fr-CA"/>
        </w:rPr>
        <w:t>0 m</w:t>
      </w:r>
      <w:r>
        <w:rPr>
          <w:rFonts w:cs="Times New Roman"/>
          <w:sz w:val="20"/>
          <w:szCs w:val="20"/>
          <w:lang w:val="fr-CA"/>
        </w:rPr>
        <w:t>a</w:t>
      </w:r>
      <w:r w:rsidRPr="003B3977">
        <w:rPr>
          <w:rFonts w:cs="Times New Roman"/>
          <w:sz w:val="20"/>
          <w:szCs w:val="20"/>
          <w:lang w:val="fr-CA"/>
        </w:rPr>
        <w:t>r</w:t>
      </w:r>
      <w:r w:rsidR="00730BC4">
        <w:rPr>
          <w:rFonts w:cs="Times New Roman"/>
          <w:sz w:val="20"/>
          <w:szCs w:val="20"/>
          <w:lang w:val="fr-CA"/>
        </w:rPr>
        <w:t>s</w:t>
      </w:r>
      <w:r w:rsidRPr="003B3977">
        <w:rPr>
          <w:rFonts w:cs="Times New Roman"/>
          <w:sz w:val="20"/>
          <w:szCs w:val="20"/>
          <w:lang w:val="fr-CA"/>
        </w:rPr>
        <w:t xml:space="preserve"> 201</w:t>
      </w:r>
      <w:r w:rsidR="00730BC4">
        <w:rPr>
          <w:rFonts w:cs="Times New Roman"/>
          <w:sz w:val="20"/>
          <w:szCs w:val="20"/>
          <w:lang w:val="fr-CA"/>
        </w:rPr>
        <w:t>5</w:t>
      </w:r>
      <w:r w:rsidRPr="003B3977">
        <w:rPr>
          <w:rFonts w:cs="Times New Roman"/>
          <w:sz w:val="20"/>
          <w:szCs w:val="20"/>
          <w:lang w:val="fr-CA"/>
        </w:rPr>
        <w:t xml:space="preserve"> / Jugement : Le </w:t>
      </w:r>
      <w:r>
        <w:rPr>
          <w:rFonts w:cs="Times New Roman"/>
          <w:sz w:val="20"/>
          <w:szCs w:val="20"/>
          <w:lang w:val="fr-CA"/>
        </w:rPr>
        <w:t>1</w:t>
      </w:r>
      <w:r w:rsidR="001846F6">
        <w:rPr>
          <w:rFonts w:cs="Times New Roman"/>
          <w:sz w:val="20"/>
          <w:szCs w:val="20"/>
          <w:lang w:val="fr-CA"/>
        </w:rPr>
        <w:t>1</w:t>
      </w:r>
      <w:r>
        <w:rPr>
          <w:rFonts w:cs="Times New Roman"/>
          <w:sz w:val="20"/>
          <w:szCs w:val="20"/>
          <w:lang w:val="fr-CA"/>
        </w:rPr>
        <w:t xml:space="preserve"> j</w:t>
      </w:r>
      <w:r w:rsidR="001846F6">
        <w:rPr>
          <w:rFonts w:cs="Times New Roman"/>
          <w:sz w:val="20"/>
          <w:szCs w:val="20"/>
          <w:lang w:val="fr-CA"/>
        </w:rPr>
        <w:t>ui</w:t>
      </w:r>
      <w:r>
        <w:rPr>
          <w:rFonts w:cs="Times New Roman"/>
          <w:sz w:val="20"/>
          <w:szCs w:val="20"/>
          <w:lang w:val="fr-CA"/>
        </w:rPr>
        <w:t>n</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BA13BB" w:rsidP="005C6840">
      <w:pPr>
        <w:rPr>
          <w:rFonts w:cs="Times New Roman"/>
          <w:sz w:val="20"/>
          <w:szCs w:val="20"/>
          <w:lang w:val="fr-CA"/>
        </w:rPr>
      </w:pPr>
      <w:r>
        <w:rPr>
          <w:rFonts w:cs="Times New Roman"/>
          <w:i/>
          <w:sz w:val="20"/>
          <w:szCs w:val="20"/>
        </w:rPr>
        <w:pict>
          <v:rect id="_x0000_i1059"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730BC4" w:rsidRPr="004C618E" w:rsidRDefault="00730BC4" w:rsidP="00730BC4">
      <w:pPr>
        <w:jc w:val="both"/>
        <w:rPr>
          <w:sz w:val="20"/>
          <w:szCs w:val="20"/>
        </w:rPr>
      </w:pPr>
      <w:r w:rsidRPr="004C618E">
        <w:rPr>
          <w:sz w:val="20"/>
          <w:szCs w:val="20"/>
        </w:rPr>
        <w:t>Present: McLachlin C.J. and Abella, Cromwell, Karakatsanis, Wagner, Gascon and Côté JJ.</w:t>
      </w:r>
    </w:p>
    <w:p w:rsidR="00730BC4" w:rsidRDefault="00730BC4" w:rsidP="00730BC4">
      <w:pPr>
        <w:pStyle w:val="SCCLowerCourtNameLowercase"/>
        <w:spacing w:line="240" w:lineRule="auto"/>
        <w:rPr>
          <w:sz w:val="20"/>
        </w:rPr>
      </w:pPr>
    </w:p>
    <w:p w:rsidR="00730BC4" w:rsidRPr="004C618E" w:rsidRDefault="00730BC4" w:rsidP="00730BC4">
      <w:pPr>
        <w:pStyle w:val="SCCNormalDoubleSpacing"/>
        <w:spacing w:line="240" w:lineRule="auto"/>
        <w:rPr>
          <w:i/>
          <w:sz w:val="20"/>
        </w:rPr>
      </w:pPr>
      <w:r w:rsidRPr="004C618E">
        <w:rPr>
          <w:i/>
          <w:sz w:val="20"/>
        </w:rPr>
        <w:tab/>
        <w:t>Constitutional law — Charter of Rights — Standing — Accused charged with possession and possession for purpose of trafficking of cannabis — Regulations limiting lawful possession of medical marihuana to dried forms — Accused not using marihuana for medical purposes but producing derivatives for sale outside regulatory scheme — Whether accused has standing to challenge constitutional validity of scheme — Controlled Drugs and Substances Act, S.C. 1996, c. 19, ss. 4(1), 5(2) — Marihuana Medical Access Regulations, SOR/2001</w:t>
      </w:r>
      <w:r w:rsidRPr="004C618E">
        <w:rPr>
          <w:i/>
          <w:sz w:val="20"/>
        </w:rPr>
        <w:noBreakHyphen/>
        <w:t>227.</w:t>
      </w:r>
    </w:p>
    <w:p w:rsidR="00730BC4" w:rsidRDefault="00730BC4" w:rsidP="00730BC4">
      <w:pPr>
        <w:pStyle w:val="SCCNormalDoubleSpacing"/>
        <w:spacing w:line="240" w:lineRule="auto"/>
        <w:rPr>
          <w:i/>
          <w:sz w:val="20"/>
        </w:rPr>
      </w:pPr>
    </w:p>
    <w:p w:rsidR="00730BC4" w:rsidRPr="004C618E" w:rsidRDefault="00730BC4" w:rsidP="00730BC4">
      <w:pPr>
        <w:pStyle w:val="SCCNormalDoubleSpacing"/>
        <w:spacing w:line="240" w:lineRule="auto"/>
        <w:rPr>
          <w:i/>
          <w:sz w:val="20"/>
        </w:rPr>
      </w:pPr>
      <w:r w:rsidRPr="004C618E">
        <w:rPr>
          <w:i/>
          <w:sz w:val="20"/>
        </w:rPr>
        <w:tab/>
        <w:t>Constitutional law — Charter of Rights — Right to life, liberty and security of person — Fundamental justice — Accused charged with possession and possession for purpose of trafficking of cannabis — Regulations limiting lawful possession of medical marihuana to dried forms — Whether limitation infringes s. 7 of Canadian Charter of Rights and Freedoms — If so, whether infringement justifiable under s. 1 of Charter — Appropriate remedy — Controlled Drugs and Substances Act, S.C. 1996, c. 19, ss. 4(1), 5(2) — Marihuana Medical Access Regulations, SOR/2001</w:t>
      </w:r>
      <w:r w:rsidRPr="004C618E">
        <w:rPr>
          <w:i/>
          <w:sz w:val="20"/>
        </w:rPr>
        <w:noBreakHyphen/>
        <w:t>227.</w:t>
      </w:r>
    </w:p>
    <w:p w:rsidR="00730BC4" w:rsidRDefault="00730BC4" w:rsidP="00730BC4">
      <w:pPr>
        <w:pStyle w:val="SCCNormalDoubleSpacing"/>
        <w:spacing w:line="240" w:lineRule="auto"/>
        <w:rPr>
          <w:i/>
          <w:sz w:val="20"/>
        </w:rPr>
      </w:pPr>
    </w:p>
    <w:p w:rsidR="00730BC4" w:rsidRPr="004C618E" w:rsidRDefault="00730BC4" w:rsidP="00730BC4">
      <w:pPr>
        <w:pStyle w:val="SCCNormalDoubleSpacing"/>
        <w:spacing w:line="240" w:lineRule="auto"/>
        <w:rPr>
          <w:sz w:val="20"/>
        </w:rPr>
      </w:pPr>
      <w:r w:rsidRPr="004C618E">
        <w:rPr>
          <w:i/>
          <w:sz w:val="20"/>
        </w:rPr>
        <w:tab/>
      </w:r>
      <w:r w:rsidRPr="004C618E">
        <w:rPr>
          <w:sz w:val="20"/>
        </w:rPr>
        <w:t xml:space="preserve">S produced edible and topical </w:t>
      </w:r>
      <w:r w:rsidRPr="004C618E">
        <w:rPr>
          <w:iCs/>
          <w:sz w:val="20"/>
          <w:lang w:val="en-US"/>
        </w:rPr>
        <w:t>marihuana derivatives</w:t>
      </w:r>
      <w:r w:rsidRPr="004C618E">
        <w:rPr>
          <w:sz w:val="20"/>
        </w:rPr>
        <w:t xml:space="preserve"> for sale by extracting the active compounds from the cannabis plant. He operated outside the </w:t>
      </w:r>
      <w:r w:rsidRPr="004C618E">
        <w:rPr>
          <w:i/>
          <w:sz w:val="20"/>
          <w:lang w:val="en-US"/>
        </w:rPr>
        <w:t>Marihuana Medical Access Regulations</w:t>
      </w:r>
      <w:r w:rsidRPr="004C618E">
        <w:rPr>
          <w:sz w:val="20"/>
          <w:lang w:val="en-US"/>
        </w:rPr>
        <w:t xml:space="preserve"> (“</w:t>
      </w:r>
      <w:r w:rsidRPr="004C618E">
        <w:rPr>
          <w:i/>
          <w:sz w:val="20"/>
          <w:lang w:val="en-US"/>
        </w:rPr>
        <w:t>MMARs</w:t>
      </w:r>
      <w:r w:rsidRPr="004C618E">
        <w:rPr>
          <w:sz w:val="20"/>
          <w:lang w:val="en-US"/>
        </w:rPr>
        <w:t>”)</w:t>
      </w:r>
      <w:r w:rsidRPr="004C618E">
        <w:rPr>
          <w:sz w:val="20"/>
        </w:rPr>
        <w:t xml:space="preserve">, which limit lawful possession of medical marihuana to dried marihuana. S does not himself use marihuana for medical purposes. The police charged him with possession and possession </w:t>
      </w:r>
      <w:r w:rsidRPr="004C618E">
        <w:rPr>
          <w:iCs/>
          <w:sz w:val="20"/>
          <w:lang w:val="en-US"/>
        </w:rPr>
        <w:t xml:space="preserve">for purpose of </w:t>
      </w:r>
      <w:r w:rsidRPr="004C618E">
        <w:rPr>
          <w:sz w:val="20"/>
        </w:rPr>
        <w:t xml:space="preserve">trafficking of </w:t>
      </w:r>
      <w:r w:rsidRPr="004C618E">
        <w:rPr>
          <w:iCs/>
          <w:sz w:val="20"/>
          <w:lang w:val="en-US"/>
        </w:rPr>
        <w:t>cannabis</w:t>
      </w:r>
      <w:r w:rsidRPr="004C618E">
        <w:rPr>
          <w:sz w:val="20"/>
        </w:rPr>
        <w:t xml:space="preserve"> contrary to ss. 4(1) and 5(2), respectively, of the </w:t>
      </w:r>
      <w:r w:rsidRPr="004C618E">
        <w:rPr>
          <w:i/>
          <w:sz w:val="20"/>
        </w:rPr>
        <w:t>Controlled Drugs and Substances Act</w:t>
      </w:r>
      <w:r w:rsidRPr="004C618E">
        <w:rPr>
          <w:sz w:val="20"/>
        </w:rPr>
        <w:t xml:space="preserve"> (“</w:t>
      </w:r>
      <w:r w:rsidRPr="004C618E">
        <w:rPr>
          <w:i/>
          <w:sz w:val="20"/>
        </w:rPr>
        <w:t>CDSA</w:t>
      </w:r>
      <w:r w:rsidRPr="004C618E">
        <w:rPr>
          <w:sz w:val="20"/>
        </w:rPr>
        <w:t>”). The trial judge held that the prohibition on non</w:t>
      </w:r>
      <w:r w:rsidRPr="004C618E">
        <w:rPr>
          <w:sz w:val="20"/>
        </w:rPr>
        <w:noBreakHyphen/>
        <w:t xml:space="preserve">dried forms of medical marihuana unjustifiably infringes s. 7 of the </w:t>
      </w:r>
      <w:r w:rsidRPr="004C618E">
        <w:rPr>
          <w:i/>
          <w:sz w:val="20"/>
        </w:rPr>
        <w:t>Charter</w:t>
      </w:r>
      <w:r w:rsidRPr="004C618E">
        <w:rPr>
          <w:sz w:val="20"/>
        </w:rPr>
        <w:t xml:space="preserve"> and a majority of the Court of Appeal dismissed the appeal.</w:t>
      </w:r>
    </w:p>
    <w:p w:rsidR="00730BC4" w:rsidRDefault="00730BC4" w:rsidP="00730BC4">
      <w:pPr>
        <w:pStyle w:val="SCCNormalDoubleSpacing"/>
        <w:spacing w:line="240" w:lineRule="auto"/>
        <w:rPr>
          <w:sz w:val="20"/>
        </w:rPr>
      </w:pPr>
    </w:p>
    <w:p w:rsidR="00730BC4" w:rsidRPr="004C618E" w:rsidRDefault="00730BC4" w:rsidP="00730BC4">
      <w:pPr>
        <w:pStyle w:val="SCCNormalDoubleSpacing"/>
        <w:spacing w:line="240" w:lineRule="auto"/>
        <w:rPr>
          <w:sz w:val="20"/>
        </w:rPr>
      </w:pPr>
      <w:r w:rsidRPr="004C618E">
        <w:rPr>
          <w:sz w:val="20"/>
        </w:rPr>
        <w:tab/>
      </w:r>
      <w:r w:rsidRPr="004C618E">
        <w:rPr>
          <w:i/>
          <w:sz w:val="20"/>
        </w:rPr>
        <w:t>Held</w:t>
      </w:r>
      <w:r w:rsidRPr="004C618E">
        <w:rPr>
          <w:sz w:val="20"/>
        </w:rPr>
        <w:t>: The appeal should be dismissed, the Court of Appeal’s suspension of the declaration of invalidity deleted and S’s acquittal affirmed.</w:t>
      </w:r>
    </w:p>
    <w:p w:rsidR="00730BC4" w:rsidRDefault="00730BC4" w:rsidP="00730BC4">
      <w:pPr>
        <w:pStyle w:val="SCCNormalDoubleSpacing"/>
        <w:spacing w:line="240" w:lineRule="auto"/>
        <w:rPr>
          <w:sz w:val="20"/>
        </w:rPr>
      </w:pPr>
    </w:p>
    <w:p w:rsidR="00730BC4" w:rsidRPr="004C618E" w:rsidRDefault="00730BC4" w:rsidP="00730BC4">
      <w:pPr>
        <w:pStyle w:val="SCCNormalDoubleSpacing"/>
        <w:spacing w:line="240" w:lineRule="auto"/>
        <w:rPr>
          <w:sz w:val="20"/>
        </w:rPr>
      </w:pPr>
      <w:r w:rsidRPr="004C618E">
        <w:rPr>
          <w:sz w:val="20"/>
        </w:rPr>
        <w:tab/>
        <w:t xml:space="preserve">S has standing to challenge the constitutionality of the </w:t>
      </w:r>
      <w:r w:rsidRPr="004C618E">
        <w:rPr>
          <w:i/>
          <w:sz w:val="20"/>
        </w:rPr>
        <w:t>MMARs</w:t>
      </w:r>
      <w:r w:rsidRPr="004C618E">
        <w:rPr>
          <w:sz w:val="20"/>
        </w:rPr>
        <w:t>. Accused persons have standing to challenge the constitutionality of the law under which they are charged, even if the alleged unconstitutional effects are not directed at them, or even if not</w:t>
      </w:r>
      <w:r w:rsidRPr="004C618E">
        <w:rPr>
          <w:spacing w:val="-3"/>
          <w:sz w:val="20"/>
        </w:rPr>
        <w:t xml:space="preserve"> </w:t>
      </w:r>
      <w:r w:rsidRPr="004C618E">
        <w:rPr>
          <w:sz w:val="20"/>
        </w:rPr>
        <w:t xml:space="preserve">all possible remedies for the constitutional deficiency will end the charges against them. </w:t>
      </w:r>
    </w:p>
    <w:p w:rsidR="00730BC4" w:rsidRDefault="00730BC4" w:rsidP="00730BC4">
      <w:pPr>
        <w:pStyle w:val="SCCNormalDoubleSpacing"/>
        <w:spacing w:line="240" w:lineRule="auto"/>
        <w:rPr>
          <w:sz w:val="20"/>
        </w:rPr>
      </w:pPr>
    </w:p>
    <w:p w:rsidR="00730BC4" w:rsidRPr="004C618E" w:rsidRDefault="00730BC4" w:rsidP="00730BC4">
      <w:pPr>
        <w:pStyle w:val="SCCNormalDoubleSpacing"/>
        <w:spacing w:line="240" w:lineRule="auto"/>
        <w:rPr>
          <w:sz w:val="20"/>
        </w:rPr>
      </w:pPr>
      <w:r w:rsidRPr="004C618E">
        <w:rPr>
          <w:sz w:val="20"/>
        </w:rPr>
        <w:tab/>
        <w:t>The prohibition on possession of non</w:t>
      </w:r>
      <w:r w:rsidRPr="004C618E">
        <w:rPr>
          <w:sz w:val="20"/>
        </w:rPr>
        <w:noBreakHyphen/>
        <w:t xml:space="preserve">dried forms of medical marihuana limits the s. 7 </w:t>
      </w:r>
      <w:r w:rsidRPr="004C618E">
        <w:rPr>
          <w:i/>
          <w:sz w:val="20"/>
        </w:rPr>
        <w:t>Charter</w:t>
      </w:r>
      <w:r w:rsidRPr="004C618E">
        <w:rPr>
          <w:sz w:val="20"/>
        </w:rPr>
        <w:t xml:space="preserve"> right to liberty of the person in two ways. First, the prohibition deprives S as well as medical marihuana users of their liberty by imposing a threat of imprisonment on conviction under s. 4(1) or 5(2) of the </w:t>
      </w:r>
      <w:r w:rsidRPr="004C618E">
        <w:rPr>
          <w:i/>
          <w:sz w:val="20"/>
        </w:rPr>
        <w:t>CDSA</w:t>
      </w:r>
      <w:r w:rsidRPr="004C618E">
        <w:rPr>
          <w:sz w:val="20"/>
        </w:rPr>
        <w:t>. Second, it limits the liberty of medical users by foreclosing reasonable medical choices through the threat of criminal prosecution.</w:t>
      </w:r>
      <w:r w:rsidRPr="004C618E">
        <w:rPr>
          <w:i/>
          <w:sz w:val="20"/>
        </w:rPr>
        <w:t xml:space="preserve"> </w:t>
      </w:r>
      <w:r w:rsidRPr="004C618E">
        <w:rPr>
          <w:sz w:val="20"/>
          <w:lang w:val="en-US"/>
        </w:rPr>
        <w:t>Similarly, by forcing a person to choose between a legal but inadequate treatment and an illegal but more effective one, the law also infringes security of the person.</w:t>
      </w:r>
    </w:p>
    <w:p w:rsidR="00730BC4" w:rsidRDefault="00730BC4" w:rsidP="00730BC4">
      <w:pPr>
        <w:pStyle w:val="SCCNormalDoubleSpacing"/>
        <w:spacing w:line="240" w:lineRule="auto"/>
        <w:rPr>
          <w:sz w:val="20"/>
        </w:rPr>
      </w:pPr>
    </w:p>
    <w:p w:rsidR="00730BC4" w:rsidRPr="004C618E" w:rsidRDefault="00730BC4" w:rsidP="00730BC4">
      <w:pPr>
        <w:pStyle w:val="SCCNormalDoubleSpacing"/>
        <w:spacing w:line="240" w:lineRule="auto"/>
        <w:rPr>
          <w:sz w:val="20"/>
        </w:rPr>
      </w:pPr>
      <w:r w:rsidRPr="004C618E">
        <w:rPr>
          <w:sz w:val="20"/>
        </w:rPr>
        <w:tab/>
        <w:t>These limits</w:t>
      </w:r>
      <w:r w:rsidRPr="004C618E">
        <w:rPr>
          <w:i/>
          <w:sz w:val="20"/>
        </w:rPr>
        <w:t xml:space="preserve"> </w:t>
      </w:r>
      <w:r w:rsidRPr="004C618E">
        <w:rPr>
          <w:sz w:val="20"/>
        </w:rPr>
        <w:t>are contrary to the principles of fundamental justice because they are arbitrary; the effects of the prohibition contradict the objective of protecting health and safety. The evidence amply supports the trial judge’s conclusions that inhaling marihuana can present health risks and that it is less effective for some conditions than administration of cannabis derivatives. In other words, there is no connection between the prohibition on non</w:t>
      </w:r>
      <w:r w:rsidRPr="004C618E">
        <w:rPr>
          <w:sz w:val="20"/>
        </w:rPr>
        <w:noBreakHyphen/>
        <w:t xml:space="preserve">dried forms of medical marihuana and the health and safety of the patients who qualify for legal access to medical marihuana. </w:t>
      </w:r>
    </w:p>
    <w:p w:rsidR="00730BC4" w:rsidRDefault="00730BC4" w:rsidP="00730BC4">
      <w:pPr>
        <w:pStyle w:val="SCCNormalDoubleSpacing"/>
        <w:spacing w:line="240" w:lineRule="auto"/>
        <w:rPr>
          <w:sz w:val="20"/>
          <w:lang w:val="en-US"/>
        </w:rPr>
      </w:pPr>
    </w:p>
    <w:p w:rsidR="00730BC4" w:rsidRPr="004C618E" w:rsidRDefault="00730BC4" w:rsidP="00730BC4">
      <w:pPr>
        <w:pStyle w:val="SCCNormalDoubleSpacing"/>
        <w:spacing w:line="240" w:lineRule="auto"/>
        <w:rPr>
          <w:sz w:val="20"/>
        </w:rPr>
      </w:pPr>
      <w:r w:rsidRPr="004C618E">
        <w:rPr>
          <w:sz w:val="20"/>
          <w:lang w:val="en-US"/>
        </w:rPr>
        <w:tab/>
        <w:t xml:space="preserve">In this case, the objective of the prohibition is the same under both the ss. 7 and 1 </w:t>
      </w:r>
      <w:r w:rsidRPr="004C618E">
        <w:rPr>
          <w:i/>
          <w:sz w:val="20"/>
          <w:lang w:val="en-US"/>
        </w:rPr>
        <w:t>Charter</w:t>
      </w:r>
      <w:r w:rsidRPr="004C618E">
        <w:rPr>
          <w:sz w:val="20"/>
          <w:lang w:val="en-US"/>
        </w:rPr>
        <w:t xml:space="preserve"> analyses: the protection of health and safety. It follows that the</w:t>
      </w:r>
      <w:r w:rsidRPr="004C618E">
        <w:rPr>
          <w:sz w:val="20"/>
        </w:rPr>
        <w:t xml:space="preserve"> same disconnect between the prohibition and its object that renders it </w:t>
      </w:r>
      <w:r w:rsidRPr="004C618E">
        <w:rPr>
          <w:sz w:val="20"/>
        </w:rPr>
        <w:lastRenderedPageBreak/>
        <w:t xml:space="preserve">arbitrary under s. 7 frustrates the requirement under s. 1 that the limit on the right be rationally connected to a pressing objective. The infringement of s. 7 is therefore not justified under s. 1. </w:t>
      </w:r>
    </w:p>
    <w:p w:rsidR="00730BC4" w:rsidRDefault="00730BC4" w:rsidP="00730BC4">
      <w:pPr>
        <w:pStyle w:val="SCCNormalDoubleSpacing"/>
        <w:spacing w:line="240" w:lineRule="auto"/>
        <w:rPr>
          <w:sz w:val="20"/>
        </w:rPr>
      </w:pPr>
    </w:p>
    <w:p w:rsidR="00730BC4" w:rsidRDefault="00730BC4" w:rsidP="00730BC4">
      <w:pPr>
        <w:pStyle w:val="SCCNormalDoubleSpacing"/>
        <w:spacing w:line="240" w:lineRule="auto"/>
        <w:rPr>
          <w:sz w:val="20"/>
        </w:rPr>
      </w:pPr>
      <w:r w:rsidRPr="004C618E">
        <w:rPr>
          <w:sz w:val="20"/>
        </w:rPr>
        <w:tab/>
        <w:t xml:space="preserve">However, ss. 4 and 5 of the </w:t>
      </w:r>
      <w:r w:rsidRPr="004C618E">
        <w:rPr>
          <w:i/>
          <w:sz w:val="20"/>
        </w:rPr>
        <w:t>CDSA</w:t>
      </w:r>
      <w:r w:rsidRPr="004C618E">
        <w:rPr>
          <w:sz w:val="20"/>
        </w:rPr>
        <w:t xml:space="preserve"> should not be struck down in their entirety. The appropriate remedy is a declaration that these provisions are of no force and effect, to the extent that they prohibit a person with a medical authorization from possessing cannabis derivatives for medical purposes; however, that declaration is not suspended because it would leave patients without lawful medical treatment and the law and law enforcement in limbo.</w:t>
      </w:r>
    </w:p>
    <w:p w:rsidR="00730BC4" w:rsidRDefault="00730BC4" w:rsidP="00730BC4">
      <w:pPr>
        <w:pStyle w:val="SCCNormalDoubleSpacing"/>
        <w:spacing w:line="240" w:lineRule="auto"/>
        <w:rPr>
          <w:sz w:val="20"/>
        </w:rPr>
      </w:pPr>
    </w:p>
    <w:p w:rsidR="00730BC4" w:rsidRPr="004C618E" w:rsidRDefault="00730BC4" w:rsidP="00730BC4">
      <w:pPr>
        <w:pStyle w:val="SCCNormalDoubleSpacing"/>
        <w:spacing w:line="240" w:lineRule="auto"/>
        <w:rPr>
          <w:sz w:val="20"/>
        </w:rPr>
      </w:pPr>
      <w:r w:rsidRPr="004C618E">
        <w:rPr>
          <w:sz w:val="20"/>
        </w:rPr>
        <w:tab/>
        <w:t>APPEAL from a judgment of the British Columbia Court of Appeal (Levine, Chiasson and Garson JJ.A.), 2014 BCCA 322, 360 B.C.A.C. 66, 617 W.A.C. 66, 315 C.C.C. (3d) 36, 316 C.R.R. (2d) 205, 14 C.R. (7th) 81, [2014] B.C.J. No. 2097 (QL), 2014 CarswellBC 2383 (WL Can.), setting aside in part a decision of Johnston J., 2012 BCSC 544, 290 C.C.C. (3d) 91, 257 C.R.R. (2d) 129, [2012] B.C.J. No. 730 (QL), 2012 CarswellBC 1043 (WL Can.). Appeal dismissed.</w:t>
      </w:r>
    </w:p>
    <w:p w:rsidR="00730BC4" w:rsidRDefault="00730BC4" w:rsidP="00730BC4">
      <w:pPr>
        <w:pStyle w:val="SCCNormalDoubleSpacing"/>
        <w:spacing w:line="240" w:lineRule="auto"/>
        <w:rPr>
          <w:rStyle w:val="SCCCounselNameChar"/>
          <w:i w:val="0"/>
          <w:sz w:val="20"/>
        </w:rPr>
      </w:pPr>
    </w:p>
    <w:p w:rsidR="00730BC4" w:rsidRPr="004C618E" w:rsidRDefault="00730BC4" w:rsidP="00730BC4">
      <w:pPr>
        <w:pStyle w:val="SCCNormalDoubleSpacing"/>
        <w:spacing w:line="240" w:lineRule="auto"/>
        <w:rPr>
          <w:sz w:val="20"/>
        </w:rPr>
      </w:pPr>
      <w:r w:rsidRPr="004C618E">
        <w:rPr>
          <w:rStyle w:val="SCCCounselNameChar"/>
          <w:sz w:val="20"/>
        </w:rPr>
        <w:tab/>
        <w:t>W. Paul Riley</w:t>
      </w:r>
      <w:r w:rsidRPr="00730BC4">
        <w:rPr>
          <w:rStyle w:val="SCCCounselSeparatorChar"/>
          <w:sz w:val="20"/>
          <w:lang w:val="en-CA"/>
        </w:rPr>
        <w:t xml:space="preserve">, </w:t>
      </w:r>
      <w:r w:rsidRPr="00730BC4">
        <w:rPr>
          <w:rStyle w:val="SCCCounselSeparatorChar"/>
          <w:i/>
          <w:sz w:val="20"/>
          <w:lang w:val="en-CA"/>
        </w:rPr>
        <w:t>Q.C.</w:t>
      </w:r>
      <w:r w:rsidRPr="00730BC4">
        <w:rPr>
          <w:rStyle w:val="SCCCounselSeparatorChar"/>
          <w:sz w:val="20"/>
          <w:lang w:val="en-CA"/>
        </w:rPr>
        <w:t xml:space="preserve">, and </w:t>
      </w:r>
      <w:r w:rsidRPr="004C618E">
        <w:rPr>
          <w:rStyle w:val="SCCCounselNameChar"/>
          <w:sz w:val="20"/>
        </w:rPr>
        <w:t>Kevin Wilson</w:t>
      </w:r>
      <w:r w:rsidRPr="004C618E">
        <w:rPr>
          <w:rStyle w:val="SCCCounselPartyRoleChar"/>
          <w:sz w:val="20"/>
        </w:rPr>
        <w:t>, for the appellant.</w:t>
      </w:r>
    </w:p>
    <w:p w:rsidR="00730BC4" w:rsidRDefault="00730BC4" w:rsidP="00730BC4">
      <w:pPr>
        <w:pStyle w:val="SCCNormalDoubleSpacing"/>
        <w:spacing w:line="240" w:lineRule="auto"/>
        <w:rPr>
          <w:rStyle w:val="SCCCounselNameChar"/>
          <w:i w:val="0"/>
          <w:sz w:val="20"/>
        </w:rPr>
      </w:pPr>
    </w:p>
    <w:p w:rsidR="00730BC4" w:rsidRPr="004C618E" w:rsidRDefault="00730BC4" w:rsidP="00730BC4">
      <w:pPr>
        <w:pStyle w:val="SCCNormalDoubleSpacing"/>
        <w:spacing w:line="240" w:lineRule="auto"/>
        <w:rPr>
          <w:sz w:val="20"/>
        </w:rPr>
      </w:pPr>
      <w:r w:rsidRPr="004C618E">
        <w:rPr>
          <w:rStyle w:val="SCCCounselNameChar"/>
          <w:sz w:val="20"/>
        </w:rPr>
        <w:tab/>
        <w:t>Kirk I. Tousaw</w:t>
      </w:r>
      <w:r w:rsidRPr="00730BC4">
        <w:rPr>
          <w:rStyle w:val="SCCCounselSeparatorChar"/>
          <w:sz w:val="20"/>
          <w:lang w:val="en-CA"/>
        </w:rPr>
        <w:t xml:space="preserve">, </w:t>
      </w:r>
      <w:r w:rsidRPr="004C618E">
        <w:rPr>
          <w:rStyle w:val="SCCCounselNameChar"/>
          <w:sz w:val="20"/>
        </w:rPr>
        <w:t>John W. Conroy, Q.C., Matthew J. Jackson</w:t>
      </w:r>
      <w:r w:rsidRPr="00730BC4">
        <w:rPr>
          <w:rStyle w:val="SCCCounselSeparatorChar"/>
          <w:sz w:val="20"/>
          <w:lang w:val="en-CA"/>
        </w:rPr>
        <w:t xml:space="preserve"> and </w:t>
      </w:r>
      <w:r w:rsidRPr="004C618E">
        <w:rPr>
          <w:rStyle w:val="SCCCounselNameChar"/>
          <w:sz w:val="20"/>
        </w:rPr>
        <w:t>Bibhas D. Vaze</w:t>
      </w:r>
      <w:r w:rsidRPr="004C618E">
        <w:rPr>
          <w:rStyle w:val="SCCCounselPartyRoleChar"/>
          <w:sz w:val="20"/>
        </w:rPr>
        <w:t>, for the respondent.</w:t>
      </w:r>
    </w:p>
    <w:p w:rsidR="00730BC4" w:rsidRDefault="00730BC4" w:rsidP="00730BC4">
      <w:pPr>
        <w:pStyle w:val="SCCNormalDoubleSpacing"/>
        <w:spacing w:line="240" w:lineRule="auto"/>
        <w:rPr>
          <w:rStyle w:val="SCCCounselNameChar"/>
          <w:i w:val="0"/>
          <w:sz w:val="20"/>
        </w:rPr>
      </w:pPr>
    </w:p>
    <w:p w:rsidR="00730BC4" w:rsidRPr="004C618E" w:rsidRDefault="00730BC4" w:rsidP="00730BC4">
      <w:pPr>
        <w:pStyle w:val="SCCNormalDoubleSpacing"/>
        <w:spacing w:line="240" w:lineRule="auto"/>
        <w:rPr>
          <w:sz w:val="20"/>
        </w:rPr>
      </w:pPr>
      <w:r w:rsidRPr="004C618E">
        <w:rPr>
          <w:rStyle w:val="SCCCounselNameChar"/>
          <w:sz w:val="20"/>
        </w:rPr>
        <w:tab/>
        <w:t>Julius H. Grey</w:t>
      </w:r>
      <w:r w:rsidRPr="00730BC4">
        <w:rPr>
          <w:rStyle w:val="SCCCounselSeparatorChar"/>
          <w:sz w:val="20"/>
          <w:lang w:val="en-CA"/>
        </w:rPr>
        <w:t xml:space="preserve"> and </w:t>
      </w:r>
      <w:r w:rsidRPr="004C618E">
        <w:rPr>
          <w:rStyle w:val="SCCCounselNameChar"/>
          <w:sz w:val="20"/>
        </w:rPr>
        <w:t>Geneviève Grey</w:t>
      </w:r>
      <w:r w:rsidRPr="004C618E">
        <w:rPr>
          <w:rStyle w:val="SCCCounselPartyRoleChar"/>
          <w:sz w:val="20"/>
        </w:rPr>
        <w:t>, for the intervener Santé Cannabis.</w:t>
      </w:r>
    </w:p>
    <w:p w:rsidR="00730BC4" w:rsidRDefault="00730BC4" w:rsidP="00730BC4">
      <w:pPr>
        <w:pStyle w:val="SCCNormalDoubleSpacing"/>
        <w:spacing w:line="240" w:lineRule="auto"/>
        <w:rPr>
          <w:rStyle w:val="SCCCounselNameChar"/>
          <w:i w:val="0"/>
          <w:sz w:val="20"/>
        </w:rPr>
      </w:pPr>
    </w:p>
    <w:p w:rsidR="00730BC4" w:rsidRPr="004C618E" w:rsidRDefault="00730BC4" w:rsidP="00730BC4">
      <w:pPr>
        <w:pStyle w:val="SCCNormalDoubleSpacing"/>
        <w:spacing w:line="240" w:lineRule="auto"/>
        <w:rPr>
          <w:sz w:val="20"/>
        </w:rPr>
      </w:pPr>
      <w:r w:rsidRPr="004C618E">
        <w:rPr>
          <w:rStyle w:val="SCCCounselNameChar"/>
          <w:sz w:val="20"/>
        </w:rPr>
        <w:tab/>
        <w:t xml:space="preserve">Gerald Chan </w:t>
      </w:r>
      <w:r w:rsidRPr="00730BC4">
        <w:rPr>
          <w:rStyle w:val="SCCCounselSeparatorChar"/>
          <w:sz w:val="20"/>
          <w:lang w:val="en-CA"/>
        </w:rPr>
        <w:t>and</w:t>
      </w:r>
      <w:r w:rsidRPr="004C618E">
        <w:rPr>
          <w:rStyle w:val="SCCCounselNameChar"/>
          <w:sz w:val="20"/>
        </w:rPr>
        <w:t xml:space="preserve"> Nader R. Hasan</w:t>
      </w:r>
      <w:r w:rsidRPr="004C618E">
        <w:rPr>
          <w:rStyle w:val="SCCCounselPartyRoleChar"/>
          <w:sz w:val="20"/>
        </w:rPr>
        <w:t>, for the intervener the Criminal Lawyers’ Association (Ontario).</w:t>
      </w:r>
    </w:p>
    <w:p w:rsidR="00730BC4" w:rsidRDefault="00730BC4" w:rsidP="00730BC4">
      <w:pPr>
        <w:pStyle w:val="SCCNormalDoubleSpacing"/>
        <w:spacing w:line="240" w:lineRule="auto"/>
        <w:rPr>
          <w:rStyle w:val="SCCCounselNameChar"/>
          <w:i w:val="0"/>
          <w:sz w:val="20"/>
        </w:rPr>
      </w:pPr>
    </w:p>
    <w:p w:rsidR="00730BC4" w:rsidRPr="004C618E" w:rsidRDefault="00730BC4" w:rsidP="00730BC4">
      <w:pPr>
        <w:pStyle w:val="SCCNormalDoubleSpacing"/>
        <w:spacing w:line="240" w:lineRule="auto"/>
        <w:rPr>
          <w:sz w:val="20"/>
        </w:rPr>
      </w:pPr>
      <w:r w:rsidRPr="004C618E">
        <w:rPr>
          <w:rStyle w:val="SCCCounselNameChar"/>
          <w:sz w:val="20"/>
        </w:rPr>
        <w:tab/>
        <w:t>Andrew K. Lokan</w:t>
      </w:r>
      <w:r w:rsidRPr="00730BC4">
        <w:rPr>
          <w:rStyle w:val="SCCCounselSeparatorChar"/>
          <w:sz w:val="20"/>
          <w:lang w:val="en-CA"/>
        </w:rPr>
        <w:t xml:space="preserve"> and </w:t>
      </w:r>
      <w:r w:rsidRPr="004C618E">
        <w:rPr>
          <w:rStyle w:val="SCCCounselNameChar"/>
          <w:sz w:val="20"/>
        </w:rPr>
        <w:t>Debra McKenna</w:t>
      </w:r>
      <w:r w:rsidRPr="004C618E">
        <w:rPr>
          <w:rStyle w:val="SCCCounselPartyRoleChar"/>
          <w:sz w:val="20"/>
        </w:rPr>
        <w:t>, for the intervener the Canadian Civil Liberties Association.</w:t>
      </w:r>
    </w:p>
    <w:p w:rsidR="00730BC4" w:rsidRDefault="00730BC4" w:rsidP="00730BC4">
      <w:pPr>
        <w:pStyle w:val="SCCNormalDoubleSpacing"/>
        <w:spacing w:line="240" w:lineRule="auto"/>
        <w:rPr>
          <w:rStyle w:val="SCCCounselNameChar"/>
          <w:i w:val="0"/>
          <w:sz w:val="20"/>
        </w:rPr>
      </w:pPr>
    </w:p>
    <w:p w:rsidR="00730BC4" w:rsidRPr="004C618E" w:rsidRDefault="00730BC4" w:rsidP="00730BC4">
      <w:pPr>
        <w:pStyle w:val="SCCNormalDoubleSpacing"/>
        <w:spacing w:line="240" w:lineRule="auto"/>
        <w:rPr>
          <w:sz w:val="20"/>
        </w:rPr>
      </w:pPr>
      <w:r w:rsidRPr="004C618E">
        <w:rPr>
          <w:rStyle w:val="SCCCounselNameChar"/>
          <w:sz w:val="20"/>
        </w:rPr>
        <w:tab/>
        <w:t>Jason B. Gratl</w:t>
      </w:r>
      <w:r w:rsidRPr="004C618E">
        <w:rPr>
          <w:rStyle w:val="SCCCounselPartyRoleChar"/>
          <w:sz w:val="20"/>
        </w:rPr>
        <w:t>, for the intervener the British Columbia Civil Liberties Association.</w:t>
      </w:r>
    </w:p>
    <w:p w:rsidR="00730BC4" w:rsidRDefault="00730BC4" w:rsidP="00730BC4">
      <w:pPr>
        <w:pStyle w:val="SCCNormalDoubleSpacing"/>
        <w:spacing w:line="240" w:lineRule="auto"/>
        <w:rPr>
          <w:rStyle w:val="SCCCounselNameChar"/>
          <w:i w:val="0"/>
          <w:sz w:val="20"/>
        </w:rPr>
      </w:pPr>
    </w:p>
    <w:p w:rsidR="00730BC4" w:rsidRPr="004C618E" w:rsidRDefault="00730BC4" w:rsidP="00730BC4">
      <w:pPr>
        <w:pStyle w:val="SCCNormalDoubleSpacing"/>
        <w:spacing w:line="240" w:lineRule="auto"/>
        <w:rPr>
          <w:sz w:val="20"/>
        </w:rPr>
      </w:pPr>
      <w:r w:rsidRPr="004C618E">
        <w:rPr>
          <w:rStyle w:val="SCCCounselNameChar"/>
          <w:sz w:val="20"/>
        </w:rPr>
        <w:tab/>
      </w:r>
      <w:r w:rsidRPr="00502A1A">
        <w:rPr>
          <w:rStyle w:val="SCCCounselNameChar"/>
          <w:i w:val="0"/>
          <w:sz w:val="20"/>
        </w:rPr>
        <w:t>Written submissions only by</w:t>
      </w:r>
      <w:r w:rsidRPr="004C618E">
        <w:rPr>
          <w:rStyle w:val="SCCCounselNameChar"/>
          <w:sz w:val="20"/>
        </w:rPr>
        <w:t xml:space="preserve"> Paul Burstein</w:t>
      </w:r>
      <w:r w:rsidRPr="00730BC4">
        <w:rPr>
          <w:rStyle w:val="SCCCounselSeparatorChar"/>
          <w:sz w:val="20"/>
          <w:lang w:val="en-CA"/>
        </w:rPr>
        <w:t xml:space="preserve">, </w:t>
      </w:r>
      <w:r w:rsidRPr="004C618E">
        <w:rPr>
          <w:rStyle w:val="SCCCounselNameChar"/>
          <w:sz w:val="20"/>
        </w:rPr>
        <w:t>Ryan Peck</w:t>
      </w:r>
      <w:r w:rsidRPr="00730BC4">
        <w:rPr>
          <w:rStyle w:val="SCCCounselSeparatorChar"/>
          <w:sz w:val="20"/>
          <w:lang w:val="en-CA"/>
        </w:rPr>
        <w:t xml:space="preserve"> and </w:t>
      </w:r>
      <w:r w:rsidRPr="004C618E">
        <w:rPr>
          <w:rStyle w:val="SCCCounselNameChar"/>
          <w:sz w:val="20"/>
        </w:rPr>
        <w:t>Richard Elliott</w:t>
      </w:r>
      <w:r w:rsidRPr="004C618E">
        <w:rPr>
          <w:rStyle w:val="SCCCounselPartyRoleChar"/>
          <w:sz w:val="20"/>
        </w:rPr>
        <w:t>, for the interveners the Canadian AIDS Society, the Canadian HIV/AIDS Legal Network and the HIV &amp; AIDS Legal Clinic Ontario.</w:t>
      </w:r>
    </w:p>
    <w:p w:rsidR="00730BC4" w:rsidRDefault="00730BC4" w:rsidP="00730BC4">
      <w:pPr>
        <w:pStyle w:val="SCCLawFirm"/>
        <w:spacing w:line="240" w:lineRule="auto"/>
        <w:rPr>
          <w:sz w:val="20"/>
        </w:rPr>
      </w:pPr>
    </w:p>
    <w:p w:rsidR="00730BC4" w:rsidRPr="004C618E" w:rsidRDefault="00730BC4" w:rsidP="00730BC4">
      <w:pPr>
        <w:pStyle w:val="SCCLawFirm"/>
        <w:spacing w:line="240" w:lineRule="auto"/>
        <w:rPr>
          <w:sz w:val="20"/>
        </w:rPr>
      </w:pPr>
      <w:r w:rsidRPr="004C618E">
        <w:rPr>
          <w:sz w:val="20"/>
        </w:rPr>
        <w:tab/>
        <w:t>Solicitor for the appellant: Public Prosecution Service of Canada, Vancouver.</w:t>
      </w:r>
    </w:p>
    <w:p w:rsidR="00730BC4" w:rsidRDefault="00730BC4" w:rsidP="00730BC4">
      <w:pPr>
        <w:pStyle w:val="SCCLawFirm"/>
        <w:spacing w:line="240" w:lineRule="auto"/>
        <w:rPr>
          <w:sz w:val="20"/>
        </w:rPr>
      </w:pPr>
    </w:p>
    <w:p w:rsidR="00730BC4" w:rsidRPr="004C618E" w:rsidRDefault="00730BC4" w:rsidP="00730BC4">
      <w:pPr>
        <w:pStyle w:val="SCCLawFirm"/>
        <w:spacing w:line="240" w:lineRule="auto"/>
        <w:rPr>
          <w:sz w:val="20"/>
        </w:rPr>
      </w:pPr>
      <w:r w:rsidRPr="004C618E">
        <w:rPr>
          <w:sz w:val="20"/>
        </w:rPr>
        <w:tab/>
        <w:t>Solicitors for the respondent: Tousaw Law Corporation, Duncan, British Columbia; Conroy and Company, Abbotsford; Henshall Scouten, Vancouver; Bibhas D. Vaze, Vancouver.</w:t>
      </w:r>
    </w:p>
    <w:p w:rsidR="00730BC4" w:rsidRDefault="00730BC4" w:rsidP="00730BC4">
      <w:pPr>
        <w:pStyle w:val="SCCLawFirm"/>
        <w:spacing w:line="240" w:lineRule="auto"/>
        <w:rPr>
          <w:sz w:val="20"/>
        </w:rPr>
      </w:pPr>
    </w:p>
    <w:p w:rsidR="00730BC4" w:rsidRPr="004C618E" w:rsidRDefault="00730BC4" w:rsidP="00730BC4">
      <w:pPr>
        <w:pStyle w:val="SCCLawFirm"/>
        <w:spacing w:line="240" w:lineRule="auto"/>
        <w:rPr>
          <w:sz w:val="20"/>
        </w:rPr>
      </w:pPr>
      <w:r w:rsidRPr="004C618E">
        <w:rPr>
          <w:sz w:val="20"/>
        </w:rPr>
        <w:tab/>
        <w:t>Solicitors for the intervener Santé Cannabis: Grey Casgrain, Montréal.</w:t>
      </w:r>
    </w:p>
    <w:p w:rsidR="00730BC4" w:rsidRDefault="00730BC4" w:rsidP="00730BC4">
      <w:pPr>
        <w:pStyle w:val="SCCLawFirm"/>
        <w:spacing w:line="240" w:lineRule="auto"/>
        <w:rPr>
          <w:sz w:val="20"/>
        </w:rPr>
      </w:pPr>
    </w:p>
    <w:p w:rsidR="00730BC4" w:rsidRPr="004C618E" w:rsidRDefault="00730BC4" w:rsidP="00730BC4">
      <w:pPr>
        <w:pStyle w:val="SCCLawFirm"/>
        <w:spacing w:line="240" w:lineRule="auto"/>
        <w:rPr>
          <w:sz w:val="20"/>
        </w:rPr>
      </w:pPr>
      <w:r w:rsidRPr="004C618E">
        <w:rPr>
          <w:sz w:val="20"/>
        </w:rPr>
        <w:tab/>
        <w:t>Solicitors for the intervener the Criminal Lawyers’ Association (Ontario): Ruby Shiller Chan Hasan, Toronto.</w:t>
      </w:r>
    </w:p>
    <w:p w:rsidR="00730BC4" w:rsidRDefault="00730BC4" w:rsidP="00730BC4">
      <w:pPr>
        <w:pStyle w:val="SCCLawFirm"/>
        <w:spacing w:line="240" w:lineRule="auto"/>
        <w:rPr>
          <w:sz w:val="20"/>
        </w:rPr>
      </w:pPr>
    </w:p>
    <w:p w:rsidR="00730BC4" w:rsidRPr="004C618E" w:rsidRDefault="00730BC4" w:rsidP="00730BC4">
      <w:pPr>
        <w:pStyle w:val="SCCLawFirm"/>
        <w:spacing w:line="240" w:lineRule="auto"/>
        <w:rPr>
          <w:sz w:val="20"/>
        </w:rPr>
      </w:pPr>
      <w:r w:rsidRPr="004C618E">
        <w:rPr>
          <w:sz w:val="20"/>
        </w:rPr>
        <w:tab/>
        <w:t>Solicitors for the intervener the Canadian Civil Liberties Association: Paliare Roland Rosenberg Rothstein, Toronto.</w:t>
      </w:r>
    </w:p>
    <w:p w:rsidR="00730BC4" w:rsidRDefault="00730BC4" w:rsidP="00730BC4">
      <w:pPr>
        <w:pStyle w:val="SCCLawFirm"/>
        <w:spacing w:line="240" w:lineRule="auto"/>
        <w:rPr>
          <w:sz w:val="20"/>
        </w:rPr>
      </w:pPr>
    </w:p>
    <w:p w:rsidR="00730BC4" w:rsidRPr="004C618E" w:rsidRDefault="00730BC4" w:rsidP="00730BC4">
      <w:pPr>
        <w:pStyle w:val="SCCLawFirm"/>
        <w:spacing w:line="240" w:lineRule="auto"/>
        <w:rPr>
          <w:sz w:val="20"/>
        </w:rPr>
      </w:pPr>
      <w:r w:rsidRPr="004C618E">
        <w:rPr>
          <w:sz w:val="20"/>
        </w:rPr>
        <w:tab/>
        <w:t>Solicitors for the intervener the British Columbia Civil Liberties Association: Gratl &amp; Company, Vancouver.</w:t>
      </w:r>
    </w:p>
    <w:p w:rsidR="00730BC4" w:rsidRDefault="00730BC4" w:rsidP="00730BC4">
      <w:pPr>
        <w:pStyle w:val="SCCLawFirm"/>
        <w:spacing w:line="240" w:lineRule="auto"/>
        <w:rPr>
          <w:sz w:val="20"/>
        </w:rPr>
      </w:pPr>
    </w:p>
    <w:p w:rsidR="00730BC4" w:rsidRDefault="00730BC4" w:rsidP="00730BC4">
      <w:pPr>
        <w:pStyle w:val="SCCLawFirm"/>
        <w:spacing w:line="240" w:lineRule="auto"/>
        <w:rPr>
          <w:sz w:val="20"/>
        </w:rPr>
      </w:pPr>
      <w:r w:rsidRPr="004C618E">
        <w:rPr>
          <w:sz w:val="20"/>
        </w:rPr>
        <w:tab/>
        <w:t xml:space="preserve">Solicitors for the interveners the Canadian AIDS Society, the Canadian HIV/AIDS Legal Network and the HIV &amp; AIDS Legal Clinic Ontario: Burstein Bryant Barristers, Toronto; </w:t>
      </w:r>
      <w:r w:rsidRPr="004C618E">
        <w:rPr>
          <w:rStyle w:val="SCCCounselPartyRoleChar"/>
          <w:sz w:val="20"/>
        </w:rPr>
        <w:t>HIV &amp; AIDS Legal Clinic Ontario, Toronto; Canadian HIV/AIDS Legal Network, Toronto</w:t>
      </w:r>
      <w:r w:rsidRPr="004C618E">
        <w:rPr>
          <w:sz w:val="20"/>
        </w:rPr>
        <w:t>.</w:t>
      </w:r>
    </w:p>
    <w:p w:rsidR="0052229C" w:rsidRPr="00730BC4" w:rsidRDefault="0052229C" w:rsidP="0052229C">
      <w:pPr>
        <w:rPr>
          <w:rFonts w:cs="Times New Roman"/>
          <w:sz w:val="20"/>
          <w:szCs w:val="20"/>
          <w:lang w:val="fr-CA"/>
        </w:rPr>
      </w:pPr>
      <w:r w:rsidRPr="00730BC4">
        <w:rPr>
          <w:rFonts w:cs="Times New Roman"/>
          <w:sz w:val="20"/>
          <w:szCs w:val="20"/>
          <w:lang w:val="fr-CA"/>
        </w:rPr>
        <w:t>________________________</w:t>
      </w:r>
    </w:p>
    <w:p w:rsidR="0052229C" w:rsidRPr="00730BC4" w:rsidRDefault="0052229C" w:rsidP="0052229C">
      <w:pPr>
        <w:rPr>
          <w:rFonts w:cs="Times New Roman"/>
          <w:sz w:val="20"/>
          <w:szCs w:val="20"/>
          <w:lang w:val="fr-CA"/>
        </w:rPr>
      </w:pPr>
    </w:p>
    <w:p w:rsidR="00730BC4" w:rsidRPr="006761C4" w:rsidRDefault="00730BC4" w:rsidP="00730BC4">
      <w:pPr>
        <w:jc w:val="both"/>
        <w:rPr>
          <w:sz w:val="20"/>
          <w:szCs w:val="20"/>
          <w:lang w:val="fr-CA"/>
        </w:rPr>
      </w:pPr>
      <w:r w:rsidRPr="006761C4">
        <w:rPr>
          <w:sz w:val="20"/>
          <w:szCs w:val="20"/>
          <w:lang w:val="fr-CA"/>
        </w:rPr>
        <w:t>Présents : La juge en chef McLachlin et les juges Abella, Cromwell, Karakatsanis, Wagner, Gascon et Côté.</w:t>
      </w:r>
    </w:p>
    <w:p w:rsidR="00730BC4" w:rsidRDefault="00730BC4" w:rsidP="00730BC4">
      <w:pPr>
        <w:jc w:val="both"/>
        <w:rPr>
          <w:smallCaps/>
          <w:sz w:val="20"/>
          <w:lang w:val="fr-CA"/>
        </w:rPr>
      </w:pPr>
    </w:p>
    <w:p w:rsidR="00730BC4" w:rsidRPr="006761C4" w:rsidRDefault="00730BC4" w:rsidP="00730BC4">
      <w:pPr>
        <w:pStyle w:val="SCCNormalDoubleSpacing"/>
        <w:spacing w:line="240" w:lineRule="auto"/>
        <w:rPr>
          <w:i/>
          <w:sz w:val="20"/>
          <w:lang w:val="fr-CA"/>
        </w:rPr>
      </w:pPr>
      <w:r w:rsidRPr="006761C4">
        <w:rPr>
          <w:sz w:val="20"/>
          <w:lang w:val="fr-CA"/>
        </w:rPr>
        <w:tab/>
      </w:r>
      <w:r w:rsidRPr="006761C4">
        <w:rPr>
          <w:i/>
          <w:sz w:val="20"/>
          <w:lang w:val="fr-CA"/>
        </w:rPr>
        <w:t>Droit constitutionnel — Charte des droits — Qualité pour agir — Accusé inculpé de possession de cannabis et de possession de cannabis en vue d’en faire le trafic — Règlement restreignant la possession légale de marijuana à des fins médicales à sa forme séchée — Accusé non consommateur de marijuana à des fins médicales, mais producteur de produits dérivés en vue de leur vente en dehors du régime réglementaire — L’accusé a</w:t>
      </w:r>
      <w:r w:rsidRPr="006761C4">
        <w:rPr>
          <w:i/>
          <w:sz w:val="20"/>
          <w:lang w:val="fr-CA"/>
        </w:rPr>
        <w:noBreakHyphen/>
        <w:t>t</w:t>
      </w:r>
      <w:r w:rsidRPr="006761C4">
        <w:rPr>
          <w:i/>
          <w:sz w:val="20"/>
          <w:lang w:val="fr-CA"/>
        </w:rPr>
        <w:noBreakHyphen/>
        <w:t xml:space="preserve">il qualité pour contester la </w:t>
      </w:r>
      <w:r w:rsidRPr="006761C4">
        <w:rPr>
          <w:i/>
          <w:sz w:val="20"/>
          <w:lang w:val="fr-CA"/>
        </w:rPr>
        <w:lastRenderedPageBreak/>
        <w:t xml:space="preserve">validité constitutionnelle du régime? — Loi </w:t>
      </w:r>
      <w:r w:rsidRPr="006761C4">
        <w:rPr>
          <w:bCs/>
          <w:i/>
          <w:kern w:val="36"/>
          <w:sz w:val="20"/>
          <w:lang w:val="fr-CA"/>
        </w:rPr>
        <w:t>réglementant certaines drogues et autres substances</w:t>
      </w:r>
      <w:r w:rsidRPr="006761C4">
        <w:rPr>
          <w:i/>
          <w:sz w:val="20"/>
          <w:lang w:val="fr-CA"/>
        </w:rPr>
        <w:t>, L.C. 1996, c. 19, art. 4(1), 5(2) — Règlement sur l’accès à la marijuana à des fins médicales, DORS/2001</w:t>
      </w:r>
      <w:r w:rsidRPr="006761C4">
        <w:rPr>
          <w:i/>
          <w:sz w:val="20"/>
          <w:lang w:val="fr-CA"/>
        </w:rPr>
        <w:noBreakHyphen/>
        <w:t>227.</w:t>
      </w:r>
    </w:p>
    <w:p w:rsidR="00730BC4" w:rsidRDefault="00730BC4" w:rsidP="00730BC4">
      <w:pPr>
        <w:pStyle w:val="SCCNormalDoubleSpacing"/>
        <w:spacing w:line="240" w:lineRule="auto"/>
        <w:rPr>
          <w:i/>
          <w:sz w:val="20"/>
          <w:lang w:val="fr-CA"/>
        </w:rPr>
      </w:pPr>
    </w:p>
    <w:p w:rsidR="00730BC4" w:rsidRPr="006761C4" w:rsidRDefault="00730BC4" w:rsidP="00730BC4">
      <w:pPr>
        <w:pStyle w:val="SCCNormalDoubleSpacing"/>
        <w:spacing w:line="240" w:lineRule="auto"/>
        <w:rPr>
          <w:i/>
          <w:sz w:val="20"/>
          <w:lang w:val="fr-CA"/>
        </w:rPr>
      </w:pPr>
      <w:r w:rsidRPr="006761C4">
        <w:rPr>
          <w:i/>
          <w:sz w:val="20"/>
          <w:lang w:val="fr-CA"/>
        </w:rPr>
        <w:tab/>
        <w:t>Droit constitutionnel — Charte des droits — Droit à la vie, à la liberté et à la sécurité de la personne — Justice fondamentale — Accusé inculpé de possession de cannabis et de possession de cannabis en vue d’en faire le trafic — Règlement restreignant la possession légale de marijuana à des fins médicales à sa forme séchée — La restriction porte</w:t>
      </w:r>
      <w:r w:rsidRPr="006761C4">
        <w:rPr>
          <w:i/>
          <w:sz w:val="20"/>
          <w:lang w:val="fr-CA"/>
        </w:rPr>
        <w:noBreakHyphen/>
        <w:t>t</w:t>
      </w:r>
      <w:r w:rsidRPr="006761C4">
        <w:rPr>
          <w:i/>
          <w:sz w:val="20"/>
          <w:lang w:val="fr-CA"/>
        </w:rPr>
        <w:noBreakHyphen/>
        <w:t>elle atteinte au droit garanti par l’art. 7 de la Charte canadienne des droits et libertés? — Si oui, l’atteinte est</w:t>
      </w:r>
      <w:r w:rsidRPr="006761C4">
        <w:rPr>
          <w:i/>
          <w:sz w:val="20"/>
          <w:lang w:val="fr-CA"/>
        </w:rPr>
        <w:noBreakHyphen/>
        <w:t xml:space="preserve">elle justifiable au regard de l’article premier de la Charte? — Réparation appropriée — Loi </w:t>
      </w:r>
      <w:r w:rsidRPr="006761C4">
        <w:rPr>
          <w:bCs/>
          <w:i/>
          <w:kern w:val="36"/>
          <w:sz w:val="20"/>
          <w:lang w:val="fr-CA"/>
        </w:rPr>
        <w:t>réglementant certaines drogues et autres substances</w:t>
      </w:r>
      <w:r w:rsidRPr="006761C4">
        <w:rPr>
          <w:i/>
          <w:sz w:val="20"/>
          <w:lang w:val="fr-CA"/>
        </w:rPr>
        <w:t>, L.C. 1996, c. 19, art. 4(1), 5(2) — Règlement sur l’accès à la marijuana à des fins médicales, DORS/2001</w:t>
      </w:r>
      <w:r w:rsidRPr="006761C4">
        <w:rPr>
          <w:i/>
          <w:sz w:val="20"/>
          <w:lang w:val="fr-CA"/>
        </w:rPr>
        <w:noBreakHyphen/>
        <w:t>227.</w:t>
      </w:r>
    </w:p>
    <w:p w:rsidR="00730BC4" w:rsidRDefault="00730BC4" w:rsidP="00730BC4">
      <w:pPr>
        <w:pStyle w:val="SCCNormalDoubleSpacing"/>
        <w:spacing w:line="240" w:lineRule="auto"/>
        <w:rPr>
          <w:i/>
          <w:sz w:val="20"/>
          <w:lang w:val="fr-CA"/>
        </w:rPr>
      </w:pPr>
    </w:p>
    <w:p w:rsidR="00730BC4" w:rsidRPr="006761C4" w:rsidRDefault="00730BC4" w:rsidP="00730BC4">
      <w:pPr>
        <w:pStyle w:val="SCCNormalDoubleSpacing"/>
        <w:spacing w:line="240" w:lineRule="auto"/>
        <w:rPr>
          <w:sz w:val="20"/>
          <w:lang w:val="fr-CA"/>
        </w:rPr>
      </w:pPr>
      <w:r w:rsidRPr="006761C4">
        <w:rPr>
          <w:i/>
          <w:sz w:val="20"/>
          <w:lang w:val="fr-CA"/>
        </w:rPr>
        <w:tab/>
      </w:r>
      <w:r w:rsidRPr="006761C4">
        <w:rPr>
          <w:sz w:val="20"/>
          <w:lang w:val="fr-CA"/>
        </w:rPr>
        <w:t xml:space="preserve">S fabriquait, en vue de leur vente, des produits comestibles et des produits topiques à partir de la marijuana par l’extraction des composés actifs de la plante de cannabis. Il exerçait ses activités en dehors du cadre du régime établi par le </w:t>
      </w:r>
      <w:r w:rsidRPr="006761C4">
        <w:rPr>
          <w:i/>
          <w:iCs/>
          <w:sz w:val="20"/>
          <w:lang w:val="fr-CA"/>
        </w:rPr>
        <w:t xml:space="preserve">Règlement sur l’accès à la marijuana à des fins médicales </w:t>
      </w:r>
      <w:r w:rsidRPr="006761C4">
        <w:rPr>
          <w:sz w:val="20"/>
          <w:lang w:val="fr-CA"/>
        </w:rPr>
        <w:t>(le « </w:t>
      </w:r>
      <w:r w:rsidRPr="006761C4">
        <w:rPr>
          <w:i/>
          <w:sz w:val="20"/>
          <w:lang w:val="fr-CA"/>
        </w:rPr>
        <w:t>RAMFM</w:t>
      </w:r>
      <w:r w:rsidRPr="006761C4">
        <w:rPr>
          <w:sz w:val="20"/>
          <w:lang w:val="fr-CA"/>
        </w:rPr>
        <w:t xml:space="preserve"> ») qui limite à la « marijuana séchée » </w:t>
      </w:r>
      <w:r w:rsidRPr="006761C4">
        <w:rPr>
          <w:iCs/>
          <w:sz w:val="20"/>
          <w:lang w:val="fr-CA"/>
        </w:rPr>
        <w:t>la possession légitime de</w:t>
      </w:r>
      <w:r w:rsidRPr="006761C4">
        <w:rPr>
          <w:sz w:val="20"/>
          <w:lang w:val="fr-CA"/>
        </w:rPr>
        <w:t xml:space="preserve"> marijuana à des fins médicales. S ne consomme pas lui</w:t>
      </w:r>
      <w:r w:rsidRPr="006761C4">
        <w:rPr>
          <w:sz w:val="20"/>
          <w:lang w:val="fr-CA"/>
        </w:rPr>
        <w:noBreakHyphen/>
        <w:t xml:space="preserve">même de marijuana à des fins médicales. La police a inculpé S de possession de cannabis et de possession de cannabis en vue d’en faire le trafic, infractions décrites respectivement aux par. 4(1) et 5(2) de la </w:t>
      </w:r>
      <w:r w:rsidRPr="006761C4">
        <w:rPr>
          <w:i/>
          <w:sz w:val="20"/>
          <w:lang w:val="fr-CA"/>
        </w:rPr>
        <w:t xml:space="preserve">Loi </w:t>
      </w:r>
      <w:r w:rsidRPr="006761C4">
        <w:rPr>
          <w:bCs/>
          <w:i/>
          <w:kern w:val="36"/>
          <w:sz w:val="20"/>
          <w:lang w:val="fr-CA"/>
        </w:rPr>
        <w:t>réglementant certaines drogues et autres substances</w:t>
      </w:r>
      <w:r w:rsidRPr="006761C4">
        <w:rPr>
          <w:sz w:val="20"/>
          <w:lang w:val="fr-CA"/>
        </w:rPr>
        <w:t xml:space="preserve"> (la « </w:t>
      </w:r>
      <w:r w:rsidRPr="006761C4">
        <w:rPr>
          <w:i/>
          <w:sz w:val="20"/>
          <w:lang w:val="fr-CA"/>
        </w:rPr>
        <w:t>LRCDAS</w:t>
      </w:r>
      <w:r w:rsidRPr="006761C4">
        <w:rPr>
          <w:sz w:val="20"/>
          <w:lang w:val="fr-CA"/>
        </w:rPr>
        <w:t xml:space="preserve"> »). Le juge du procès a conclu que l’interdiction touchant les formes non séchées de marijuana utilisées à des fins médicales portait atteinte de façon injustifiable au droit protégé par l’art. 7 de la </w:t>
      </w:r>
      <w:r w:rsidRPr="006761C4">
        <w:rPr>
          <w:i/>
          <w:sz w:val="20"/>
          <w:lang w:val="fr-CA"/>
        </w:rPr>
        <w:t>Charte</w:t>
      </w:r>
      <w:r w:rsidRPr="006761C4">
        <w:rPr>
          <w:sz w:val="20"/>
          <w:lang w:val="fr-CA"/>
        </w:rPr>
        <w:t xml:space="preserve"> et les juges majoritaires de la Cour d’appel ont rejeté l’appel. </w:t>
      </w:r>
    </w:p>
    <w:p w:rsidR="00730BC4" w:rsidRDefault="00730BC4" w:rsidP="00730BC4">
      <w:pPr>
        <w:pStyle w:val="SCCNormalDoubleSpacing"/>
        <w:spacing w:line="240" w:lineRule="auto"/>
        <w:rPr>
          <w:sz w:val="20"/>
          <w:lang w:val="fr-CA"/>
        </w:rPr>
      </w:pPr>
    </w:p>
    <w:p w:rsidR="00730BC4" w:rsidRPr="006761C4" w:rsidRDefault="00730BC4" w:rsidP="00730BC4">
      <w:pPr>
        <w:pStyle w:val="SCCNormalDoubleSpacing"/>
        <w:spacing w:line="240" w:lineRule="auto"/>
        <w:rPr>
          <w:sz w:val="20"/>
          <w:lang w:val="fr-CA"/>
        </w:rPr>
      </w:pPr>
      <w:r w:rsidRPr="006761C4">
        <w:rPr>
          <w:sz w:val="20"/>
          <w:lang w:val="fr-CA"/>
        </w:rPr>
        <w:tab/>
      </w:r>
      <w:r w:rsidRPr="006761C4">
        <w:rPr>
          <w:i/>
          <w:sz w:val="20"/>
          <w:lang w:val="fr-CA"/>
        </w:rPr>
        <w:t>Arrêt :</w:t>
      </w:r>
      <w:r w:rsidRPr="006761C4">
        <w:rPr>
          <w:sz w:val="20"/>
          <w:lang w:val="fr-CA"/>
        </w:rPr>
        <w:t xml:space="preserve"> L’appel est rejeté, la suspension de la déclaration d’invalidité prononcée par la Cour d’appel est supprimée et l’acquittement de S est confirmé.</w:t>
      </w:r>
    </w:p>
    <w:p w:rsidR="00730BC4" w:rsidRDefault="00730BC4" w:rsidP="00730BC4">
      <w:pPr>
        <w:pStyle w:val="SCCNormalDoubleSpacing"/>
        <w:spacing w:line="240" w:lineRule="auto"/>
        <w:rPr>
          <w:sz w:val="20"/>
          <w:lang w:val="fr-CA"/>
        </w:rPr>
      </w:pPr>
    </w:p>
    <w:p w:rsidR="00730BC4" w:rsidRPr="006761C4" w:rsidRDefault="00730BC4" w:rsidP="00730BC4">
      <w:pPr>
        <w:pStyle w:val="SCCNormalDoubleSpacing"/>
        <w:spacing w:line="240" w:lineRule="auto"/>
        <w:rPr>
          <w:sz w:val="20"/>
          <w:lang w:val="fr-CA"/>
        </w:rPr>
      </w:pPr>
      <w:r w:rsidRPr="006761C4">
        <w:rPr>
          <w:sz w:val="20"/>
          <w:lang w:val="fr-CA"/>
        </w:rPr>
        <w:tab/>
        <w:t xml:space="preserve">S a qualité pour contester la constitutionnalité du </w:t>
      </w:r>
      <w:r w:rsidRPr="006761C4">
        <w:rPr>
          <w:i/>
          <w:sz w:val="20"/>
          <w:lang w:val="fr-CA"/>
        </w:rPr>
        <w:t>RAMFM</w:t>
      </w:r>
      <w:r w:rsidRPr="006761C4">
        <w:rPr>
          <w:sz w:val="20"/>
          <w:lang w:val="fr-CA"/>
        </w:rPr>
        <w:t>. Tout accusé a qualité pour contester la constitutionnalité de la loi en vertu de laquelle il est inculpé, même si les effets inconstitutionnels allégués ne le visent pas personnellement et même si toute réparation possible à l’égard d’un vice constitutionnel ne mettra pas automatiquement fin aux accusations portées contre lui.</w:t>
      </w:r>
    </w:p>
    <w:p w:rsidR="00730BC4" w:rsidRDefault="00730BC4" w:rsidP="00730BC4">
      <w:pPr>
        <w:pStyle w:val="SCCNormalDoubleSpacing"/>
        <w:spacing w:line="240" w:lineRule="auto"/>
        <w:rPr>
          <w:sz w:val="20"/>
          <w:lang w:val="fr-CA"/>
        </w:rPr>
      </w:pPr>
    </w:p>
    <w:p w:rsidR="00730BC4" w:rsidRPr="006761C4" w:rsidRDefault="00730BC4" w:rsidP="00730BC4">
      <w:pPr>
        <w:pStyle w:val="SCCNormalDoubleSpacing"/>
        <w:spacing w:line="240" w:lineRule="auto"/>
        <w:rPr>
          <w:sz w:val="20"/>
          <w:lang w:val="fr-CA"/>
        </w:rPr>
      </w:pPr>
      <w:r w:rsidRPr="006761C4">
        <w:rPr>
          <w:sz w:val="20"/>
          <w:lang w:val="fr-CA"/>
        </w:rPr>
        <w:tab/>
        <w:t xml:space="preserve">L’interdiction frappant la possession de formes non séchées de marijuana à des fins médicales limite de deux façons le droit à la liberté de la personne garanti par l’art. 7 de la </w:t>
      </w:r>
      <w:r w:rsidRPr="006761C4">
        <w:rPr>
          <w:i/>
          <w:sz w:val="20"/>
          <w:lang w:val="fr-CA"/>
        </w:rPr>
        <w:t>Charte</w:t>
      </w:r>
      <w:r w:rsidRPr="006761C4">
        <w:rPr>
          <w:sz w:val="20"/>
          <w:lang w:val="fr-CA"/>
        </w:rPr>
        <w:t xml:space="preserve">. Premièrement, elle prive S et les consommateurs de marijuana à des fins médicales de leur liberté en les exposant au risque d’être incarcérés s’ils sont reconnus coupables en application du par. 4(1) ou du par. 5(2) de la </w:t>
      </w:r>
      <w:r w:rsidRPr="006761C4">
        <w:rPr>
          <w:i/>
          <w:sz w:val="20"/>
          <w:lang w:val="fr-CA"/>
        </w:rPr>
        <w:t>LRCDAS</w:t>
      </w:r>
      <w:r w:rsidRPr="006761C4">
        <w:rPr>
          <w:sz w:val="20"/>
          <w:lang w:val="fr-CA"/>
        </w:rPr>
        <w:t>. Deuxièmement, l’interdiction limite le droit à la liberté des consommateurs de marijuana à des fins médicales en les privant de choix médicaux raisonnables puisque certains de ceux</w:t>
      </w:r>
      <w:r w:rsidRPr="006761C4">
        <w:rPr>
          <w:sz w:val="20"/>
          <w:lang w:val="fr-CA"/>
        </w:rPr>
        <w:noBreakHyphen/>
        <w:t xml:space="preserve">ci les exposent au risque d’une poursuite pénale. En outre, en contraignant ces personnes à choisir entre, d’une part, un traitement légal, mais inadéquat et, d’autre part, une solution illégale, mais plus efficace, la loi porte également atteinte à la sécurité de la personne.  </w:t>
      </w:r>
    </w:p>
    <w:p w:rsidR="00730BC4" w:rsidRDefault="00730BC4" w:rsidP="00730BC4">
      <w:pPr>
        <w:pStyle w:val="SCCNormalDoubleSpacing"/>
        <w:spacing w:line="240" w:lineRule="auto"/>
        <w:rPr>
          <w:sz w:val="20"/>
          <w:lang w:val="fr-CA"/>
        </w:rPr>
      </w:pPr>
    </w:p>
    <w:p w:rsidR="00730BC4" w:rsidRPr="006761C4" w:rsidRDefault="00730BC4" w:rsidP="00730BC4">
      <w:pPr>
        <w:pStyle w:val="SCCNormalDoubleSpacing"/>
        <w:spacing w:line="240" w:lineRule="auto"/>
        <w:rPr>
          <w:sz w:val="20"/>
          <w:lang w:val="fr-CA"/>
        </w:rPr>
      </w:pPr>
      <w:r w:rsidRPr="006761C4">
        <w:rPr>
          <w:sz w:val="20"/>
          <w:lang w:val="fr-CA"/>
        </w:rPr>
        <w:tab/>
        <w:t xml:space="preserve">Ces limites sont contraires aux principes de justice fondamentale parce qu’elles sont arbitraires. Les effets de l’interdiction sont contraires à l’objectif de protection de la santé et de la sécurité. La preuve appuie amplement les conclusions qu’a tirées le juge de première instance suivant lesquelles inhaler de la marijuana peut présenter des risques pour la santé et est moins efficace dans le cas de certaines affections que l’administration de dérivés du cannabis. Autrement dit, il n’y a pas de lien entre l’interdiction frappant les formes non séchées de marijuana utilisées à des fins médicales et la santé et la sécurité des patients qui satisfont aux conditions prévues par la loi pour avoir accès à de la marijuana à des fins médicales. </w:t>
      </w:r>
    </w:p>
    <w:p w:rsidR="00730BC4" w:rsidRDefault="00730BC4" w:rsidP="00730BC4">
      <w:pPr>
        <w:pStyle w:val="SCCNormalDoubleSpacing"/>
        <w:spacing w:line="240" w:lineRule="auto"/>
        <w:rPr>
          <w:sz w:val="20"/>
          <w:lang w:val="fr-CA"/>
        </w:rPr>
      </w:pPr>
    </w:p>
    <w:p w:rsidR="00730BC4" w:rsidRPr="006761C4" w:rsidRDefault="00730BC4" w:rsidP="00730BC4">
      <w:pPr>
        <w:pStyle w:val="SCCNormalDoubleSpacing"/>
        <w:spacing w:line="240" w:lineRule="auto"/>
        <w:rPr>
          <w:sz w:val="20"/>
          <w:lang w:val="fr-CA"/>
        </w:rPr>
      </w:pPr>
      <w:r w:rsidRPr="006761C4">
        <w:rPr>
          <w:sz w:val="20"/>
          <w:lang w:val="fr-CA"/>
        </w:rPr>
        <w:tab/>
        <w:t xml:space="preserve">En l’espèce, l’objectif de l’interdiction est le même dans les analyses fondées tant sur l’art. 7 que sur l’article premier de la </w:t>
      </w:r>
      <w:r w:rsidRPr="006761C4">
        <w:rPr>
          <w:i/>
          <w:sz w:val="20"/>
          <w:lang w:val="fr-CA"/>
        </w:rPr>
        <w:t>Charte</w:t>
      </w:r>
      <w:r w:rsidRPr="006761C4">
        <w:rPr>
          <w:sz w:val="20"/>
          <w:lang w:val="fr-CA"/>
        </w:rPr>
        <w:t> : la protection de la santé et de la sécurité. Par conséquent, l</w:t>
      </w:r>
      <w:r w:rsidRPr="006761C4">
        <w:rPr>
          <w:iCs/>
          <w:sz w:val="20"/>
          <w:lang w:val="fr-CA"/>
        </w:rPr>
        <w:t xml:space="preserve">a même absence de lien entre l’interdiction et son objet qui rend l’interdiction arbitraire pour l’application de </w:t>
      </w:r>
      <w:r w:rsidRPr="006761C4">
        <w:rPr>
          <w:sz w:val="20"/>
          <w:lang w:val="fr-CA"/>
        </w:rPr>
        <w:t>l’art. 7 fait échec à l’exigence de l’article premier selon laquelle il doit exister un lien rationnel entre la restriction du droit et un objectif urgent. L’atteinte portée à l’art. 7 n’est donc pas justifiée au regard de l’article premier.</w:t>
      </w:r>
    </w:p>
    <w:p w:rsidR="00730BC4" w:rsidRDefault="00730BC4" w:rsidP="00730BC4">
      <w:pPr>
        <w:pStyle w:val="SCCNormalDoubleSpacing"/>
        <w:spacing w:line="240" w:lineRule="auto"/>
        <w:rPr>
          <w:sz w:val="20"/>
          <w:lang w:val="fr-CA"/>
        </w:rPr>
      </w:pPr>
    </w:p>
    <w:p w:rsidR="00730BC4" w:rsidRDefault="00730BC4" w:rsidP="00730BC4">
      <w:pPr>
        <w:pStyle w:val="SCCNormalDoubleSpacing"/>
        <w:spacing w:line="240" w:lineRule="auto"/>
        <w:rPr>
          <w:sz w:val="20"/>
          <w:lang w:val="fr-CA"/>
        </w:rPr>
      </w:pPr>
      <w:r w:rsidRPr="006761C4">
        <w:rPr>
          <w:sz w:val="20"/>
          <w:lang w:val="fr-CA"/>
        </w:rPr>
        <w:tab/>
        <w:t xml:space="preserve">Les articles 4 et 5 de la </w:t>
      </w:r>
      <w:r w:rsidRPr="006761C4">
        <w:rPr>
          <w:i/>
          <w:sz w:val="20"/>
          <w:lang w:val="fr-CA"/>
        </w:rPr>
        <w:t xml:space="preserve">LRCDAS </w:t>
      </w:r>
      <w:r w:rsidRPr="006761C4">
        <w:rPr>
          <w:iCs/>
          <w:sz w:val="20"/>
          <w:lang w:val="fr-CA"/>
        </w:rPr>
        <w:t xml:space="preserve">ne devraient toutefois pas être invalidés en entier. La réparation appropriée consiste à déclarer ces dispositions inopérantes </w:t>
      </w:r>
      <w:r w:rsidRPr="006761C4">
        <w:rPr>
          <w:sz w:val="20"/>
          <w:lang w:val="fr-CA"/>
        </w:rPr>
        <w:t xml:space="preserve">dans la mesure où elles interdisent à une personne munie d’une autorisation médicale de posséder des dérivés du cannabis à des fins médicales; cette déclaration n’est toutefois pas </w:t>
      </w:r>
      <w:r w:rsidRPr="006761C4">
        <w:rPr>
          <w:sz w:val="20"/>
          <w:lang w:val="fr-CA"/>
        </w:rPr>
        <w:lastRenderedPageBreak/>
        <w:t>suspendue parce que la suspendre ferait en sorte que les patients se retrouveraient sans traitement médical légal et que la loi et son application seraient laissées dans le flou.</w:t>
      </w:r>
    </w:p>
    <w:p w:rsidR="00730BC4" w:rsidRDefault="00730BC4" w:rsidP="00730BC4">
      <w:pPr>
        <w:pStyle w:val="SCCNormalDoubleSpacing"/>
        <w:spacing w:line="240" w:lineRule="auto"/>
        <w:rPr>
          <w:sz w:val="20"/>
          <w:lang w:val="fr-CA"/>
        </w:rPr>
      </w:pPr>
    </w:p>
    <w:p w:rsidR="00730BC4" w:rsidRPr="006761C4" w:rsidRDefault="00730BC4" w:rsidP="00730BC4">
      <w:pPr>
        <w:pStyle w:val="SCCNormalDoubleSpacing"/>
        <w:spacing w:line="240" w:lineRule="auto"/>
        <w:rPr>
          <w:sz w:val="20"/>
          <w:lang w:val="fr-CA"/>
        </w:rPr>
      </w:pPr>
      <w:r w:rsidRPr="006761C4">
        <w:rPr>
          <w:sz w:val="20"/>
          <w:lang w:val="fr-CA"/>
        </w:rPr>
        <w:tab/>
        <w:t>POURVOI contre un arrêt de la Cour d’appel de la Colombie</w:t>
      </w:r>
      <w:r w:rsidRPr="006761C4">
        <w:rPr>
          <w:sz w:val="20"/>
          <w:lang w:val="fr-CA"/>
        </w:rPr>
        <w:noBreakHyphen/>
        <w:t>Britannique (les juges Levine, Chiasson et Garson), 2014 BCCA 322, 360 B.C.A.C. 66, 617 W.A.C. 66, 315 C.C.C. (3d) 36, 316 C.R.R. (2d) 205, 14 C.R. (7th) 81, [2014] B.C.J. No. 2097 (QL), 2014 CarswellBC 2383 (WL Can.), qui a infirmé en partie une décision du juge Johnston, 2012 BCSC 544, 290 C.C.C. (3d) 91, 257 C.R.R. (2d) 129, [2012] B.C.J. No. 730 (QL), 2012 CarswellBC 1043 (WL Can.). Pourvoi rejeté.</w:t>
      </w:r>
    </w:p>
    <w:p w:rsidR="00730BC4" w:rsidRDefault="00730BC4" w:rsidP="00730BC4">
      <w:pPr>
        <w:pStyle w:val="SCCNormalDoubleSpacing"/>
        <w:spacing w:line="240" w:lineRule="auto"/>
        <w:rPr>
          <w:rStyle w:val="SCCCounselNameChar"/>
          <w:i w:val="0"/>
          <w:sz w:val="20"/>
          <w:lang w:val="fr-CA"/>
        </w:rPr>
      </w:pPr>
    </w:p>
    <w:p w:rsidR="00730BC4" w:rsidRPr="006761C4" w:rsidRDefault="00730BC4" w:rsidP="00730BC4">
      <w:pPr>
        <w:pStyle w:val="SCCNormalDoubleSpacing"/>
        <w:spacing w:line="240" w:lineRule="auto"/>
        <w:rPr>
          <w:sz w:val="20"/>
          <w:lang w:val="fr-CA"/>
        </w:rPr>
      </w:pPr>
      <w:r w:rsidRPr="006761C4">
        <w:rPr>
          <w:rStyle w:val="SCCCounselNameChar"/>
          <w:sz w:val="20"/>
          <w:lang w:val="fr-CA"/>
        </w:rPr>
        <w:tab/>
        <w:t>W. Paul Riley</w:t>
      </w:r>
      <w:r w:rsidRPr="006761C4">
        <w:rPr>
          <w:rStyle w:val="SCCCounselSeparatorChar"/>
          <w:sz w:val="20"/>
        </w:rPr>
        <w:t xml:space="preserve">, </w:t>
      </w:r>
      <w:r w:rsidRPr="006761C4">
        <w:rPr>
          <w:rStyle w:val="SCCCounselSeparatorChar"/>
          <w:i/>
          <w:sz w:val="20"/>
        </w:rPr>
        <w:t>c.r.</w:t>
      </w:r>
      <w:r w:rsidRPr="006761C4">
        <w:rPr>
          <w:rStyle w:val="SCCCounselSeparatorChar"/>
          <w:sz w:val="20"/>
        </w:rPr>
        <w:t xml:space="preserve">, et </w:t>
      </w:r>
      <w:r w:rsidRPr="006761C4">
        <w:rPr>
          <w:rStyle w:val="SCCCounselNameChar"/>
          <w:sz w:val="20"/>
          <w:lang w:val="fr-CA"/>
        </w:rPr>
        <w:t>Kevin Wilson</w:t>
      </w:r>
      <w:r w:rsidRPr="006761C4">
        <w:rPr>
          <w:rStyle w:val="SCCCounselPartyRoleChar"/>
          <w:sz w:val="20"/>
          <w:lang w:val="fr-CA"/>
        </w:rPr>
        <w:t>, pour l’appelante.</w:t>
      </w:r>
    </w:p>
    <w:p w:rsidR="00730BC4" w:rsidRDefault="00730BC4" w:rsidP="00730BC4">
      <w:pPr>
        <w:pStyle w:val="SCCNormalDoubleSpacing"/>
        <w:spacing w:line="240" w:lineRule="auto"/>
        <w:rPr>
          <w:rStyle w:val="SCCCounselNameChar"/>
          <w:i w:val="0"/>
          <w:sz w:val="20"/>
          <w:lang w:val="fr-CA"/>
        </w:rPr>
      </w:pPr>
    </w:p>
    <w:p w:rsidR="00730BC4" w:rsidRPr="006761C4" w:rsidRDefault="00730BC4" w:rsidP="00730BC4">
      <w:pPr>
        <w:pStyle w:val="SCCNormalDoubleSpacing"/>
        <w:spacing w:line="240" w:lineRule="auto"/>
        <w:rPr>
          <w:sz w:val="20"/>
          <w:lang w:val="fr-CA"/>
        </w:rPr>
      </w:pPr>
      <w:r w:rsidRPr="006761C4">
        <w:rPr>
          <w:rStyle w:val="SCCCounselNameChar"/>
          <w:sz w:val="20"/>
          <w:lang w:val="fr-CA"/>
        </w:rPr>
        <w:tab/>
        <w:t>Kirk I. Tousaw</w:t>
      </w:r>
      <w:r w:rsidRPr="006761C4">
        <w:rPr>
          <w:rStyle w:val="SCCCounselSeparatorChar"/>
          <w:sz w:val="20"/>
        </w:rPr>
        <w:t xml:space="preserve">, </w:t>
      </w:r>
      <w:r w:rsidRPr="006761C4">
        <w:rPr>
          <w:rStyle w:val="SCCCounselNameChar"/>
          <w:sz w:val="20"/>
          <w:lang w:val="fr-CA"/>
        </w:rPr>
        <w:t>John W. Conroy, c.r., Matthew J. Jackson</w:t>
      </w:r>
      <w:r w:rsidRPr="006761C4">
        <w:rPr>
          <w:rStyle w:val="SCCCounselSeparatorChar"/>
          <w:sz w:val="20"/>
        </w:rPr>
        <w:t xml:space="preserve"> et </w:t>
      </w:r>
      <w:r w:rsidRPr="006761C4">
        <w:rPr>
          <w:rStyle w:val="SCCCounselNameChar"/>
          <w:sz w:val="20"/>
          <w:lang w:val="fr-CA"/>
        </w:rPr>
        <w:t>Bibhas D. Vaze</w:t>
      </w:r>
      <w:r w:rsidRPr="006761C4">
        <w:rPr>
          <w:rStyle w:val="SCCCounselPartyRoleChar"/>
          <w:sz w:val="20"/>
          <w:lang w:val="fr-CA"/>
        </w:rPr>
        <w:t>, pour l’intimé.</w:t>
      </w:r>
    </w:p>
    <w:p w:rsidR="00730BC4" w:rsidRDefault="00730BC4" w:rsidP="00730BC4">
      <w:pPr>
        <w:pStyle w:val="SCCNormalDoubleSpacing"/>
        <w:spacing w:line="240" w:lineRule="auto"/>
        <w:rPr>
          <w:rStyle w:val="SCCCounselNameChar"/>
          <w:i w:val="0"/>
          <w:sz w:val="20"/>
          <w:lang w:val="fr-CA"/>
        </w:rPr>
      </w:pPr>
    </w:p>
    <w:p w:rsidR="00730BC4" w:rsidRPr="006761C4" w:rsidRDefault="00730BC4" w:rsidP="00730BC4">
      <w:pPr>
        <w:pStyle w:val="SCCNormalDoubleSpacing"/>
        <w:spacing w:line="240" w:lineRule="auto"/>
        <w:rPr>
          <w:sz w:val="20"/>
          <w:lang w:val="fr-CA"/>
        </w:rPr>
      </w:pPr>
      <w:r w:rsidRPr="006761C4">
        <w:rPr>
          <w:rStyle w:val="SCCCounselNameChar"/>
          <w:sz w:val="20"/>
          <w:lang w:val="fr-CA"/>
        </w:rPr>
        <w:tab/>
        <w:t>Julius H. Grey</w:t>
      </w:r>
      <w:r w:rsidRPr="006761C4">
        <w:rPr>
          <w:rStyle w:val="SCCCounselSeparatorChar"/>
          <w:sz w:val="20"/>
        </w:rPr>
        <w:t xml:space="preserve"> et </w:t>
      </w:r>
      <w:r w:rsidRPr="006761C4">
        <w:rPr>
          <w:rStyle w:val="SCCCounselNameChar"/>
          <w:sz w:val="20"/>
          <w:lang w:val="fr-CA"/>
        </w:rPr>
        <w:t>Geneviève Grey</w:t>
      </w:r>
      <w:r w:rsidRPr="006761C4">
        <w:rPr>
          <w:rStyle w:val="SCCCounselPartyRoleChar"/>
          <w:sz w:val="20"/>
          <w:lang w:val="fr-CA"/>
        </w:rPr>
        <w:t>, pour l’intervenante Santé Cannabis.</w:t>
      </w:r>
    </w:p>
    <w:p w:rsidR="00730BC4" w:rsidRDefault="00730BC4" w:rsidP="00730BC4">
      <w:pPr>
        <w:pStyle w:val="SCCNormalDoubleSpacing"/>
        <w:spacing w:line="240" w:lineRule="auto"/>
        <w:rPr>
          <w:rStyle w:val="SCCCounselNameChar"/>
          <w:i w:val="0"/>
          <w:sz w:val="20"/>
          <w:lang w:val="fr-CA"/>
        </w:rPr>
      </w:pPr>
    </w:p>
    <w:p w:rsidR="00730BC4" w:rsidRPr="006761C4" w:rsidRDefault="00730BC4" w:rsidP="00730BC4">
      <w:pPr>
        <w:pStyle w:val="SCCNormalDoubleSpacing"/>
        <w:spacing w:line="240" w:lineRule="auto"/>
        <w:rPr>
          <w:sz w:val="20"/>
          <w:lang w:val="fr-CA"/>
        </w:rPr>
      </w:pPr>
      <w:r w:rsidRPr="006761C4">
        <w:rPr>
          <w:rStyle w:val="SCCCounselNameChar"/>
          <w:sz w:val="20"/>
          <w:lang w:val="fr-CA"/>
        </w:rPr>
        <w:tab/>
        <w:t xml:space="preserve">Gerald Chan </w:t>
      </w:r>
      <w:r w:rsidRPr="006761C4">
        <w:rPr>
          <w:rStyle w:val="SCCCounselSeparatorChar"/>
          <w:sz w:val="20"/>
        </w:rPr>
        <w:t>et</w:t>
      </w:r>
      <w:r w:rsidRPr="006761C4">
        <w:rPr>
          <w:rStyle w:val="SCCCounselNameChar"/>
          <w:sz w:val="20"/>
          <w:lang w:val="fr-CA"/>
        </w:rPr>
        <w:t xml:space="preserve"> Nader R. Hasan</w:t>
      </w:r>
      <w:r w:rsidRPr="006761C4">
        <w:rPr>
          <w:rStyle w:val="SCCCounselPartyRoleChar"/>
          <w:sz w:val="20"/>
          <w:lang w:val="fr-CA"/>
        </w:rPr>
        <w:t>, pour l’intervenante Criminal Lawyers’ Association (Ontario).</w:t>
      </w:r>
    </w:p>
    <w:p w:rsidR="00730BC4" w:rsidRDefault="00730BC4" w:rsidP="00730BC4">
      <w:pPr>
        <w:pStyle w:val="SCCNormalDoubleSpacing"/>
        <w:spacing w:line="240" w:lineRule="auto"/>
        <w:rPr>
          <w:rStyle w:val="SCCCounselNameChar"/>
          <w:i w:val="0"/>
          <w:sz w:val="20"/>
          <w:lang w:val="fr-CA"/>
        </w:rPr>
      </w:pPr>
    </w:p>
    <w:p w:rsidR="00730BC4" w:rsidRPr="006761C4" w:rsidRDefault="00730BC4" w:rsidP="00730BC4">
      <w:pPr>
        <w:pStyle w:val="SCCNormalDoubleSpacing"/>
        <w:spacing w:line="240" w:lineRule="auto"/>
        <w:rPr>
          <w:sz w:val="20"/>
          <w:lang w:val="fr-CA"/>
        </w:rPr>
      </w:pPr>
      <w:r w:rsidRPr="006761C4">
        <w:rPr>
          <w:rStyle w:val="SCCCounselNameChar"/>
          <w:sz w:val="20"/>
          <w:lang w:val="fr-CA"/>
        </w:rPr>
        <w:tab/>
        <w:t>Andrew K. Lokan</w:t>
      </w:r>
      <w:r w:rsidRPr="006761C4">
        <w:rPr>
          <w:rStyle w:val="SCCCounselSeparatorChar"/>
          <w:sz w:val="20"/>
        </w:rPr>
        <w:t xml:space="preserve"> et </w:t>
      </w:r>
      <w:r w:rsidRPr="006761C4">
        <w:rPr>
          <w:rStyle w:val="SCCCounselNameChar"/>
          <w:sz w:val="20"/>
          <w:lang w:val="fr-CA"/>
        </w:rPr>
        <w:t>Debra McKenna</w:t>
      </w:r>
      <w:r w:rsidRPr="006761C4">
        <w:rPr>
          <w:rStyle w:val="SCCCounselPartyRoleChar"/>
          <w:sz w:val="20"/>
          <w:lang w:val="fr-CA"/>
        </w:rPr>
        <w:t>, pour l’intervenante l’</w:t>
      </w:r>
      <w:r w:rsidRPr="006761C4">
        <w:rPr>
          <w:sz w:val="20"/>
          <w:lang w:val="fr-CA"/>
        </w:rPr>
        <w:t>Association canadienne des libertés civiles</w:t>
      </w:r>
      <w:r w:rsidRPr="006761C4">
        <w:rPr>
          <w:rStyle w:val="SCCCounselPartyRoleChar"/>
          <w:sz w:val="20"/>
          <w:lang w:val="fr-CA"/>
        </w:rPr>
        <w:t>.</w:t>
      </w:r>
    </w:p>
    <w:p w:rsidR="00730BC4" w:rsidRDefault="00730BC4" w:rsidP="00730BC4">
      <w:pPr>
        <w:pStyle w:val="SCCNormalDoubleSpacing"/>
        <w:spacing w:line="240" w:lineRule="auto"/>
        <w:rPr>
          <w:rStyle w:val="SCCCounselNameChar"/>
          <w:i w:val="0"/>
          <w:sz w:val="20"/>
          <w:lang w:val="fr-CA"/>
        </w:rPr>
      </w:pPr>
    </w:p>
    <w:p w:rsidR="00730BC4" w:rsidRPr="006761C4" w:rsidRDefault="00730BC4" w:rsidP="00730BC4">
      <w:pPr>
        <w:pStyle w:val="SCCNormalDoubleSpacing"/>
        <w:spacing w:line="240" w:lineRule="auto"/>
        <w:rPr>
          <w:sz w:val="20"/>
          <w:lang w:val="fr-CA"/>
        </w:rPr>
      </w:pPr>
      <w:r w:rsidRPr="006761C4">
        <w:rPr>
          <w:rStyle w:val="SCCCounselNameChar"/>
          <w:sz w:val="20"/>
          <w:lang w:val="fr-CA"/>
        </w:rPr>
        <w:tab/>
        <w:t>Jason B. Gratl</w:t>
      </w:r>
      <w:r w:rsidRPr="006761C4">
        <w:rPr>
          <w:rStyle w:val="SCCCounselPartyRoleChar"/>
          <w:sz w:val="20"/>
          <w:lang w:val="fr-CA"/>
        </w:rPr>
        <w:t>, pour l’intervenante l’</w:t>
      </w:r>
      <w:r w:rsidRPr="006761C4">
        <w:rPr>
          <w:sz w:val="20"/>
          <w:lang w:val="fr-CA"/>
        </w:rPr>
        <w:t>Association des libertés civiles de la Colombie</w:t>
      </w:r>
      <w:r w:rsidRPr="006761C4">
        <w:rPr>
          <w:sz w:val="20"/>
          <w:lang w:val="fr-CA"/>
        </w:rPr>
        <w:noBreakHyphen/>
        <w:t>Britannique</w:t>
      </w:r>
      <w:r w:rsidRPr="006761C4">
        <w:rPr>
          <w:rStyle w:val="SCCCounselPartyRoleChar"/>
          <w:sz w:val="20"/>
          <w:lang w:val="fr-CA"/>
        </w:rPr>
        <w:t>.</w:t>
      </w:r>
    </w:p>
    <w:p w:rsidR="00730BC4" w:rsidRDefault="00730BC4" w:rsidP="00730BC4">
      <w:pPr>
        <w:pStyle w:val="SCCNormalDoubleSpacing"/>
        <w:spacing w:line="240" w:lineRule="auto"/>
        <w:rPr>
          <w:rStyle w:val="SCCCounselNameChar"/>
          <w:i w:val="0"/>
          <w:sz w:val="20"/>
          <w:lang w:val="fr-CA"/>
        </w:rPr>
      </w:pPr>
    </w:p>
    <w:p w:rsidR="00730BC4" w:rsidRPr="006761C4" w:rsidRDefault="00730BC4" w:rsidP="00730BC4">
      <w:pPr>
        <w:pStyle w:val="SCCNormalDoubleSpacing"/>
        <w:spacing w:line="240" w:lineRule="auto"/>
        <w:rPr>
          <w:sz w:val="20"/>
          <w:lang w:val="fr-CA"/>
        </w:rPr>
      </w:pPr>
      <w:r w:rsidRPr="006761C4">
        <w:rPr>
          <w:rStyle w:val="SCCCounselNameChar"/>
          <w:sz w:val="20"/>
          <w:lang w:val="fr-CA"/>
        </w:rPr>
        <w:tab/>
      </w:r>
      <w:r w:rsidRPr="00502A1A">
        <w:rPr>
          <w:rStyle w:val="SCCCounselNameChar"/>
          <w:i w:val="0"/>
          <w:sz w:val="20"/>
          <w:lang w:val="fr-CA"/>
        </w:rPr>
        <w:t>Argumentation écrite seulement par</w:t>
      </w:r>
      <w:r w:rsidRPr="006761C4">
        <w:rPr>
          <w:rStyle w:val="SCCCounselNameChar"/>
          <w:sz w:val="20"/>
          <w:lang w:val="fr-CA"/>
        </w:rPr>
        <w:t xml:space="preserve"> Paul Burstein</w:t>
      </w:r>
      <w:r w:rsidRPr="006761C4">
        <w:rPr>
          <w:rStyle w:val="SCCCounselSeparatorChar"/>
          <w:sz w:val="20"/>
        </w:rPr>
        <w:t xml:space="preserve">, </w:t>
      </w:r>
      <w:r w:rsidRPr="006761C4">
        <w:rPr>
          <w:rStyle w:val="SCCCounselNameChar"/>
          <w:sz w:val="20"/>
          <w:lang w:val="fr-CA"/>
        </w:rPr>
        <w:t>Ryan Peck</w:t>
      </w:r>
      <w:r w:rsidRPr="006761C4">
        <w:rPr>
          <w:rStyle w:val="SCCCounselSeparatorChar"/>
          <w:sz w:val="20"/>
        </w:rPr>
        <w:t xml:space="preserve"> et </w:t>
      </w:r>
      <w:r w:rsidRPr="006761C4">
        <w:rPr>
          <w:rStyle w:val="SCCCounselNameChar"/>
          <w:sz w:val="20"/>
          <w:lang w:val="fr-CA"/>
        </w:rPr>
        <w:t>Richard Elliott</w:t>
      </w:r>
      <w:r w:rsidRPr="006761C4">
        <w:rPr>
          <w:rStyle w:val="SCCCounselPartyRoleChar"/>
          <w:sz w:val="20"/>
          <w:lang w:val="fr-CA"/>
        </w:rPr>
        <w:t xml:space="preserve">, pour les intervenants la </w:t>
      </w:r>
      <w:r w:rsidRPr="006761C4">
        <w:rPr>
          <w:sz w:val="20"/>
          <w:lang w:val="fr-CA"/>
        </w:rPr>
        <w:t xml:space="preserve">Société canadienne du sida, le Réseau juridique canadien VIH/sida et </w:t>
      </w:r>
      <w:r w:rsidRPr="006761C4">
        <w:rPr>
          <w:rStyle w:val="SCCCounselPartyRoleChar"/>
          <w:sz w:val="20"/>
          <w:lang w:val="fr-CA"/>
        </w:rPr>
        <w:t>HIV &amp; AIDS Legal Clinic Ontario.</w:t>
      </w:r>
    </w:p>
    <w:p w:rsidR="00730BC4" w:rsidRDefault="00730BC4" w:rsidP="00730BC4">
      <w:pPr>
        <w:pStyle w:val="SCCLawFirm"/>
        <w:spacing w:line="240" w:lineRule="auto"/>
        <w:rPr>
          <w:sz w:val="20"/>
          <w:lang w:val="fr-CA"/>
        </w:rPr>
      </w:pPr>
    </w:p>
    <w:p w:rsidR="00730BC4" w:rsidRPr="006761C4" w:rsidRDefault="00730BC4" w:rsidP="00730BC4">
      <w:pPr>
        <w:pStyle w:val="SCCLawFirm"/>
        <w:spacing w:line="240" w:lineRule="auto"/>
        <w:rPr>
          <w:sz w:val="20"/>
          <w:lang w:val="fr-CA"/>
        </w:rPr>
      </w:pPr>
      <w:r w:rsidRPr="006761C4">
        <w:rPr>
          <w:sz w:val="20"/>
          <w:lang w:val="fr-CA"/>
        </w:rPr>
        <w:tab/>
        <w:t>Procureur de l’appelante : Service des poursuites pénales du Canada, Vancouver.</w:t>
      </w:r>
    </w:p>
    <w:p w:rsidR="00730BC4" w:rsidRDefault="00730BC4" w:rsidP="00730BC4">
      <w:pPr>
        <w:pStyle w:val="SCCLawFirm"/>
        <w:spacing w:line="240" w:lineRule="auto"/>
        <w:rPr>
          <w:sz w:val="20"/>
          <w:lang w:val="fr-CA"/>
        </w:rPr>
      </w:pPr>
    </w:p>
    <w:p w:rsidR="00730BC4" w:rsidRPr="006761C4" w:rsidRDefault="00730BC4" w:rsidP="00730BC4">
      <w:pPr>
        <w:pStyle w:val="SCCLawFirm"/>
        <w:spacing w:line="240" w:lineRule="auto"/>
        <w:rPr>
          <w:sz w:val="20"/>
          <w:lang w:val="fr-CA"/>
        </w:rPr>
      </w:pPr>
      <w:r w:rsidRPr="006761C4">
        <w:rPr>
          <w:sz w:val="20"/>
          <w:lang w:val="fr-CA"/>
        </w:rPr>
        <w:tab/>
        <w:t>Procureurs de l’intimé : Tousaw Law Corporation, Duncan, Colombie</w:t>
      </w:r>
      <w:r w:rsidRPr="006761C4">
        <w:rPr>
          <w:sz w:val="20"/>
          <w:lang w:val="fr-CA"/>
        </w:rPr>
        <w:noBreakHyphen/>
        <w:t>Britannique; Conroy and Company, Abbotsford; Henshall Scouten, Vancouver; Bibhas D. Vaze, Vancouver.</w:t>
      </w:r>
    </w:p>
    <w:p w:rsidR="00730BC4" w:rsidRDefault="00730BC4" w:rsidP="00730BC4">
      <w:pPr>
        <w:pStyle w:val="SCCLawFirm"/>
        <w:spacing w:line="240" w:lineRule="auto"/>
        <w:rPr>
          <w:sz w:val="20"/>
          <w:lang w:val="fr-CA"/>
        </w:rPr>
      </w:pPr>
    </w:p>
    <w:p w:rsidR="00730BC4" w:rsidRPr="006761C4" w:rsidRDefault="00730BC4" w:rsidP="00730BC4">
      <w:pPr>
        <w:pStyle w:val="SCCLawFirm"/>
        <w:spacing w:line="240" w:lineRule="auto"/>
        <w:rPr>
          <w:sz w:val="20"/>
          <w:lang w:val="fr-CA"/>
        </w:rPr>
      </w:pPr>
      <w:r w:rsidRPr="006761C4">
        <w:rPr>
          <w:sz w:val="20"/>
          <w:lang w:val="fr-CA"/>
        </w:rPr>
        <w:tab/>
        <w:t>Procureurs de l’intervenante Santé Cannabis : Grey Casgrain, Montréal.</w:t>
      </w:r>
    </w:p>
    <w:p w:rsidR="00730BC4" w:rsidRDefault="00730BC4" w:rsidP="00730BC4">
      <w:pPr>
        <w:pStyle w:val="SCCLawFirm"/>
        <w:spacing w:line="240" w:lineRule="auto"/>
        <w:rPr>
          <w:sz w:val="20"/>
          <w:lang w:val="fr-CA"/>
        </w:rPr>
      </w:pPr>
    </w:p>
    <w:p w:rsidR="00730BC4" w:rsidRPr="006761C4" w:rsidRDefault="00730BC4" w:rsidP="00730BC4">
      <w:pPr>
        <w:pStyle w:val="SCCLawFirm"/>
        <w:spacing w:line="240" w:lineRule="auto"/>
        <w:rPr>
          <w:sz w:val="20"/>
          <w:lang w:val="fr-CA"/>
        </w:rPr>
      </w:pPr>
      <w:r w:rsidRPr="006761C4">
        <w:rPr>
          <w:sz w:val="20"/>
          <w:lang w:val="fr-CA"/>
        </w:rPr>
        <w:tab/>
        <w:t>Procureurs de l’intervenante Criminal Lawyers’ Association (Ontario) : Ruby Shiller Chan Hasan, Toronto.</w:t>
      </w:r>
    </w:p>
    <w:p w:rsidR="00730BC4" w:rsidRDefault="00730BC4" w:rsidP="00730BC4">
      <w:pPr>
        <w:pStyle w:val="SCCLawFirm"/>
        <w:spacing w:line="240" w:lineRule="auto"/>
        <w:rPr>
          <w:sz w:val="20"/>
          <w:lang w:val="fr-CA"/>
        </w:rPr>
      </w:pPr>
    </w:p>
    <w:p w:rsidR="00730BC4" w:rsidRPr="006761C4" w:rsidRDefault="00730BC4" w:rsidP="00730BC4">
      <w:pPr>
        <w:pStyle w:val="SCCLawFirm"/>
        <w:spacing w:line="240" w:lineRule="auto"/>
        <w:rPr>
          <w:sz w:val="20"/>
          <w:lang w:val="fr-CA"/>
        </w:rPr>
      </w:pPr>
      <w:r w:rsidRPr="006761C4">
        <w:rPr>
          <w:sz w:val="20"/>
          <w:lang w:val="fr-CA"/>
        </w:rPr>
        <w:tab/>
        <w:t xml:space="preserve">Procureurs de </w:t>
      </w:r>
      <w:r w:rsidRPr="006761C4">
        <w:rPr>
          <w:rStyle w:val="SCCCounselPartyRoleChar"/>
          <w:sz w:val="20"/>
          <w:lang w:val="fr-CA"/>
        </w:rPr>
        <w:t>l’intervenante l’</w:t>
      </w:r>
      <w:r w:rsidRPr="006761C4">
        <w:rPr>
          <w:sz w:val="20"/>
          <w:lang w:val="fr-CA"/>
        </w:rPr>
        <w:t>Association canadienne des libertés civiles : Paliare Roland Rosenberg Rothstein, Toronto.</w:t>
      </w:r>
    </w:p>
    <w:p w:rsidR="00730BC4" w:rsidRDefault="00730BC4" w:rsidP="00730BC4">
      <w:pPr>
        <w:pStyle w:val="SCCLawFirm"/>
        <w:spacing w:line="240" w:lineRule="auto"/>
        <w:rPr>
          <w:sz w:val="20"/>
          <w:lang w:val="fr-CA"/>
        </w:rPr>
      </w:pPr>
    </w:p>
    <w:p w:rsidR="00730BC4" w:rsidRPr="006761C4" w:rsidRDefault="00730BC4" w:rsidP="00730BC4">
      <w:pPr>
        <w:pStyle w:val="SCCLawFirm"/>
        <w:spacing w:line="240" w:lineRule="auto"/>
        <w:rPr>
          <w:sz w:val="20"/>
          <w:lang w:val="fr-CA"/>
        </w:rPr>
      </w:pPr>
      <w:r w:rsidRPr="006761C4">
        <w:rPr>
          <w:sz w:val="20"/>
          <w:lang w:val="fr-CA"/>
        </w:rPr>
        <w:tab/>
        <w:t xml:space="preserve">Procureurs de </w:t>
      </w:r>
      <w:r w:rsidRPr="006761C4">
        <w:rPr>
          <w:rStyle w:val="SCCCounselPartyRoleChar"/>
          <w:sz w:val="20"/>
          <w:lang w:val="fr-CA"/>
        </w:rPr>
        <w:t>l’intervenante l’</w:t>
      </w:r>
      <w:r w:rsidRPr="006761C4">
        <w:rPr>
          <w:sz w:val="20"/>
          <w:lang w:val="fr-CA"/>
        </w:rPr>
        <w:t>Association des libertés civiles de la Colombie</w:t>
      </w:r>
      <w:r w:rsidRPr="006761C4">
        <w:rPr>
          <w:sz w:val="20"/>
          <w:lang w:val="fr-CA"/>
        </w:rPr>
        <w:noBreakHyphen/>
        <w:t>Britannique : Gratl &amp; Company, Vancouver.</w:t>
      </w:r>
    </w:p>
    <w:p w:rsidR="00730BC4" w:rsidRDefault="00730BC4" w:rsidP="00730BC4">
      <w:pPr>
        <w:pStyle w:val="SCCLawFirm"/>
        <w:spacing w:line="240" w:lineRule="auto"/>
        <w:rPr>
          <w:sz w:val="20"/>
          <w:lang w:val="fr-CA"/>
        </w:rPr>
      </w:pPr>
    </w:p>
    <w:p w:rsidR="00730BC4" w:rsidRDefault="00730BC4" w:rsidP="00730BC4">
      <w:pPr>
        <w:pStyle w:val="SCCLawFirm"/>
        <w:spacing w:line="240" w:lineRule="auto"/>
        <w:rPr>
          <w:sz w:val="20"/>
          <w:lang w:val="fr-CA"/>
        </w:rPr>
      </w:pPr>
      <w:r w:rsidRPr="006761C4">
        <w:rPr>
          <w:sz w:val="20"/>
          <w:lang w:val="fr-CA"/>
        </w:rPr>
        <w:tab/>
        <w:t xml:space="preserve">Procureurs des intervenants </w:t>
      </w:r>
      <w:r w:rsidRPr="006761C4">
        <w:rPr>
          <w:rStyle w:val="SCCCounselPartyRoleChar"/>
          <w:sz w:val="20"/>
          <w:lang w:val="fr-CA"/>
        </w:rPr>
        <w:t xml:space="preserve">la </w:t>
      </w:r>
      <w:r w:rsidRPr="006761C4">
        <w:rPr>
          <w:sz w:val="20"/>
          <w:lang w:val="fr-CA"/>
        </w:rPr>
        <w:t xml:space="preserve">Société canadienne du sida, le Réseau juridique canadien VIH/sida et </w:t>
      </w:r>
      <w:r w:rsidRPr="006761C4">
        <w:rPr>
          <w:rStyle w:val="SCCCounselPartyRoleChar"/>
          <w:sz w:val="20"/>
          <w:lang w:val="fr-CA"/>
        </w:rPr>
        <w:t>HIV &amp; AIDS Legal Clinic Ontario</w:t>
      </w:r>
      <w:r w:rsidRPr="006761C4">
        <w:rPr>
          <w:sz w:val="20"/>
          <w:lang w:val="fr-CA"/>
        </w:rPr>
        <w:t xml:space="preserve"> : Burstein Bryant Barristers, Toronto; </w:t>
      </w:r>
      <w:r w:rsidRPr="006761C4">
        <w:rPr>
          <w:rStyle w:val="SCCCounselPartyRoleChar"/>
          <w:sz w:val="20"/>
          <w:lang w:val="fr-CA"/>
        </w:rPr>
        <w:t xml:space="preserve">HIV &amp; AIDS Legal Clinic Ontario, Toronto; </w:t>
      </w:r>
      <w:r w:rsidRPr="006761C4">
        <w:rPr>
          <w:sz w:val="20"/>
          <w:lang w:val="fr-CA"/>
        </w:rPr>
        <w:t>Réseau juridique canadien VIH/sida, Toronto.</w:t>
      </w:r>
    </w:p>
    <w:p w:rsidR="003B3977" w:rsidRPr="00730BC4" w:rsidRDefault="003B3977" w:rsidP="005C6840">
      <w:pPr>
        <w:rPr>
          <w:rFonts w:cs="Times New Roman"/>
          <w:sz w:val="20"/>
          <w:szCs w:val="20"/>
          <w:lang w:val="fr-CA"/>
        </w:rPr>
      </w:pPr>
    </w:p>
    <w:p w:rsidR="00902E51" w:rsidRDefault="00BA13BB" w:rsidP="00730BC4">
      <w:pPr>
        <w:rPr>
          <w:rFonts w:cs="Times New Roman"/>
          <w:sz w:val="20"/>
          <w:szCs w:val="20"/>
          <w:lang w:val="fr-CA"/>
        </w:rPr>
      </w:pPr>
      <w:r>
        <w:rPr>
          <w:rFonts w:cs="Times New Roman"/>
          <w:sz w:val="20"/>
          <w:szCs w:val="20"/>
          <w:lang w:val="fr-CA"/>
        </w:rPr>
        <w:pict>
          <v:rect id="_x0000_i1060"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576" w:footer="960" w:gutter="0"/>
          <w:cols w:space="720"/>
          <w:titlePg/>
          <w:docGrid w:linePitch="272"/>
        </w:sectPr>
      </w:pPr>
    </w:p>
    <w:p w:rsidR="008112A9" w:rsidRPr="002E0C7E" w:rsidRDefault="00AD34D7"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0E4EEE">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E4EEE">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0E4EEE">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E4EEE">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0E4EEE">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E4EEE">
            <w:pPr>
              <w:widowControl w:val="0"/>
              <w:jc w:val="center"/>
              <w:rPr>
                <w:rFonts w:ascii="Arial" w:hAnsi="Arial"/>
                <w:sz w:val="14"/>
              </w:rPr>
            </w:pPr>
            <w:r w:rsidRPr="002E0C7E">
              <w:rPr>
                <w:rFonts w:ascii="Arial" w:hAnsi="Arial"/>
                <w:b/>
                <w:sz w:val="14"/>
              </w:rPr>
              <w:t>DECEMBER - DÉCEMBRE</w:t>
            </w:r>
          </w:p>
        </w:tc>
      </w:tr>
      <w:tr w:rsidR="008112A9" w:rsidRPr="002E0C7E" w:rsidTr="000E4EE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S</w:t>
            </w:r>
          </w:p>
          <w:p w:rsidR="008112A9" w:rsidRPr="002E0C7E" w:rsidRDefault="008112A9" w:rsidP="000E4EEE">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M</w:t>
            </w:r>
          </w:p>
          <w:p w:rsidR="008112A9" w:rsidRPr="002E0C7E" w:rsidRDefault="008112A9" w:rsidP="000E4EEE">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T</w:t>
            </w:r>
          </w:p>
          <w:p w:rsidR="008112A9" w:rsidRPr="002E0C7E" w:rsidRDefault="008112A9" w:rsidP="000E4EE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W</w:t>
            </w:r>
          </w:p>
          <w:p w:rsidR="008112A9" w:rsidRPr="002E0C7E" w:rsidRDefault="008112A9" w:rsidP="000E4EEE">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T</w:t>
            </w:r>
          </w:p>
          <w:p w:rsidR="008112A9" w:rsidRPr="002E0C7E" w:rsidRDefault="008112A9" w:rsidP="000E4EEE">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F</w:t>
            </w:r>
          </w:p>
          <w:p w:rsidR="008112A9" w:rsidRPr="002E0C7E" w:rsidRDefault="008112A9" w:rsidP="000E4EEE">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S</w:t>
            </w:r>
          </w:p>
          <w:p w:rsidR="008112A9" w:rsidRPr="002E0C7E" w:rsidRDefault="008112A9" w:rsidP="000E4EE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S</w:t>
            </w:r>
          </w:p>
          <w:p w:rsidR="008112A9" w:rsidRPr="002E0C7E" w:rsidRDefault="008112A9" w:rsidP="000E4EEE">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M</w:t>
            </w:r>
          </w:p>
          <w:p w:rsidR="008112A9" w:rsidRPr="002E0C7E" w:rsidRDefault="008112A9" w:rsidP="000E4EEE">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T</w:t>
            </w:r>
          </w:p>
          <w:p w:rsidR="008112A9" w:rsidRPr="002E0C7E" w:rsidRDefault="008112A9" w:rsidP="000E4EEE">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W</w:t>
            </w:r>
          </w:p>
          <w:p w:rsidR="008112A9" w:rsidRPr="002E0C7E" w:rsidRDefault="008112A9" w:rsidP="000E4EE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T</w:t>
            </w:r>
          </w:p>
          <w:p w:rsidR="008112A9" w:rsidRPr="002E0C7E" w:rsidRDefault="008112A9" w:rsidP="000E4EEE">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F</w:t>
            </w:r>
          </w:p>
          <w:p w:rsidR="008112A9" w:rsidRPr="002E0C7E" w:rsidRDefault="008112A9" w:rsidP="000E4EEE">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S</w:t>
            </w:r>
          </w:p>
          <w:p w:rsidR="008112A9" w:rsidRPr="002E0C7E" w:rsidRDefault="008112A9" w:rsidP="000E4EE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S</w:t>
            </w:r>
          </w:p>
          <w:p w:rsidR="008112A9" w:rsidRPr="002E0C7E" w:rsidRDefault="008112A9" w:rsidP="000E4EEE">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M</w:t>
            </w:r>
          </w:p>
          <w:p w:rsidR="008112A9" w:rsidRPr="002E0C7E" w:rsidRDefault="008112A9" w:rsidP="000E4EEE">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T</w:t>
            </w:r>
          </w:p>
          <w:p w:rsidR="008112A9" w:rsidRPr="002E0C7E" w:rsidRDefault="008112A9" w:rsidP="000E4EE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W</w:t>
            </w:r>
          </w:p>
          <w:p w:rsidR="008112A9" w:rsidRPr="002E0C7E" w:rsidRDefault="008112A9" w:rsidP="000E4EEE">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T</w:t>
            </w:r>
          </w:p>
          <w:p w:rsidR="008112A9" w:rsidRPr="002E0C7E" w:rsidRDefault="008112A9" w:rsidP="000E4EE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F</w:t>
            </w:r>
          </w:p>
          <w:p w:rsidR="008112A9" w:rsidRPr="002E0C7E" w:rsidRDefault="008112A9" w:rsidP="000E4EE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S</w:t>
            </w:r>
          </w:p>
          <w:p w:rsidR="008112A9" w:rsidRPr="002E0C7E" w:rsidRDefault="008112A9" w:rsidP="000E4EEE">
            <w:pPr>
              <w:widowControl w:val="0"/>
              <w:jc w:val="center"/>
              <w:rPr>
                <w:rFonts w:ascii="Arial" w:hAnsi="Arial"/>
                <w:sz w:val="14"/>
              </w:rPr>
            </w:pPr>
            <w:r w:rsidRPr="002E0C7E">
              <w:rPr>
                <w:rFonts w:ascii="Arial" w:hAnsi="Arial"/>
                <w:sz w:val="14"/>
              </w:rPr>
              <w:t>S</w:t>
            </w:r>
          </w:p>
        </w:tc>
      </w:tr>
      <w:tr w:rsidR="008112A9" w:rsidRPr="002E0C7E" w:rsidTr="000E4EE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0E4EEE">
            <w:pPr>
              <w:widowControl w:val="0"/>
              <w:jc w:val="center"/>
              <w:rPr>
                <w:rFonts w:ascii="Arial" w:hAnsi="Arial"/>
                <w:b/>
                <w:sz w:val="14"/>
              </w:rPr>
            </w:pPr>
            <w:r>
              <w:rPr>
                <w:rFonts w:ascii="Arial" w:hAnsi="Arial"/>
                <w:b/>
                <w:sz w:val="14"/>
              </w:rPr>
              <w:t>M</w:t>
            </w:r>
          </w:p>
          <w:p w:rsidR="008112A9" w:rsidRPr="002E0C7E" w:rsidRDefault="008112A9" w:rsidP="000E4EEE">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6</w:t>
            </w:r>
          </w:p>
        </w:tc>
      </w:tr>
      <w:tr w:rsidR="008112A9" w:rsidRPr="002E0C7E" w:rsidTr="000E4EE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0E4EEE">
            <w:pPr>
              <w:widowControl w:val="0"/>
              <w:jc w:val="center"/>
              <w:rPr>
                <w:rFonts w:ascii="Arial" w:hAnsi="Arial"/>
                <w:b/>
                <w:sz w:val="14"/>
              </w:rPr>
            </w:pPr>
            <w:r>
              <w:rPr>
                <w:rFonts w:ascii="Arial" w:hAnsi="Arial"/>
                <w:b/>
                <w:sz w:val="14"/>
              </w:rPr>
              <w:t>M</w:t>
            </w:r>
          </w:p>
          <w:p w:rsidR="008112A9" w:rsidRPr="002E0C7E" w:rsidRDefault="008112A9" w:rsidP="000E4EEE">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0E4EEE">
            <w:pPr>
              <w:widowControl w:val="0"/>
              <w:jc w:val="center"/>
              <w:rPr>
                <w:rFonts w:ascii="Arial" w:hAnsi="Arial"/>
                <w:b/>
                <w:sz w:val="14"/>
              </w:rPr>
            </w:pPr>
          </w:p>
          <w:p w:rsidR="008112A9" w:rsidRPr="002E0C7E" w:rsidRDefault="008112A9" w:rsidP="000E4EE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b/>
                <w:sz w:val="14"/>
              </w:rPr>
              <w:t>M</w:t>
            </w:r>
          </w:p>
          <w:p w:rsidR="008112A9" w:rsidRPr="002E0C7E" w:rsidRDefault="008112A9" w:rsidP="000E4EEE">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13</w:t>
            </w:r>
          </w:p>
        </w:tc>
      </w:tr>
      <w:tr w:rsidR="008112A9" w:rsidRPr="002E0C7E" w:rsidTr="000E4EE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0E4EEE">
            <w:pPr>
              <w:widowControl w:val="0"/>
              <w:jc w:val="center"/>
              <w:rPr>
                <w:rFonts w:ascii="Arial" w:hAnsi="Arial"/>
                <w:b/>
                <w:sz w:val="14"/>
              </w:rPr>
            </w:pPr>
            <w:r>
              <w:rPr>
                <w:rFonts w:ascii="Arial" w:hAnsi="Arial"/>
                <w:b/>
                <w:sz w:val="14"/>
              </w:rPr>
              <w:t>H</w:t>
            </w: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0E4EEE">
            <w:pPr>
              <w:widowControl w:val="0"/>
              <w:jc w:val="center"/>
              <w:rPr>
                <w:rFonts w:ascii="Arial" w:hAnsi="Arial"/>
                <w:b/>
                <w:sz w:val="14"/>
              </w:rPr>
            </w:pPr>
            <w:r w:rsidRPr="004F066E">
              <w:rPr>
                <w:rFonts w:ascii="Arial" w:hAnsi="Arial"/>
                <w:b/>
                <w:sz w:val="14"/>
              </w:rPr>
              <w:t>H</w:t>
            </w:r>
          </w:p>
          <w:p w:rsidR="008112A9" w:rsidRPr="002E0C7E" w:rsidRDefault="008112A9" w:rsidP="000E4EEE">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20</w:t>
            </w:r>
          </w:p>
        </w:tc>
      </w:tr>
      <w:tr w:rsidR="008112A9" w:rsidRPr="002E0C7E" w:rsidTr="000E4EE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0E4EEE">
            <w:pPr>
              <w:widowControl w:val="0"/>
              <w:jc w:val="center"/>
              <w:rPr>
                <w:rFonts w:ascii="Arial" w:hAnsi="Arial"/>
                <w:b/>
                <w:sz w:val="14"/>
              </w:rPr>
            </w:pPr>
          </w:p>
          <w:p w:rsidR="008112A9" w:rsidRPr="002E0C7E" w:rsidRDefault="008112A9" w:rsidP="000E4EEE">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0E4EEE">
            <w:pPr>
              <w:widowControl w:val="0"/>
              <w:jc w:val="center"/>
              <w:rPr>
                <w:rFonts w:ascii="Arial" w:hAnsi="Arial"/>
                <w:b/>
                <w:sz w:val="14"/>
              </w:rPr>
            </w:pPr>
            <w:r>
              <w:rPr>
                <w:rFonts w:ascii="Arial" w:hAnsi="Arial"/>
                <w:b/>
                <w:sz w:val="14"/>
              </w:rPr>
              <w:t>H</w:t>
            </w:r>
          </w:p>
          <w:p w:rsidR="008112A9" w:rsidRPr="002E0C7E" w:rsidRDefault="008112A9" w:rsidP="000E4EEE">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0E4EEE">
            <w:pPr>
              <w:widowControl w:val="0"/>
              <w:jc w:val="center"/>
              <w:rPr>
                <w:rFonts w:ascii="Arial" w:hAnsi="Arial"/>
                <w:b/>
                <w:sz w:val="14"/>
              </w:rPr>
            </w:pPr>
            <w:r>
              <w:rPr>
                <w:rFonts w:ascii="Arial" w:hAnsi="Arial"/>
                <w:b/>
                <w:sz w:val="14"/>
              </w:rPr>
              <w:t>H</w:t>
            </w:r>
          </w:p>
          <w:p w:rsidR="008112A9" w:rsidRPr="002E0C7E" w:rsidRDefault="008112A9" w:rsidP="000E4EEE">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0E4EEE">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0E4EEE">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0E4EEE">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0E4EEE">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E4EEE">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0E4EE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E4EEE">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0E4EE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E4EEE">
            <w:pPr>
              <w:widowControl w:val="0"/>
              <w:jc w:val="center"/>
              <w:rPr>
                <w:rFonts w:ascii="Arial" w:hAnsi="Arial"/>
                <w:sz w:val="14"/>
              </w:rPr>
            </w:pPr>
            <w:r w:rsidRPr="002E0C7E">
              <w:rPr>
                <w:rFonts w:ascii="Arial" w:hAnsi="Arial"/>
                <w:b/>
                <w:sz w:val="14"/>
              </w:rPr>
              <w:t>MARCH - MARS</w:t>
            </w:r>
          </w:p>
        </w:tc>
      </w:tr>
      <w:tr w:rsidR="008112A9" w:rsidRPr="002E0C7E" w:rsidTr="000E4EE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S</w:t>
            </w:r>
          </w:p>
          <w:p w:rsidR="008112A9" w:rsidRPr="002E0C7E" w:rsidRDefault="008112A9" w:rsidP="000E4EE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M</w:t>
            </w:r>
          </w:p>
          <w:p w:rsidR="008112A9" w:rsidRPr="002E0C7E" w:rsidRDefault="008112A9" w:rsidP="000E4EE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T</w:t>
            </w:r>
          </w:p>
          <w:p w:rsidR="008112A9" w:rsidRPr="002E0C7E" w:rsidRDefault="008112A9" w:rsidP="000E4E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W</w:t>
            </w:r>
          </w:p>
          <w:p w:rsidR="008112A9" w:rsidRPr="002E0C7E" w:rsidRDefault="008112A9" w:rsidP="000E4E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T</w:t>
            </w:r>
          </w:p>
          <w:p w:rsidR="008112A9" w:rsidRPr="002E0C7E" w:rsidRDefault="008112A9" w:rsidP="000E4EE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F</w:t>
            </w:r>
          </w:p>
          <w:p w:rsidR="008112A9" w:rsidRPr="002E0C7E" w:rsidRDefault="008112A9" w:rsidP="000E4EE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S</w:t>
            </w:r>
          </w:p>
          <w:p w:rsidR="008112A9" w:rsidRPr="002E0C7E" w:rsidRDefault="008112A9" w:rsidP="000E4EE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S</w:t>
            </w:r>
          </w:p>
          <w:p w:rsidR="008112A9" w:rsidRPr="002E0C7E" w:rsidRDefault="008112A9" w:rsidP="000E4EE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M</w:t>
            </w:r>
          </w:p>
          <w:p w:rsidR="008112A9" w:rsidRPr="002E0C7E" w:rsidRDefault="008112A9" w:rsidP="000E4EE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T</w:t>
            </w:r>
          </w:p>
          <w:p w:rsidR="008112A9" w:rsidRPr="002E0C7E" w:rsidRDefault="008112A9" w:rsidP="000E4EEE">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W</w:t>
            </w:r>
          </w:p>
          <w:p w:rsidR="008112A9" w:rsidRPr="002E0C7E" w:rsidRDefault="008112A9" w:rsidP="000E4E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T</w:t>
            </w:r>
          </w:p>
          <w:p w:rsidR="008112A9" w:rsidRPr="002E0C7E" w:rsidRDefault="008112A9" w:rsidP="000E4EE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F</w:t>
            </w:r>
          </w:p>
          <w:p w:rsidR="008112A9" w:rsidRPr="002E0C7E" w:rsidRDefault="008112A9" w:rsidP="000E4EE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S</w:t>
            </w:r>
          </w:p>
          <w:p w:rsidR="008112A9" w:rsidRPr="002E0C7E" w:rsidRDefault="008112A9" w:rsidP="000E4EE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S</w:t>
            </w:r>
          </w:p>
          <w:p w:rsidR="008112A9" w:rsidRPr="002E0C7E" w:rsidRDefault="008112A9" w:rsidP="000E4EE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M</w:t>
            </w:r>
          </w:p>
          <w:p w:rsidR="008112A9" w:rsidRPr="002E0C7E" w:rsidRDefault="008112A9" w:rsidP="000E4EE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T</w:t>
            </w:r>
          </w:p>
          <w:p w:rsidR="008112A9" w:rsidRPr="002E0C7E" w:rsidRDefault="008112A9" w:rsidP="000E4E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W</w:t>
            </w:r>
          </w:p>
          <w:p w:rsidR="008112A9" w:rsidRPr="002E0C7E" w:rsidRDefault="008112A9" w:rsidP="000E4E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T</w:t>
            </w:r>
          </w:p>
          <w:p w:rsidR="008112A9" w:rsidRPr="002E0C7E" w:rsidRDefault="008112A9" w:rsidP="000E4EE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F</w:t>
            </w:r>
          </w:p>
          <w:p w:rsidR="008112A9" w:rsidRPr="002E0C7E" w:rsidRDefault="008112A9" w:rsidP="000E4EEE">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S</w:t>
            </w:r>
          </w:p>
          <w:p w:rsidR="008112A9" w:rsidRPr="002E0C7E" w:rsidRDefault="008112A9" w:rsidP="000E4EEE">
            <w:pPr>
              <w:widowControl w:val="0"/>
              <w:jc w:val="center"/>
              <w:rPr>
                <w:rFonts w:ascii="Arial" w:hAnsi="Arial"/>
                <w:sz w:val="14"/>
              </w:rPr>
            </w:pPr>
            <w:r w:rsidRPr="002E0C7E">
              <w:rPr>
                <w:rFonts w:ascii="Arial" w:hAnsi="Arial"/>
                <w:sz w:val="14"/>
              </w:rPr>
              <w:t>S</w:t>
            </w:r>
          </w:p>
        </w:tc>
      </w:tr>
      <w:tr w:rsidR="008112A9" w:rsidRPr="002E0C7E" w:rsidTr="000E4EE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0E4EEE">
            <w:pPr>
              <w:widowControl w:val="0"/>
              <w:jc w:val="center"/>
              <w:rPr>
                <w:rFonts w:ascii="Arial" w:hAnsi="Arial"/>
                <w:b/>
                <w:sz w:val="14"/>
              </w:rPr>
            </w:pPr>
          </w:p>
          <w:p w:rsidR="008112A9" w:rsidRPr="002E0C7E" w:rsidRDefault="008112A9" w:rsidP="000E4EEE">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0E4EEE">
            <w:pPr>
              <w:widowControl w:val="0"/>
              <w:jc w:val="center"/>
              <w:rPr>
                <w:rFonts w:ascii="Arial" w:hAnsi="Arial"/>
                <w:b/>
                <w:sz w:val="14"/>
              </w:rPr>
            </w:pPr>
          </w:p>
          <w:p w:rsidR="008112A9" w:rsidRPr="002E0C7E" w:rsidRDefault="008112A9" w:rsidP="000E4EEE">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0E4EEE">
            <w:pPr>
              <w:widowControl w:val="0"/>
              <w:jc w:val="center"/>
              <w:rPr>
                <w:rFonts w:ascii="Arial" w:hAnsi="Arial"/>
                <w:b/>
                <w:sz w:val="14"/>
              </w:rPr>
            </w:pPr>
            <w:r w:rsidRPr="004F066E">
              <w:rPr>
                <w:rFonts w:ascii="Arial" w:hAnsi="Arial"/>
                <w:b/>
                <w:sz w:val="14"/>
              </w:rPr>
              <w:t>H</w:t>
            </w:r>
          </w:p>
          <w:p w:rsidR="008112A9" w:rsidRPr="002E0C7E" w:rsidRDefault="008112A9" w:rsidP="000E4EEE">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7</w:t>
            </w:r>
          </w:p>
        </w:tc>
      </w:tr>
      <w:tr w:rsidR="008112A9" w:rsidRPr="002E0C7E" w:rsidTr="000E4EE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0E4EEE">
            <w:pPr>
              <w:widowControl w:val="0"/>
              <w:jc w:val="center"/>
              <w:rPr>
                <w:rFonts w:ascii="Arial" w:hAnsi="Arial"/>
                <w:b/>
                <w:sz w:val="14"/>
              </w:rPr>
            </w:pPr>
            <w:r>
              <w:rPr>
                <w:rFonts w:ascii="Arial" w:hAnsi="Arial"/>
                <w:b/>
                <w:sz w:val="14"/>
              </w:rPr>
              <w:t>M</w:t>
            </w:r>
          </w:p>
          <w:p w:rsidR="008112A9" w:rsidRPr="002E0C7E" w:rsidRDefault="008112A9" w:rsidP="000E4EEE">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14</w:t>
            </w:r>
          </w:p>
        </w:tc>
      </w:tr>
      <w:tr w:rsidR="008112A9" w:rsidRPr="002E0C7E" w:rsidTr="000E4EE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0E4EEE">
            <w:pPr>
              <w:widowControl w:val="0"/>
              <w:jc w:val="center"/>
              <w:rPr>
                <w:rFonts w:ascii="Arial" w:hAnsi="Arial"/>
                <w:b/>
                <w:sz w:val="14"/>
              </w:rPr>
            </w:pPr>
            <w:r>
              <w:rPr>
                <w:rFonts w:ascii="Arial" w:hAnsi="Arial"/>
                <w:b/>
                <w:sz w:val="14"/>
              </w:rPr>
              <w:t>M</w:t>
            </w: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0E4EEE">
            <w:pPr>
              <w:widowControl w:val="0"/>
              <w:jc w:val="center"/>
              <w:rPr>
                <w:rFonts w:ascii="Arial" w:hAnsi="Arial"/>
                <w:b/>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0E4EEE">
            <w:pPr>
              <w:widowControl w:val="0"/>
              <w:jc w:val="center"/>
              <w:rPr>
                <w:rFonts w:ascii="Arial" w:hAnsi="Arial"/>
                <w:b/>
                <w:sz w:val="14"/>
              </w:rPr>
            </w:pPr>
            <w:r w:rsidRPr="009900C5">
              <w:rPr>
                <w:rFonts w:ascii="Arial" w:hAnsi="Arial"/>
                <w:b/>
                <w:sz w:val="14"/>
              </w:rPr>
              <w:t>M</w:t>
            </w: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0E4EE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0E4EEE">
            <w:pPr>
              <w:widowControl w:val="0"/>
              <w:jc w:val="center"/>
              <w:rPr>
                <w:rFonts w:ascii="Arial" w:hAnsi="Arial"/>
                <w:b/>
                <w:sz w:val="14"/>
              </w:rPr>
            </w:pPr>
          </w:p>
          <w:p w:rsidR="008112A9" w:rsidRPr="002E0C7E" w:rsidRDefault="008112A9" w:rsidP="000E4EE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0E4EE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0E4EEE">
            <w:pPr>
              <w:widowControl w:val="0"/>
              <w:jc w:val="center"/>
              <w:rPr>
                <w:rFonts w:ascii="Arial" w:hAnsi="Arial"/>
                <w:b/>
                <w:sz w:val="14"/>
              </w:rPr>
            </w:pPr>
          </w:p>
          <w:p w:rsidR="008112A9" w:rsidRPr="002E0C7E" w:rsidRDefault="008112A9" w:rsidP="000E4EE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0E4EEE">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E4EEE">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0E4EEE">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E4EEE">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0E4EEE">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0E4EEE">
            <w:pPr>
              <w:widowControl w:val="0"/>
              <w:jc w:val="center"/>
              <w:rPr>
                <w:rFonts w:ascii="Arial" w:hAnsi="Arial"/>
                <w:sz w:val="14"/>
              </w:rPr>
            </w:pPr>
            <w:r w:rsidRPr="002E0C7E">
              <w:rPr>
                <w:rFonts w:ascii="Arial" w:hAnsi="Arial"/>
                <w:b/>
                <w:sz w:val="14"/>
              </w:rPr>
              <w:t>JUNE - JUIN</w:t>
            </w:r>
          </w:p>
        </w:tc>
      </w:tr>
      <w:tr w:rsidR="008112A9" w:rsidRPr="002E0C7E" w:rsidTr="000E4EE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S</w:t>
            </w:r>
          </w:p>
          <w:p w:rsidR="008112A9" w:rsidRPr="002E0C7E" w:rsidRDefault="008112A9" w:rsidP="000E4EE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M</w:t>
            </w:r>
          </w:p>
          <w:p w:rsidR="008112A9" w:rsidRPr="002E0C7E" w:rsidRDefault="008112A9" w:rsidP="000E4EE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T</w:t>
            </w:r>
          </w:p>
          <w:p w:rsidR="008112A9" w:rsidRPr="002E0C7E" w:rsidRDefault="008112A9" w:rsidP="000E4E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W</w:t>
            </w:r>
          </w:p>
          <w:p w:rsidR="008112A9" w:rsidRPr="002E0C7E" w:rsidRDefault="008112A9" w:rsidP="000E4E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T</w:t>
            </w:r>
          </w:p>
          <w:p w:rsidR="008112A9" w:rsidRPr="002E0C7E" w:rsidRDefault="008112A9" w:rsidP="000E4EE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F</w:t>
            </w:r>
          </w:p>
          <w:p w:rsidR="008112A9" w:rsidRPr="002E0C7E" w:rsidRDefault="008112A9" w:rsidP="000E4EE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S</w:t>
            </w:r>
          </w:p>
          <w:p w:rsidR="008112A9" w:rsidRPr="002E0C7E" w:rsidRDefault="008112A9" w:rsidP="000E4EEE">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S</w:t>
            </w:r>
          </w:p>
          <w:p w:rsidR="008112A9" w:rsidRPr="002E0C7E" w:rsidRDefault="008112A9" w:rsidP="000E4EE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M</w:t>
            </w:r>
          </w:p>
          <w:p w:rsidR="008112A9" w:rsidRPr="002E0C7E" w:rsidRDefault="008112A9" w:rsidP="000E4EE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T</w:t>
            </w:r>
          </w:p>
          <w:p w:rsidR="008112A9" w:rsidRPr="002E0C7E" w:rsidRDefault="008112A9" w:rsidP="000E4E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W</w:t>
            </w:r>
          </w:p>
          <w:p w:rsidR="008112A9" w:rsidRPr="002E0C7E" w:rsidRDefault="008112A9" w:rsidP="000E4E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T</w:t>
            </w:r>
          </w:p>
          <w:p w:rsidR="008112A9" w:rsidRPr="002E0C7E" w:rsidRDefault="008112A9" w:rsidP="000E4EE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F</w:t>
            </w:r>
          </w:p>
          <w:p w:rsidR="008112A9" w:rsidRPr="002E0C7E" w:rsidRDefault="008112A9" w:rsidP="000E4EE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S</w:t>
            </w:r>
          </w:p>
          <w:p w:rsidR="008112A9" w:rsidRPr="002E0C7E" w:rsidRDefault="008112A9" w:rsidP="000E4EEE">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S</w:t>
            </w:r>
          </w:p>
          <w:p w:rsidR="008112A9" w:rsidRPr="002E0C7E" w:rsidRDefault="008112A9" w:rsidP="000E4EE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M</w:t>
            </w:r>
          </w:p>
          <w:p w:rsidR="008112A9" w:rsidRPr="002E0C7E" w:rsidRDefault="008112A9" w:rsidP="000E4EE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T</w:t>
            </w:r>
          </w:p>
          <w:p w:rsidR="008112A9" w:rsidRPr="002E0C7E" w:rsidRDefault="008112A9" w:rsidP="000E4E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W</w:t>
            </w:r>
          </w:p>
          <w:p w:rsidR="008112A9" w:rsidRPr="002E0C7E" w:rsidRDefault="008112A9" w:rsidP="000E4EE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T</w:t>
            </w:r>
          </w:p>
          <w:p w:rsidR="008112A9" w:rsidRPr="002E0C7E" w:rsidRDefault="008112A9" w:rsidP="000E4EE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sidRPr="002E0C7E">
              <w:rPr>
                <w:rFonts w:ascii="Arial" w:hAnsi="Arial"/>
                <w:sz w:val="14"/>
              </w:rPr>
              <w:t>F</w:t>
            </w:r>
          </w:p>
          <w:p w:rsidR="008112A9" w:rsidRPr="002E0C7E" w:rsidRDefault="008112A9" w:rsidP="000E4EEE">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r>
              <w:rPr>
                <w:rFonts w:ascii="Arial" w:hAnsi="Arial"/>
                <w:sz w:val="14"/>
              </w:rPr>
              <w:t>S</w:t>
            </w:r>
          </w:p>
          <w:p w:rsidR="008112A9" w:rsidRPr="002E0C7E" w:rsidRDefault="008112A9" w:rsidP="000E4EEE">
            <w:pPr>
              <w:widowControl w:val="0"/>
              <w:jc w:val="center"/>
              <w:rPr>
                <w:rFonts w:ascii="Arial" w:hAnsi="Arial"/>
                <w:sz w:val="14"/>
              </w:rPr>
            </w:pPr>
            <w:r>
              <w:rPr>
                <w:rFonts w:ascii="Arial" w:hAnsi="Arial"/>
                <w:sz w:val="14"/>
              </w:rPr>
              <w:t>S</w:t>
            </w:r>
          </w:p>
        </w:tc>
      </w:tr>
      <w:tr w:rsidR="008112A9" w:rsidRPr="002E0C7E" w:rsidTr="000E4EE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0E4EEE">
            <w:pPr>
              <w:widowControl w:val="0"/>
              <w:jc w:val="center"/>
              <w:rPr>
                <w:rFonts w:ascii="Arial" w:hAnsi="Arial"/>
                <w:b/>
                <w:sz w:val="14"/>
              </w:rPr>
            </w:pPr>
            <w:r>
              <w:rPr>
                <w:rFonts w:ascii="Arial" w:hAnsi="Arial"/>
                <w:b/>
                <w:sz w:val="14"/>
              </w:rPr>
              <w:t>H</w:t>
            </w:r>
          </w:p>
          <w:p w:rsidR="008112A9" w:rsidRPr="002E0C7E" w:rsidRDefault="008112A9" w:rsidP="000E4EEE">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b/>
                <w:sz w:val="14"/>
              </w:rPr>
            </w:pPr>
          </w:p>
          <w:p w:rsidR="008112A9" w:rsidRPr="002E0C7E" w:rsidRDefault="008112A9" w:rsidP="000E4EE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6</w:t>
            </w:r>
          </w:p>
        </w:tc>
      </w:tr>
      <w:tr w:rsidR="008112A9" w:rsidRPr="002E0C7E" w:rsidTr="000E4EE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0E4EEE">
            <w:pPr>
              <w:widowControl w:val="0"/>
              <w:jc w:val="center"/>
              <w:rPr>
                <w:rFonts w:ascii="Arial" w:hAnsi="Arial"/>
                <w:b/>
                <w:sz w:val="14"/>
              </w:rPr>
            </w:pPr>
            <w:r>
              <w:rPr>
                <w:rFonts w:ascii="Arial" w:hAnsi="Arial"/>
                <w:b/>
                <w:sz w:val="14"/>
              </w:rPr>
              <w:t>H</w:t>
            </w:r>
          </w:p>
          <w:p w:rsidR="008112A9" w:rsidRPr="002E0C7E" w:rsidRDefault="008112A9" w:rsidP="000E4EEE">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0E4EEE">
            <w:pPr>
              <w:widowControl w:val="0"/>
              <w:jc w:val="center"/>
              <w:rPr>
                <w:rFonts w:ascii="Arial" w:hAnsi="Arial"/>
                <w:b/>
                <w:sz w:val="14"/>
              </w:rPr>
            </w:pPr>
            <w:r>
              <w:rPr>
                <w:rFonts w:ascii="Arial" w:hAnsi="Arial"/>
                <w:b/>
                <w:sz w:val="14"/>
              </w:rPr>
              <w:t>M</w:t>
            </w:r>
          </w:p>
          <w:p w:rsidR="008112A9" w:rsidRPr="002E0C7E" w:rsidRDefault="008112A9" w:rsidP="000E4EEE">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13</w:t>
            </w:r>
          </w:p>
        </w:tc>
      </w:tr>
      <w:tr w:rsidR="008112A9" w:rsidRPr="002E0C7E" w:rsidTr="000E4EE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0E4EEE">
            <w:pPr>
              <w:widowControl w:val="0"/>
              <w:jc w:val="center"/>
              <w:rPr>
                <w:rFonts w:ascii="Arial" w:hAnsi="Arial"/>
                <w:b/>
                <w:sz w:val="14"/>
              </w:rPr>
            </w:pPr>
            <w:r>
              <w:rPr>
                <w:rFonts w:ascii="Arial" w:hAnsi="Arial"/>
                <w:b/>
                <w:sz w:val="14"/>
              </w:rPr>
              <w:t>M</w:t>
            </w: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0E4EEE">
            <w:pPr>
              <w:widowControl w:val="0"/>
              <w:jc w:val="center"/>
              <w:rPr>
                <w:rFonts w:ascii="Arial" w:hAnsi="Arial"/>
                <w:b/>
                <w:sz w:val="14"/>
              </w:rPr>
            </w:pPr>
          </w:p>
          <w:p w:rsidR="008112A9" w:rsidRPr="002E0C7E" w:rsidRDefault="008112A9" w:rsidP="000E4EEE">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0E4EEE">
            <w:pPr>
              <w:widowControl w:val="0"/>
              <w:jc w:val="center"/>
              <w:rPr>
                <w:rFonts w:ascii="Arial" w:hAnsi="Arial"/>
                <w:b/>
                <w:sz w:val="14"/>
              </w:rPr>
            </w:pPr>
            <w:r w:rsidRPr="002453E3">
              <w:rPr>
                <w:rFonts w:ascii="Arial" w:hAnsi="Arial"/>
                <w:b/>
                <w:sz w:val="14"/>
              </w:rPr>
              <w:t>M</w:t>
            </w: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20</w:t>
            </w:r>
          </w:p>
        </w:tc>
      </w:tr>
      <w:tr w:rsidR="008112A9" w:rsidRPr="002E0C7E" w:rsidTr="000E4EE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0E4EEE">
            <w:pPr>
              <w:widowControl w:val="0"/>
              <w:jc w:val="center"/>
              <w:rPr>
                <w:rFonts w:ascii="Arial" w:hAnsi="Arial"/>
                <w:b/>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0E4EEE">
            <w:pPr>
              <w:widowControl w:val="0"/>
              <w:jc w:val="center"/>
              <w:rPr>
                <w:rFonts w:ascii="Arial" w:hAnsi="Arial"/>
                <w:b/>
                <w:sz w:val="14"/>
              </w:rPr>
            </w:pPr>
            <w:r>
              <w:rPr>
                <w:rFonts w:ascii="Arial" w:hAnsi="Arial"/>
                <w:b/>
                <w:sz w:val="14"/>
              </w:rPr>
              <w:t>H</w:t>
            </w:r>
          </w:p>
          <w:p w:rsidR="008112A9" w:rsidRPr="002E0C7E" w:rsidRDefault="008112A9" w:rsidP="000E4EEE">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0E4EE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0E4EEE">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0E4EEE">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0E4EEE">
            <w:pPr>
              <w:widowControl w:val="0"/>
              <w:jc w:val="center"/>
              <w:rPr>
                <w:rFonts w:ascii="Arial" w:hAnsi="Arial"/>
                <w:sz w:val="14"/>
              </w:rPr>
            </w:pPr>
          </w:p>
          <w:p w:rsidR="008112A9" w:rsidRPr="002E0C7E" w:rsidRDefault="008112A9" w:rsidP="000E4EEE">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0E4EEE">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0E4EEE">
            <w:pPr>
              <w:widowControl w:val="0"/>
              <w:rPr>
                <w:rFonts w:ascii="Arial" w:hAnsi="Arial"/>
                <w:sz w:val="16"/>
              </w:rPr>
            </w:pPr>
            <w:r w:rsidRPr="002E0C7E">
              <w:rPr>
                <w:rFonts w:ascii="Arial" w:hAnsi="Arial"/>
                <w:sz w:val="16"/>
              </w:rPr>
              <w:t>Sittings of the court:</w:t>
            </w:r>
          </w:p>
          <w:p w:rsidR="008112A9" w:rsidRPr="002E0C7E" w:rsidRDefault="008112A9" w:rsidP="000E4EEE">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0E4EEE">
            <w:pPr>
              <w:widowControl w:val="0"/>
              <w:rPr>
                <w:rFonts w:ascii="Arial" w:hAnsi="Arial"/>
                <w:sz w:val="16"/>
              </w:rPr>
            </w:pPr>
          </w:p>
          <w:p w:rsidR="008112A9" w:rsidRPr="002E0C7E" w:rsidRDefault="008112A9" w:rsidP="000E4EEE">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0E4E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0E4E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0E4E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0E4E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0E4E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0E4EE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0E4E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0E4E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0E4E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0E4E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0E4EE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0E4E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0E4E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0E4EEE">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0E4E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73"/>
      <w:footerReference w:type="default" r:id="rId74"/>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73" w:rsidRDefault="004A7673" w:rsidP="00A87207">
      <w:r>
        <w:separator/>
      </w:r>
    </w:p>
  </w:endnote>
  <w:endnote w:type="continuationSeparator" w:id="0">
    <w:p w:rsidR="004A7673" w:rsidRDefault="004A767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BA13BB">
    <w:pPr>
      <w:pStyle w:val="Footer"/>
      <w:rPr>
        <w:lang w:val="fr-CA"/>
      </w:rPr>
    </w:pPr>
    <w:r>
      <w:rPr>
        <w:lang w:val="fr-CA"/>
      </w:rPr>
      <w:pict>
        <v:rect id="_x0000_i1042" style="width:480.95pt;height:1pt" o:hralign="center" o:hrstd="t" o:hrnoshade="t" o:hr="t" fillcolor="black [3213]" stroked="f"/>
      </w:pict>
    </w:r>
  </w:p>
  <w:p w:rsidR="00730BC4" w:rsidRDefault="00730BC4" w:rsidP="00245129">
    <w:pPr>
      <w:tabs>
        <w:tab w:val="center" w:pos="4680"/>
      </w:tabs>
    </w:pPr>
    <w:r>
      <w:tab/>
    </w:r>
    <w:r w:rsidRPr="0009648D">
      <w:t xml:space="preserve">- </w:t>
    </w:r>
    <w:r w:rsidR="00AE0624">
      <w:fldChar w:fldCharType="begin"/>
    </w:r>
    <w:r w:rsidR="00AE0624">
      <w:instrText xml:space="preserve"> PAGE   \* MERGEFORMAT </w:instrText>
    </w:r>
    <w:r w:rsidR="00AE0624">
      <w:fldChar w:fldCharType="separate"/>
    </w:r>
    <w:r w:rsidR="00BA13BB">
      <w:rPr>
        <w:noProof/>
      </w:rPr>
      <w:t>997</w:t>
    </w:r>
    <w:r w:rsidR="00AE0624">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30BC4"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30BC4" w:rsidRDefault="00730BC4">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BA13BB" w:rsidP="00755F22">
    <w:pPr>
      <w:tabs>
        <w:tab w:val="left" w:pos="-1440"/>
        <w:tab w:val="left" w:pos="-720"/>
      </w:tabs>
    </w:pPr>
    <w:r>
      <w:pict>
        <v:rect id="_x0000_i1045" style="width:480.95pt;height:1pt" o:hralign="center" o:hrstd="t" o:hrnoshade="t" o:hr="t" fillcolor="black [3213]" stroked="f"/>
      </w:pict>
    </w:r>
  </w:p>
  <w:p w:rsidR="00730BC4" w:rsidRDefault="00730BC4" w:rsidP="00EB2B90">
    <w:pPr>
      <w:tabs>
        <w:tab w:val="center" w:pos="4680"/>
      </w:tabs>
    </w:pPr>
    <w:r>
      <w:tab/>
      <w:t xml:space="preserve">- </w:t>
    </w:r>
    <w:r w:rsidR="00AE0624">
      <w:fldChar w:fldCharType="begin"/>
    </w:r>
    <w:r w:rsidR="00AE0624">
      <w:instrText xml:space="preserve"> PAGE   \* MERGEFORMAT </w:instrText>
    </w:r>
    <w:r w:rsidR="00AE0624">
      <w:fldChar w:fldCharType="separate"/>
    </w:r>
    <w:r w:rsidR="00BA13BB">
      <w:rPr>
        <w:noProof/>
      </w:rPr>
      <w:t>1006</w:t>
    </w:r>
    <w:r w:rsidR="00AE0624">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BA13BB" w:rsidP="00EB2B90">
    <w:pPr>
      <w:tabs>
        <w:tab w:val="center" w:pos="4680"/>
      </w:tabs>
    </w:pPr>
    <w:r>
      <w:pict>
        <v:rect id="_x0000_i1046" style="width:480.95pt;height:1pt" o:hralign="center" o:hrstd="t" o:hrnoshade="t" o:hr="t" fillcolor="black [3213]" stroked="f"/>
      </w:pict>
    </w:r>
  </w:p>
  <w:p w:rsidR="00730BC4" w:rsidRPr="0031432F" w:rsidRDefault="00730BC4" w:rsidP="00EB2B90">
    <w:pPr>
      <w:tabs>
        <w:tab w:val="center" w:pos="4680"/>
      </w:tabs>
    </w:pPr>
    <w:r>
      <w:tab/>
      <w:t xml:space="preserve">- </w:t>
    </w:r>
    <w:r w:rsidR="00AE0624">
      <w:fldChar w:fldCharType="begin"/>
    </w:r>
    <w:r w:rsidR="00AE0624">
      <w:instrText xml:space="preserve"> PAGE   \* MERGEFORMAT </w:instrText>
    </w:r>
    <w:r w:rsidR="00AE0624">
      <w:fldChar w:fldCharType="separate"/>
    </w:r>
    <w:r w:rsidR="00BA13BB">
      <w:rPr>
        <w:noProof/>
      </w:rPr>
      <w:t>1003</w:t>
    </w:r>
    <w:r w:rsidR="00AE0624">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30BC4"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30BC4" w:rsidRDefault="00730BC4">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BA13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1" style="width:480.95pt;height:1pt" o:hralign="center" o:hrstd="t" o:hrnoshade="t" o:hr="t" fillcolor="black [3213]" stroked="f"/>
      </w:pict>
    </w:r>
  </w:p>
  <w:p w:rsidR="00730BC4" w:rsidRDefault="00730BC4" w:rsidP="00EB2B90">
    <w:pPr>
      <w:tabs>
        <w:tab w:val="center" w:pos="4680"/>
      </w:tabs>
    </w:pPr>
    <w:r>
      <w:tab/>
      <w:t xml:space="preserve">- </w:t>
    </w:r>
    <w:r w:rsidR="00AE0624">
      <w:fldChar w:fldCharType="begin"/>
    </w:r>
    <w:r w:rsidR="00AE0624">
      <w:instrText xml:space="preserve"> PAGE   \* MERGEFORMAT </w:instrText>
    </w:r>
    <w:r w:rsidR="00AE0624">
      <w:fldChar w:fldCharType="separate"/>
    </w:r>
    <w:r>
      <w:rPr>
        <w:noProof/>
      </w:rPr>
      <w:t>524</w:t>
    </w:r>
    <w:r w:rsidR="00AE0624">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BA13BB">
    <w:pPr>
      <w:pStyle w:val="Footer"/>
      <w:rPr>
        <w:lang w:val="fr-CA"/>
      </w:rPr>
    </w:pPr>
    <w:r>
      <w:rPr>
        <w:lang w:val="fr-CA"/>
      </w:rPr>
      <w:pict>
        <v:rect id="_x0000_i1052" style="width:480.95pt;height:1pt" o:hralign="center" o:hrstd="t" o:hrnoshade="t" o:hr="t" fillcolor="black [3213]" stroked="f"/>
      </w:pict>
    </w:r>
  </w:p>
  <w:p w:rsidR="00730BC4" w:rsidRDefault="00730BC4" w:rsidP="00EB2B90">
    <w:pPr>
      <w:tabs>
        <w:tab w:val="center" w:pos="4680"/>
      </w:tabs>
    </w:pPr>
    <w:r>
      <w:tab/>
      <w:t xml:space="preserve">- </w:t>
    </w:r>
    <w:r w:rsidR="00AE0624">
      <w:fldChar w:fldCharType="begin"/>
    </w:r>
    <w:r w:rsidR="00AE0624">
      <w:instrText xml:space="preserve"> PAGE   \* MERGEFORMAT </w:instrText>
    </w:r>
    <w:r w:rsidR="00AE0624">
      <w:fldChar w:fldCharType="separate"/>
    </w:r>
    <w:r w:rsidR="00BA13BB">
      <w:rPr>
        <w:noProof/>
      </w:rPr>
      <w:t>1007</w:t>
    </w:r>
    <w:r w:rsidR="00AE0624">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30BC4" w:rsidRDefault="00730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30BC4" w:rsidRDefault="00730BC4">
    <w:pPr>
      <w:widowControl w:val="0"/>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BA13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4" style="width:480.95pt;height:1pt" o:hralign="center" o:hrstd="t" o:hrnoshade="t" o:hr="t" fillcolor="black [3213]" stroked="f"/>
      </w:pict>
    </w:r>
  </w:p>
  <w:p w:rsidR="00730BC4" w:rsidRDefault="00730BC4" w:rsidP="00697C62">
    <w:pPr>
      <w:tabs>
        <w:tab w:val="center" w:pos="4680"/>
      </w:tabs>
    </w:pPr>
    <w:r>
      <w:tab/>
      <w:t xml:space="preserve">- </w:t>
    </w:r>
    <w:r w:rsidR="00AD34D7" w:rsidRPr="00B74FED">
      <w:rPr>
        <w:szCs w:val="24"/>
      </w:rPr>
      <w:fldChar w:fldCharType="begin"/>
    </w:r>
    <w:r w:rsidRPr="00B74FED">
      <w:rPr>
        <w:szCs w:val="24"/>
      </w:rPr>
      <w:instrText xml:space="preserve"> PAGE   \* MERGEFORMAT </w:instrText>
    </w:r>
    <w:r w:rsidR="00AD34D7" w:rsidRPr="00B74FED">
      <w:rPr>
        <w:szCs w:val="24"/>
      </w:rPr>
      <w:fldChar w:fldCharType="separate"/>
    </w:r>
    <w:r>
      <w:rPr>
        <w:noProof/>
        <w:szCs w:val="24"/>
      </w:rPr>
      <w:t>528</w:t>
    </w:r>
    <w:r w:rsidR="00AD34D7" w:rsidRPr="00B74FED">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BA13BB" w:rsidP="00802863">
    <w:pPr>
      <w:widowControl w:val="0"/>
      <w:tabs>
        <w:tab w:val="left" w:pos="-1440"/>
        <w:tab w:val="left" w:pos="-720"/>
      </w:tabs>
    </w:pPr>
    <w:r>
      <w:rPr>
        <w:lang w:val="fr-CA"/>
      </w:rPr>
      <w:pict>
        <v:rect id="_x0000_i1055" style="width:480.95pt;height:1pt" o:hralign="center" o:hrstd="t" o:hrnoshade="t" o:hr="t" fillcolor="black [3213]" stroked="f"/>
      </w:pict>
    </w:r>
  </w:p>
  <w:p w:rsidR="00730BC4" w:rsidRPr="00180897" w:rsidRDefault="00730BC4" w:rsidP="00697C62">
    <w:pPr>
      <w:tabs>
        <w:tab w:val="center" w:pos="4680"/>
      </w:tabs>
    </w:pPr>
    <w:r>
      <w:tab/>
      <w:t xml:space="preserve">- </w:t>
    </w:r>
    <w:r w:rsidR="00AD34D7" w:rsidRPr="00B74FED">
      <w:rPr>
        <w:szCs w:val="24"/>
      </w:rPr>
      <w:fldChar w:fldCharType="begin"/>
    </w:r>
    <w:r w:rsidRPr="00B74FED">
      <w:rPr>
        <w:szCs w:val="24"/>
      </w:rPr>
      <w:instrText xml:space="preserve"> PAGE   \* MERGEFORMAT </w:instrText>
    </w:r>
    <w:r w:rsidR="00AD34D7" w:rsidRPr="00B74FED">
      <w:rPr>
        <w:szCs w:val="24"/>
      </w:rPr>
      <w:fldChar w:fldCharType="separate"/>
    </w:r>
    <w:r w:rsidR="00BA13BB">
      <w:rPr>
        <w:noProof/>
        <w:szCs w:val="24"/>
      </w:rPr>
      <w:t>1008</w:t>
    </w:r>
    <w:r w:rsidR="00AD34D7" w:rsidRPr="00B74FED">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30BC4"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30BC4" w:rsidRDefault="00730BC4">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BA13BB" w:rsidP="00732DB7">
    <w:r>
      <w:pict>
        <v:rect id="_x0000_i1057" style="width:480.95pt;height:1pt" o:hralign="center" o:hrstd="t" o:hrnoshade="t" o:hr="t" fillcolor="black" stroked="f"/>
      </w:pict>
    </w:r>
  </w:p>
  <w:p w:rsidR="00730BC4" w:rsidRDefault="00730BC4">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BA13BB">
    <w:pPr>
      <w:pStyle w:val="Footer"/>
    </w:pPr>
    <w:r>
      <w:pict>
        <v:rect id="_x0000_i1058" style="width:480.95pt;height:1pt" o:hralign="center" o:hrstd="t" o:hrnoshade="t" o:hr="t" fillcolor="black [3213]" stroked="f"/>
      </w:pict>
    </w:r>
  </w:p>
  <w:p w:rsidR="00730BC4" w:rsidRPr="003C2C0F" w:rsidRDefault="00730BC4" w:rsidP="00697C62">
    <w:pPr>
      <w:tabs>
        <w:tab w:val="center" w:pos="4680"/>
      </w:tabs>
    </w:pPr>
    <w:r>
      <w:tab/>
      <w:t xml:space="preserve">- </w:t>
    </w:r>
    <w:r w:rsidR="00AE0624">
      <w:fldChar w:fldCharType="begin"/>
    </w:r>
    <w:r w:rsidR="00AE0624">
      <w:instrText xml:space="preserve"> PAGE   \* MERGEFORMAT </w:instrText>
    </w:r>
    <w:r w:rsidR="00AE0624">
      <w:fldChar w:fldCharType="separate"/>
    </w:r>
    <w:r w:rsidR="00BA13BB">
      <w:rPr>
        <w:noProof/>
      </w:rPr>
      <w:t>1009</w:t>
    </w:r>
    <w:r w:rsidR="00AE0624">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30BC4"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30BC4" w:rsidRDefault="00730BC4">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30BC4" w:rsidRDefault="00BA13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1" style="width:480.95pt;height:1pt" o:hralign="center" o:hrstd="t" o:hrnoshade="t" o:hr="t" fillcolor="black [3213]" stroked="f"/>
      </w:pict>
    </w:r>
  </w:p>
  <w:p w:rsidR="00730BC4" w:rsidRDefault="00730BC4" w:rsidP="00782AE4">
    <w:pPr>
      <w:tabs>
        <w:tab w:val="center" w:pos="4680"/>
      </w:tabs>
    </w:pPr>
    <w:r>
      <w:tab/>
      <w:t xml:space="preserve">- </w:t>
    </w:r>
    <w:r w:rsidR="00AD34D7" w:rsidRPr="001775C1">
      <w:rPr>
        <w:szCs w:val="24"/>
      </w:rPr>
      <w:fldChar w:fldCharType="begin"/>
    </w:r>
    <w:r w:rsidRPr="001775C1">
      <w:rPr>
        <w:szCs w:val="24"/>
      </w:rPr>
      <w:instrText xml:space="preserve"> PAGE   \* MERGEFORMAT </w:instrText>
    </w:r>
    <w:r w:rsidR="00AD34D7" w:rsidRPr="001775C1">
      <w:rPr>
        <w:szCs w:val="24"/>
      </w:rPr>
      <w:fldChar w:fldCharType="separate"/>
    </w:r>
    <w:r w:rsidR="00BA13BB">
      <w:rPr>
        <w:noProof/>
        <w:szCs w:val="24"/>
      </w:rPr>
      <w:t>1012</w:t>
    </w:r>
    <w:r w:rsidR="00AD34D7"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BA13BB" w:rsidP="00782AE4">
    <w:pPr>
      <w:tabs>
        <w:tab w:val="center" w:pos="4680"/>
      </w:tabs>
    </w:pPr>
    <w:r>
      <w:pict>
        <v:rect id="_x0000_i1062" style="width:480.95pt;height:1pt" o:hralign="center" o:hrstd="t" o:hrnoshade="t" o:hr="t" fillcolor="black [3213]" stroked="f"/>
      </w:pict>
    </w:r>
  </w:p>
  <w:p w:rsidR="00730BC4" w:rsidRDefault="00730BC4" w:rsidP="00782AE4">
    <w:pPr>
      <w:tabs>
        <w:tab w:val="center" w:pos="4680"/>
      </w:tabs>
    </w:pPr>
    <w:r>
      <w:tab/>
      <w:t xml:space="preserve">- </w:t>
    </w:r>
    <w:r w:rsidR="00AD34D7" w:rsidRPr="001775C1">
      <w:rPr>
        <w:szCs w:val="24"/>
      </w:rPr>
      <w:fldChar w:fldCharType="begin"/>
    </w:r>
    <w:r w:rsidRPr="001775C1">
      <w:rPr>
        <w:szCs w:val="24"/>
      </w:rPr>
      <w:instrText xml:space="preserve"> PAGE   \* MERGEFORMAT </w:instrText>
    </w:r>
    <w:r w:rsidR="00AD34D7" w:rsidRPr="001775C1">
      <w:rPr>
        <w:szCs w:val="24"/>
      </w:rPr>
      <w:fldChar w:fldCharType="separate"/>
    </w:r>
    <w:r w:rsidR="00BA13BB">
      <w:rPr>
        <w:noProof/>
        <w:szCs w:val="24"/>
      </w:rPr>
      <w:t>1010</w:t>
    </w:r>
    <w:r w:rsidR="00AD34D7"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Pr="00924065" w:rsidRDefault="00730BC4"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BA13BB" w:rsidP="00A87207">
    <w:pPr>
      <w:pStyle w:val="Footer"/>
    </w:pPr>
    <w:r>
      <w:pict>
        <v:rect id="_x0000_i1030" style="width:480.95pt;height:1pt" o:hralign="center" o:hrstd="t" o:hrnoshade="t" o:hr="t" fillcolor="black [3213]" stroked="f"/>
      </w:pict>
    </w:r>
  </w:p>
  <w:p w:rsidR="00730BC4" w:rsidRPr="00B7374B" w:rsidRDefault="00730BC4" w:rsidP="00B7374B">
    <w:pPr>
      <w:tabs>
        <w:tab w:val="center" w:pos="4680"/>
      </w:tabs>
      <w:rPr>
        <w:szCs w:val="24"/>
      </w:rPr>
    </w:pPr>
    <w:r w:rsidRPr="00954D22">
      <w:rPr>
        <w:szCs w:val="24"/>
      </w:rPr>
      <w:tab/>
      <w:t xml:space="preserve">- </w:t>
    </w:r>
    <w:r w:rsidR="00AD34D7" w:rsidRPr="00954D22">
      <w:rPr>
        <w:szCs w:val="24"/>
      </w:rPr>
      <w:fldChar w:fldCharType="begin"/>
    </w:r>
    <w:r w:rsidRPr="00954D22">
      <w:rPr>
        <w:szCs w:val="24"/>
      </w:rPr>
      <w:instrText xml:space="preserve"> PAGE   \* MERGEFORMAT </w:instrText>
    </w:r>
    <w:r w:rsidR="00AD34D7" w:rsidRPr="00954D22">
      <w:rPr>
        <w:szCs w:val="24"/>
      </w:rPr>
      <w:fldChar w:fldCharType="separate"/>
    </w:r>
    <w:r>
      <w:rPr>
        <w:noProof/>
        <w:szCs w:val="24"/>
      </w:rPr>
      <w:t>994</w:t>
    </w:r>
    <w:r w:rsidR="00AD34D7"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BA13BB" w:rsidP="00755F22">
    <w:pPr>
      <w:tabs>
        <w:tab w:val="left" w:pos="-1440"/>
        <w:tab w:val="left" w:pos="-720"/>
      </w:tabs>
    </w:pPr>
    <w:r>
      <w:pict>
        <v:rect id="_x0000_i1031" style="width:480.95pt;height:1pt" o:hralign="center" o:hrstd="t" o:hrnoshade="t" o:hr="t" fillcolor="black [3213]" stroked="f"/>
      </w:pict>
    </w:r>
  </w:p>
  <w:p w:rsidR="00730BC4" w:rsidRPr="00954D22" w:rsidRDefault="00730BC4" w:rsidP="00B7374B">
    <w:pPr>
      <w:tabs>
        <w:tab w:val="center" w:pos="4680"/>
      </w:tabs>
      <w:rPr>
        <w:szCs w:val="24"/>
      </w:rPr>
    </w:pPr>
    <w:r w:rsidRPr="00954D22">
      <w:rPr>
        <w:szCs w:val="24"/>
      </w:rPr>
      <w:tab/>
      <w:t xml:space="preserve">- </w:t>
    </w:r>
    <w:r w:rsidR="00AD34D7">
      <w:rPr>
        <w:szCs w:val="24"/>
      </w:rPr>
      <w:fldChar w:fldCharType="begin"/>
    </w:r>
    <w:r>
      <w:rPr>
        <w:szCs w:val="24"/>
      </w:rPr>
      <w:instrText xml:space="preserve"> PAGE   \* MERGEFORMAT </w:instrText>
    </w:r>
    <w:r w:rsidR="00AD34D7">
      <w:rPr>
        <w:szCs w:val="24"/>
      </w:rPr>
      <w:fldChar w:fldCharType="separate"/>
    </w:r>
    <w:r w:rsidR="00BA13BB">
      <w:rPr>
        <w:noProof/>
        <w:szCs w:val="24"/>
      </w:rPr>
      <w:t>994</w:t>
    </w:r>
    <w:r w:rsidR="00AD34D7">
      <w:rPr>
        <w:szCs w:val="24"/>
      </w:rPr>
      <w:fldChar w:fldCharType="end"/>
    </w:r>
    <w:r w:rsidRPr="00954D22">
      <w:rPr>
        <w:szCs w:val="24"/>
      </w:rPr>
      <w:t xml:space="preserve"> -</w:t>
    </w:r>
  </w:p>
  <w:p w:rsidR="00730BC4" w:rsidRDefault="00730BC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BA13BB" w:rsidP="00A87207">
    <w:pPr>
      <w:pStyle w:val="Footer"/>
    </w:pPr>
    <w:r>
      <w:pict>
        <v:rect id="_x0000_i1033" style="width:480.95pt;height:1pt" o:hralign="center" o:hrstd="t" o:hrnoshade="t" o:hr="t" fillcolor="black [3213]" stroked="f"/>
      </w:pict>
    </w:r>
  </w:p>
  <w:p w:rsidR="00730BC4" w:rsidRPr="00B7374B" w:rsidRDefault="00730BC4" w:rsidP="00B7374B">
    <w:pPr>
      <w:tabs>
        <w:tab w:val="center" w:pos="4680"/>
      </w:tabs>
      <w:rPr>
        <w:szCs w:val="24"/>
      </w:rPr>
    </w:pPr>
    <w:r w:rsidRPr="00954D22">
      <w:rPr>
        <w:szCs w:val="24"/>
      </w:rPr>
      <w:tab/>
      <w:t xml:space="preserve">- </w:t>
    </w:r>
    <w:r w:rsidR="00AD34D7" w:rsidRPr="00954D22">
      <w:rPr>
        <w:szCs w:val="24"/>
      </w:rPr>
      <w:fldChar w:fldCharType="begin"/>
    </w:r>
    <w:r w:rsidRPr="00954D22">
      <w:rPr>
        <w:szCs w:val="24"/>
      </w:rPr>
      <w:instrText xml:space="preserve"> PAGE   \* MERGEFORMAT </w:instrText>
    </w:r>
    <w:r w:rsidR="00AD34D7" w:rsidRPr="00954D22">
      <w:rPr>
        <w:szCs w:val="24"/>
      </w:rPr>
      <w:fldChar w:fldCharType="separate"/>
    </w:r>
    <w:r w:rsidR="00BA13BB">
      <w:rPr>
        <w:noProof/>
        <w:szCs w:val="24"/>
      </w:rPr>
      <w:t>996</w:t>
    </w:r>
    <w:r w:rsidR="00AD34D7"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BA13B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730BC4" w:rsidRPr="00954D22" w:rsidRDefault="00730BC4" w:rsidP="00B7374B">
    <w:pPr>
      <w:tabs>
        <w:tab w:val="center" w:pos="4680"/>
      </w:tabs>
      <w:rPr>
        <w:szCs w:val="24"/>
      </w:rPr>
    </w:pPr>
    <w:r w:rsidRPr="00954D22">
      <w:rPr>
        <w:szCs w:val="24"/>
      </w:rPr>
      <w:tab/>
      <w:t xml:space="preserve">- </w:t>
    </w:r>
    <w:r w:rsidR="00AD34D7" w:rsidRPr="00954D22">
      <w:rPr>
        <w:szCs w:val="24"/>
      </w:rPr>
      <w:fldChar w:fldCharType="begin"/>
    </w:r>
    <w:r w:rsidRPr="00954D22">
      <w:rPr>
        <w:szCs w:val="24"/>
      </w:rPr>
      <w:instrText xml:space="preserve"> PAGE   \* MERGEFORMAT </w:instrText>
    </w:r>
    <w:r w:rsidR="00AD34D7" w:rsidRPr="00954D22">
      <w:rPr>
        <w:szCs w:val="24"/>
      </w:rPr>
      <w:fldChar w:fldCharType="separate"/>
    </w:r>
    <w:r w:rsidR="00BA13BB">
      <w:rPr>
        <w:noProof/>
        <w:szCs w:val="24"/>
      </w:rPr>
      <w:t>995</w:t>
    </w:r>
    <w:r w:rsidR="00AD34D7"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30BC4"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30BC4" w:rsidRDefault="00730BC4">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BA13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1" style="width:480.95pt;height:1pt" o:hralign="center" o:hrstd="t" o:hrnoshade="t" o:hr="t" fillcolor="black [3213]" stroked="f"/>
      </w:pict>
    </w:r>
  </w:p>
  <w:p w:rsidR="00730BC4" w:rsidRPr="0009648D" w:rsidRDefault="00730BC4" w:rsidP="00ED7E83">
    <w:pPr>
      <w:tabs>
        <w:tab w:val="center" w:pos="4680"/>
      </w:tabs>
    </w:pPr>
    <w:r>
      <w:tab/>
    </w:r>
    <w:r w:rsidRPr="0009648D">
      <w:t xml:space="preserve">- </w:t>
    </w:r>
    <w:r w:rsidR="00AE0624">
      <w:fldChar w:fldCharType="begin"/>
    </w:r>
    <w:r w:rsidR="00AE0624">
      <w:instrText xml:space="preserve"> PAGE   \* MERGEFORMAT </w:instrText>
    </w:r>
    <w:r w:rsidR="00AE0624">
      <w:fldChar w:fldCharType="separate"/>
    </w:r>
    <w:r w:rsidR="00BA13BB">
      <w:rPr>
        <w:noProof/>
      </w:rPr>
      <w:t>1002</w:t>
    </w:r>
    <w:r w:rsidR="00AE0624">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73" w:rsidRDefault="004A7673" w:rsidP="00A87207">
      <w:r>
        <w:separator/>
      </w:r>
    </w:p>
  </w:footnote>
  <w:footnote w:type="continuationSeparator" w:id="0">
    <w:p w:rsidR="004A7673" w:rsidRDefault="004A767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30BC4">
      <w:tc>
        <w:tcPr>
          <w:tcW w:w="4230" w:type="dxa"/>
          <w:tcMar>
            <w:left w:w="0" w:type="dxa"/>
            <w:right w:w="0" w:type="dxa"/>
          </w:tcMar>
        </w:tcPr>
        <w:p w:rsidR="00730BC4" w:rsidRDefault="00730B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30BC4" w:rsidRDefault="00730B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30BC4" w:rsidRDefault="00730B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30BC4">
      <w:trPr>
        <w:gridAfter w:val="2"/>
        <w:wAfter w:w="5250" w:type="dxa"/>
      </w:trPr>
      <w:tc>
        <w:tcPr>
          <w:tcW w:w="4230" w:type="dxa"/>
          <w:tcMar>
            <w:left w:w="0" w:type="dxa"/>
            <w:right w:w="0" w:type="dxa"/>
          </w:tcMar>
        </w:tcPr>
        <w:p w:rsidR="00730BC4"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30BC4"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30BC4" w:rsidRPr="00755F22" w:rsidTr="00245129">
      <w:tc>
        <w:tcPr>
          <w:tcW w:w="4230" w:type="dxa"/>
          <w:tcMar>
            <w:left w:w="0" w:type="dxa"/>
            <w:right w:w="0" w:type="dxa"/>
          </w:tcMar>
        </w:tcPr>
        <w:p w:rsidR="00730BC4" w:rsidRPr="00755F22" w:rsidRDefault="00730BC4" w:rsidP="00831CA9">
          <w:pPr>
            <w:keepNext/>
            <w:keepLines/>
            <w:rPr>
              <w:sz w:val="20"/>
              <w:szCs w:val="20"/>
            </w:rPr>
          </w:pPr>
          <w:r w:rsidRPr="00755F22">
            <w:rPr>
              <w:sz w:val="20"/>
              <w:szCs w:val="20"/>
            </w:rPr>
            <w:t>MOTIONS</w:t>
          </w:r>
        </w:p>
      </w:tc>
      <w:tc>
        <w:tcPr>
          <w:tcW w:w="1170" w:type="dxa"/>
          <w:tcMar>
            <w:left w:w="0" w:type="dxa"/>
            <w:right w:w="0" w:type="dxa"/>
          </w:tcMar>
        </w:tcPr>
        <w:p w:rsidR="00730BC4" w:rsidRPr="00755F22" w:rsidRDefault="00730BC4" w:rsidP="00831CA9">
          <w:pPr>
            <w:keepLines/>
            <w:jc w:val="center"/>
            <w:rPr>
              <w:sz w:val="20"/>
              <w:szCs w:val="20"/>
            </w:rPr>
          </w:pPr>
        </w:p>
        <w:p w:rsidR="00730BC4" w:rsidRPr="00755F22" w:rsidRDefault="00730BC4" w:rsidP="00831CA9">
          <w:pPr>
            <w:keepLines/>
            <w:tabs>
              <w:tab w:val="left" w:pos="-1440"/>
              <w:tab w:val="left" w:pos="-720"/>
            </w:tabs>
            <w:jc w:val="center"/>
            <w:rPr>
              <w:sz w:val="20"/>
              <w:szCs w:val="20"/>
            </w:rPr>
          </w:pPr>
        </w:p>
      </w:tc>
      <w:tc>
        <w:tcPr>
          <w:tcW w:w="4080" w:type="dxa"/>
          <w:tcMar>
            <w:left w:w="0" w:type="dxa"/>
            <w:right w:w="0" w:type="dxa"/>
          </w:tcMar>
        </w:tcPr>
        <w:p w:rsidR="00730BC4" w:rsidRPr="00BA6468" w:rsidRDefault="00730BC4" w:rsidP="00BA6468">
          <w:pPr>
            <w:keepLines/>
            <w:rPr>
              <w:sz w:val="20"/>
              <w:szCs w:val="20"/>
              <w:lang w:val="fr-CA"/>
            </w:rPr>
          </w:pPr>
          <w:r w:rsidRPr="00BA6468">
            <w:rPr>
              <w:sz w:val="20"/>
              <w:szCs w:val="20"/>
              <w:lang w:val="fr-CA"/>
            </w:rPr>
            <w:t>REQUÊTES</w:t>
          </w:r>
        </w:p>
      </w:tc>
    </w:tr>
  </w:tbl>
  <w:p w:rsidR="00730BC4" w:rsidRDefault="00730BC4"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30BC4" w:rsidRPr="00321A34">
      <w:tc>
        <w:tcPr>
          <w:tcW w:w="4200" w:type="dxa"/>
          <w:tcMar>
            <w:left w:w="0" w:type="dxa"/>
            <w:right w:w="0" w:type="dxa"/>
          </w:tcMar>
        </w:tcPr>
        <w:p w:rsidR="00730BC4" w:rsidRDefault="00730B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30BC4" w:rsidRDefault="00730B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30BC4" w:rsidRPr="00B01A03" w:rsidRDefault="00730B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30BC4" w:rsidRPr="00B01A03"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30BC4" w:rsidRPr="00B01A03"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730BC4" w:rsidRPr="00321A34" w:rsidTr="00245129">
      <w:tc>
        <w:tcPr>
          <w:tcW w:w="4200" w:type="dxa"/>
          <w:tcMar>
            <w:left w:w="0" w:type="dxa"/>
            <w:right w:w="0" w:type="dxa"/>
          </w:tcMar>
        </w:tcPr>
        <w:p w:rsidR="00730BC4" w:rsidRPr="00F40249" w:rsidRDefault="00730BC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30BC4" w:rsidRDefault="00730BC4" w:rsidP="00102926">
          <w:pPr>
            <w:keepNext/>
            <w:keepLines/>
            <w:tabs>
              <w:tab w:val="left" w:pos="-1440"/>
              <w:tab w:val="left" w:pos="-720"/>
            </w:tabs>
            <w:jc w:val="center"/>
            <w:rPr>
              <w:sz w:val="20"/>
              <w:szCs w:val="20"/>
            </w:rPr>
          </w:pPr>
        </w:p>
        <w:p w:rsidR="00730BC4" w:rsidRDefault="00730BC4" w:rsidP="00102926">
          <w:pPr>
            <w:keepNext/>
            <w:keepLines/>
            <w:tabs>
              <w:tab w:val="left" w:pos="-1440"/>
              <w:tab w:val="left" w:pos="-720"/>
            </w:tabs>
            <w:jc w:val="center"/>
            <w:rPr>
              <w:sz w:val="20"/>
              <w:szCs w:val="20"/>
            </w:rPr>
          </w:pPr>
        </w:p>
        <w:p w:rsidR="00730BC4" w:rsidRPr="00F40249" w:rsidRDefault="00730BC4" w:rsidP="00102926">
          <w:pPr>
            <w:keepNext/>
            <w:keepLines/>
            <w:tabs>
              <w:tab w:val="left" w:pos="-1440"/>
              <w:tab w:val="left" w:pos="-720"/>
            </w:tabs>
            <w:jc w:val="center"/>
            <w:rPr>
              <w:sz w:val="20"/>
              <w:szCs w:val="20"/>
            </w:rPr>
          </w:pPr>
        </w:p>
      </w:tc>
      <w:tc>
        <w:tcPr>
          <w:tcW w:w="4230" w:type="dxa"/>
          <w:tcMar>
            <w:left w:w="0" w:type="dxa"/>
            <w:right w:w="0" w:type="dxa"/>
          </w:tcMar>
        </w:tcPr>
        <w:p w:rsidR="00730BC4" w:rsidRPr="00F40249" w:rsidRDefault="00730BC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30BC4" w:rsidRPr="00B01A03" w:rsidRDefault="00730BC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30BC4" w:rsidRPr="00321A34">
      <w:tc>
        <w:tcPr>
          <w:tcW w:w="4200" w:type="dxa"/>
          <w:tcMar>
            <w:left w:w="0" w:type="dxa"/>
            <w:right w:w="0" w:type="dxa"/>
          </w:tcMar>
        </w:tcPr>
        <w:p w:rsidR="00730BC4" w:rsidRDefault="00730BC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730BC4" w:rsidRDefault="00730BC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730BC4" w:rsidRDefault="00730BC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30BC4" w:rsidRPr="009256DC" w:rsidRDefault="00730BC4">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730BC4" w:rsidRPr="009256DC" w:rsidRDefault="00730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30BC4" w:rsidRPr="009256DC" w:rsidRDefault="00730B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30BC4" w:rsidRPr="00321A34" w:rsidTr="00245129">
      <w:tc>
        <w:tcPr>
          <w:tcW w:w="4200" w:type="dxa"/>
          <w:tcMar>
            <w:left w:w="0" w:type="dxa"/>
            <w:right w:w="0" w:type="dxa"/>
          </w:tcMar>
        </w:tcPr>
        <w:p w:rsidR="00730BC4" w:rsidRPr="00802863" w:rsidRDefault="00730BC4"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730BC4" w:rsidRPr="00802863" w:rsidRDefault="00730BC4" w:rsidP="00802863">
          <w:pPr>
            <w:keepNext/>
            <w:keepLines/>
            <w:widowControl w:val="0"/>
            <w:tabs>
              <w:tab w:val="left" w:pos="-1440"/>
              <w:tab w:val="left" w:pos="-720"/>
            </w:tabs>
            <w:jc w:val="center"/>
            <w:rPr>
              <w:sz w:val="20"/>
              <w:szCs w:val="20"/>
            </w:rPr>
          </w:pPr>
        </w:p>
        <w:p w:rsidR="00730BC4" w:rsidRPr="00802863" w:rsidRDefault="00730BC4" w:rsidP="00802863">
          <w:pPr>
            <w:keepNext/>
            <w:keepLines/>
            <w:widowControl w:val="0"/>
            <w:tabs>
              <w:tab w:val="left" w:pos="-1440"/>
              <w:tab w:val="left" w:pos="-720"/>
            </w:tabs>
            <w:jc w:val="center"/>
            <w:rPr>
              <w:sz w:val="20"/>
              <w:szCs w:val="20"/>
            </w:rPr>
          </w:pPr>
        </w:p>
        <w:p w:rsidR="00730BC4" w:rsidRPr="00802863" w:rsidRDefault="00730BC4"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730BC4" w:rsidRPr="00802863" w:rsidRDefault="00730BC4"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730BC4" w:rsidRPr="009256DC" w:rsidRDefault="00730BC4"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30BC4" w:rsidRPr="00321A34">
      <w:tc>
        <w:tcPr>
          <w:tcW w:w="4200" w:type="dxa"/>
          <w:tcMar>
            <w:left w:w="0" w:type="dxa"/>
            <w:right w:w="0" w:type="dxa"/>
          </w:tcMar>
        </w:tcPr>
        <w:p w:rsidR="00730BC4" w:rsidRDefault="00730B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30BC4" w:rsidRDefault="00730B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30BC4" w:rsidRDefault="00730B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30BC4" w:rsidRPr="003C2C0F" w:rsidRDefault="00730B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30BC4" w:rsidRPr="003C2C0F"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30BC4" w:rsidRPr="003C2C0F"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30BC4" w:rsidRPr="00321A34" w:rsidTr="00245129">
      <w:tc>
        <w:tcPr>
          <w:tcW w:w="4200" w:type="dxa"/>
          <w:tcMar>
            <w:left w:w="0" w:type="dxa"/>
            <w:right w:w="0" w:type="dxa"/>
          </w:tcMar>
        </w:tcPr>
        <w:p w:rsidR="00730BC4" w:rsidRPr="00FF6EEC" w:rsidRDefault="00730BC4" w:rsidP="00FF6EEC">
          <w:pPr>
            <w:rPr>
              <w:sz w:val="20"/>
              <w:szCs w:val="20"/>
            </w:rPr>
          </w:pPr>
          <w:r w:rsidRPr="00FF6EEC">
            <w:rPr>
              <w:sz w:val="20"/>
              <w:szCs w:val="20"/>
            </w:rPr>
            <w:t>PRONOUNCEMENTS OF APPEALS RESERVED</w:t>
          </w:r>
        </w:p>
      </w:tc>
      <w:tc>
        <w:tcPr>
          <w:tcW w:w="1200" w:type="dxa"/>
          <w:tcMar>
            <w:left w:w="0" w:type="dxa"/>
            <w:right w:w="0" w:type="dxa"/>
          </w:tcMar>
        </w:tcPr>
        <w:p w:rsidR="00730BC4" w:rsidRPr="00FF6EEC" w:rsidRDefault="00730BC4" w:rsidP="00FF6EEC">
          <w:pPr>
            <w:jc w:val="center"/>
            <w:rPr>
              <w:sz w:val="20"/>
              <w:szCs w:val="20"/>
            </w:rPr>
          </w:pPr>
        </w:p>
        <w:p w:rsidR="00730BC4" w:rsidRPr="00FF6EEC" w:rsidRDefault="00730BC4" w:rsidP="00FF6EEC">
          <w:pPr>
            <w:jc w:val="center"/>
            <w:rPr>
              <w:sz w:val="20"/>
              <w:szCs w:val="20"/>
            </w:rPr>
          </w:pPr>
        </w:p>
        <w:p w:rsidR="00730BC4" w:rsidRPr="00FF6EEC" w:rsidRDefault="00730BC4" w:rsidP="00FF6EEC">
          <w:pPr>
            <w:jc w:val="center"/>
            <w:rPr>
              <w:sz w:val="20"/>
              <w:szCs w:val="20"/>
            </w:rPr>
          </w:pPr>
        </w:p>
      </w:tc>
      <w:tc>
        <w:tcPr>
          <w:tcW w:w="4080" w:type="dxa"/>
          <w:tcMar>
            <w:left w:w="0" w:type="dxa"/>
            <w:right w:w="0" w:type="dxa"/>
          </w:tcMar>
        </w:tcPr>
        <w:p w:rsidR="00730BC4" w:rsidRPr="00FF6EEC" w:rsidRDefault="00730BC4" w:rsidP="00FF6EEC">
          <w:pPr>
            <w:rPr>
              <w:sz w:val="20"/>
              <w:szCs w:val="20"/>
              <w:lang w:val="fr-CA"/>
            </w:rPr>
          </w:pPr>
          <w:r w:rsidRPr="00FF6EEC">
            <w:rPr>
              <w:sz w:val="20"/>
              <w:szCs w:val="20"/>
              <w:lang w:val="fr-CA"/>
            </w:rPr>
            <w:t>JUGEMENTS RENDUS SUR LES APPELS EN DÉLIBÉRÉ</w:t>
          </w:r>
        </w:p>
      </w:tc>
    </w:tr>
  </w:tbl>
  <w:p w:rsidR="00730BC4" w:rsidRPr="003C2C0F" w:rsidRDefault="00730BC4"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30BC4">
      <w:tc>
        <w:tcPr>
          <w:tcW w:w="4230" w:type="dxa"/>
          <w:tcMar>
            <w:left w:w="0" w:type="dxa"/>
            <w:right w:w="0" w:type="dxa"/>
          </w:tcMar>
        </w:tcPr>
        <w:p w:rsidR="00730BC4" w:rsidRDefault="00730B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30BC4" w:rsidRDefault="00730B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30BC4" w:rsidRDefault="00730B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30BC4" w:rsidRDefault="00730B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30BC4" w:rsidRDefault="00730B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30BC4" w:rsidRDefault="00730B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30BC4"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30BC4"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30BC4" w:rsidRPr="00782AE4" w:rsidTr="00245129">
      <w:tc>
        <w:tcPr>
          <w:tcW w:w="4230" w:type="dxa"/>
          <w:tcMar>
            <w:left w:w="0" w:type="dxa"/>
            <w:right w:w="0" w:type="dxa"/>
          </w:tcMar>
        </w:tcPr>
        <w:p w:rsidR="00730BC4" w:rsidRPr="00782AE4" w:rsidRDefault="00730BC4" w:rsidP="00102926">
          <w:pPr>
            <w:keepNext/>
            <w:keepLines/>
            <w:tabs>
              <w:tab w:val="left" w:pos="-1440"/>
              <w:tab w:val="left" w:pos="-720"/>
            </w:tabs>
            <w:rPr>
              <w:sz w:val="20"/>
              <w:szCs w:val="20"/>
            </w:rPr>
          </w:pPr>
          <w:r w:rsidRPr="00782AE4">
            <w:rPr>
              <w:sz w:val="20"/>
              <w:szCs w:val="20"/>
            </w:rPr>
            <w:t xml:space="preserve">HEADNOTES OF RECENT </w:t>
          </w:r>
        </w:p>
        <w:p w:rsidR="00730BC4" w:rsidRPr="00782AE4" w:rsidRDefault="00730B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30BC4" w:rsidRDefault="00730BC4" w:rsidP="00102926">
          <w:pPr>
            <w:keepNext/>
            <w:keepLines/>
            <w:tabs>
              <w:tab w:val="left" w:pos="-1440"/>
              <w:tab w:val="left" w:pos="-720"/>
            </w:tabs>
            <w:jc w:val="center"/>
            <w:rPr>
              <w:sz w:val="20"/>
              <w:szCs w:val="20"/>
            </w:rPr>
          </w:pPr>
        </w:p>
        <w:p w:rsidR="00730BC4" w:rsidRDefault="00730BC4" w:rsidP="00102926">
          <w:pPr>
            <w:keepNext/>
            <w:keepLines/>
            <w:tabs>
              <w:tab w:val="left" w:pos="-1440"/>
              <w:tab w:val="left" w:pos="-720"/>
            </w:tabs>
            <w:jc w:val="center"/>
            <w:rPr>
              <w:sz w:val="20"/>
              <w:szCs w:val="20"/>
            </w:rPr>
          </w:pPr>
        </w:p>
        <w:p w:rsidR="00730BC4" w:rsidRPr="00782AE4" w:rsidRDefault="00730BC4" w:rsidP="00102926">
          <w:pPr>
            <w:keepNext/>
            <w:keepLines/>
            <w:tabs>
              <w:tab w:val="left" w:pos="-1440"/>
              <w:tab w:val="left" w:pos="-720"/>
            </w:tabs>
            <w:jc w:val="center"/>
            <w:rPr>
              <w:sz w:val="20"/>
              <w:szCs w:val="20"/>
            </w:rPr>
          </w:pPr>
        </w:p>
      </w:tc>
      <w:tc>
        <w:tcPr>
          <w:tcW w:w="4080" w:type="dxa"/>
          <w:tcMar>
            <w:left w:w="0" w:type="dxa"/>
            <w:right w:w="0" w:type="dxa"/>
          </w:tcMar>
        </w:tcPr>
        <w:p w:rsidR="00730BC4" w:rsidRPr="00102926" w:rsidRDefault="00730B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30BC4" w:rsidRPr="00782AE4" w:rsidRDefault="00730BC4" w:rsidP="00102926">
          <w:pPr>
            <w:keepLines/>
            <w:tabs>
              <w:tab w:val="left" w:pos="-1440"/>
              <w:tab w:val="left" w:pos="-720"/>
            </w:tabs>
            <w:rPr>
              <w:sz w:val="20"/>
              <w:szCs w:val="20"/>
            </w:rPr>
          </w:pPr>
          <w:r w:rsidRPr="00102926">
            <w:rPr>
              <w:sz w:val="20"/>
              <w:szCs w:val="20"/>
              <w:lang w:val="fr-CA"/>
            </w:rPr>
            <w:t>RÉCENTS</w:t>
          </w:r>
        </w:p>
      </w:tc>
    </w:tr>
  </w:tbl>
  <w:p w:rsidR="00730BC4" w:rsidRDefault="00730BC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30BC4" w:rsidRPr="0044776A" w:rsidTr="00245129">
      <w:tc>
        <w:tcPr>
          <w:tcW w:w="4290" w:type="dxa"/>
          <w:tcMar>
            <w:left w:w="0" w:type="dxa"/>
            <w:right w:w="0" w:type="dxa"/>
          </w:tcMar>
        </w:tcPr>
        <w:p w:rsidR="00730BC4" w:rsidRPr="0044776A" w:rsidRDefault="00730BC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30BC4" w:rsidRPr="0044776A" w:rsidRDefault="00730BC4" w:rsidP="002E2327">
          <w:pPr>
            <w:keepNext/>
            <w:keepLines/>
            <w:tabs>
              <w:tab w:val="left" w:pos="-1440"/>
              <w:tab w:val="left" w:pos="-720"/>
            </w:tabs>
            <w:jc w:val="center"/>
            <w:rPr>
              <w:sz w:val="20"/>
              <w:szCs w:val="20"/>
            </w:rPr>
          </w:pPr>
        </w:p>
        <w:p w:rsidR="00730BC4" w:rsidRPr="0044776A" w:rsidRDefault="00730BC4" w:rsidP="002E2327">
          <w:pPr>
            <w:keepNext/>
            <w:keepLines/>
            <w:tabs>
              <w:tab w:val="left" w:pos="-1440"/>
              <w:tab w:val="left" w:pos="-720"/>
            </w:tabs>
            <w:jc w:val="center"/>
            <w:rPr>
              <w:sz w:val="20"/>
              <w:szCs w:val="20"/>
            </w:rPr>
          </w:pPr>
        </w:p>
        <w:p w:rsidR="00730BC4" w:rsidRPr="0044776A" w:rsidRDefault="00730BC4" w:rsidP="002E2327">
          <w:pPr>
            <w:keepNext/>
            <w:keepLines/>
            <w:tabs>
              <w:tab w:val="left" w:pos="-1440"/>
              <w:tab w:val="left" w:pos="-720"/>
            </w:tabs>
            <w:jc w:val="center"/>
            <w:rPr>
              <w:sz w:val="20"/>
              <w:szCs w:val="20"/>
            </w:rPr>
          </w:pPr>
        </w:p>
      </w:tc>
      <w:tc>
        <w:tcPr>
          <w:tcW w:w="4320" w:type="dxa"/>
          <w:tcMar>
            <w:left w:w="0" w:type="dxa"/>
            <w:right w:w="0" w:type="dxa"/>
          </w:tcMar>
        </w:tcPr>
        <w:p w:rsidR="00730BC4" w:rsidRPr="0044776A" w:rsidRDefault="00730BC4" w:rsidP="002E2327">
          <w:pPr>
            <w:keepLines/>
            <w:rPr>
              <w:sz w:val="20"/>
              <w:szCs w:val="20"/>
              <w:lang w:val="fr-CA"/>
            </w:rPr>
          </w:pPr>
          <w:r w:rsidRPr="0044776A">
            <w:rPr>
              <w:sz w:val="20"/>
              <w:szCs w:val="20"/>
              <w:lang w:val="fr-CA"/>
            </w:rPr>
            <w:t>DEMANDES D'AUTORISATION D'APPEL DÉPOSÉES</w:t>
          </w:r>
        </w:p>
      </w:tc>
    </w:tr>
  </w:tbl>
  <w:p w:rsidR="00730BC4" w:rsidRDefault="00730BC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30BC4" w:rsidRPr="00321A34" w:rsidTr="00245129">
      <w:tc>
        <w:tcPr>
          <w:tcW w:w="4200" w:type="dxa"/>
          <w:tcMar>
            <w:left w:w="0" w:type="dxa"/>
            <w:right w:w="0" w:type="dxa"/>
          </w:tcMar>
        </w:tcPr>
        <w:p w:rsidR="00730BC4" w:rsidRPr="0044776A" w:rsidRDefault="00730BC4" w:rsidP="0044776A">
          <w:pPr>
            <w:keepNext/>
            <w:keepLines/>
            <w:widowControl w:val="0"/>
            <w:rPr>
              <w:sz w:val="20"/>
              <w:szCs w:val="20"/>
            </w:rPr>
          </w:pPr>
          <w:r>
            <w:rPr>
              <w:sz w:val="20"/>
              <w:szCs w:val="20"/>
            </w:rPr>
            <w:t>APPLICATIONS FOR LEAVE</w:t>
          </w:r>
        </w:p>
        <w:p w:rsidR="00730BC4" w:rsidRPr="0044776A" w:rsidRDefault="00730BC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30BC4" w:rsidRPr="0044776A" w:rsidRDefault="00730BC4" w:rsidP="0044776A">
          <w:pPr>
            <w:keepNext/>
            <w:keepLines/>
            <w:widowControl w:val="0"/>
            <w:jc w:val="center"/>
            <w:rPr>
              <w:sz w:val="20"/>
              <w:szCs w:val="20"/>
            </w:rPr>
          </w:pPr>
        </w:p>
        <w:p w:rsidR="00730BC4" w:rsidRPr="0044776A" w:rsidRDefault="00730BC4" w:rsidP="0044776A">
          <w:pPr>
            <w:keepNext/>
            <w:keepLines/>
            <w:widowControl w:val="0"/>
            <w:jc w:val="center"/>
            <w:rPr>
              <w:sz w:val="20"/>
              <w:szCs w:val="20"/>
            </w:rPr>
          </w:pPr>
        </w:p>
        <w:p w:rsidR="00730BC4" w:rsidRPr="0044776A" w:rsidRDefault="00730BC4" w:rsidP="0044776A">
          <w:pPr>
            <w:keepNext/>
            <w:keepLines/>
            <w:widowControl w:val="0"/>
            <w:jc w:val="center"/>
            <w:rPr>
              <w:sz w:val="20"/>
              <w:szCs w:val="20"/>
            </w:rPr>
          </w:pPr>
        </w:p>
      </w:tc>
      <w:tc>
        <w:tcPr>
          <w:tcW w:w="4080" w:type="dxa"/>
          <w:tcMar>
            <w:left w:w="0" w:type="dxa"/>
            <w:right w:w="0" w:type="dxa"/>
          </w:tcMar>
        </w:tcPr>
        <w:p w:rsidR="00730BC4" w:rsidRPr="0044776A" w:rsidRDefault="00730BC4" w:rsidP="0044776A">
          <w:pPr>
            <w:keepLines/>
            <w:widowControl w:val="0"/>
            <w:rPr>
              <w:sz w:val="20"/>
              <w:szCs w:val="20"/>
              <w:lang w:val="fr-CA"/>
            </w:rPr>
          </w:pPr>
          <w:r w:rsidRPr="0044776A">
            <w:rPr>
              <w:sz w:val="20"/>
              <w:szCs w:val="20"/>
              <w:lang w:val="fr-CA"/>
            </w:rPr>
            <w:t>DEMANDES SOUMISES À LA COUR DEPUIS LA DERNIÈRE PARUTION</w:t>
          </w:r>
        </w:p>
        <w:p w:rsidR="00730BC4" w:rsidRPr="0044776A" w:rsidRDefault="00730BC4" w:rsidP="0044776A">
          <w:pPr>
            <w:widowControl w:val="0"/>
            <w:rPr>
              <w:sz w:val="20"/>
              <w:szCs w:val="20"/>
              <w:lang w:val="fr-CA"/>
            </w:rPr>
          </w:pPr>
        </w:p>
      </w:tc>
    </w:tr>
  </w:tbl>
  <w:p w:rsidR="00730BC4" w:rsidRPr="002E2327" w:rsidRDefault="00730BC4">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BC4" w:rsidRDefault="00730BC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30BC4" w:rsidRPr="00321A34">
      <w:tc>
        <w:tcPr>
          <w:tcW w:w="4200" w:type="dxa"/>
          <w:tcMar>
            <w:left w:w="0" w:type="dxa"/>
            <w:right w:w="0" w:type="dxa"/>
          </w:tcMar>
        </w:tcPr>
        <w:p w:rsidR="00730BC4" w:rsidRDefault="00730B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30BC4" w:rsidRDefault="00730B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30BC4" w:rsidRDefault="00730B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30BC4" w:rsidRPr="00FF6BA5" w:rsidRDefault="00730B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30BC4" w:rsidRPr="00FF6BA5"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30BC4" w:rsidRPr="00FF6BA5"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30BC4" w:rsidRPr="00FF6BA5" w:rsidRDefault="00730B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30BC4" w:rsidRPr="00321A34" w:rsidTr="00245129">
      <w:tc>
        <w:tcPr>
          <w:tcW w:w="4200" w:type="dxa"/>
          <w:tcMar>
            <w:left w:w="0" w:type="dxa"/>
            <w:right w:w="0" w:type="dxa"/>
          </w:tcMar>
        </w:tcPr>
        <w:p w:rsidR="00730BC4" w:rsidRPr="00755F22" w:rsidRDefault="00730B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30BC4" w:rsidRPr="00755F22" w:rsidRDefault="00730B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30BC4" w:rsidRPr="00755F22" w:rsidRDefault="00730BC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30BC4" w:rsidRPr="00755F22" w:rsidRDefault="00730BC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30BC4" w:rsidRPr="00755F22" w:rsidRDefault="00730BC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30BC4" w:rsidRPr="00755F22" w:rsidRDefault="00730B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30BC4" w:rsidRPr="00FF6BA5" w:rsidRDefault="00730BC4"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75793"/>
  </w:hdrShapeDefaults>
  <w:footnotePr>
    <w:footnote w:id="-1"/>
    <w:footnote w:id="0"/>
  </w:footnotePr>
  <w:endnotePr>
    <w:endnote w:id="-1"/>
    <w:endnote w:id="0"/>
  </w:endnotePr>
  <w:compat>
    <w:compatSetting w:name="compatibilityMode" w:uri="http://schemas.microsoft.com/office/word" w:val="12"/>
  </w:compat>
  <w:rsids>
    <w:rsidRoot w:val="00A60092"/>
    <w:rsid w:val="00020DC3"/>
    <w:rsid w:val="00024EA8"/>
    <w:rsid w:val="0003223B"/>
    <w:rsid w:val="000327B2"/>
    <w:rsid w:val="0004528B"/>
    <w:rsid w:val="00060505"/>
    <w:rsid w:val="00064FBA"/>
    <w:rsid w:val="00091FA6"/>
    <w:rsid w:val="00096BD9"/>
    <w:rsid w:val="000B3C9A"/>
    <w:rsid w:val="000B40A2"/>
    <w:rsid w:val="000B4624"/>
    <w:rsid w:val="000C0ACD"/>
    <w:rsid w:val="000C0D2A"/>
    <w:rsid w:val="000C5CE8"/>
    <w:rsid w:val="000E2959"/>
    <w:rsid w:val="000E4EEE"/>
    <w:rsid w:val="000F0B60"/>
    <w:rsid w:val="000F24AF"/>
    <w:rsid w:val="00102926"/>
    <w:rsid w:val="0010587F"/>
    <w:rsid w:val="00111C6B"/>
    <w:rsid w:val="0012102B"/>
    <w:rsid w:val="0013369E"/>
    <w:rsid w:val="00145B1E"/>
    <w:rsid w:val="00164E6D"/>
    <w:rsid w:val="00183454"/>
    <w:rsid w:val="001846F6"/>
    <w:rsid w:val="001B157C"/>
    <w:rsid w:val="001B4006"/>
    <w:rsid w:val="001B5C23"/>
    <w:rsid w:val="001D0D5F"/>
    <w:rsid w:val="001D6B8C"/>
    <w:rsid w:val="001F1F83"/>
    <w:rsid w:val="001F40DF"/>
    <w:rsid w:val="001F6B2D"/>
    <w:rsid w:val="002021A9"/>
    <w:rsid w:val="002139A7"/>
    <w:rsid w:val="00215F7C"/>
    <w:rsid w:val="0022323B"/>
    <w:rsid w:val="002410B8"/>
    <w:rsid w:val="00242AEE"/>
    <w:rsid w:val="00245129"/>
    <w:rsid w:val="00245879"/>
    <w:rsid w:val="00251851"/>
    <w:rsid w:val="00267FD5"/>
    <w:rsid w:val="00274D34"/>
    <w:rsid w:val="00283ED8"/>
    <w:rsid w:val="002868D0"/>
    <w:rsid w:val="002A008C"/>
    <w:rsid w:val="002A27D1"/>
    <w:rsid w:val="002A4AFA"/>
    <w:rsid w:val="002B516C"/>
    <w:rsid w:val="002D72EB"/>
    <w:rsid w:val="002E2327"/>
    <w:rsid w:val="002E3583"/>
    <w:rsid w:val="002E5576"/>
    <w:rsid w:val="00300045"/>
    <w:rsid w:val="003109FC"/>
    <w:rsid w:val="0032107D"/>
    <w:rsid w:val="00321A34"/>
    <w:rsid w:val="00331B52"/>
    <w:rsid w:val="003359D3"/>
    <w:rsid w:val="00355967"/>
    <w:rsid w:val="00373670"/>
    <w:rsid w:val="00382C47"/>
    <w:rsid w:val="00384384"/>
    <w:rsid w:val="003866AE"/>
    <w:rsid w:val="003877EB"/>
    <w:rsid w:val="003B3977"/>
    <w:rsid w:val="003E1D4C"/>
    <w:rsid w:val="004137A0"/>
    <w:rsid w:val="00422D9A"/>
    <w:rsid w:val="00426720"/>
    <w:rsid w:val="00432989"/>
    <w:rsid w:val="00440E24"/>
    <w:rsid w:val="0044776A"/>
    <w:rsid w:val="00460AFC"/>
    <w:rsid w:val="0047471F"/>
    <w:rsid w:val="004A7673"/>
    <w:rsid w:val="004B195E"/>
    <w:rsid w:val="004B66B4"/>
    <w:rsid w:val="004B7F60"/>
    <w:rsid w:val="004C1AAC"/>
    <w:rsid w:val="004E1E0A"/>
    <w:rsid w:val="004F090E"/>
    <w:rsid w:val="00501F3C"/>
    <w:rsid w:val="00502A1A"/>
    <w:rsid w:val="00517B82"/>
    <w:rsid w:val="0052229C"/>
    <w:rsid w:val="00527CC7"/>
    <w:rsid w:val="00571CA4"/>
    <w:rsid w:val="00576797"/>
    <w:rsid w:val="00582136"/>
    <w:rsid w:val="005B3238"/>
    <w:rsid w:val="005B464B"/>
    <w:rsid w:val="005C6840"/>
    <w:rsid w:val="005F1ED8"/>
    <w:rsid w:val="005F263E"/>
    <w:rsid w:val="00600252"/>
    <w:rsid w:val="00612659"/>
    <w:rsid w:val="00612A40"/>
    <w:rsid w:val="0062714A"/>
    <w:rsid w:val="00675479"/>
    <w:rsid w:val="00680709"/>
    <w:rsid w:val="00681F61"/>
    <w:rsid w:val="00696BF9"/>
    <w:rsid w:val="00697C62"/>
    <w:rsid w:val="006A329B"/>
    <w:rsid w:val="006A7EB8"/>
    <w:rsid w:val="006B6926"/>
    <w:rsid w:val="006C3F47"/>
    <w:rsid w:val="006C5F7A"/>
    <w:rsid w:val="006E06AF"/>
    <w:rsid w:val="006F350F"/>
    <w:rsid w:val="00701595"/>
    <w:rsid w:val="00702F91"/>
    <w:rsid w:val="00730BC4"/>
    <w:rsid w:val="00732DB7"/>
    <w:rsid w:val="0074238B"/>
    <w:rsid w:val="00745EF7"/>
    <w:rsid w:val="00755F22"/>
    <w:rsid w:val="00766E4A"/>
    <w:rsid w:val="007820CE"/>
    <w:rsid w:val="00782AE4"/>
    <w:rsid w:val="0079724F"/>
    <w:rsid w:val="007A3EAE"/>
    <w:rsid w:val="007C04FC"/>
    <w:rsid w:val="007C3DB0"/>
    <w:rsid w:val="007C47C2"/>
    <w:rsid w:val="007D3E0F"/>
    <w:rsid w:val="007E30A7"/>
    <w:rsid w:val="007E4282"/>
    <w:rsid w:val="007F387B"/>
    <w:rsid w:val="00802863"/>
    <w:rsid w:val="008112A9"/>
    <w:rsid w:val="00815B3C"/>
    <w:rsid w:val="0081610A"/>
    <w:rsid w:val="0082783A"/>
    <w:rsid w:val="00831CA9"/>
    <w:rsid w:val="00850E1F"/>
    <w:rsid w:val="0085476B"/>
    <w:rsid w:val="0086340B"/>
    <w:rsid w:val="00890FEB"/>
    <w:rsid w:val="00895E7E"/>
    <w:rsid w:val="00896A18"/>
    <w:rsid w:val="008A5C1A"/>
    <w:rsid w:val="008D292F"/>
    <w:rsid w:val="008E03DC"/>
    <w:rsid w:val="008E4D76"/>
    <w:rsid w:val="00902E51"/>
    <w:rsid w:val="00924065"/>
    <w:rsid w:val="00930D68"/>
    <w:rsid w:val="00932DB4"/>
    <w:rsid w:val="00941A4B"/>
    <w:rsid w:val="00946242"/>
    <w:rsid w:val="0095096B"/>
    <w:rsid w:val="00970CD3"/>
    <w:rsid w:val="009723FA"/>
    <w:rsid w:val="009832D2"/>
    <w:rsid w:val="00984546"/>
    <w:rsid w:val="00996510"/>
    <w:rsid w:val="009D1F15"/>
    <w:rsid w:val="009D555E"/>
    <w:rsid w:val="009F3024"/>
    <w:rsid w:val="009F39BA"/>
    <w:rsid w:val="00A0355E"/>
    <w:rsid w:val="00A375D1"/>
    <w:rsid w:val="00A51D10"/>
    <w:rsid w:val="00A52A83"/>
    <w:rsid w:val="00A5728A"/>
    <w:rsid w:val="00A60092"/>
    <w:rsid w:val="00A6552C"/>
    <w:rsid w:val="00A81F8F"/>
    <w:rsid w:val="00A87207"/>
    <w:rsid w:val="00A935AA"/>
    <w:rsid w:val="00A956D3"/>
    <w:rsid w:val="00A97593"/>
    <w:rsid w:val="00AB2201"/>
    <w:rsid w:val="00AD1D34"/>
    <w:rsid w:val="00AD3259"/>
    <w:rsid w:val="00AD34D7"/>
    <w:rsid w:val="00AE0624"/>
    <w:rsid w:val="00AF1715"/>
    <w:rsid w:val="00AF3904"/>
    <w:rsid w:val="00B010C0"/>
    <w:rsid w:val="00B4740D"/>
    <w:rsid w:val="00B61629"/>
    <w:rsid w:val="00B64565"/>
    <w:rsid w:val="00B7374B"/>
    <w:rsid w:val="00B90DC0"/>
    <w:rsid w:val="00BA116A"/>
    <w:rsid w:val="00BA13BB"/>
    <w:rsid w:val="00BA5582"/>
    <w:rsid w:val="00BA6468"/>
    <w:rsid w:val="00BB1D44"/>
    <w:rsid w:val="00BD06DA"/>
    <w:rsid w:val="00BD1179"/>
    <w:rsid w:val="00BD122B"/>
    <w:rsid w:val="00BD4217"/>
    <w:rsid w:val="00BF25F3"/>
    <w:rsid w:val="00BF2C4D"/>
    <w:rsid w:val="00C1697B"/>
    <w:rsid w:val="00C21644"/>
    <w:rsid w:val="00C21CB5"/>
    <w:rsid w:val="00C46376"/>
    <w:rsid w:val="00C50A5C"/>
    <w:rsid w:val="00C50FDF"/>
    <w:rsid w:val="00C63381"/>
    <w:rsid w:val="00C63B76"/>
    <w:rsid w:val="00C70A5B"/>
    <w:rsid w:val="00C73B48"/>
    <w:rsid w:val="00C73D06"/>
    <w:rsid w:val="00C73E1B"/>
    <w:rsid w:val="00C759B4"/>
    <w:rsid w:val="00C77713"/>
    <w:rsid w:val="00C85BB7"/>
    <w:rsid w:val="00CA2DEA"/>
    <w:rsid w:val="00CB3520"/>
    <w:rsid w:val="00CB43D5"/>
    <w:rsid w:val="00CC4D84"/>
    <w:rsid w:val="00CE198A"/>
    <w:rsid w:val="00CF08C8"/>
    <w:rsid w:val="00D004FC"/>
    <w:rsid w:val="00D406D9"/>
    <w:rsid w:val="00D64901"/>
    <w:rsid w:val="00D76BDF"/>
    <w:rsid w:val="00D818B6"/>
    <w:rsid w:val="00D862C1"/>
    <w:rsid w:val="00D93B50"/>
    <w:rsid w:val="00D94028"/>
    <w:rsid w:val="00D94670"/>
    <w:rsid w:val="00DA46F6"/>
    <w:rsid w:val="00DD0B49"/>
    <w:rsid w:val="00DE0502"/>
    <w:rsid w:val="00DE349D"/>
    <w:rsid w:val="00DE3EB9"/>
    <w:rsid w:val="00E06DFA"/>
    <w:rsid w:val="00E11FA4"/>
    <w:rsid w:val="00E20A0A"/>
    <w:rsid w:val="00E240C2"/>
    <w:rsid w:val="00E356C7"/>
    <w:rsid w:val="00E41A5A"/>
    <w:rsid w:val="00E4231A"/>
    <w:rsid w:val="00E45FE4"/>
    <w:rsid w:val="00E64FA7"/>
    <w:rsid w:val="00E770CB"/>
    <w:rsid w:val="00E903A1"/>
    <w:rsid w:val="00E940EB"/>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A788E"/>
    <w:rsid w:val="00FB151E"/>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5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5B3238"/>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canlii.ca/t/g81pw" TargetMode="Externa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yperlink" Target="http://www.canlii.org/en/bc/bcsc/doc/2013/2013bcsc2541/2013bcsc2541.html?autocompleteStr=2013%20bcsc%202541&amp;autocompletePos=1" TargetMode="External"/><Relationship Id="rId42" Type="http://schemas.openxmlformats.org/officeDocument/2006/relationships/header" Target="header11.xml"/><Relationship Id="rId47" Type="http://schemas.openxmlformats.org/officeDocument/2006/relationships/footer" Target="footer13.xml"/><Relationship Id="rId50" Type="http://schemas.openxmlformats.org/officeDocument/2006/relationships/footer" Target="footer14.xml"/><Relationship Id="rId55" Type="http://schemas.openxmlformats.org/officeDocument/2006/relationships/header" Target="header18.xml"/><Relationship Id="rId63" Type="http://schemas.openxmlformats.org/officeDocument/2006/relationships/footer" Target="footer21.xml"/><Relationship Id="rId68" Type="http://schemas.openxmlformats.org/officeDocument/2006/relationships/header" Target="header24.xml"/><Relationship Id="rId7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header" Target="header25.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canlii.ca/t/g81pw" TargetMode="External"/><Relationship Id="rId11" Type="http://schemas.openxmlformats.org/officeDocument/2006/relationships/header" Target="header2.xml"/><Relationship Id="rId24" Type="http://schemas.openxmlformats.org/officeDocument/2006/relationships/hyperlink" Target="http://canlii.ca/t/fppkl" TargetMode="External"/><Relationship Id="rId32" Type="http://schemas.openxmlformats.org/officeDocument/2006/relationships/hyperlink" Target="http://www.canlii.org/en/bc/bcsc/doc/2013/2013bcsc2541/2013bcsc2541.html?autocompleteStr=2013%20bcsc%202541&amp;autocompletePos=1" TargetMode="Externa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footer" Target="footer12.xml"/><Relationship Id="rId53" Type="http://schemas.openxmlformats.org/officeDocument/2006/relationships/footer" Target="footer16.xml"/><Relationship Id="rId58" Type="http://schemas.openxmlformats.org/officeDocument/2006/relationships/header" Target="header19.xml"/><Relationship Id="rId66" Type="http://schemas.openxmlformats.org/officeDocument/2006/relationships/hyperlink" Target="http://www.scc-csc.ca/case-dossier/info/sum-som-eng.aspx?cas=36059" TargetMode="External"/><Relationship Id="rId74"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ca/t/g246b" TargetMode="External"/><Relationship Id="rId36" Type="http://schemas.openxmlformats.org/officeDocument/2006/relationships/header" Target="header8.xml"/><Relationship Id="rId49" Type="http://schemas.openxmlformats.org/officeDocument/2006/relationships/header" Target="header15.xml"/><Relationship Id="rId57" Type="http://schemas.openxmlformats.org/officeDocument/2006/relationships/footer" Target="footer18.xml"/><Relationship Id="rId61"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anlii.org/fr/qc/qcca/doc/2014/2014qcca1766/2014qcca1766.html?autocompleteStr=2014%20QCCA%201766&amp;autocompletePos=1" TargetMode="External"/><Relationship Id="rId44" Type="http://schemas.openxmlformats.org/officeDocument/2006/relationships/footer" Target="footer11.xml"/><Relationship Id="rId52" Type="http://schemas.openxmlformats.org/officeDocument/2006/relationships/header" Target="header16.xml"/><Relationship Id="rId60" Type="http://schemas.openxmlformats.org/officeDocument/2006/relationships/header" Target="header20.xml"/><Relationship Id="rId65" Type="http://schemas.openxmlformats.org/officeDocument/2006/relationships/footer" Target="footer22.xml"/><Relationship Id="rId73" Type="http://schemas.openxmlformats.org/officeDocument/2006/relationships/header" Target="header26.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canlii.ca/t/fppkl" TargetMode="External"/><Relationship Id="rId30" Type="http://schemas.openxmlformats.org/officeDocument/2006/relationships/hyperlink" Target="http://www.canlii.org/fr/qc/qcca/doc/2014/2014qcca1766/2014qcca1766.html?autocompleteStr=2014%20QCCA%201766&amp;autocompletePos=1" TargetMode="External"/><Relationship Id="rId35" Type="http://schemas.openxmlformats.org/officeDocument/2006/relationships/hyperlink" Target="http://www.canlii.org/en/bc/bcca/doc/2015/2015bcca39/2015bcca39.html?autocompleteStr=2015%20bcca%2039&amp;autocompletePos=1" TargetMode="External"/><Relationship Id="rId43" Type="http://schemas.openxmlformats.org/officeDocument/2006/relationships/header" Target="header12.xml"/><Relationship Id="rId48" Type="http://schemas.openxmlformats.org/officeDocument/2006/relationships/header" Target="header14.xml"/><Relationship Id="rId56" Type="http://schemas.openxmlformats.org/officeDocument/2006/relationships/footer" Target="footer17.xml"/><Relationship Id="rId64" Type="http://schemas.openxmlformats.org/officeDocument/2006/relationships/header" Target="header22.xml"/><Relationship Id="rId69" Type="http://schemas.openxmlformats.org/officeDocument/2006/relationships/footer" Target="footer23.xml"/><Relationship Id="rId8" Type="http://schemas.openxmlformats.org/officeDocument/2006/relationships/hyperlink" Target="http://www.scc-csc.ca" TargetMode="External"/><Relationship Id="rId51" Type="http://schemas.openxmlformats.org/officeDocument/2006/relationships/footer" Target="footer15.xml"/><Relationship Id="rId72" Type="http://schemas.openxmlformats.org/officeDocument/2006/relationships/footer" Target="footer25.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canlii.ca/t/g246b" TargetMode="External"/><Relationship Id="rId33" Type="http://schemas.openxmlformats.org/officeDocument/2006/relationships/hyperlink" Target="http://www.canlii.org/en/bc/bcca/doc/2015/2015bcca39/2015bcca39.html?autocompleteStr=2015%20bcca%2039&amp;autocompletePos=1" TargetMode="External"/><Relationship Id="rId38" Type="http://schemas.openxmlformats.org/officeDocument/2006/relationships/footer" Target="footer8.xml"/><Relationship Id="rId46" Type="http://schemas.openxmlformats.org/officeDocument/2006/relationships/header" Target="header13.xml"/><Relationship Id="rId59" Type="http://schemas.openxmlformats.org/officeDocument/2006/relationships/footer" Target="footer19.xml"/><Relationship Id="rId67" Type="http://schemas.openxmlformats.org/officeDocument/2006/relationships/header" Target="header23.xml"/><Relationship Id="rId20" Type="http://schemas.openxmlformats.org/officeDocument/2006/relationships/header" Target="header6.xml"/><Relationship Id="rId41" Type="http://schemas.openxmlformats.org/officeDocument/2006/relationships/footer" Target="footer10.xml"/><Relationship Id="rId54" Type="http://schemas.openxmlformats.org/officeDocument/2006/relationships/header" Target="header17.xml"/><Relationship Id="rId62" Type="http://schemas.openxmlformats.org/officeDocument/2006/relationships/footer" Target="footer20.xml"/><Relationship Id="rId70" Type="http://schemas.openxmlformats.org/officeDocument/2006/relationships/footer" Target="footer24.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7596</Words>
  <Characters>43299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2015-06-12T12:25:00Z</dcterms:created>
  <dcterms:modified xsi:type="dcterms:W3CDTF">2015-11-26T21:49:00Z</dcterms:modified>
</cp:coreProperties>
</file>