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B7E9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B7E9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B7E9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B7E9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B7E98" w:rsidTr="002E5576">
        <w:tc>
          <w:tcPr>
            <w:tcW w:w="4518" w:type="dxa"/>
          </w:tcPr>
          <w:p w:rsidR="00BF25F3" w:rsidRPr="002E2327" w:rsidRDefault="00E8524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8524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B7E9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B7E9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5B7E9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5B7E9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02435D">
        <w:rPr>
          <w:lang w:val="fr-CA"/>
        </w:rPr>
        <w:t>ne</w:t>
      </w:r>
      <w:r w:rsidR="00440E24" w:rsidRPr="00675479">
        <w:rPr>
          <w:lang w:val="fr-CA"/>
        </w:rPr>
        <w:t xml:space="preserve"> </w:t>
      </w:r>
      <w:r w:rsidR="0002435D">
        <w:rPr>
          <w:lang w:val="fr-CA"/>
        </w:rPr>
        <w:t>1</w:t>
      </w:r>
      <w:r w:rsidR="00020DC3">
        <w:rPr>
          <w:lang w:val="fr-CA"/>
        </w:rPr>
        <w:t>9</w:t>
      </w:r>
      <w:r w:rsidR="00440E24" w:rsidRPr="00675479">
        <w:rPr>
          <w:lang w:val="fr-CA"/>
        </w:rPr>
        <w:t>, 201</w:t>
      </w:r>
      <w:r w:rsidR="00020DC3">
        <w:rPr>
          <w:lang w:val="fr-CA"/>
        </w:rPr>
        <w:t>5</w:t>
      </w:r>
      <w:r w:rsidR="00F0068D" w:rsidRPr="00675479">
        <w:rPr>
          <w:lang w:val="fr-CA"/>
        </w:rPr>
        <w:tab/>
        <w:t>1</w:t>
      </w:r>
      <w:r w:rsidR="0002435D">
        <w:rPr>
          <w:lang w:val="fr-CA"/>
        </w:rPr>
        <w:t>014</w:t>
      </w:r>
      <w:r w:rsidR="00F0068D" w:rsidRPr="00675479">
        <w:rPr>
          <w:lang w:val="fr-CA"/>
        </w:rPr>
        <w:t xml:space="preserve"> - </w:t>
      </w:r>
      <w:r w:rsidR="009B0D64">
        <w:rPr>
          <w:lang w:val="fr-CA"/>
        </w:rPr>
        <w:t>1045</w:t>
      </w:r>
      <w:r w:rsidR="00440E24" w:rsidRPr="00675479">
        <w:rPr>
          <w:lang w:val="fr-CA"/>
        </w:rPr>
        <w:tab/>
      </w:r>
      <w:r w:rsidR="00440E24" w:rsidRPr="002E2327">
        <w:rPr>
          <w:lang w:val="fr-CA"/>
        </w:rPr>
        <w:t>Le</w:t>
      </w:r>
      <w:r>
        <w:rPr>
          <w:lang w:val="fr-CA"/>
        </w:rPr>
        <w:t xml:space="preserve"> </w:t>
      </w:r>
      <w:r w:rsidR="0002435D">
        <w:rPr>
          <w:lang w:val="fr-CA"/>
        </w:rPr>
        <w:t>1</w:t>
      </w:r>
      <w:r w:rsidR="00020DC3">
        <w:rPr>
          <w:lang w:val="fr-CA"/>
        </w:rPr>
        <w:t>9</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435D" w:rsidRDefault="00440E24" w:rsidP="00440E24">
      <w:pPr>
        <w:pBdr>
          <w:bottom w:val="single" w:sz="6" w:space="1" w:color="auto"/>
        </w:pBdr>
        <w:tabs>
          <w:tab w:val="right" w:pos="9360"/>
        </w:tabs>
        <w:rPr>
          <w:sz w:val="18"/>
          <w:szCs w:val="18"/>
          <w:lang w:val="fr-CA"/>
        </w:rPr>
      </w:pPr>
      <w:r w:rsidRPr="0002435D">
        <w:rPr>
          <w:sz w:val="18"/>
          <w:szCs w:val="18"/>
          <w:lang w:val="fr-CA"/>
        </w:rPr>
        <w:t>© Supreme Court of Canada (201</w:t>
      </w:r>
      <w:r w:rsidR="00020DC3" w:rsidRPr="0002435D">
        <w:rPr>
          <w:sz w:val="18"/>
          <w:szCs w:val="18"/>
          <w:lang w:val="fr-CA"/>
        </w:rPr>
        <w:t>5</w:t>
      </w:r>
      <w:r w:rsidRPr="0002435D">
        <w:rPr>
          <w:sz w:val="18"/>
          <w:szCs w:val="18"/>
          <w:lang w:val="fr-CA"/>
        </w:rPr>
        <w:t>)</w:t>
      </w:r>
      <w:r w:rsidRPr="0002435D">
        <w:rPr>
          <w:sz w:val="18"/>
          <w:szCs w:val="18"/>
          <w:lang w:val="fr-CA"/>
        </w:rPr>
        <w:tab/>
        <w:t>© Cour suprême du Canada (201</w:t>
      </w:r>
      <w:r w:rsidR="00020DC3" w:rsidRPr="0002435D">
        <w:rPr>
          <w:sz w:val="18"/>
          <w:szCs w:val="18"/>
          <w:lang w:val="fr-CA"/>
        </w:rPr>
        <w:t>5</w:t>
      </w:r>
      <w:r w:rsidRPr="0002435D">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2795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B873E5">
            <w:pPr>
              <w:tabs>
                <w:tab w:val="right" w:pos="9360"/>
              </w:tabs>
              <w:rPr>
                <w:rFonts w:cs="Times New Roman"/>
                <w:sz w:val="20"/>
                <w:szCs w:val="20"/>
              </w:rPr>
            </w:pPr>
          </w:p>
        </w:tc>
        <w:tc>
          <w:tcPr>
            <w:tcW w:w="1980" w:type="dxa"/>
          </w:tcPr>
          <w:p w:rsidR="0095096B" w:rsidRPr="002E2327" w:rsidRDefault="0002435D" w:rsidP="0095096B">
            <w:pPr>
              <w:jc w:val="center"/>
              <w:rPr>
                <w:rFonts w:cs="Times New Roman"/>
                <w:sz w:val="20"/>
                <w:szCs w:val="20"/>
              </w:rPr>
            </w:pPr>
            <w:r>
              <w:rPr>
                <w:rFonts w:cs="Times New Roman"/>
                <w:sz w:val="20"/>
                <w:szCs w:val="20"/>
              </w:rPr>
              <w:t xml:space="preserve">1014 </w:t>
            </w:r>
            <w:r w:rsidR="00E85246" w:rsidRPr="002E2327">
              <w:rPr>
                <w:rFonts w:cs="Times New Roman"/>
                <w:sz w:val="20"/>
                <w:szCs w:val="20"/>
              </w:rPr>
              <w:fldChar w:fldCharType="begin"/>
            </w:r>
            <w:r w:rsidR="0095096B" w:rsidRPr="002E2327">
              <w:rPr>
                <w:rFonts w:cs="Times New Roman"/>
                <w:sz w:val="20"/>
                <w:szCs w:val="20"/>
              </w:rPr>
              <w:instrText xml:space="preserve"> SEQ CHAPTER \h \r 1</w:instrText>
            </w:r>
            <w:r w:rsidR="00E85246" w:rsidRPr="002E2327">
              <w:rPr>
                <w:rFonts w:cs="Times New Roman"/>
                <w:sz w:val="20"/>
                <w:szCs w:val="20"/>
              </w:rPr>
              <w:fldChar w:fldCharType="end"/>
            </w:r>
            <w:r w:rsidR="0095096B" w:rsidRPr="002E2327">
              <w:rPr>
                <w:rFonts w:cs="Times New Roman"/>
                <w:sz w:val="20"/>
                <w:szCs w:val="20"/>
              </w:rPr>
              <w:t>-</w:t>
            </w:r>
            <w:r w:rsidR="00896F14">
              <w:rPr>
                <w:rFonts w:cs="Times New Roman"/>
                <w:sz w:val="20"/>
                <w:szCs w:val="20"/>
              </w:rPr>
              <w:t xml:space="preserve"> 1015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873E5" w:rsidP="0095096B">
            <w:pPr>
              <w:jc w:val="center"/>
              <w:rPr>
                <w:rFonts w:cs="Times New Roman"/>
                <w:sz w:val="20"/>
                <w:szCs w:val="20"/>
              </w:rPr>
            </w:pPr>
            <w:r>
              <w:rPr>
                <w:rFonts w:cs="Times New Roman"/>
                <w:sz w:val="20"/>
                <w:szCs w:val="20"/>
              </w:rPr>
              <w:t>1016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873E5" w:rsidP="0095096B">
            <w:pPr>
              <w:jc w:val="center"/>
              <w:rPr>
                <w:rFonts w:cs="Times New Roman"/>
                <w:sz w:val="20"/>
                <w:szCs w:val="20"/>
              </w:rPr>
            </w:pPr>
            <w:r>
              <w:rPr>
                <w:rFonts w:cs="Times New Roman"/>
                <w:sz w:val="20"/>
                <w:szCs w:val="20"/>
              </w:rPr>
              <w:t xml:space="preserve">1017 </w:t>
            </w:r>
            <w:r w:rsidR="0095096B" w:rsidRPr="002E2327">
              <w:rPr>
                <w:rFonts w:cs="Times New Roman"/>
                <w:sz w:val="20"/>
                <w:szCs w:val="20"/>
              </w:rPr>
              <w:t>-</w:t>
            </w:r>
            <w:r w:rsidR="006205C5">
              <w:rPr>
                <w:rFonts w:cs="Times New Roman"/>
                <w:sz w:val="20"/>
                <w:szCs w:val="20"/>
              </w:rPr>
              <w:t xml:space="preserve"> 1031</w:t>
            </w:r>
          </w:p>
          <w:p w:rsidR="0095096B" w:rsidRDefault="0095096B" w:rsidP="0095096B">
            <w:pPr>
              <w:jc w:val="center"/>
              <w:rPr>
                <w:rFonts w:cs="Times New Roman"/>
                <w:sz w:val="20"/>
                <w:szCs w:val="20"/>
              </w:rPr>
            </w:pPr>
          </w:p>
          <w:p w:rsidR="00953388" w:rsidRPr="002E2327" w:rsidRDefault="00953388" w:rsidP="0095096B">
            <w:pPr>
              <w:jc w:val="center"/>
              <w:rPr>
                <w:rFonts w:cs="Times New Roman"/>
                <w:sz w:val="20"/>
                <w:szCs w:val="20"/>
              </w:rPr>
            </w:pPr>
          </w:p>
          <w:p w:rsidR="0095096B" w:rsidRPr="002E2327" w:rsidRDefault="006205C5" w:rsidP="0095096B">
            <w:pPr>
              <w:jc w:val="center"/>
              <w:rPr>
                <w:rFonts w:cs="Times New Roman"/>
                <w:sz w:val="20"/>
                <w:szCs w:val="20"/>
              </w:rPr>
            </w:pPr>
            <w:r>
              <w:rPr>
                <w:rFonts w:cs="Times New Roman"/>
                <w:sz w:val="20"/>
                <w:szCs w:val="20"/>
              </w:rPr>
              <w:t xml:space="preserve">1032 </w:t>
            </w:r>
            <w:r w:rsidR="0095096B" w:rsidRPr="002E2327">
              <w:rPr>
                <w:rFonts w:cs="Times New Roman"/>
                <w:sz w:val="20"/>
                <w:szCs w:val="20"/>
              </w:rPr>
              <w:t>-</w:t>
            </w:r>
            <w:r>
              <w:rPr>
                <w:rFonts w:cs="Times New Roman"/>
                <w:sz w:val="20"/>
                <w:szCs w:val="20"/>
              </w:rPr>
              <w:t xml:space="preserve"> 1036</w:t>
            </w:r>
          </w:p>
          <w:p w:rsidR="0095096B" w:rsidRPr="002E2327" w:rsidRDefault="0095096B" w:rsidP="0095096B">
            <w:pPr>
              <w:jc w:val="center"/>
              <w:rPr>
                <w:rFonts w:cs="Times New Roman"/>
                <w:sz w:val="20"/>
                <w:szCs w:val="20"/>
              </w:rPr>
            </w:pPr>
          </w:p>
          <w:p w:rsidR="0095096B" w:rsidRPr="002E2327" w:rsidRDefault="006205C5" w:rsidP="0095096B">
            <w:pPr>
              <w:jc w:val="center"/>
              <w:rPr>
                <w:rFonts w:cs="Times New Roman"/>
                <w:sz w:val="20"/>
                <w:szCs w:val="20"/>
              </w:rPr>
            </w:pPr>
            <w:r>
              <w:rPr>
                <w:rFonts w:cs="Times New Roman"/>
                <w:sz w:val="20"/>
                <w:szCs w:val="20"/>
              </w:rPr>
              <w:t>1037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205C5" w:rsidP="0095096B">
            <w:pPr>
              <w:jc w:val="center"/>
              <w:rPr>
                <w:rFonts w:cs="Times New Roman"/>
                <w:sz w:val="20"/>
                <w:szCs w:val="20"/>
              </w:rPr>
            </w:pPr>
            <w:r>
              <w:rPr>
                <w:rFonts w:cs="Times New Roman"/>
                <w:sz w:val="20"/>
                <w:szCs w:val="20"/>
              </w:rPr>
              <w:t>1038</w:t>
            </w:r>
          </w:p>
          <w:p w:rsidR="0095096B" w:rsidRDefault="0095096B" w:rsidP="0095096B">
            <w:pPr>
              <w:jc w:val="center"/>
              <w:rPr>
                <w:rFonts w:cs="Times New Roman"/>
                <w:sz w:val="20"/>
                <w:szCs w:val="20"/>
              </w:rPr>
            </w:pPr>
          </w:p>
          <w:p w:rsidR="00953388" w:rsidRPr="002E2327" w:rsidRDefault="00953388" w:rsidP="0095096B">
            <w:pPr>
              <w:jc w:val="center"/>
              <w:rPr>
                <w:rFonts w:cs="Times New Roman"/>
                <w:sz w:val="20"/>
                <w:szCs w:val="20"/>
              </w:rPr>
            </w:pPr>
          </w:p>
          <w:p w:rsidR="0095096B" w:rsidRPr="002E2327" w:rsidRDefault="009B0D64" w:rsidP="0095096B">
            <w:pPr>
              <w:jc w:val="center"/>
              <w:rPr>
                <w:rFonts w:cs="Times New Roman"/>
                <w:sz w:val="20"/>
                <w:szCs w:val="20"/>
              </w:rPr>
            </w:pPr>
            <w:r>
              <w:rPr>
                <w:rFonts w:cs="Times New Roman"/>
                <w:sz w:val="20"/>
                <w:szCs w:val="20"/>
              </w:rPr>
              <w:t xml:space="preserve">1039 </w:t>
            </w:r>
            <w:r w:rsidR="0095096B" w:rsidRPr="002E2327">
              <w:rPr>
                <w:rFonts w:cs="Times New Roman"/>
                <w:sz w:val="20"/>
                <w:szCs w:val="20"/>
              </w:rPr>
              <w:t>-</w:t>
            </w:r>
            <w:r>
              <w:rPr>
                <w:rFonts w:cs="Times New Roman"/>
                <w:sz w:val="20"/>
                <w:szCs w:val="20"/>
              </w:rPr>
              <w:t xml:space="preserve"> 1045</w:t>
            </w:r>
          </w:p>
          <w:p w:rsidR="00A87207" w:rsidRPr="002E2327" w:rsidRDefault="00A87207" w:rsidP="00AB2A1E">
            <w:pPr>
              <w:tabs>
                <w:tab w:val="right" w:pos="9360"/>
              </w:tabs>
              <w:jc w:val="center"/>
              <w:rPr>
                <w:rFonts w:cs="Times New Roman"/>
                <w:sz w:val="20"/>
                <w:szCs w:val="20"/>
              </w:rPr>
            </w:pPr>
          </w:p>
        </w:tc>
        <w:tc>
          <w:tcPr>
            <w:tcW w:w="3888" w:type="dxa"/>
          </w:tcPr>
          <w:p w:rsidR="0095096B" w:rsidRPr="002E2327" w:rsidRDefault="00E8524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B873E5">
            <w:pPr>
              <w:rPr>
                <w:rFonts w:cs="Times New Roman"/>
                <w:sz w:val="20"/>
                <w:szCs w:val="20"/>
                <w:lang w:val="fr-CA"/>
              </w:rPr>
            </w:pPr>
          </w:p>
        </w:tc>
      </w:tr>
    </w:tbl>
    <w:p w:rsidR="0095096B" w:rsidRPr="0022100D" w:rsidRDefault="0095096B" w:rsidP="0095096B">
      <w:pPr>
        <w:tabs>
          <w:tab w:val="right" w:pos="9360"/>
        </w:tabs>
        <w:rPr>
          <w:sz w:val="20"/>
          <w:szCs w:val="20"/>
          <w:lang w:val="fr-CA"/>
        </w:rPr>
      </w:pPr>
    </w:p>
    <w:p w:rsidR="00AB2A1E" w:rsidRPr="0022100D" w:rsidRDefault="00AB2A1E" w:rsidP="0095096B">
      <w:pPr>
        <w:tabs>
          <w:tab w:val="right" w:pos="9360"/>
        </w:tabs>
        <w:rPr>
          <w:sz w:val="20"/>
          <w:szCs w:val="20"/>
          <w:lang w:val="fr-CA"/>
        </w:rPr>
      </w:pPr>
    </w:p>
    <w:p w:rsidR="00AB2A1E" w:rsidRPr="0022100D" w:rsidRDefault="00AB2A1E" w:rsidP="0095096B">
      <w:pPr>
        <w:tabs>
          <w:tab w:val="right" w:pos="9360"/>
        </w:tabs>
        <w:rPr>
          <w:sz w:val="20"/>
          <w:szCs w:val="20"/>
          <w:lang w:val="fr-CA"/>
        </w:rPr>
      </w:pPr>
    </w:p>
    <w:p w:rsidR="00AB2A1E" w:rsidRPr="0022100D" w:rsidRDefault="00AB2A1E" w:rsidP="0095096B">
      <w:pPr>
        <w:tabs>
          <w:tab w:val="right" w:pos="9360"/>
        </w:tabs>
        <w:rPr>
          <w:sz w:val="20"/>
          <w:szCs w:val="20"/>
          <w:lang w:val="fr-CA"/>
        </w:rPr>
      </w:pPr>
    </w:p>
    <w:p w:rsidR="00AB2A1E" w:rsidRPr="0022100D" w:rsidRDefault="00AB2A1E"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5B7E9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AB2A1E" w:rsidRPr="00C21644" w:rsidTr="003B3977">
        <w:tc>
          <w:tcPr>
            <w:tcW w:w="4320" w:type="dxa"/>
            <w:shd w:val="clear" w:color="auto" w:fill="auto"/>
          </w:tcPr>
          <w:p w:rsidR="00AB2A1E" w:rsidRPr="0022100D" w:rsidRDefault="00AB2A1E" w:rsidP="005F1ED8">
            <w:pPr>
              <w:rPr>
                <w:b/>
                <w:sz w:val="20"/>
                <w:szCs w:val="20"/>
              </w:rPr>
            </w:pPr>
            <w:r w:rsidRPr="0022100D">
              <w:rPr>
                <w:b/>
                <w:sz w:val="20"/>
                <w:szCs w:val="20"/>
              </w:rPr>
              <w:t>Jules Honoré Chartier</w:t>
            </w:r>
          </w:p>
          <w:p w:rsidR="00AB2A1E" w:rsidRPr="00A935AA" w:rsidRDefault="00AB2A1E" w:rsidP="005F1ED8">
            <w:pPr>
              <w:tabs>
                <w:tab w:val="left" w:pos="-1440"/>
                <w:tab w:val="left" w:pos="-720"/>
              </w:tabs>
              <w:rPr>
                <w:sz w:val="20"/>
                <w:szCs w:val="20"/>
              </w:rPr>
            </w:pPr>
            <w:r w:rsidRPr="0022100D">
              <w:rPr>
                <w:sz w:val="20"/>
                <w:szCs w:val="20"/>
              </w:rPr>
              <w:tab/>
              <w:t>Jules Honoré Ch</w:t>
            </w:r>
            <w:r>
              <w:rPr>
                <w:sz w:val="20"/>
                <w:szCs w:val="20"/>
              </w:rPr>
              <w:t xml:space="preserve">artier </w:t>
            </w:r>
          </w:p>
          <w:p w:rsidR="00AB2A1E" w:rsidRPr="0022100D" w:rsidRDefault="00AB2A1E" w:rsidP="005F1ED8">
            <w:pPr>
              <w:tabs>
                <w:tab w:val="left" w:pos="-1440"/>
                <w:tab w:val="left" w:pos="-720"/>
              </w:tabs>
              <w:rPr>
                <w:sz w:val="20"/>
                <w:szCs w:val="20"/>
              </w:rPr>
            </w:pPr>
          </w:p>
          <w:p w:rsidR="00AB2A1E" w:rsidRPr="00AB2A1E" w:rsidRDefault="00AB2A1E" w:rsidP="005F1ED8">
            <w:pPr>
              <w:tabs>
                <w:tab w:val="left" w:pos="-1440"/>
                <w:tab w:val="left" w:pos="-720"/>
              </w:tabs>
              <w:rPr>
                <w:sz w:val="20"/>
                <w:szCs w:val="20"/>
              </w:rPr>
            </w:pPr>
            <w:r w:rsidRPr="0022100D">
              <w:rPr>
                <w:sz w:val="20"/>
                <w:szCs w:val="20"/>
              </w:rPr>
              <w:tab/>
            </w:r>
            <w:r w:rsidRPr="00AB2A1E">
              <w:rPr>
                <w:sz w:val="20"/>
                <w:szCs w:val="20"/>
              </w:rPr>
              <w:t>v. (36473)</w:t>
            </w:r>
          </w:p>
          <w:p w:rsidR="00AB2A1E" w:rsidRPr="00AB2A1E" w:rsidRDefault="00AB2A1E" w:rsidP="005F1ED8">
            <w:pPr>
              <w:tabs>
                <w:tab w:val="left" w:pos="-1440"/>
                <w:tab w:val="left" w:pos="-720"/>
              </w:tabs>
              <w:rPr>
                <w:sz w:val="20"/>
                <w:szCs w:val="20"/>
              </w:rPr>
            </w:pPr>
          </w:p>
          <w:p w:rsidR="00AB2A1E" w:rsidRPr="00A935AA" w:rsidRDefault="00AB2A1E" w:rsidP="005F1ED8">
            <w:pPr>
              <w:tabs>
                <w:tab w:val="left" w:pos="-1440"/>
                <w:tab w:val="left" w:pos="-720"/>
              </w:tabs>
              <w:rPr>
                <w:b/>
                <w:sz w:val="20"/>
                <w:szCs w:val="20"/>
              </w:rPr>
            </w:pPr>
            <w:r w:rsidRPr="00AB2A1E">
              <w:rPr>
                <w:b/>
                <w:sz w:val="20"/>
                <w:szCs w:val="20"/>
              </w:rPr>
              <w:t>Manitoba Public Insurance Corporation</w:t>
            </w:r>
            <w:r w:rsidRPr="00AB2A1E">
              <w:rPr>
                <w:sz w:val="20"/>
                <w:szCs w:val="20"/>
              </w:rPr>
              <w:t xml:space="preserve"> </w:t>
            </w:r>
            <w:r w:rsidRPr="00A935AA">
              <w:rPr>
                <w:b/>
                <w:sz w:val="20"/>
                <w:szCs w:val="20"/>
              </w:rPr>
              <w:t>(</w:t>
            </w:r>
            <w:r>
              <w:rPr>
                <w:b/>
                <w:sz w:val="20"/>
                <w:szCs w:val="20"/>
              </w:rPr>
              <w:t>Man</w:t>
            </w:r>
            <w:r w:rsidRPr="00A935AA">
              <w:rPr>
                <w:b/>
                <w:sz w:val="20"/>
                <w:szCs w:val="20"/>
              </w:rPr>
              <w:t>.)</w:t>
            </w:r>
          </w:p>
          <w:p w:rsidR="00AB2A1E" w:rsidRPr="00AB2A1E" w:rsidRDefault="00AB2A1E" w:rsidP="005F1ED8">
            <w:pPr>
              <w:tabs>
                <w:tab w:val="left" w:pos="-1440"/>
                <w:tab w:val="left" w:pos="-720"/>
              </w:tabs>
              <w:rPr>
                <w:sz w:val="20"/>
                <w:szCs w:val="20"/>
              </w:rPr>
            </w:pPr>
            <w:r w:rsidRPr="00A935AA">
              <w:rPr>
                <w:sz w:val="20"/>
                <w:szCs w:val="20"/>
              </w:rPr>
              <w:tab/>
            </w:r>
            <w:r w:rsidRPr="00AB2A1E">
              <w:rPr>
                <w:sz w:val="20"/>
                <w:szCs w:val="20"/>
              </w:rPr>
              <w:t>Terry B. Kumka</w:t>
            </w:r>
          </w:p>
          <w:p w:rsidR="00AB2A1E" w:rsidRPr="00AB2A1E" w:rsidRDefault="00AB2A1E" w:rsidP="005F1ED8">
            <w:pPr>
              <w:tabs>
                <w:tab w:val="left" w:pos="-1440"/>
                <w:tab w:val="left" w:pos="-720"/>
              </w:tabs>
              <w:rPr>
                <w:sz w:val="20"/>
                <w:szCs w:val="20"/>
              </w:rPr>
            </w:pPr>
            <w:r w:rsidRPr="00AB2A1E">
              <w:rPr>
                <w:sz w:val="20"/>
                <w:szCs w:val="20"/>
              </w:rPr>
              <w:tab/>
              <w:t>Manitoba Public Insurance Corporation</w:t>
            </w:r>
          </w:p>
          <w:p w:rsidR="00AB2A1E" w:rsidRPr="00AB2A1E" w:rsidRDefault="00AB2A1E" w:rsidP="005F1ED8">
            <w:pPr>
              <w:tabs>
                <w:tab w:val="left" w:pos="-1440"/>
                <w:tab w:val="left" w:pos="-720"/>
              </w:tabs>
              <w:rPr>
                <w:sz w:val="20"/>
                <w:szCs w:val="20"/>
              </w:rPr>
            </w:pPr>
          </w:p>
          <w:p w:rsidR="00AB2A1E" w:rsidRPr="0022100D" w:rsidRDefault="00AB2A1E" w:rsidP="00AB2A1E">
            <w:pPr>
              <w:rPr>
                <w:sz w:val="20"/>
                <w:szCs w:val="20"/>
              </w:rPr>
            </w:pPr>
            <w:r w:rsidRPr="00AB2A1E">
              <w:rPr>
                <w:sz w:val="20"/>
                <w:szCs w:val="20"/>
              </w:rPr>
              <w:t>FILING DATE: 16.02.201</w:t>
            </w:r>
            <w:r>
              <w:rPr>
                <w:sz w:val="20"/>
                <w:szCs w:val="20"/>
              </w:rPr>
              <w:t>5</w:t>
            </w:r>
            <w:r w:rsidR="005B7E9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AB2A1E" w:rsidRPr="0022100D" w:rsidRDefault="00AB2A1E" w:rsidP="00242AEE">
            <w:pPr>
              <w:jc w:val="center"/>
              <w:rPr>
                <w:sz w:val="20"/>
                <w:szCs w:val="20"/>
              </w:rPr>
            </w:pPr>
          </w:p>
          <w:p w:rsidR="00AB2A1E" w:rsidRPr="0022100D" w:rsidRDefault="00AB2A1E" w:rsidP="00242AEE">
            <w:pPr>
              <w:jc w:val="center"/>
              <w:rPr>
                <w:sz w:val="20"/>
                <w:szCs w:val="20"/>
              </w:rPr>
            </w:pPr>
          </w:p>
          <w:p w:rsidR="00AB2A1E" w:rsidRPr="0022100D" w:rsidRDefault="00AB2A1E" w:rsidP="00242AEE">
            <w:pPr>
              <w:jc w:val="center"/>
              <w:rPr>
                <w:sz w:val="20"/>
                <w:szCs w:val="20"/>
              </w:rPr>
            </w:pPr>
          </w:p>
          <w:p w:rsidR="00AB2A1E" w:rsidRPr="0022100D" w:rsidRDefault="00AB2A1E" w:rsidP="00242AEE">
            <w:pPr>
              <w:jc w:val="center"/>
              <w:rPr>
                <w:sz w:val="20"/>
                <w:szCs w:val="20"/>
              </w:rPr>
            </w:pPr>
          </w:p>
          <w:p w:rsidR="00AB2A1E" w:rsidRPr="0022100D" w:rsidRDefault="00AB2A1E" w:rsidP="00242AEE">
            <w:pPr>
              <w:jc w:val="center"/>
              <w:rPr>
                <w:sz w:val="20"/>
                <w:szCs w:val="20"/>
              </w:rPr>
            </w:pPr>
          </w:p>
          <w:p w:rsidR="00AB2A1E" w:rsidRPr="0022100D" w:rsidRDefault="00AB2A1E" w:rsidP="00242AEE">
            <w:pPr>
              <w:jc w:val="center"/>
              <w:rPr>
                <w:sz w:val="20"/>
                <w:szCs w:val="20"/>
              </w:rPr>
            </w:pPr>
          </w:p>
          <w:p w:rsidR="00AB2A1E" w:rsidRPr="0022100D" w:rsidRDefault="00AB2A1E" w:rsidP="00242AEE">
            <w:pPr>
              <w:jc w:val="center"/>
              <w:rPr>
                <w:sz w:val="20"/>
                <w:szCs w:val="20"/>
              </w:rPr>
            </w:pPr>
          </w:p>
          <w:p w:rsidR="00AB2A1E" w:rsidRPr="0022100D" w:rsidRDefault="00AB2A1E" w:rsidP="00242AEE">
            <w:pPr>
              <w:jc w:val="center"/>
              <w:rPr>
                <w:sz w:val="20"/>
                <w:szCs w:val="20"/>
              </w:rPr>
            </w:pPr>
          </w:p>
          <w:p w:rsidR="00AB2A1E" w:rsidRPr="0022100D" w:rsidRDefault="00AB2A1E" w:rsidP="00242AEE">
            <w:pPr>
              <w:jc w:val="center"/>
              <w:rPr>
                <w:sz w:val="20"/>
                <w:szCs w:val="20"/>
              </w:rPr>
            </w:pPr>
          </w:p>
          <w:p w:rsidR="00AB2A1E" w:rsidRPr="0022100D" w:rsidRDefault="00AB2A1E" w:rsidP="00242AEE">
            <w:pPr>
              <w:jc w:val="center"/>
              <w:rPr>
                <w:sz w:val="20"/>
                <w:szCs w:val="20"/>
              </w:rPr>
            </w:pPr>
          </w:p>
          <w:p w:rsidR="00AB2A1E" w:rsidRPr="0022100D" w:rsidRDefault="00AB2A1E" w:rsidP="00242AEE">
            <w:pPr>
              <w:jc w:val="center"/>
              <w:rPr>
                <w:sz w:val="20"/>
                <w:szCs w:val="20"/>
              </w:rPr>
            </w:pPr>
          </w:p>
          <w:p w:rsidR="00AB2A1E" w:rsidRPr="0022100D" w:rsidRDefault="00AB2A1E" w:rsidP="00242AEE">
            <w:pPr>
              <w:jc w:val="center"/>
              <w:rPr>
                <w:sz w:val="20"/>
                <w:szCs w:val="20"/>
              </w:rPr>
            </w:pPr>
          </w:p>
        </w:tc>
        <w:tc>
          <w:tcPr>
            <w:tcW w:w="4320" w:type="dxa"/>
            <w:shd w:val="clear" w:color="auto" w:fill="auto"/>
          </w:tcPr>
          <w:p w:rsidR="00AB2A1E" w:rsidRPr="00A935AA" w:rsidRDefault="00AB2A1E" w:rsidP="00B4613A">
            <w:pPr>
              <w:rPr>
                <w:b/>
                <w:sz w:val="20"/>
                <w:szCs w:val="20"/>
              </w:rPr>
            </w:pPr>
            <w:r>
              <w:rPr>
                <w:b/>
                <w:sz w:val="20"/>
                <w:szCs w:val="20"/>
              </w:rPr>
              <w:t>J.B.</w:t>
            </w:r>
          </w:p>
          <w:p w:rsidR="00AB2A1E" w:rsidRPr="00A935AA" w:rsidRDefault="00AB2A1E" w:rsidP="00B4613A">
            <w:pPr>
              <w:tabs>
                <w:tab w:val="left" w:pos="-1440"/>
                <w:tab w:val="left" w:pos="-720"/>
              </w:tabs>
              <w:rPr>
                <w:sz w:val="20"/>
                <w:szCs w:val="20"/>
              </w:rPr>
            </w:pPr>
            <w:r w:rsidRPr="00A935AA">
              <w:rPr>
                <w:sz w:val="20"/>
                <w:szCs w:val="20"/>
              </w:rPr>
              <w:tab/>
            </w:r>
            <w:r>
              <w:rPr>
                <w:sz w:val="20"/>
                <w:szCs w:val="20"/>
              </w:rPr>
              <w:t>J.B.</w:t>
            </w:r>
          </w:p>
          <w:p w:rsidR="00AB2A1E" w:rsidRPr="00A935AA" w:rsidRDefault="00AB2A1E" w:rsidP="00B4613A">
            <w:pPr>
              <w:tabs>
                <w:tab w:val="left" w:pos="-1440"/>
                <w:tab w:val="left" w:pos="-720"/>
              </w:tabs>
              <w:rPr>
                <w:sz w:val="20"/>
                <w:szCs w:val="20"/>
              </w:rPr>
            </w:pPr>
          </w:p>
          <w:p w:rsidR="00AB2A1E" w:rsidRPr="00A935AA" w:rsidRDefault="00AB2A1E" w:rsidP="00B4613A">
            <w:pPr>
              <w:tabs>
                <w:tab w:val="left" w:pos="-1440"/>
                <w:tab w:val="left" w:pos="-720"/>
              </w:tabs>
              <w:rPr>
                <w:sz w:val="20"/>
                <w:szCs w:val="20"/>
              </w:rPr>
            </w:pPr>
            <w:r w:rsidRPr="00A935AA">
              <w:rPr>
                <w:sz w:val="20"/>
                <w:szCs w:val="20"/>
              </w:rPr>
              <w:tab/>
              <w:t>v. (3</w:t>
            </w:r>
            <w:r>
              <w:rPr>
                <w:sz w:val="20"/>
                <w:szCs w:val="20"/>
              </w:rPr>
              <w:t>6424</w:t>
            </w:r>
            <w:r w:rsidRPr="00A935AA">
              <w:rPr>
                <w:sz w:val="20"/>
                <w:szCs w:val="20"/>
              </w:rPr>
              <w:t>)</w:t>
            </w:r>
          </w:p>
          <w:p w:rsidR="00AB2A1E" w:rsidRPr="00A935AA" w:rsidRDefault="00AB2A1E" w:rsidP="00B4613A">
            <w:pPr>
              <w:tabs>
                <w:tab w:val="left" w:pos="-1440"/>
                <w:tab w:val="left" w:pos="-720"/>
              </w:tabs>
              <w:rPr>
                <w:sz w:val="20"/>
                <w:szCs w:val="20"/>
              </w:rPr>
            </w:pPr>
          </w:p>
          <w:p w:rsidR="00AB2A1E" w:rsidRPr="00A935AA" w:rsidRDefault="00AB2A1E" w:rsidP="00B4613A">
            <w:pPr>
              <w:tabs>
                <w:tab w:val="left" w:pos="-1440"/>
                <w:tab w:val="left" w:pos="-720"/>
              </w:tabs>
              <w:rPr>
                <w:b/>
                <w:sz w:val="20"/>
                <w:szCs w:val="20"/>
              </w:rPr>
            </w:pPr>
            <w:r>
              <w:rPr>
                <w:b/>
                <w:sz w:val="20"/>
                <w:szCs w:val="20"/>
              </w:rPr>
              <w:t>Minister of Social Services</w:t>
            </w:r>
            <w:r w:rsidR="00787FCE">
              <w:rPr>
                <w:b/>
                <w:sz w:val="20"/>
                <w:szCs w:val="20"/>
              </w:rPr>
              <w:t>,</w:t>
            </w:r>
            <w:r>
              <w:rPr>
                <w:b/>
                <w:sz w:val="20"/>
                <w:szCs w:val="20"/>
              </w:rPr>
              <w:t xml:space="preserve"> on behalf of the Government of Saskatchewan </w:t>
            </w:r>
            <w:r w:rsidRPr="00A935AA">
              <w:rPr>
                <w:b/>
                <w:sz w:val="20"/>
                <w:szCs w:val="20"/>
              </w:rPr>
              <w:t>(</w:t>
            </w:r>
            <w:r>
              <w:rPr>
                <w:b/>
                <w:sz w:val="20"/>
                <w:szCs w:val="20"/>
              </w:rPr>
              <w:t>Sask</w:t>
            </w:r>
            <w:r w:rsidRPr="00A935AA">
              <w:rPr>
                <w:b/>
                <w:sz w:val="20"/>
                <w:szCs w:val="20"/>
              </w:rPr>
              <w:t>.)</w:t>
            </w:r>
          </w:p>
          <w:p w:rsidR="00AB2A1E" w:rsidRPr="00A935AA" w:rsidRDefault="00AB2A1E" w:rsidP="00B4613A">
            <w:pPr>
              <w:tabs>
                <w:tab w:val="left" w:pos="-1440"/>
                <w:tab w:val="left" w:pos="-720"/>
              </w:tabs>
              <w:rPr>
                <w:sz w:val="20"/>
                <w:szCs w:val="20"/>
              </w:rPr>
            </w:pPr>
            <w:r w:rsidRPr="00A935AA">
              <w:rPr>
                <w:sz w:val="20"/>
                <w:szCs w:val="20"/>
              </w:rPr>
              <w:tab/>
            </w:r>
            <w:r>
              <w:rPr>
                <w:sz w:val="20"/>
                <w:szCs w:val="20"/>
              </w:rPr>
              <w:t>Michael J. Morris</w:t>
            </w:r>
          </w:p>
          <w:p w:rsidR="00AB2A1E" w:rsidRPr="00A935AA" w:rsidRDefault="00AB2A1E" w:rsidP="00B4613A">
            <w:pPr>
              <w:tabs>
                <w:tab w:val="left" w:pos="-1440"/>
                <w:tab w:val="left" w:pos="-720"/>
              </w:tabs>
              <w:rPr>
                <w:sz w:val="20"/>
                <w:szCs w:val="20"/>
              </w:rPr>
            </w:pPr>
            <w:r w:rsidRPr="00A935AA">
              <w:rPr>
                <w:sz w:val="20"/>
                <w:szCs w:val="20"/>
              </w:rPr>
              <w:tab/>
            </w:r>
            <w:r>
              <w:rPr>
                <w:sz w:val="20"/>
                <w:szCs w:val="20"/>
              </w:rPr>
              <w:t>A.G. of Saskatchewan</w:t>
            </w:r>
          </w:p>
          <w:p w:rsidR="00AB2A1E" w:rsidRPr="00A935AA" w:rsidRDefault="00AB2A1E" w:rsidP="00B4613A">
            <w:pPr>
              <w:tabs>
                <w:tab w:val="left" w:pos="-1440"/>
                <w:tab w:val="left" w:pos="-720"/>
              </w:tabs>
              <w:rPr>
                <w:sz w:val="20"/>
                <w:szCs w:val="20"/>
              </w:rPr>
            </w:pPr>
          </w:p>
          <w:p w:rsidR="00AB2A1E" w:rsidRPr="00A935AA" w:rsidRDefault="00AB2A1E" w:rsidP="00B4613A">
            <w:pPr>
              <w:rPr>
                <w:sz w:val="20"/>
                <w:szCs w:val="20"/>
              </w:rPr>
            </w:pPr>
            <w:r w:rsidRPr="00A935AA">
              <w:rPr>
                <w:sz w:val="20"/>
                <w:szCs w:val="20"/>
              </w:rPr>
              <w:t xml:space="preserve">FILING DATE: </w:t>
            </w:r>
            <w:r>
              <w:rPr>
                <w:sz w:val="20"/>
                <w:szCs w:val="20"/>
              </w:rPr>
              <w:t>0</w:t>
            </w:r>
            <w:r w:rsidRPr="00A935AA">
              <w:rPr>
                <w:sz w:val="20"/>
                <w:szCs w:val="20"/>
              </w:rPr>
              <w:t>2.0</w:t>
            </w:r>
            <w:r w:rsidR="00B4613A">
              <w:rPr>
                <w:sz w:val="20"/>
                <w:szCs w:val="20"/>
              </w:rPr>
              <w:t>3</w:t>
            </w:r>
            <w:r w:rsidRPr="00A935AA">
              <w:rPr>
                <w:sz w:val="20"/>
                <w:szCs w:val="20"/>
              </w:rPr>
              <w:t>.201</w:t>
            </w:r>
            <w:r>
              <w:rPr>
                <w:sz w:val="20"/>
                <w:szCs w:val="20"/>
              </w:rPr>
              <w:t>5</w:t>
            </w:r>
            <w:r w:rsidR="005B7E98">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C21644" w:rsidRDefault="00B4613A" w:rsidP="003B3977">
            <w:pPr>
              <w:rPr>
                <w:b/>
                <w:sz w:val="20"/>
                <w:szCs w:val="20"/>
                <w:lang w:val="fr-CA"/>
              </w:rPr>
            </w:pPr>
            <w:r>
              <w:rPr>
                <w:b/>
                <w:sz w:val="20"/>
                <w:szCs w:val="20"/>
                <w:lang w:val="fr-CA"/>
              </w:rPr>
              <w:t>D.J.S.</w:t>
            </w:r>
          </w:p>
          <w:p w:rsidR="00C21644" w:rsidRPr="00C21644" w:rsidRDefault="00C21644" w:rsidP="003B3977">
            <w:pPr>
              <w:tabs>
                <w:tab w:val="left" w:pos="-1440"/>
                <w:tab w:val="left" w:pos="-720"/>
              </w:tabs>
              <w:rPr>
                <w:sz w:val="20"/>
                <w:szCs w:val="20"/>
                <w:lang w:val="fr-CA"/>
              </w:rPr>
            </w:pPr>
            <w:r w:rsidRPr="00C21644">
              <w:rPr>
                <w:sz w:val="20"/>
                <w:szCs w:val="20"/>
                <w:lang w:val="fr-CA"/>
              </w:rPr>
              <w:tab/>
            </w:r>
            <w:r w:rsidR="00B4613A">
              <w:rPr>
                <w:sz w:val="20"/>
                <w:szCs w:val="20"/>
                <w:lang w:val="fr-CA"/>
              </w:rPr>
              <w:t>Lisa Jean Helps</w:t>
            </w:r>
          </w:p>
          <w:p w:rsidR="00C21644" w:rsidRPr="00B4613A" w:rsidRDefault="00C21644" w:rsidP="003B3977">
            <w:pPr>
              <w:tabs>
                <w:tab w:val="left" w:pos="-1440"/>
                <w:tab w:val="left" w:pos="-720"/>
              </w:tabs>
              <w:rPr>
                <w:sz w:val="20"/>
                <w:szCs w:val="20"/>
              </w:rPr>
            </w:pPr>
            <w:r w:rsidRPr="00C21644">
              <w:rPr>
                <w:sz w:val="20"/>
                <w:szCs w:val="20"/>
                <w:lang w:val="fr-CA"/>
              </w:rPr>
              <w:tab/>
            </w:r>
            <w:r w:rsidR="00B4613A" w:rsidRPr="00B4613A">
              <w:rPr>
                <w:sz w:val="20"/>
                <w:szCs w:val="20"/>
              </w:rPr>
              <w:t>Helps Law Corporation</w:t>
            </w:r>
          </w:p>
          <w:p w:rsidR="00C21644" w:rsidRPr="00B4613A"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B4613A">
              <w:rPr>
                <w:sz w:val="20"/>
                <w:szCs w:val="20"/>
              </w:rPr>
              <w:tab/>
            </w:r>
            <w:r w:rsidRPr="00A935AA">
              <w:rPr>
                <w:sz w:val="20"/>
                <w:szCs w:val="20"/>
              </w:rPr>
              <w:t>v. (3</w:t>
            </w:r>
            <w:r w:rsidR="00B4613A">
              <w:rPr>
                <w:sz w:val="20"/>
                <w:szCs w:val="20"/>
              </w:rPr>
              <w:t>6444</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787FCE" w:rsidP="003B3977">
            <w:pPr>
              <w:tabs>
                <w:tab w:val="left" w:pos="-1440"/>
                <w:tab w:val="left" w:pos="-720"/>
              </w:tabs>
              <w:rPr>
                <w:b/>
                <w:sz w:val="20"/>
                <w:szCs w:val="20"/>
              </w:rPr>
            </w:pPr>
            <w:r>
              <w:rPr>
                <w:b/>
                <w:sz w:val="20"/>
                <w:szCs w:val="20"/>
              </w:rPr>
              <w:t>Her Majesty the Queen</w:t>
            </w:r>
            <w:r w:rsidR="00B4613A">
              <w:rPr>
                <w:b/>
                <w:sz w:val="20"/>
                <w:szCs w:val="20"/>
              </w:rPr>
              <w:t xml:space="preserve"> </w:t>
            </w:r>
            <w:r w:rsidR="00C21644" w:rsidRPr="00A935AA">
              <w:rPr>
                <w:b/>
                <w:sz w:val="20"/>
                <w:szCs w:val="20"/>
              </w:rPr>
              <w:t>(</w:t>
            </w:r>
            <w:r w:rsidR="00B4613A">
              <w:rPr>
                <w:b/>
                <w:sz w:val="20"/>
                <w:szCs w:val="20"/>
              </w:rPr>
              <w:t>B.C</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B4613A">
              <w:rPr>
                <w:sz w:val="20"/>
                <w:szCs w:val="20"/>
              </w:rPr>
              <w:t>Michael Brundrett</w:t>
            </w:r>
          </w:p>
          <w:p w:rsidR="00C21644" w:rsidRPr="00A935AA" w:rsidRDefault="00C21644" w:rsidP="003B3977">
            <w:pPr>
              <w:tabs>
                <w:tab w:val="left" w:pos="-1440"/>
                <w:tab w:val="left" w:pos="-720"/>
              </w:tabs>
              <w:rPr>
                <w:sz w:val="20"/>
                <w:szCs w:val="20"/>
              </w:rPr>
            </w:pPr>
            <w:r w:rsidRPr="00A935AA">
              <w:rPr>
                <w:sz w:val="20"/>
                <w:szCs w:val="20"/>
              </w:rPr>
              <w:tab/>
            </w:r>
            <w:r w:rsidR="00B4613A">
              <w:rPr>
                <w:sz w:val="20"/>
                <w:szCs w:val="20"/>
              </w:rPr>
              <w:t>A.G. of British Columbia</w:t>
            </w:r>
          </w:p>
          <w:p w:rsidR="00C21644" w:rsidRPr="00A935AA" w:rsidRDefault="00C21644" w:rsidP="003B3977">
            <w:pPr>
              <w:tabs>
                <w:tab w:val="left" w:pos="-1440"/>
                <w:tab w:val="left" w:pos="-720"/>
              </w:tabs>
              <w:rPr>
                <w:sz w:val="20"/>
                <w:szCs w:val="20"/>
              </w:rPr>
            </w:pPr>
          </w:p>
          <w:p w:rsidR="00C21644" w:rsidRPr="00A935AA" w:rsidRDefault="00C21644" w:rsidP="00634475">
            <w:pPr>
              <w:rPr>
                <w:sz w:val="20"/>
                <w:szCs w:val="20"/>
              </w:rPr>
            </w:pPr>
            <w:r w:rsidRPr="00A935AA">
              <w:rPr>
                <w:sz w:val="20"/>
                <w:szCs w:val="20"/>
              </w:rPr>
              <w:t xml:space="preserve">FILING DATE: </w:t>
            </w:r>
            <w:r w:rsidR="00B4613A">
              <w:rPr>
                <w:sz w:val="20"/>
                <w:szCs w:val="20"/>
              </w:rPr>
              <w:t>1</w:t>
            </w:r>
            <w:r w:rsidR="00787FCE">
              <w:rPr>
                <w:sz w:val="20"/>
                <w:szCs w:val="20"/>
              </w:rPr>
              <w:t>9</w:t>
            </w:r>
            <w:r w:rsidRPr="00A935AA">
              <w:rPr>
                <w:sz w:val="20"/>
                <w:szCs w:val="20"/>
              </w:rPr>
              <w:t>.0</w:t>
            </w:r>
            <w:r w:rsidR="00B4613A">
              <w:rPr>
                <w:sz w:val="20"/>
                <w:szCs w:val="20"/>
              </w:rPr>
              <w:t>5</w:t>
            </w:r>
            <w:r w:rsidRPr="00A935AA">
              <w:rPr>
                <w:sz w:val="20"/>
                <w:szCs w:val="20"/>
              </w:rPr>
              <w:t>.201</w:t>
            </w:r>
            <w:r w:rsidR="00634475">
              <w:rPr>
                <w:sz w:val="20"/>
                <w:szCs w:val="20"/>
              </w:rPr>
              <w:t>5</w:t>
            </w:r>
            <w:r w:rsidR="005B7E9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B4613A" w:rsidRDefault="00C21644" w:rsidP="003B3977">
            <w:pPr>
              <w:keepNext/>
              <w:keepLines/>
              <w:tabs>
                <w:tab w:val="left" w:pos="-1440"/>
                <w:tab w:val="left" w:pos="-720"/>
              </w:tabs>
              <w:rPr>
                <w:b/>
                <w:sz w:val="20"/>
                <w:szCs w:val="20"/>
              </w:rPr>
            </w:pPr>
          </w:p>
          <w:p w:rsidR="00B4613A" w:rsidRPr="00B4613A" w:rsidRDefault="00B4613A" w:rsidP="003B3977">
            <w:pPr>
              <w:keepNext/>
              <w:keepLines/>
              <w:tabs>
                <w:tab w:val="left" w:pos="-1440"/>
                <w:tab w:val="left" w:pos="-720"/>
              </w:tabs>
              <w:rPr>
                <w:b/>
                <w:sz w:val="20"/>
                <w:szCs w:val="20"/>
              </w:rPr>
            </w:pPr>
            <w:r w:rsidRPr="00B4613A">
              <w:rPr>
                <w:b/>
                <w:sz w:val="20"/>
                <w:szCs w:val="20"/>
              </w:rPr>
              <w:t>Christopher Michael Staetter</w:t>
            </w:r>
          </w:p>
          <w:p w:rsidR="00C21644" w:rsidRPr="00B4613A" w:rsidRDefault="00C21644" w:rsidP="003B3977">
            <w:pPr>
              <w:keepNext/>
              <w:keepLines/>
              <w:tabs>
                <w:tab w:val="left" w:pos="-1440"/>
                <w:tab w:val="left" w:pos="-720"/>
              </w:tabs>
              <w:rPr>
                <w:sz w:val="20"/>
                <w:szCs w:val="20"/>
              </w:rPr>
            </w:pPr>
            <w:r w:rsidRPr="00B4613A">
              <w:rPr>
                <w:sz w:val="20"/>
                <w:szCs w:val="20"/>
              </w:rPr>
              <w:tab/>
            </w:r>
            <w:r w:rsidR="00B4613A" w:rsidRPr="00B4613A">
              <w:rPr>
                <w:sz w:val="20"/>
                <w:szCs w:val="20"/>
              </w:rPr>
              <w:t>Christopher Michael Staetter</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B4613A">
              <w:rPr>
                <w:sz w:val="20"/>
                <w:szCs w:val="20"/>
              </w:rPr>
              <w:t>6396</w:t>
            </w:r>
            <w:r w:rsidRPr="00A935AA">
              <w:rPr>
                <w:sz w:val="20"/>
                <w:szCs w:val="20"/>
              </w:rPr>
              <w:t>)</w:t>
            </w:r>
          </w:p>
          <w:p w:rsidR="00C21644" w:rsidRPr="00A935AA" w:rsidRDefault="00C21644" w:rsidP="003B3977">
            <w:pPr>
              <w:keepNext/>
              <w:keepLines/>
              <w:tabs>
                <w:tab w:val="left" w:pos="-1440"/>
                <w:tab w:val="left" w:pos="-720"/>
              </w:tabs>
              <w:rPr>
                <w:sz w:val="20"/>
                <w:szCs w:val="20"/>
              </w:rPr>
            </w:pPr>
          </w:p>
          <w:p w:rsidR="00B4613A" w:rsidRPr="00A935AA" w:rsidRDefault="00B4613A" w:rsidP="00B4613A">
            <w:pPr>
              <w:tabs>
                <w:tab w:val="left" w:pos="-1440"/>
                <w:tab w:val="left" w:pos="-720"/>
              </w:tabs>
              <w:rPr>
                <w:b/>
                <w:sz w:val="20"/>
                <w:szCs w:val="20"/>
              </w:rPr>
            </w:pPr>
            <w:r>
              <w:rPr>
                <w:b/>
                <w:sz w:val="20"/>
                <w:szCs w:val="20"/>
              </w:rPr>
              <w:t xml:space="preserve">Adult Forensic Psychiatric Services et al. </w:t>
            </w:r>
            <w:r w:rsidRPr="00A935AA">
              <w:rPr>
                <w:b/>
                <w:sz w:val="20"/>
                <w:szCs w:val="20"/>
              </w:rPr>
              <w:t>(</w:t>
            </w:r>
            <w:r>
              <w:rPr>
                <w:b/>
                <w:sz w:val="20"/>
                <w:szCs w:val="20"/>
              </w:rPr>
              <w:t>B.C</w:t>
            </w:r>
            <w:r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B4613A">
              <w:rPr>
                <w:sz w:val="20"/>
                <w:szCs w:val="20"/>
              </w:rPr>
              <w:t>Deborah K. Lovett</w:t>
            </w:r>
          </w:p>
          <w:p w:rsidR="00C21644" w:rsidRPr="00A935AA" w:rsidRDefault="00C21644" w:rsidP="003B3977">
            <w:pPr>
              <w:keepNext/>
              <w:keepLines/>
              <w:tabs>
                <w:tab w:val="left" w:pos="-1440"/>
                <w:tab w:val="left" w:pos="-720"/>
              </w:tabs>
              <w:rPr>
                <w:sz w:val="20"/>
                <w:szCs w:val="20"/>
              </w:rPr>
            </w:pPr>
            <w:r w:rsidRPr="00A935AA">
              <w:rPr>
                <w:sz w:val="20"/>
                <w:szCs w:val="20"/>
              </w:rPr>
              <w:tab/>
            </w:r>
            <w:r w:rsidR="00B4613A">
              <w:rPr>
                <w:sz w:val="20"/>
                <w:szCs w:val="20"/>
              </w:rPr>
              <w:t>Lovett Westmacott</w:t>
            </w:r>
          </w:p>
          <w:p w:rsidR="00C21644" w:rsidRPr="00A935AA" w:rsidRDefault="00C21644" w:rsidP="003B3977">
            <w:pPr>
              <w:keepNext/>
              <w:keepLines/>
              <w:tabs>
                <w:tab w:val="left" w:pos="-1440"/>
                <w:tab w:val="left" w:pos="-720"/>
              </w:tabs>
              <w:rPr>
                <w:sz w:val="20"/>
                <w:szCs w:val="20"/>
              </w:rPr>
            </w:pPr>
          </w:p>
          <w:p w:rsidR="00C21644" w:rsidRPr="00A935AA" w:rsidRDefault="00C21644" w:rsidP="00B4613A">
            <w:pPr>
              <w:rPr>
                <w:sz w:val="20"/>
                <w:szCs w:val="20"/>
              </w:rPr>
            </w:pPr>
            <w:r w:rsidRPr="00A935AA">
              <w:rPr>
                <w:sz w:val="20"/>
                <w:szCs w:val="20"/>
              </w:rPr>
              <w:t xml:space="preserve">FILING DATE: </w:t>
            </w:r>
            <w:r w:rsidR="00B4613A">
              <w:rPr>
                <w:sz w:val="20"/>
                <w:szCs w:val="20"/>
              </w:rPr>
              <w:t>17</w:t>
            </w:r>
            <w:r w:rsidRPr="00A935AA">
              <w:rPr>
                <w:sz w:val="20"/>
                <w:szCs w:val="20"/>
              </w:rPr>
              <w:t>.0</w:t>
            </w:r>
            <w:r w:rsidR="00B4613A">
              <w:rPr>
                <w:sz w:val="20"/>
                <w:szCs w:val="20"/>
              </w:rPr>
              <w:t>3</w:t>
            </w:r>
            <w:r w:rsidRPr="00A935AA">
              <w:rPr>
                <w:sz w:val="20"/>
                <w:szCs w:val="20"/>
              </w:rPr>
              <w:t>.201</w:t>
            </w:r>
            <w:r w:rsidR="00B4613A">
              <w:rPr>
                <w:sz w:val="20"/>
                <w:szCs w:val="20"/>
              </w:rPr>
              <w:t>5</w:t>
            </w:r>
            <w:r w:rsidR="005B7E98">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B4613A" w:rsidP="005F1ED8">
            <w:pPr>
              <w:rPr>
                <w:b/>
                <w:sz w:val="20"/>
                <w:szCs w:val="20"/>
              </w:rPr>
            </w:pPr>
            <w:r>
              <w:rPr>
                <w:b/>
                <w:sz w:val="20"/>
                <w:szCs w:val="20"/>
              </w:rPr>
              <w:t>Her Majesty the Queen</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Jolaine Antonio</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Appeals &amp; Prosecution Policy Branch</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4613A">
              <w:rPr>
                <w:sz w:val="20"/>
                <w:szCs w:val="20"/>
              </w:rPr>
              <w:t>643</w:t>
            </w:r>
            <w:r>
              <w:rPr>
                <w:sz w:val="20"/>
                <w:szCs w:val="20"/>
              </w:rPr>
              <w:t>5</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4613A" w:rsidP="005F1ED8">
            <w:pPr>
              <w:tabs>
                <w:tab w:val="left" w:pos="-1440"/>
                <w:tab w:val="left" w:pos="-720"/>
              </w:tabs>
              <w:rPr>
                <w:b/>
                <w:sz w:val="20"/>
                <w:szCs w:val="20"/>
              </w:rPr>
            </w:pPr>
            <w:r>
              <w:rPr>
                <w:b/>
                <w:sz w:val="20"/>
                <w:szCs w:val="20"/>
              </w:rPr>
              <w:t xml:space="preserve">Oswald Oliver Villaroman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Ian D. McKay</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Evans Fagan Rice McKay</w:t>
            </w:r>
          </w:p>
          <w:p w:rsidR="00C21644" w:rsidRPr="00A935AA" w:rsidRDefault="00C21644" w:rsidP="005F1ED8">
            <w:pPr>
              <w:tabs>
                <w:tab w:val="left" w:pos="-1440"/>
                <w:tab w:val="left" w:pos="-720"/>
              </w:tabs>
              <w:rPr>
                <w:sz w:val="20"/>
                <w:szCs w:val="20"/>
              </w:rPr>
            </w:pPr>
          </w:p>
          <w:p w:rsidR="00C21644" w:rsidRPr="00A935AA" w:rsidRDefault="00C21644" w:rsidP="000E236B">
            <w:pPr>
              <w:rPr>
                <w:sz w:val="20"/>
                <w:szCs w:val="20"/>
              </w:rPr>
            </w:pPr>
            <w:r w:rsidRPr="00A935AA">
              <w:rPr>
                <w:sz w:val="20"/>
                <w:szCs w:val="20"/>
              </w:rPr>
              <w:t xml:space="preserve">FILING DATE: </w:t>
            </w:r>
            <w:r w:rsidR="000E236B">
              <w:rPr>
                <w:sz w:val="20"/>
                <w:szCs w:val="20"/>
              </w:rPr>
              <w:t>15</w:t>
            </w:r>
            <w:r w:rsidRPr="00A935AA">
              <w:rPr>
                <w:sz w:val="20"/>
                <w:szCs w:val="20"/>
              </w:rPr>
              <w:t>.0</w:t>
            </w:r>
            <w:r w:rsidR="000E236B">
              <w:rPr>
                <w:sz w:val="20"/>
                <w:szCs w:val="20"/>
              </w:rPr>
              <w:t>5</w:t>
            </w:r>
            <w:r w:rsidRPr="00A935AA">
              <w:rPr>
                <w:sz w:val="20"/>
                <w:szCs w:val="20"/>
              </w:rPr>
              <w:t>.201</w:t>
            </w:r>
            <w:r w:rsidR="000E236B">
              <w:rPr>
                <w:sz w:val="20"/>
                <w:szCs w:val="20"/>
              </w:rPr>
              <w:t>5</w:t>
            </w:r>
            <w:r w:rsidR="005B7E9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B4613A" w:rsidP="00B4613A">
            <w:pPr>
              <w:rPr>
                <w:b/>
                <w:sz w:val="20"/>
                <w:szCs w:val="20"/>
              </w:rPr>
            </w:pPr>
            <w:r>
              <w:rPr>
                <w:b/>
                <w:sz w:val="20"/>
                <w:szCs w:val="20"/>
              </w:rPr>
              <w:t>Richard Martin Ashbourne Steele</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Anthony Moustacalis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4613A">
              <w:rPr>
                <w:sz w:val="20"/>
                <w:szCs w:val="20"/>
              </w:rPr>
              <w:t>6437</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4613A"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Sandy Tse</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B4613A">
            <w:pPr>
              <w:rPr>
                <w:sz w:val="20"/>
                <w:szCs w:val="20"/>
              </w:rPr>
            </w:pPr>
            <w:r w:rsidRPr="00A935AA">
              <w:rPr>
                <w:sz w:val="20"/>
                <w:szCs w:val="20"/>
              </w:rPr>
              <w:t xml:space="preserve">FILING DATE: </w:t>
            </w:r>
            <w:r w:rsidR="00B4613A">
              <w:rPr>
                <w:sz w:val="20"/>
                <w:szCs w:val="20"/>
              </w:rPr>
              <w:t>15</w:t>
            </w:r>
            <w:r w:rsidRPr="00A935AA">
              <w:rPr>
                <w:sz w:val="20"/>
                <w:szCs w:val="20"/>
              </w:rPr>
              <w:t>.0</w:t>
            </w:r>
            <w:r w:rsidR="00B4613A">
              <w:rPr>
                <w:sz w:val="20"/>
                <w:szCs w:val="20"/>
              </w:rPr>
              <w:t>5</w:t>
            </w:r>
            <w:r w:rsidRPr="00A935AA">
              <w:rPr>
                <w:sz w:val="20"/>
                <w:szCs w:val="20"/>
              </w:rPr>
              <w:t>.201</w:t>
            </w:r>
            <w:r w:rsidR="00B4613A">
              <w:rPr>
                <w:sz w:val="20"/>
                <w:szCs w:val="20"/>
              </w:rPr>
              <w:t>5</w:t>
            </w:r>
            <w:r w:rsidR="005B7E98">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Default="00C21644" w:rsidP="005F1ED8">
            <w:pPr>
              <w:rPr>
                <w:b/>
                <w:sz w:val="20"/>
                <w:szCs w:val="20"/>
              </w:rPr>
            </w:pPr>
          </w:p>
          <w:p w:rsidR="00B4613A" w:rsidRPr="00A935AA" w:rsidRDefault="00B4613A" w:rsidP="005F1ED8">
            <w:pPr>
              <w:rPr>
                <w:b/>
                <w:sz w:val="20"/>
                <w:szCs w:val="20"/>
              </w:rPr>
            </w:pPr>
            <w:r>
              <w:rPr>
                <w:b/>
                <w:sz w:val="20"/>
                <w:szCs w:val="20"/>
              </w:rPr>
              <w:t>Estate of William Gee</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Kieran C. Dickson</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Evans, Philp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4613A">
              <w:rPr>
                <w:sz w:val="20"/>
                <w:szCs w:val="20"/>
              </w:rPr>
              <w:t>644</w:t>
            </w:r>
            <w:r>
              <w:rPr>
                <w:sz w:val="20"/>
                <w:szCs w:val="20"/>
              </w:rPr>
              <w:t>5</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4613A" w:rsidP="005F1ED8">
            <w:pPr>
              <w:tabs>
                <w:tab w:val="left" w:pos="-1440"/>
                <w:tab w:val="left" w:pos="-720"/>
              </w:tabs>
              <w:rPr>
                <w:b/>
                <w:sz w:val="20"/>
                <w:szCs w:val="20"/>
              </w:rPr>
            </w:pPr>
            <w:r>
              <w:rPr>
                <w:b/>
                <w:sz w:val="20"/>
                <w:szCs w:val="20"/>
              </w:rPr>
              <w:t xml:space="preserve">Jeremy Westerhof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Jane Poproski</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Ferro &amp; Company</w:t>
            </w:r>
          </w:p>
          <w:p w:rsidR="00C21644" w:rsidRPr="00A935AA" w:rsidRDefault="00C21644" w:rsidP="005F1ED8">
            <w:pPr>
              <w:tabs>
                <w:tab w:val="left" w:pos="-1440"/>
                <w:tab w:val="left" w:pos="-720"/>
              </w:tabs>
              <w:rPr>
                <w:sz w:val="20"/>
                <w:szCs w:val="20"/>
              </w:rPr>
            </w:pPr>
          </w:p>
          <w:p w:rsidR="00C21644" w:rsidRPr="00A935AA" w:rsidRDefault="00C21644" w:rsidP="00B4613A">
            <w:pPr>
              <w:rPr>
                <w:sz w:val="20"/>
                <w:szCs w:val="20"/>
              </w:rPr>
            </w:pPr>
            <w:r w:rsidRPr="00A935AA">
              <w:rPr>
                <w:sz w:val="20"/>
                <w:szCs w:val="20"/>
              </w:rPr>
              <w:t>FILING DATE: 2</w:t>
            </w:r>
            <w:r w:rsidR="00B4613A">
              <w:rPr>
                <w:sz w:val="20"/>
                <w:szCs w:val="20"/>
              </w:rPr>
              <w:t>1</w:t>
            </w:r>
            <w:r w:rsidRPr="00A935AA">
              <w:rPr>
                <w:sz w:val="20"/>
                <w:szCs w:val="20"/>
              </w:rPr>
              <w:t>.0</w:t>
            </w:r>
            <w:r w:rsidR="00B4613A">
              <w:rPr>
                <w:sz w:val="20"/>
                <w:szCs w:val="20"/>
              </w:rPr>
              <w:t>5</w:t>
            </w:r>
            <w:r w:rsidRPr="00A935AA">
              <w:rPr>
                <w:sz w:val="20"/>
                <w:szCs w:val="20"/>
              </w:rPr>
              <w:t>.201</w:t>
            </w:r>
            <w:r w:rsidR="00B4613A">
              <w:rPr>
                <w:sz w:val="20"/>
                <w:szCs w:val="20"/>
              </w:rPr>
              <w:t>5</w:t>
            </w:r>
            <w:r w:rsidR="005B7E9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B4613A" w:rsidRDefault="00B4613A" w:rsidP="00242AEE">
            <w:pPr>
              <w:jc w:val="center"/>
              <w:rPr>
                <w:sz w:val="20"/>
                <w:szCs w:val="20"/>
              </w:rPr>
            </w:pPr>
          </w:p>
          <w:p w:rsidR="00B4613A" w:rsidRPr="00A935AA" w:rsidRDefault="00B4613A"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B4613A" w:rsidP="005F1ED8">
            <w:pPr>
              <w:rPr>
                <w:b/>
                <w:sz w:val="20"/>
                <w:szCs w:val="20"/>
              </w:rPr>
            </w:pPr>
            <w:r>
              <w:rPr>
                <w:b/>
                <w:sz w:val="20"/>
                <w:szCs w:val="20"/>
              </w:rPr>
              <w:t>Attorney General of British Columbia</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Stein K. Gudmundseth, Q.C.</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Gudmundseth Mickelson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B4613A">
              <w:rPr>
                <w:sz w:val="20"/>
                <w:szCs w:val="20"/>
              </w:rPr>
              <w:t>6442</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4613A" w:rsidP="005F1ED8">
            <w:pPr>
              <w:tabs>
                <w:tab w:val="left" w:pos="-1440"/>
                <w:tab w:val="left" w:pos="-720"/>
              </w:tabs>
              <w:rPr>
                <w:b/>
                <w:sz w:val="20"/>
                <w:szCs w:val="20"/>
              </w:rPr>
            </w:pPr>
            <w:r>
              <w:rPr>
                <w:b/>
                <w:sz w:val="20"/>
                <w:szCs w:val="20"/>
              </w:rPr>
              <w:t xml:space="preserve">Provincial Court Judges’ Association of British Columbia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Joseph J. Arvay, Q.C.</w:t>
            </w:r>
          </w:p>
          <w:p w:rsidR="00C21644" w:rsidRPr="00A935AA" w:rsidRDefault="00C21644" w:rsidP="005F1ED8">
            <w:pPr>
              <w:tabs>
                <w:tab w:val="left" w:pos="-1440"/>
                <w:tab w:val="left" w:pos="-720"/>
              </w:tabs>
              <w:rPr>
                <w:sz w:val="20"/>
                <w:szCs w:val="20"/>
              </w:rPr>
            </w:pPr>
            <w:r w:rsidRPr="00A935AA">
              <w:rPr>
                <w:sz w:val="20"/>
                <w:szCs w:val="20"/>
              </w:rPr>
              <w:tab/>
            </w:r>
            <w:r w:rsidR="00B4613A">
              <w:rPr>
                <w:sz w:val="20"/>
                <w:szCs w:val="20"/>
              </w:rPr>
              <w:t>Farris, Vaughan, Wills &amp; Murphy LLP</w:t>
            </w:r>
          </w:p>
          <w:p w:rsidR="00C21644" w:rsidRPr="00A935AA" w:rsidRDefault="00C21644" w:rsidP="005F1ED8">
            <w:pPr>
              <w:tabs>
                <w:tab w:val="left" w:pos="-1440"/>
                <w:tab w:val="left" w:pos="-720"/>
              </w:tabs>
              <w:rPr>
                <w:sz w:val="20"/>
                <w:szCs w:val="20"/>
              </w:rPr>
            </w:pPr>
          </w:p>
          <w:p w:rsidR="00C21644" w:rsidRPr="00A935AA" w:rsidRDefault="00C21644" w:rsidP="00B4613A">
            <w:pPr>
              <w:rPr>
                <w:sz w:val="20"/>
                <w:szCs w:val="20"/>
              </w:rPr>
            </w:pPr>
            <w:r w:rsidRPr="00A935AA">
              <w:rPr>
                <w:sz w:val="20"/>
                <w:szCs w:val="20"/>
              </w:rPr>
              <w:t>FILING DATE: 2</w:t>
            </w:r>
            <w:r w:rsidR="00B4613A">
              <w:rPr>
                <w:sz w:val="20"/>
                <w:szCs w:val="20"/>
              </w:rPr>
              <w:t>2</w:t>
            </w:r>
            <w:r w:rsidRPr="00A935AA">
              <w:rPr>
                <w:sz w:val="20"/>
                <w:szCs w:val="20"/>
              </w:rPr>
              <w:t>.0</w:t>
            </w:r>
            <w:r w:rsidR="00B4613A">
              <w:rPr>
                <w:sz w:val="20"/>
                <w:szCs w:val="20"/>
              </w:rPr>
              <w:t>5</w:t>
            </w:r>
            <w:r w:rsidRPr="00A935AA">
              <w:rPr>
                <w:sz w:val="20"/>
                <w:szCs w:val="20"/>
              </w:rPr>
              <w:t>.201</w:t>
            </w:r>
            <w:r w:rsidR="00B4613A">
              <w:rPr>
                <w:sz w:val="20"/>
                <w:szCs w:val="20"/>
              </w:rPr>
              <w:t>5</w:t>
            </w:r>
            <w:r w:rsidR="005B7E98">
              <w:rPr>
                <w:sz w:val="20"/>
                <w:szCs w:val="20"/>
                <w:lang w:val="fr-CA"/>
              </w:rPr>
              <w:pict>
                <v:rect id="_x0000_i1032" style="width:108pt;height:1pt" o:hrpct="0" o:hralign="center" o:hrstd="t" o:hrnoshade="t" o:hr="t" fillcolor="black [3213]" stroked="f"/>
              </w:pict>
            </w:r>
          </w:p>
        </w:tc>
      </w:tr>
      <w:tr w:rsidR="00371F25" w:rsidRPr="0022100D" w:rsidTr="003B3977">
        <w:trPr>
          <w:cantSplit/>
        </w:trPr>
        <w:tc>
          <w:tcPr>
            <w:tcW w:w="4320" w:type="dxa"/>
            <w:shd w:val="clear" w:color="auto" w:fill="auto"/>
          </w:tcPr>
          <w:p w:rsidR="00371F25" w:rsidRPr="0022100D" w:rsidRDefault="00371F25" w:rsidP="005F1ED8">
            <w:pPr>
              <w:rPr>
                <w:b/>
                <w:sz w:val="20"/>
                <w:szCs w:val="20"/>
                <w:lang w:val="fr-CA"/>
              </w:rPr>
            </w:pPr>
            <w:r w:rsidRPr="0022100D">
              <w:rPr>
                <w:b/>
                <w:sz w:val="20"/>
                <w:szCs w:val="20"/>
                <w:lang w:val="fr-CA"/>
              </w:rPr>
              <w:lastRenderedPageBreak/>
              <w:t>Christiane Lévesque</w:t>
            </w:r>
          </w:p>
          <w:p w:rsidR="00371F25" w:rsidRPr="0022100D" w:rsidRDefault="00371F25" w:rsidP="005F1ED8">
            <w:pPr>
              <w:tabs>
                <w:tab w:val="left" w:pos="-1440"/>
                <w:tab w:val="left" w:pos="-720"/>
              </w:tabs>
              <w:rPr>
                <w:sz w:val="20"/>
                <w:szCs w:val="20"/>
                <w:lang w:val="fr-CA"/>
              </w:rPr>
            </w:pPr>
            <w:r w:rsidRPr="0022100D">
              <w:rPr>
                <w:sz w:val="20"/>
                <w:szCs w:val="20"/>
                <w:lang w:val="fr-CA"/>
              </w:rPr>
              <w:tab/>
              <w:t>Christiane Lévesque</w:t>
            </w:r>
          </w:p>
          <w:p w:rsidR="00371F25" w:rsidRPr="0022100D" w:rsidRDefault="00371F25" w:rsidP="005F1ED8">
            <w:pPr>
              <w:tabs>
                <w:tab w:val="left" w:pos="-1440"/>
                <w:tab w:val="left" w:pos="-720"/>
              </w:tabs>
              <w:rPr>
                <w:sz w:val="20"/>
                <w:szCs w:val="20"/>
                <w:lang w:val="fr-CA"/>
              </w:rPr>
            </w:pPr>
          </w:p>
          <w:p w:rsidR="00371F25" w:rsidRPr="00371F25" w:rsidRDefault="00371F25" w:rsidP="005F1ED8">
            <w:pPr>
              <w:tabs>
                <w:tab w:val="left" w:pos="-1440"/>
                <w:tab w:val="left" w:pos="-720"/>
              </w:tabs>
              <w:rPr>
                <w:sz w:val="20"/>
                <w:szCs w:val="20"/>
                <w:lang w:val="fr-CA"/>
              </w:rPr>
            </w:pPr>
            <w:r w:rsidRPr="0022100D">
              <w:rPr>
                <w:sz w:val="20"/>
                <w:szCs w:val="20"/>
                <w:lang w:val="fr-CA"/>
              </w:rPr>
              <w:tab/>
            </w:r>
            <w:r w:rsidR="0022100D" w:rsidRPr="0022100D">
              <w:rPr>
                <w:sz w:val="20"/>
                <w:szCs w:val="20"/>
                <w:lang w:val="fr-CA"/>
              </w:rPr>
              <w:t>v</w:t>
            </w:r>
            <w:r w:rsidRPr="00371F25">
              <w:rPr>
                <w:sz w:val="20"/>
                <w:szCs w:val="20"/>
                <w:lang w:val="fr-CA"/>
              </w:rPr>
              <w:t>. (36446)</w:t>
            </w:r>
          </w:p>
          <w:p w:rsidR="00371F25" w:rsidRPr="00371F25" w:rsidRDefault="00371F25" w:rsidP="005F1ED8">
            <w:pPr>
              <w:tabs>
                <w:tab w:val="left" w:pos="-1440"/>
                <w:tab w:val="left" w:pos="-720"/>
              </w:tabs>
              <w:rPr>
                <w:sz w:val="20"/>
                <w:szCs w:val="20"/>
                <w:lang w:val="fr-CA"/>
              </w:rPr>
            </w:pPr>
          </w:p>
          <w:p w:rsidR="00371F25" w:rsidRPr="00371F25" w:rsidRDefault="00371F25" w:rsidP="005F1ED8">
            <w:pPr>
              <w:tabs>
                <w:tab w:val="left" w:pos="-1440"/>
                <w:tab w:val="left" w:pos="-720"/>
              </w:tabs>
              <w:rPr>
                <w:b/>
                <w:sz w:val="20"/>
                <w:szCs w:val="20"/>
                <w:lang w:val="fr-CA"/>
              </w:rPr>
            </w:pPr>
            <w:r w:rsidRPr="00371F25">
              <w:rPr>
                <w:b/>
                <w:sz w:val="20"/>
                <w:szCs w:val="20"/>
                <w:lang w:val="fr-CA"/>
              </w:rPr>
              <w:t>Sylvie Marcotte et a</w:t>
            </w:r>
            <w:r w:rsidR="0022100D">
              <w:rPr>
                <w:b/>
                <w:sz w:val="20"/>
                <w:szCs w:val="20"/>
                <w:lang w:val="fr-CA"/>
              </w:rPr>
              <w:t>l</w:t>
            </w:r>
            <w:r w:rsidRPr="00371F25">
              <w:rPr>
                <w:b/>
                <w:sz w:val="20"/>
                <w:szCs w:val="20"/>
                <w:lang w:val="fr-CA"/>
              </w:rPr>
              <w:t xml:space="preserve"> (Q</w:t>
            </w:r>
            <w:r w:rsidR="0022100D">
              <w:rPr>
                <w:b/>
                <w:sz w:val="20"/>
                <w:szCs w:val="20"/>
                <w:lang w:val="fr-CA"/>
              </w:rPr>
              <w:t>ue.</w:t>
            </w:r>
            <w:r w:rsidRPr="00371F25">
              <w:rPr>
                <w:b/>
                <w:sz w:val="20"/>
                <w:szCs w:val="20"/>
                <w:lang w:val="fr-CA"/>
              </w:rPr>
              <w:t>)</w:t>
            </w:r>
          </w:p>
          <w:p w:rsidR="00371F25" w:rsidRPr="00787FCE" w:rsidRDefault="00371F25" w:rsidP="005F1ED8">
            <w:pPr>
              <w:tabs>
                <w:tab w:val="left" w:pos="-1440"/>
                <w:tab w:val="left" w:pos="-720"/>
              </w:tabs>
              <w:rPr>
                <w:sz w:val="20"/>
                <w:szCs w:val="20"/>
              </w:rPr>
            </w:pPr>
            <w:r w:rsidRPr="00371F25">
              <w:rPr>
                <w:sz w:val="20"/>
                <w:szCs w:val="20"/>
                <w:lang w:val="fr-CA"/>
              </w:rPr>
              <w:tab/>
            </w:r>
            <w:r w:rsidRPr="00787FCE">
              <w:rPr>
                <w:sz w:val="20"/>
                <w:szCs w:val="20"/>
              </w:rPr>
              <w:t>Jean-Paul Morin</w:t>
            </w:r>
          </w:p>
          <w:p w:rsidR="00371F25" w:rsidRPr="00787FCE" w:rsidRDefault="00371F25" w:rsidP="005F1ED8">
            <w:pPr>
              <w:tabs>
                <w:tab w:val="left" w:pos="-1440"/>
                <w:tab w:val="left" w:pos="-720"/>
              </w:tabs>
              <w:rPr>
                <w:sz w:val="20"/>
                <w:szCs w:val="20"/>
              </w:rPr>
            </w:pPr>
            <w:r w:rsidRPr="00787FCE">
              <w:rPr>
                <w:sz w:val="20"/>
                <w:szCs w:val="20"/>
              </w:rPr>
              <w:tab/>
              <w:t>Tremblay Bois Mignault Lemay</w:t>
            </w:r>
          </w:p>
          <w:p w:rsidR="00371F25" w:rsidRPr="00787FCE" w:rsidRDefault="00371F25" w:rsidP="005F1ED8">
            <w:pPr>
              <w:tabs>
                <w:tab w:val="left" w:pos="-1440"/>
                <w:tab w:val="left" w:pos="-720"/>
              </w:tabs>
              <w:rPr>
                <w:sz w:val="20"/>
                <w:szCs w:val="20"/>
              </w:rPr>
            </w:pPr>
          </w:p>
          <w:p w:rsidR="00371F25" w:rsidRPr="00787FCE" w:rsidRDefault="00371F25" w:rsidP="00371F25">
            <w:pPr>
              <w:rPr>
                <w:sz w:val="20"/>
                <w:szCs w:val="20"/>
              </w:rPr>
            </w:pPr>
            <w:r w:rsidRPr="00787FCE">
              <w:rPr>
                <w:sz w:val="20"/>
                <w:szCs w:val="20"/>
              </w:rPr>
              <w:t>FILING DATE: 22.05.2015</w:t>
            </w:r>
            <w:r w:rsidR="005B7E98">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tc>
        <w:tc>
          <w:tcPr>
            <w:tcW w:w="4320" w:type="dxa"/>
            <w:shd w:val="clear" w:color="auto" w:fill="auto"/>
          </w:tcPr>
          <w:p w:rsidR="0022100D" w:rsidRPr="0022100D" w:rsidRDefault="0022100D" w:rsidP="0022100D">
            <w:pPr>
              <w:rPr>
                <w:b/>
                <w:sz w:val="20"/>
                <w:szCs w:val="20"/>
              </w:rPr>
            </w:pPr>
            <w:r>
              <w:rPr>
                <w:b/>
                <w:sz w:val="20"/>
                <w:szCs w:val="20"/>
              </w:rPr>
              <w:t>James Baker</w:t>
            </w:r>
          </w:p>
          <w:p w:rsidR="0022100D" w:rsidRPr="0022100D" w:rsidRDefault="0022100D" w:rsidP="0022100D">
            <w:pPr>
              <w:tabs>
                <w:tab w:val="left" w:pos="-1440"/>
                <w:tab w:val="left" w:pos="-720"/>
              </w:tabs>
              <w:rPr>
                <w:sz w:val="20"/>
                <w:szCs w:val="20"/>
              </w:rPr>
            </w:pPr>
            <w:r w:rsidRPr="0022100D">
              <w:rPr>
                <w:sz w:val="20"/>
                <w:szCs w:val="20"/>
              </w:rPr>
              <w:tab/>
            </w:r>
            <w:r>
              <w:rPr>
                <w:sz w:val="20"/>
                <w:szCs w:val="20"/>
              </w:rPr>
              <w:t>R. Donald Rollo</w:t>
            </w:r>
          </w:p>
          <w:p w:rsidR="0022100D" w:rsidRPr="0022100D" w:rsidRDefault="0022100D" w:rsidP="0022100D">
            <w:pPr>
              <w:tabs>
                <w:tab w:val="left" w:pos="-1440"/>
                <w:tab w:val="left" w:pos="-720"/>
              </w:tabs>
              <w:rPr>
                <w:sz w:val="20"/>
                <w:szCs w:val="20"/>
              </w:rPr>
            </w:pPr>
            <w:r w:rsidRPr="0022100D">
              <w:rPr>
                <w:sz w:val="20"/>
                <w:szCs w:val="20"/>
              </w:rPr>
              <w:tab/>
            </w:r>
            <w:r>
              <w:rPr>
                <w:sz w:val="20"/>
                <w:szCs w:val="20"/>
              </w:rPr>
              <w:t>Aronovitch Macaulay Rollo</w:t>
            </w:r>
          </w:p>
          <w:p w:rsidR="0022100D" w:rsidRPr="0022100D" w:rsidRDefault="0022100D" w:rsidP="0022100D">
            <w:pPr>
              <w:tabs>
                <w:tab w:val="left" w:pos="-1440"/>
                <w:tab w:val="left" w:pos="-720"/>
              </w:tabs>
              <w:rPr>
                <w:sz w:val="20"/>
                <w:szCs w:val="20"/>
              </w:rPr>
            </w:pPr>
          </w:p>
          <w:p w:rsidR="0022100D" w:rsidRPr="00A935AA" w:rsidRDefault="0022100D" w:rsidP="0022100D">
            <w:pPr>
              <w:tabs>
                <w:tab w:val="left" w:pos="-1440"/>
                <w:tab w:val="left" w:pos="-720"/>
              </w:tabs>
              <w:rPr>
                <w:sz w:val="20"/>
                <w:szCs w:val="20"/>
              </w:rPr>
            </w:pPr>
            <w:r w:rsidRPr="0022100D">
              <w:rPr>
                <w:sz w:val="20"/>
                <w:szCs w:val="20"/>
              </w:rPr>
              <w:tab/>
            </w:r>
            <w:r w:rsidRPr="00A935AA">
              <w:rPr>
                <w:sz w:val="20"/>
                <w:szCs w:val="20"/>
              </w:rPr>
              <w:t>v. (3</w:t>
            </w:r>
            <w:r>
              <w:rPr>
                <w:sz w:val="20"/>
                <w:szCs w:val="20"/>
              </w:rPr>
              <w:t>6451</w:t>
            </w:r>
            <w:r w:rsidRPr="00A935AA">
              <w:rPr>
                <w:sz w:val="20"/>
                <w:szCs w:val="20"/>
              </w:rPr>
              <w:t>)</w:t>
            </w:r>
          </w:p>
          <w:p w:rsidR="0022100D" w:rsidRPr="00A935AA" w:rsidRDefault="0022100D" w:rsidP="0022100D">
            <w:pPr>
              <w:tabs>
                <w:tab w:val="left" w:pos="-1440"/>
                <w:tab w:val="left" w:pos="-720"/>
              </w:tabs>
              <w:rPr>
                <w:sz w:val="20"/>
                <w:szCs w:val="20"/>
              </w:rPr>
            </w:pPr>
          </w:p>
          <w:p w:rsidR="0022100D" w:rsidRPr="00A935AA" w:rsidRDefault="0022100D" w:rsidP="0022100D">
            <w:pPr>
              <w:tabs>
                <w:tab w:val="left" w:pos="-1440"/>
                <w:tab w:val="left" w:pos="-720"/>
              </w:tabs>
              <w:rPr>
                <w:b/>
                <w:sz w:val="20"/>
                <w:szCs w:val="20"/>
              </w:rPr>
            </w:pPr>
            <w:r>
              <w:rPr>
                <w:b/>
                <w:sz w:val="20"/>
                <w:szCs w:val="20"/>
              </w:rPr>
              <w:t xml:space="preserve">Daniel McCallum </w:t>
            </w:r>
            <w:r w:rsidRPr="00A935AA">
              <w:rPr>
                <w:b/>
                <w:sz w:val="20"/>
                <w:szCs w:val="20"/>
              </w:rPr>
              <w:t>(</w:t>
            </w:r>
            <w:r>
              <w:rPr>
                <w:b/>
                <w:sz w:val="20"/>
                <w:szCs w:val="20"/>
              </w:rPr>
              <w:t>Ont</w:t>
            </w:r>
            <w:r w:rsidRPr="00A935AA">
              <w:rPr>
                <w:b/>
                <w:sz w:val="20"/>
                <w:szCs w:val="20"/>
              </w:rPr>
              <w:t>.)</w:t>
            </w:r>
          </w:p>
          <w:p w:rsidR="0022100D" w:rsidRPr="00A935AA" w:rsidRDefault="0022100D" w:rsidP="0022100D">
            <w:pPr>
              <w:tabs>
                <w:tab w:val="left" w:pos="-1440"/>
                <w:tab w:val="left" w:pos="-720"/>
              </w:tabs>
              <w:rPr>
                <w:sz w:val="20"/>
                <w:szCs w:val="20"/>
              </w:rPr>
            </w:pPr>
            <w:r w:rsidRPr="00A935AA">
              <w:rPr>
                <w:sz w:val="20"/>
                <w:szCs w:val="20"/>
              </w:rPr>
              <w:tab/>
            </w:r>
            <w:r>
              <w:rPr>
                <w:sz w:val="20"/>
                <w:szCs w:val="20"/>
              </w:rPr>
              <w:t>Paul J. Pape</w:t>
            </w:r>
          </w:p>
          <w:p w:rsidR="0022100D" w:rsidRPr="00A935AA" w:rsidRDefault="0022100D" w:rsidP="0022100D">
            <w:pPr>
              <w:tabs>
                <w:tab w:val="left" w:pos="-1440"/>
                <w:tab w:val="left" w:pos="-720"/>
              </w:tabs>
              <w:rPr>
                <w:sz w:val="20"/>
                <w:szCs w:val="20"/>
              </w:rPr>
            </w:pPr>
            <w:r w:rsidRPr="00A935AA">
              <w:rPr>
                <w:sz w:val="20"/>
                <w:szCs w:val="20"/>
              </w:rPr>
              <w:tab/>
            </w:r>
            <w:r>
              <w:rPr>
                <w:sz w:val="20"/>
                <w:szCs w:val="20"/>
              </w:rPr>
              <w:t>Pape Barristers</w:t>
            </w:r>
          </w:p>
          <w:p w:rsidR="00371F25" w:rsidRPr="0022100D" w:rsidRDefault="00371F25" w:rsidP="007B73BD">
            <w:pPr>
              <w:tabs>
                <w:tab w:val="left" w:pos="-1440"/>
                <w:tab w:val="left" w:pos="-720"/>
              </w:tabs>
              <w:rPr>
                <w:sz w:val="20"/>
                <w:szCs w:val="20"/>
              </w:rPr>
            </w:pPr>
          </w:p>
          <w:p w:rsidR="00371F25" w:rsidRPr="0022100D" w:rsidRDefault="00371F25" w:rsidP="0022100D">
            <w:pPr>
              <w:rPr>
                <w:sz w:val="20"/>
                <w:szCs w:val="20"/>
              </w:rPr>
            </w:pPr>
            <w:r w:rsidRPr="0022100D">
              <w:rPr>
                <w:sz w:val="20"/>
                <w:szCs w:val="20"/>
              </w:rPr>
              <w:t>FILING DATE: 2</w:t>
            </w:r>
            <w:r w:rsidR="0022100D" w:rsidRPr="0022100D">
              <w:rPr>
                <w:sz w:val="20"/>
                <w:szCs w:val="20"/>
              </w:rPr>
              <w:t>5</w:t>
            </w:r>
            <w:r w:rsidRPr="0022100D">
              <w:rPr>
                <w:sz w:val="20"/>
                <w:szCs w:val="20"/>
              </w:rPr>
              <w:t>.0</w:t>
            </w:r>
            <w:r w:rsidR="0022100D" w:rsidRPr="0022100D">
              <w:rPr>
                <w:sz w:val="20"/>
                <w:szCs w:val="20"/>
              </w:rPr>
              <w:t>5</w:t>
            </w:r>
            <w:r w:rsidRPr="0022100D">
              <w:rPr>
                <w:sz w:val="20"/>
                <w:szCs w:val="20"/>
              </w:rPr>
              <w:t>.201</w:t>
            </w:r>
            <w:r w:rsidR="0022100D" w:rsidRPr="0022100D">
              <w:rPr>
                <w:sz w:val="20"/>
                <w:szCs w:val="20"/>
              </w:rPr>
              <w:t>5</w:t>
            </w:r>
            <w:r w:rsidR="005B7E98">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22100D" w:rsidRDefault="0022100D" w:rsidP="005F1ED8">
            <w:pPr>
              <w:rPr>
                <w:b/>
                <w:sz w:val="20"/>
                <w:szCs w:val="20"/>
              </w:rPr>
            </w:pPr>
            <w:r w:rsidRPr="0022100D">
              <w:rPr>
                <w:b/>
                <w:sz w:val="20"/>
                <w:szCs w:val="20"/>
              </w:rPr>
              <w:t>Chief R. Donald Maracle in his personal capacity and in a</w:t>
            </w:r>
            <w:r w:rsidR="00A85C3C">
              <w:rPr>
                <w:b/>
                <w:sz w:val="20"/>
                <w:szCs w:val="20"/>
              </w:rPr>
              <w:t xml:space="preserve"> </w:t>
            </w:r>
            <w:r w:rsidRPr="0022100D">
              <w:rPr>
                <w:b/>
                <w:sz w:val="20"/>
                <w:szCs w:val="20"/>
              </w:rPr>
              <w:t>representative capacity on be</w:t>
            </w:r>
            <w:r w:rsidR="00244611">
              <w:rPr>
                <w:b/>
                <w:sz w:val="20"/>
                <w:szCs w:val="20"/>
              </w:rPr>
              <w:t>h</w:t>
            </w:r>
            <w:r w:rsidRPr="0022100D">
              <w:rPr>
                <w:b/>
                <w:sz w:val="20"/>
                <w:szCs w:val="20"/>
              </w:rPr>
              <w:t>alf of the members of the Mohawks of the B</w:t>
            </w:r>
            <w:r>
              <w:rPr>
                <w:b/>
                <w:sz w:val="20"/>
                <w:szCs w:val="20"/>
              </w:rPr>
              <w:t>a</w:t>
            </w:r>
            <w:r w:rsidRPr="0022100D">
              <w:rPr>
                <w:b/>
                <w:sz w:val="20"/>
                <w:szCs w:val="20"/>
              </w:rPr>
              <w:t>y</w:t>
            </w:r>
            <w:r>
              <w:rPr>
                <w:b/>
                <w:sz w:val="20"/>
                <w:szCs w:val="20"/>
              </w:rPr>
              <w:t xml:space="preserve"> of Quinte et al.</w:t>
            </w:r>
          </w:p>
          <w:p w:rsidR="00C21644" w:rsidRPr="00787FCE" w:rsidRDefault="00C21644" w:rsidP="005F1ED8">
            <w:pPr>
              <w:tabs>
                <w:tab w:val="left" w:pos="-1440"/>
                <w:tab w:val="left" w:pos="-720"/>
              </w:tabs>
              <w:rPr>
                <w:sz w:val="20"/>
                <w:szCs w:val="20"/>
                <w:lang w:val="fr-CA"/>
              </w:rPr>
            </w:pPr>
            <w:r w:rsidRPr="0022100D">
              <w:rPr>
                <w:sz w:val="20"/>
                <w:szCs w:val="20"/>
              </w:rPr>
              <w:tab/>
            </w:r>
            <w:r w:rsidR="0022100D" w:rsidRPr="00787FCE">
              <w:rPr>
                <w:sz w:val="20"/>
                <w:szCs w:val="20"/>
                <w:lang w:val="fr-CA"/>
              </w:rPr>
              <w:t>Paul Champ</w:t>
            </w:r>
          </w:p>
          <w:p w:rsidR="00C21644" w:rsidRPr="00787FCE" w:rsidRDefault="00C21644" w:rsidP="005F1ED8">
            <w:pPr>
              <w:tabs>
                <w:tab w:val="left" w:pos="-1440"/>
                <w:tab w:val="left" w:pos="-720"/>
              </w:tabs>
              <w:rPr>
                <w:sz w:val="20"/>
                <w:szCs w:val="20"/>
                <w:lang w:val="fr-CA"/>
              </w:rPr>
            </w:pPr>
            <w:r w:rsidRPr="00787FCE">
              <w:rPr>
                <w:sz w:val="20"/>
                <w:szCs w:val="20"/>
                <w:lang w:val="fr-CA"/>
              </w:rPr>
              <w:tab/>
            </w:r>
            <w:r w:rsidR="0022100D" w:rsidRPr="00787FCE">
              <w:rPr>
                <w:sz w:val="20"/>
                <w:szCs w:val="20"/>
                <w:lang w:val="fr-CA"/>
              </w:rPr>
              <w:t>Champ &amp; Associates</w:t>
            </w:r>
          </w:p>
          <w:p w:rsidR="00C21644" w:rsidRPr="00787FCE" w:rsidRDefault="00C21644" w:rsidP="005F1ED8">
            <w:pPr>
              <w:tabs>
                <w:tab w:val="left" w:pos="-1440"/>
                <w:tab w:val="left" w:pos="-720"/>
              </w:tabs>
              <w:rPr>
                <w:sz w:val="20"/>
                <w:szCs w:val="20"/>
                <w:lang w:val="fr-CA"/>
              </w:rPr>
            </w:pPr>
          </w:p>
          <w:p w:rsidR="00C21644" w:rsidRPr="00787FCE" w:rsidRDefault="00C21644" w:rsidP="005F1ED8">
            <w:pPr>
              <w:tabs>
                <w:tab w:val="left" w:pos="-1440"/>
                <w:tab w:val="left" w:pos="-720"/>
              </w:tabs>
              <w:rPr>
                <w:sz w:val="20"/>
                <w:szCs w:val="20"/>
                <w:lang w:val="fr-CA"/>
              </w:rPr>
            </w:pPr>
            <w:r w:rsidRPr="00787FCE">
              <w:rPr>
                <w:sz w:val="20"/>
                <w:szCs w:val="20"/>
                <w:lang w:val="fr-CA"/>
              </w:rPr>
              <w:tab/>
              <w:t>v. (3</w:t>
            </w:r>
            <w:r w:rsidR="0022100D" w:rsidRPr="00787FCE">
              <w:rPr>
                <w:sz w:val="20"/>
                <w:szCs w:val="20"/>
                <w:lang w:val="fr-CA"/>
              </w:rPr>
              <w:t>645</w:t>
            </w:r>
            <w:r w:rsidRPr="00787FCE">
              <w:rPr>
                <w:sz w:val="20"/>
                <w:szCs w:val="20"/>
                <w:lang w:val="fr-CA"/>
              </w:rPr>
              <w:t>5)</w:t>
            </w:r>
          </w:p>
          <w:p w:rsidR="00C21644" w:rsidRPr="00787FCE" w:rsidRDefault="00C21644" w:rsidP="005F1ED8">
            <w:pPr>
              <w:tabs>
                <w:tab w:val="left" w:pos="-1440"/>
                <w:tab w:val="left" w:pos="-720"/>
              </w:tabs>
              <w:rPr>
                <w:sz w:val="20"/>
                <w:szCs w:val="20"/>
                <w:lang w:val="fr-CA"/>
              </w:rPr>
            </w:pPr>
          </w:p>
          <w:p w:rsidR="00C21644" w:rsidRPr="0022100D" w:rsidRDefault="0022100D" w:rsidP="005F1ED8">
            <w:pPr>
              <w:tabs>
                <w:tab w:val="left" w:pos="-1440"/>
                <w:tab w:val="left" w:pos="-720"/>
              </w:tabs>
              <w:rPr>
                <w:b/>
                <w:sz w:val="20"/>
                <w:szCs w:val="20"/>
              </w:rPr>
            </w:pPr>
            <w:r w:rsidRPr="0022100D">
              <w:rPr>
                <w:b/>
                <w:sz w:val="20"/>
                <w:szCs w:val="20"/>
              </w:rPr>
              <w:t xml:space="preserve">Attorney General of Canada </w:t>
            </w:r>
            <w:r w:rsidR="00C21644" w:rsidRPr="0022100D">
              <w:rPr>
                <w:b/>
                <w:sz w:val="20"/>
                <w:szCs w:val="20"/>
              </w:rPr>
              <w:t>(</w:t>
            </w:r>
            <w:r w:rsidRPr="0022100D">
              <w:rPr>
                <w:b/>
                <w:sz w:val="20"/>
                <w:szCs w:val="20"/>
              </w:rPr>
              <w:t>F.C</w:t>
            </w:r>
            <w:r w:rsidR="00C21644" w:rsidRPr="0022100D">
              <w:rPr>
                <w:b/>
                <w:sz w:val="20"/>
                <w:szCs w:val="20"/>
              </w:rPr>
              <w:t>.)</w:t>
            </w:r>
          </w:p>
          <w:p w:rsidR="00C21644" w:rsidRPr="0022100D" w:rsidRDefault="00C21644" w:rsidP="005F1ED8">
            <w:pPr>
              <w:tabs>
                <w:tab w:val="left" w:pos="-1440"/>
                <w:tab w:val="left" w:pos="-720"/>
              </w:tabs>
              <w:rPr>
                <w:sz w:val="20"/>
                <w:szCs w:val="20"/>
              </w:rPr>
            </w:pPr>
            <w:r w:rsidRPr="0022100D">
              <w:rPr>
                <w:sz w:val="20"/>
                <w:szCs w:val="20"/>
              </w:rPr>
              <w:tab/>
            </w:r>
            <w:r w:rsidR="0022100D">
              <w:rPr>
                <w:sz w:val="20"/>
                <w:szCs w:val="20"/>
              </w:rPr>
              <w:t>Helen Gray</w:t>
            </w:r>
          </w:p>
          <w:p w:rsidR="00C21644" w:rsidRPr="0022100D" w:rsidRDefault="00C21644" w:rsidP="005F1ED8">
            <w:pPr>
              <w:tabs>
                <w:tab w:val="left" w:pos="-1440"/>
                <w:tab w:val="left" w:pos="-720"/>
              </w:tabs>
              <w:rPr>
                <w:sz w:val="20"/>
                <w:szCs w:val="20"/>
              </w:rPr>
            </w:pPr>
            <w:r w:rsidRPr="0022100D">
              <w:rPr>
                <w:sz w:val="20"/>
                <w:szCs w:val="20"/>
              </w:rPr>
              <w:tab/>
            </w:r>
            <w:r w:rsidR="0022100D">
              <w:rPr>
                <w:sz w:val="20"/>
                <w:szCs w:val="20"/>
              </w:rPr>
              <w:t>A.G. of Canada</w:t>
            </w:r>
          </w:p>
          <w:p w:rsidR="00C21644" w:rsidRPr="0022100D" w:rsidRDefault="00C21644" w:rsidP="005F1ED8">
            <w:pPr>
              <w:tabs>
                <w:tab w:val="left" w:pos="-1440"/>
                <w:tab w:val="left" w:pos="-720"/>
              </w:tabs>
              <w:rPr>
                <w:sz w:val="20"/>
                <w:szCs w:val="20"/>
              </w:rPr>
            </w:pPr>
          </w:p>
          <w:p w:rsidR="00C21644" w:rsidRPr="0022100D" w:rsidRDefault="00C21644" w:rsidP="0022100D">
            <w:pPr>
              <w:rPr>
                <w:sz w:val="20"/>
                <w:szCs w:val="20"/>
              </w:rPr>
            </w:pPr>
            <w:r w:rsidRPr="0022100D">
              <w:rPr>
                <w:sz w:val="20"/>
                <w:szCs w:val="20"/>
              </w:rPr>
              <w:t>FILING DATE: 2</w:t>
            </w:r>
            <w:r w:rsidR="0022100D">
              <w:rPr>
                <w:sz w:val="20"/>
                <w:szCs w:val="20"/>
              </w:rPr>
              <w:t>2</w:t>
            </w:r>
            <w:r w:rsidRPr="0022100D">
              <w:rPr>
                <w:sz w:val="20"/>
                <w:szCs w:val="20"/>
              </w:rPr>
              <w:t>.0</w:t>
            </w:r>
            <w:r w:rsidR="0022100D">
              <w:rPr>
                <w:sz w:val="20"/>
                <w:szCs w:val="20"/>
              </w:rPr>
              <w:t>5</w:t>
            </w:r>
            <w:r w:rsidRPr="0022100D">
              <w:rPr>
                <w:sz w:val="20"/>
                <w:szCs w:val="20"/>
              </w:rPr>
              <w:t>.201</w:t>
            </w:r>
            <w:r w:rsidR="0022100D">
              <w:rPr>
                <w:sz w:val="20"/>
                <w:szCs w:val="20"/>
              </w:rPr>
              <w:t>5</w:t>
            </w:r>
            <w:r w:rsidR="005B7E98">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22100D" w:rsidRDefault="00C21644" w:rsidP="00242AEE">
            <w:pPr>
              <w:jc w:val="center"/>
              <w:rPr>
                <w:sz w:val="20"/>
                <w:szCs w:val="20"/>
              </w:rPr>
            </w:pPr>
          </w:p>
          <w:p w:rsidR="00C21644" w:rsidRPr="0022100D" w:rsidRDefault="00C21644" w:rsidP="00242AEE">
            <w:pPr>
              <w:jc w:val="center"/>
              <w:rPr>
                <w:sz w:val="20"/>
                <w:szCs w:val="20"/>
              </w:rPr>
            </w:pPr>
          </w:p>
          <w:p w:rsidR="00C21644" w:rsidRPr="0022100D" w:rsidRDefault="00C21644" w:rsidP="00242AEE">
            <w:pPr>
              <w:jc w:val="center"/>
              <w:rPr>
                <w:sz w:val="20"/>
                <w:szCs w:val="20"/>
              </w:rPr>
            </w:pPr>
          </w:p>
          <w:p w:rsidR="00C21644" w:rsidRPr="0022100D" w:rsidRDefault="00C21644" w:rsidP="00242AEE">
            <w:pPr>
              <w:jc w:val="center"/>
              <w:rPr>
                <w:sz w:val="20"/>
                <w:szCs w:val="20"/>
              </w:rPr>
            </w:pPr>
          </w:p>
          <w:p w:rsidR="00C21644" w:rsidRPr="0022100D" w:rsidRDefault="00C21644" w:rsidP="00242AEE">
            <w:pPr>
              <w:jc w:val="center"/>
              <w:rPr>
                <w:sz w:val="20"/>
                <w:szCs w:val="20"/>
              </w:rPr>
            </w:pPr>
          </w:p>
          <w:p w:rsidR="00C21644" w:rsidRPr="0022100D" w:rsidRDefault="00C21644" w:rsidP="00242AEE">
            <w:pPr>
              <w:jc w:val="center"/>
              <w:rPr>
                <w:sz w:val="20"/>
                <w:szCs w:val="20"/>
              </w:rPr>
            </w:pPr>
          </w:p>
          <w:p w:rsidR="00C21644" w:rsidRPr="0022100D" w:rsidRDefault="00C21644" w:rsidP="00242AEE">
            <w:pPr>
              <w:jc w:val="center"/>
              <w:rPr>
                <w:sz w:val="20"/>
                <w:szCs w:val="20"/>
              </w:rPr>
            </w:pPr>
          </w:p>
          <w:p w:rsidR="00C21644" w:rsidRPr="0022100D" w:rsidRDefault="00C21644" w:rsidP="00242AEE">
            <w:pPr>
              <w:jc w:val="center"/>
              <w:rPr>
                <w:sz w:val="20"/>
                <w:szCs w:val="20"/>
              </w:rPr>
            </w:pPr>
          </w:p>
          <w:p w:rsidR="00C21644" w:rsidRPr="0022100D" w:rsidRDefault="00C21644" w:rsidP="00242AEE">
            <w:pPr>
              <w:jc w:val="center"/>
              <w:rPr>
                <w:sz w:val="20"/>
                <w:szCs w:val="20"/>
              </w:rPr>
            </w:pPr>
          </w:p>
          <w:p w:rsidR="00C21644" w:rsidRPr="0022100D" w:rsidRDefault="00C21644" w:rsidP="00242AEE">
            <w:pPr>
              <w:jc w:val="center"/>
              <w:rPr>
                <w:sz w:val="20"/>
                <w:szCs w:val="20"/>
              </w:rPr>
            </w:pPr>
          </w:p>
          <w:p w:rsidR="00C21644" w:rsidRDefault="00C21644" w:rsidP="00242AEE">
            <w:pPr>
              <w:jc w:val="center"/>
              <w:rPr>
                <w:sz w:val="20"/>
                <w:szCs w:val="20"/>
              </w:rPr>
            </w:pPr>
          </w:p>
          <w:p w:rsidR="0022100D" w:rsidRDefault="0022100D" w:rsidP="00242AEE">
            <w:pPr>
              <w:jc w:val="center"/>
              <w:rPr>
                <w:sz w:val="20"/>
                <w:szCs w:val="20"/>
              </w:rPr>
            </w:pPr>
          </w:p>
          <w:p w:rsidR="0022100D" w:rsidRPr="0022100D" w:rsidRDefault="0022100D" w:rsidP="00242AEE">
            <w:pPr>
              <w:jc w:val="center"/>
              <w:rPr>
                <w:sz w:val="20"/>
                <w:szCs w:val="20"/>
              </w:rPr>
            </w:pPr>
          </w:p>
          <w:p w:rsidR="00C21644" w:rsidRPr="0022100D" w:rsidRDefault="00C21644" w:rsidP="00242AEE">
            <w:pPr>
              <w:jc w:val="center"/>
              <w:rPr>
                <w:sz w:val="20"/>
                <w:szCs w:val="20"/>
              </w:rPr>
            </w:pPr>
          </w:p>
          <w:p w:rsidR="00C21644" w:rsidRPr="0022100D" w:rsidRDefault="00C21644" w:rsidP="00242AEE">
            <w:pPr>
              <w:jc w:val="center"/>
              <w:rPr>
                <w:sz w:val="20"/>
                <w:szCs w:val="20"/>
              </w:rPr>
            </w:pPr>
          </w:p>
        </w:tc>
        <w:tc>
          <w:tcPr>
            <w:tcW w:w="4320" w:type="dxa"/>
            <w:shd w:val="clear" w:color="auto" w:fill="auto"/>
          </w:tcPr>
          <w:p w:rsidR="00C21644" w:rsidRPr="00787FCE" w:rsidRDefault="00C21644" w:rsidP="005F1ED8">
            <w:pPr>
              <w:rPr>
                <w:b/>
                <w:sz w:val="20"/>
                <w:szCs w:val="20"/>
                <w:lang w:val="fr-CA"/>
              </w:rPr>
            </w:pPr>
          </w:p>
          <w:p w:rsidR="0022100D" w:rsidRPr="0022100D" w:rsidRDefault="0022100D" w:rsidP="005F1ED8">
            <w:pPr>
              <w:rPr>
                <w:b/>
                <w:sz w:val="20"/>
                <w:szCs w:val="20"/>
                <w:lang w:val="fr-CA"/>
              </w:rPr>
            </w:pPr>
            <w:r w:rsidRPr="0022100D">
              <w:rPr>
                <w:b/>
                <w:sz w:val="20"/>
                <w:szCs w:val="20"/>
                <w:lang w:val="fr-CA"/>
              </w:rPr>
              <w:t>Dianna Louise Parsons et al.</w:t>
            </w:r>
          </w:p>
          <w:p w:rsidR="00C21644" w:rsidRPr="0022100D" w:rsidRDefault="00C21644" w:rsidP="005F1ED8">
            <w:pPr>
              <w:tabs>
                <w:tab w:val="left" w:pos="-1440"/>
                <w:tab w:val="left" w:pos="-720"/>
              </w:tabs>
              <w:rPr>
                <w:sz w:val="20"/>
                <w:szCs w:val="20"/>
              </w:rPr>
            </w:pPr>
            <w:r w:rsidRPr="0022100D">
              <w:rPr>
                <w:sz w:val="20"/>
                <w:szCs w:val="20"/>
                <w:lang w:val="fr-CA"/>
              </w:rPr>
              <w:tab/>
            </w:r>
            <w:r w:rsidR="0022100D" w:rsidRPr="0022100D">
              <w:rPr>
                <w:sz w:val="20"/>
                <w:szCs w:val="20"/>
              </w:rPr>
              <w:t>Harvey T. Strosber</w:t>
            </w:r>
            <w:r w:rsidR="0022100D">
              <w:rPr>
                <w:sz w:val="20"/>
                <w:szCs w:val="20"/>
              </w:rPr>
              <w:t>g</w:t>
            </w:r>
            <w:r w:rsidR="0022100D" w:rsidRPr="0022100D">
              <w:rPr>
                <w:sz w:val="20"/>
                <w:szCs w:val="20"/>
              </w:rPr>
              <w:t>, Q</w:t>
            </w:r>
            <w:r w:rsidR="0022100D">
              <w:rPr>
                <w:sz w:val="20"/>
                <w:szCs w:val="20"/>
              </w:rPr>
              <w:t>.C.</w:t>
            </w:r>
          </w:p>
          <w:p w:rsidR="00C21644" w:rsidRDefault="00C21644" w:rsidP="005F1ED8">
            <w:pPr>
              <w:tabs>
                <w:tab w:val="left" w:pos="-1440"/>
                <w:tab w:val="left" w:pos="-720"/>
              </w:tabs>
              <w:rPr>
                <w:sz w:val="20"/>
                <w:szCs w:val="20"/>
              </w:rPr>
            </w:pPr>
            <w:r w:rsidRPr="0022100D">
              <w:rPr>
                <w:sz w:val="20"/>
                <w:szCs w:val="20"/>
              </w:rPr>
              <w:tab/>
            </w:r>
            <w:r w:rsidR="0022100D">
              <w:rPr>
                <w:sz w:val="20"/>
                <w:szCs w:val="20"/>
              </w:rPr>
              <w:t>Sutts, Strosberg LLP</w:t>
            </w:r>
          </w:p>
          <w:p w:rsidR="0022100D" w:rsidRPr="0022100D" w:rsidRDefault="0022100D"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22100D">
              <w:rPr>
                <w:sz w:val="20"/>
                <w:szCs w:val="20"/>
              </w:rPr>
              <w:tab/>
            </w:r>
            <w:r w:rsidRPr="00A935AA">
              <w:rPr>
                <w:sz w:val="20"/>
                <w:szCs w:val="20"/>
              </w:rPr>
              <w:t>v. (3</w:t>
            </w:r>
            <w:r w:rsidR="0022100D">
              <w:rPr>
                <w:sz w:val="20"/>
                <w:szCs w:val="20"/>
              </w:rPr>
              <w:t>64</w:t>
            </w:r>
            <w:r>
              <w:rPr>
                <w:sz w:val="20"/>
                <w:szCs w:val="20"/>
              </w:rPr>
              <w:t>5</w:t>
            </w:r>
            <w:r w:rsidR="0022100D">
              <w:rPr>
                <w:sz w:val="20"/>
                <w:szCs w:val="20"/>
              </w:rPr>
              <w:t>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22100D" w:rsidP="005F1ED8">
            <w:pPr>
              <w:tabs>
                <w:tab w:val="left" w:pos="-1440"/>
                <w:tab w:val="left" w:pos="-720"/>
              </w:tabs>
              <w:rPr>
                <w:b/>
                <w:sz w:val="20"/>
                <w:szCs w:val="20"/>
              </w:rPr>
            </w:pPr>
            <w:r>
              <w:rPr>
                <w:b/>
                <w:sz w:val="20"/>
                <w:szCs w:val="20"/>
              </w:rPr>
              <w:t>Her Majesty t</w:t>
            </w:r>
            <w:r w:rsidR="00D63A34">
              <w:rPr>
                <w:b/>
                <w:sz w:val="20"/>
                <w:szCs w:val="20"/>
              </w:rPr>
              <w:t>he Queen in Right of Ontario et </w:t>
            </w:r>
            <w:r>
              <w:rPr>
                <w:b/>
                <w:sz w:val="20"/>
                <w:szCs w:val="20"/>
              </w:rPr>
              <w:t>al</w:t>
            </w:r>
            <w:r w:rsidR="00D63A34">
              <w:rPr>
                <w:b/>
                <w:sz w:val="20"/>
                <w:szCs w:val="20"/>
              </w:rPr>
              <w:t>.</w:t>
            </w:r>
            <w:r>
              <w:rPr>
                <w:b/>
                <w:sz w:val="20"/>
                <w:szCs w:val="20"/>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22100D">
              <w:rPr>
                <w:sz w:val="20"/>
                <w:szCs w:val="20"/>
              </w:rPr>
              <w:t>Malliha Wilson</w:t>
            </w:r>
          </w:p>
          <w:p w:rsidR="00C21644" w:rsidRPr="00A935AA" w:rsidRDefault="00C21644" w:rsidP="005F1ED8">
            <w:pPr>
              <w:tabs>
                <w:tab w:val="left" w:pos="-1440"/>
                <w:tab w:val="left" w:pos="-720"/>
              </w:tabs>
              <w:rPr>
                <w:sz w:val="20"/>
                <w:szCs w:val="20"/>
              </w:rPr>
            </w:pPr>
            <w:r w:rsidRPr="00A935AA">
              <w:rPr>
                <w:sz w:val="20"/>
                <w:szCs w:val="20"/>
              </w:rPr>
              <w:tab/>
            </w:r>
            <w:r w:rsidR="0022100D">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22100D">
            <w:pPr>
              <w:rPr>
                <w:sz w:val="20"/>
                <w:szCs w:val="20"/>
              </w:rPr>
            </w:pPr>
            <w:r w:rsidRPr="00A935AA">
              <w:rPr>
                <w:sz w:val="20"/>
                <w:szCs w:val="20"/>
              </w:rPr>
              <w:t>FILING DATE: 2</w:t>
            </w:r>
            <w:r w:rsidR="0022100D">
              <w:rPr>
                <w:sz w:val="20"/>
                <w:szCs w:val="20"/>
              </w:rPr>
              <w:t>6</w:t>
            </w:r>
            <w:r w:rsidRPr="00A935AA">
              <w:rPr>
                <w:sz w:val="20"/>
                <w:szCs w:val="20"/>
              </w:rPr>
              <w:t>.0</w:t>
            </w:r>
            <w:r w:rsidR="0022100D">
              <w:rPr>
                <w:sz w:val="20"/>
                <w:szCs w:val="20"/>
              </w:rPr>
              <w:t>5</w:t>
            </w:r>
            <w:r w:rsidRPr="00A935AA">
              <w:rPr>
                <w:sz w:val="20"/>
                <w:szCs w:val="20"/>
              </w:rPr>
              <w:t>.201</w:t>
            </w:r>
            <w:r w:rsidR="0022100D">
              <w:rPr>
                <w:sz w:val="20"/>
                <w:szCs w:val="20"/>
              </w:rPr>
              <w:t>5</w:t>
            </w:r>
            <w:r w:rsidR="005B7E98">
              <w:rPr>
                <w:sz w:val="20"/>
                <w:szCs w:val="20"/>
                <w:lang w:val="fr-CA"/>
              </w:rPr>
              <w:pict>
                <v:rect id="_x0000_i1036" style="width:108pt;height:1pt" o:hrpct="0" o:hralign="center" o:hrstd="t" o:hrnoshade="t" o:hr="t" fillcolor="black [3213]" stroked="f"/>
              </w:pict>
            </w:r>
          </w:p>
        </w:tc>
      </w:tr>
      <w:tr w:rsidR="00371F25" w:rsidRPr="005B7E98" w:rsidTr="003B3977">
        <w:trPr>
          <w:cantSplit/>
        </w:trPr>
        <w:tc>
          <w:tcPr>
            <w:tcW w:w="4320" w:type="dxa"/>
            <w:shd w:val="clear" w:color="auto" w:fill="auto"/>
          </w:tcPr>
          <w:p w:rsidR="00371F25" w:rsidRDefault="00371F25" w:rsidP="007B73BD">
            <w:pPr>
              <w:rPr>
                <w:b/>
                <w:sz w:val="20"/>
                <w:szCs w:val="20"/>
              </w:rPr>
            </w:pPr>
          </w:p>
          <w:p w:rsidR="0022100D" w:rsidRPr="00A935AA" w:rsidRDefault="0022100D" w:rsidP="007B73BD">
            <w:pPr>
              <w:rPr>
                <w:b/>
                <w:sz w:val="20"/>
                <w:szCs w:val="20"/>
              </w:rPr>
            </w:pPr>
            <w:r>
              <w:rPr>
                <w:b/>
                <w:sz w:val="20"/>
                <w:szCs w:val="20"/>
              </w:rPr>
              <w:t>Eamon Rocks</w:t>
            </w:r>
          </w:p>
          <w:p w:rsidR="00371F25" w:rsidRPr="00A935AA" w:rsidRDefault="00371F25" w:rsidP="007B73BD">
            <w:pPr>
              <w:tabs>
                <w:tab w:val="left" w:pos="-1440"/>
                <w:tab w:val="left" w:pos="-720"/>
              </w:tabs>
              <w:rPr>
                <w:sz w:val="20"/>
                <w:szCs w:val="20"/>
              </w:rPr>
            </w:pPr>
            <w:r w:rsidRPr="00A935AA">
              <w:rPr>
                <w:sz w:val="20"/>
                <w:szCs w:val="20"/>
              </w:rPr>
              <w:tab/>
            </w:r>
            <w:r w:rsidR="0022100D">
              <w:rPr>
                <w:sz w:val="20"/>
                <w:szCs w:val="20"/>
              </w:rPr>
              <w:t>Eamon Rocks</w:t>
            </w:r>
          </w:p>
          <w:p w:rsidR="00371F25" w:rsidRPr="00A935AA" w:rsidRDefault="00371F25" w:rsidP="007B73BD">
            <w:pPr>
              <w:tabs>
                <w:tab w:val="left" w:pos="-1440"/>
                <w:tab w:val="left" w:pos="-720"/>
              </w:tabs>
              <w:rPr>
                <w:sz w:val="20"/>
                <w:szCs w:val="20"/>
              </w:rPr>
            </w:pPr>
          </w:p>
          <w:p w:rsidR="00371F25" w:rsidRPr="00A935AA" w:rsidRDefault="00371F25" w:rsidP="007B73BD">
            <w:pPr>
              <w:tabs>
                <w:tab w:val="left" w:pos="-1440"/>
                <w:tab w:val="left" w:pos="-720"/>
              </w:tabs>
              <w:rPr>
                <w:sz w:val="20"/>
                <w:szCs w:val="20"/>
              </w:rPr>
            </w:pPr>
            <w:r w:rsidRPr="00A935AA">
              <w:rPr>
                <w:sz w:val="20"/>
                <w:szCs w:val="20"/>
              </w:rPr>
              <w:tab/>
              <w:t>v. (3</w:t>
            </w:r>
            <w:r w:rsidR="0022100D">
              <w:rPr>
                <w:sz w:val="20"/>
                <w:szCs w:val="20"/>
              </w:rPr>
              <w:t>64</w:t>
            </w:r>
            <w:r>
              <w:rPr>
                <w:sz w:val="20"/>
                <w:szCs w:val="20"/>
              </w:rPr>
              <w:t>5</w:t>
            </w:r>
            <w:r w:rsidR="0022100D">
              <w:rPr>
                <w:sz w:val="20"/>
                <w:szCs w:val="20"/>
              </w:rPr>
              <w:t>4</w:t>
            </w:r>
            <w:r w:rsidRPr="00A935AA">
              <w:rPr>
                <w:sz w:val="20"/>
                <w:szCs w:val="20"/>
              </w:rPr>
              <w:t>)</w:t>
            </w:r>
          </w:p>
          <w:p w:rsidR="00371F25" w:rsidRPr="00A935AA" w:rsidRDefault="00371F25" w:rsidP="007B73BD">
            <w:pPr>
              <w:tabs>
                <w:tab w:val="left" w:pos="-1440"/>
                <w:tab w:val="left" w:pos="-720"/>
              </w:tabs>
              <w:rPr>
                <w:sz w:val="20"/>
                <w:szCs w:val="20"/>
              </w:rPr>
            </w:pPr>
          </w:p>
          <w:p w:rsidR="00371F25" w:rsidRPr="00A935AA" w:rsidRDefault="0022100D" w:rsidP="007B73BD">
            <w:pPr>
              <w:tabs>
                <w:tab w:val="left" w:pos="-1440"/>
                <w:tab w:val="left" w:pos="-720"/>
              </w:tabs>
              <w:rPr>
                <w:b/>
                <w:sz w:val="20"/>
                <w:szCs w:val="20"/>
              </w:rPr>
            </w:pPr>
            <w:r>
              <w:rPr>
                <w:b/>
                <w:sz w:val="20"/>
                <w:szCs w:val="20"/>
              </w:rPr>
              <w:t xml:space="preserve">Ian Savage Professional Corporation </w:t>
            </w:r>
            <w:r w:rsidR="00371F25" w:rsidRPr="00A935AA">
              <w:rPr>
                <w:b/>
                <w:sz w:val="20"/>
                <w:szCs w:val="20"/>
              </w:rPr>
              <w:t>(</w:t>
            </w:r>
            <w:r>
              <w:rPr>
                <w:b/>
                <w:sz w:val="20"/>
                <w:szCs w:val="20"/>
              </w:rPr>
              <w:t>Al</w:t>
            </w:r>
            <w:r w:rsidR="00371F25">
              <w:rPr>
                <w:b/>
                <w:sz w:val="20"/>
                <w:szCs w:val="20"/>
              </w:rPr>
              <w:t>t</w:t>
            </w:r>
            <w:r>
              <w:rPr>
                <w:b/>
                <w:sz w:val="20"/>
                <w:szCs w:val="20"/>
              </w:rPr>
              <w:t>a</w:t>
            </w:r>
            <w:r w:rsidR="00371F25" w:rsidRPr="00A935AA">
              <w:rPr>
                <w:b/>
                <w:sz w:val="20"/>
                <w:szCs w:val="20"/>
              </w:rPr>
              <w:t>.)</w:t>
            </w:r>
          </w:p>
          <w:p w:rsidR="00371F25" w:rsidRPr="00A935AA" w:rsidRDefault="00371F25" w:rsidP="007B73BD">
            <w:pPr>
              <w:tabs>
                <w:tab w:val="left" w:pos="-1440"/>
                <w:tab w:val="left" w:pos="-720"/>
              </w:tabs>
              <w:rPr>
                <w:sz w:val="20"/>
                <w:szCs w:val="20"/>
              </w:rPr>
            </w:pPr>
            <w:r w:rsidRPr="00A935AA">
              <w:rPr>
                <w:sz w:val="20"/>
                <w:szCs w:val="20"/>
              </w:rPr>
              <w:tab/>
            </w:r>
            <w:r w:rsidR="0022100D">
              <w:rPr>
                <w:sz w:val="20"/>
                <w:szCs w:val="20"/>
              </w:rPr>
              <w:t>Ian Savage</w:t>
            </w:r>
          </w:p>
          <w:p w:rsidR="00371F25" w:rsidRPr="00A935AA" w:rsidRDefault="00371F25" w:rsidP="007B73BD">
            <w:pPr>
              <w:tabs>
                <w:tab w:val="left" w:pos="-1440"/>
                <w:tab w:val="left" w:pos="-720"/>
              </w:tabs>
              <w:rPr>
                <w:sz w:val="20"/>
                <w:szCs w:val="20"/>
              </w:rPr>
            </w:pPr>
          </w:p>
          <w:p w:rsidR="00371F25" w:rsidRPr="00A935AA" w:rsidRDefault="00371F25" w:rsidP="0022100D">
            <w:pPr>
              <w:rPr>
                <w:sz w:val="20"/>
                <w:szCs w:val="20"/>
              </w:rPr>
            </w:pPr>
            <w:r w:rsidRPr="00A935AA">
              <w:rPr>
                <w:sz w:val="20"/>
                <w:szCs w:val="20"/>
              </w:rPr>
              <w:t>FILING DATE: 2</w:t>
            </w:r>
            <w:r w:rsidR="0022100D">
              <w:rPr>
                <w:sz w:val="20"/>
                <w:szCs w:val="20"/>
              </w:rPr>
              <w:t>5</w:t>
            </w:r>
            <w:r w:rsidRPr="00A935AA">
              <w:rPr>
                <w:sz w:val="20"/>
                <w:szCs w:val="20"/>
              </w:rPr>
              <w:t>.0</w:t>
            </w:r>
            <w:r w:rsidR="0022100D">
              <w:rPr>
                <w:sz w:val="20"/>
                <w:szCs w:val="20"/>
              </w:rPr>
              <w:t>5</w:t>
            </w:r>
            <w:r w:rsidRPr="00A935AA">
              <w:rPr>
                <w:sz w:val="20"/>
                <w:szCs w:val="20"/>
              </w:rPr>
              <w:t>.201</w:t>
            </w:r>
            <w:r w:rsidR="0022100D">
              <w:rPr>
                <w:sz w:val="20"/>
                <w:szCs w:val="20"/>
              </w:rPr>
              <w:t>5</w:t>
            </w:r>
            <w:r w:rsidR="005B7E98">
              <w:rPr>
                <w:sz w:val="20"/>
                <w:szCs w:val="20"/>
                <w:lang w:val="fr-CA"/>
              </w:rPr>
              <w:pict>
                <v:rect id="_x0000_i1037" style="width:108pt;height:1pt" o:hrpct="0" o:hralign="center" o:hrstd="t" o:hrnoshade="t" o:hr="t" fillcolor="black [3213]" stroked="f"/>
              </w:pict>
            </w:r>
          </w:p>
        </w:tc>
        <w:tc>
          <w:tcPr>
            <w:tcW w:w="1181" w:type="dxa"/>
            <w:shd w:val="clear" w:color="auto" w:fill="auto"/>
          </w:tcPr>
          <w:p w:rsidR="00371F25" w:rsidRDefault="00371F25" w:rsidP="00242AEE">
            <w:pPr>
              <w:jc w:val="center"/>
              <w:rPr>
                <w:sz w:val="20"/>
                <w:szCs w:val="20"/>
              </w:rPr>
            </w:pPr>
          </w:p>
          <w:p w:rsidR="00371F25" w:rsidRDefault="00371F25" w:rsidP="00242AEE">
            <w:pPr>
              <w:jc w:val="center"/>
              <w:rPr>
                <w:sz w:val="20"/>
                <w:szCs w:val="20"/>
              </w:rPr>
            </w:pPr>
          </w:p>
          <w:p w:rsidR="00371F25" w:rsidRDefault="00371F25" w:rsidP="00242AEE">
            <w:pPr>
              <w:jc w:val="center"/>
              <w:rPr>
                <w:sz w:val="20"/>
                <w:szCs w:val="20"/>
              </w:rPr>
            </w:pPr>
          </w:p>
          <w:p w:rsidR="00371F25" w:rsidRDefault="00371F25" w:rsidP="00242AEE">
            <w:pPr>
              <w:jc w:val="center"/>
              <w:rPr>
                <w:sz w:val="20"/>
                <w:szCs w:val="20"/>
              </w:rPr>
            </w:pPr>
          </w:p>
          <w:p w:rsidR="00371F25" w:rsidRDefault="00371F25" w:rsidP="00242AEE">
            <w:pPr>
              <w:jc w:val="center"/>
              <w:rPr>
                <w:sz w:val="20"/>
                <w:szCs w:val="20"/>
              </w:rPr>
            </w:pPr>
          </w:p>
          <w:p w:rsidR="00371F25" w:rsidRDefault="00371F25" w:rsidP="00242AEE">
            <w:pPr>
              <w:jc w:val="center"/>
              <w:rPr>
                <w:sz w:val="20"/>
                <w:szCs w:val="20"/>
              </w:rPr>
            </w:pPr>
          </w:p>
          <w:p w:rsidR="00371F25" w:rsidRDefault="00371F25" w:rsidP="00242AEE">
            <w:pPr>
              <w:jc w:val="center"/>
              <w:rPr>
                <w:sz w:val="20"/>
                <w:szCs w:val="20"/>
              </w:rPr>
            </w:pPr>
          </w:p>
          <w:p w:rsidR="00371F25" w:rsidRDefault="00371F25" w:rsidP="00242AEE">
            <w:pPr>
              <w:jc w:val="center"/>
              <w:rPr>
                <w:sz w:val="20"/>
                <w:szCs w:val="20"/>
              </w:rPr>
            </w:pPr>
          </w:p>
          <w:p w:rsidR="00371F25" w:rsidRDefault="00371F25" w:rsidP="00242AEE">
            <w:pPr>
              <w:jc w:val="center"/>
              <w:rPr>
                <w:sz w:val="20"/>
                <w:szCs w:val="20"/>
              </w:rPr>
            </w:pPr>
          </w:p>
          <w:p w:rsidR="00371F25" w:rsidRDefault="00371F25" w:rsidP="00242AEE">
            <w:pPr>
              <w:jc w:val="center"/>
              <w:rPr>
                <w:sz w:val="20"/>
                <w:szCs w:val="20"/>
              </w:rPr>
            </w:pPr>
          </w:p>
          <w:p w:rsidR="00371F25" w:rsidRDefault="00371F25" w:rsidP="00242AEE">
            <w:pPr>
              <w:jc w:val="center"/>
              <w:rPr>
                <w:sz w:val="20"/>
                <w:szCs w:val="20"/>
              </w:rPr>
            </w:pPr>
          </w:p>
          <w:p w:rsidR="00371F25" w:rsidRPr="00A935AA" w:rsidRDefault="00371F25" w:rsidP="00242AEE">
            <w:pPr>
              <w:jc w:val="center"/>
              <w:rPr>
                <w:sz w:val="20"/>
                <w:szCs w:val="20"/>
              </w:rPr>
            </w:pPr>
          </w:p>
        </w:tc>
        <w:tc>
          <w:tcPr>
            <w:tcW w:w="4320" w:type="dxa"/>
            <w:shd w:val="clear" w:color="auto" w:fill="auto"/>
          </w:tcPr>
          <w:p w:rsidR="00371F25" w:rsidRPr="00787FCE" w:rsidRDefault="0022100D" w:rsidP="007B73BD">
            <w:pPr>
              <w:rPr>
                <w:b/>
                <w:sz w:val="20"/>
                <w:szCs w:val="20"/>
                <w:lang w:val="fr-CA"/>
              </w:rPr>
            </w:pPr>
            <w:r w:rsidRPr="00787FCE">
              <w:rPr>
                <w:b/>
                <w:sz w:val="20"/>
                <w:szCs w:val="20"/>
                <w:lang w:val="fr-CA"/>
              </w:rPr>
              <w:t>Roch Guimont</w:t>
            </w:r>
          </w:p>
          <w:p w:rsidR="00371F25" w:rsidRPr="00787FCE" w:rsidRDefault="00371F25" w:rsidP="007B73BD">
            <w:pPr>
              <w:tabs>
                <w:tab w:val="left" w:pos="-1440"/>
                <w:tab w:val="left" w:pos="-720"/>
              </w:tabs>
              <w:rPr>
                <w:sz w:val="20"/>
                <w:szCs w:val="20"/>
                <w:lang w:val="fr-CA"/>
              </w:rPr>
            </w:pPr>
            <w:r w:rsidRPr="00787FCE">
              <w:rPr>
                <w:sz w:val="20"/>
                <w:szCs w:val="20"/>
                <w:lang w:val="fr-CA"/>
              </w:rPr>
              <w:tab/>
            </w:r>
            <w:r w:rsidR="0022100D" w:rsidRPr="00787FCE">
              <w:rPr>
                <w:sz w:val="20"/>
                <w:szCs w:val="20"/>
                <w:lang w:val="fr-CA"/>
              </w:rPr>
              <w:t>Roch Guimont</w:t>
            </w:r>
          </w:p>
          <w:p w:rsidR="00371F25" w:rsidRPr="00787FCE" w:rsidRDefault="00371F25" w:rsidP="007B73BD">
            <w:pPr>
              <w:tabs>
                <w:tab w:val="left" w:pos="-1440"/>
                <w:tab w:val="left" w:pos="-720"/>
              </w:tabs>
              <w:rPr>
                <w:sz w:val="20"/>
                <w:szCs w:val="20"/>
                <w:lang w:val="fr-CA"/>
              </w:rPr>
            </w:pPr>
          </w:p>
          <w:p w:rsidR="00371F25" w:rsidRPr="0022100D" w:rsidRDefault="00371F25" w:rsidP="007B73BD">
            <w:pPr>
              <w:tabs>
                <w:tab w:val="left" w:pos="-1440"/>
                <w:tab w:val="left" w:pos="-720"/>
              </w:tabs>
              <w:rPr>
                <w:sz w:val="20"/>
                <w:szCs w:val="20"/>
                <w:lang w:val="fr-CA"/>
              </w:rPr>
            </w:pPr>
            <w:r w:rsidRPr="00787FCE">
              <w:rPr>
                <w:sz w:val="20"/>
                <w:szCs w:val="20"/>
                <w:lang w:val="fr-CA"/>
              </w:rPr>
              <w:tab/>
            </w:r>
            <w:r w:rsidR="0022100D" w:rsidRPr="0022100D">
              <w:rPr>
                <w:sz w:val="20"/>
                <w:szCs w:val="20"/>
                <w:lang w:val="fr-CA"/>
              </w:rPr>
              <w:t>c</w:t>
            </w:r>
            <w:r w:rsidRPr="0022100D">
              <w:rPr>
                <w:sz w:val="20"/>
                <w:szCs w:val="20"/>
                <w:lang w:val="fr-CA"/>
              </w:rPr>
              <w:t>. (3</w:t>
            </w:r>
            <w:r w:rsidR="0022100D" w:rsidRPr="0022100D">
              <w:rPr>
                <w:sz w:val="20"/>
                <w:szCs w:val="20"/>
                <w:lang w:val="fr-CA"/>
              </w:rPr>
              <w:t>64</w:t>
            </w:r>
            <w:r w:rsidRPr="0022100D">
              <w:rPr>
                <w:sz w:val="20"/>
                <w:szCs w:val="20"/>
                <w:lang w:val="fr-CA"/>
              </w:rPr>
              <w:t>5</w:t>
            </w:r>
            <w:r w:rsidR="0022100D" w:rsidRPr="0022100D">
              <w:rPr>
                <w:sz w:val="20"/>
                <w:szCs w:val="20"/>
                <w:lang w:val="fr-CA"/>
              </w:rPr>
              <w:t>3</w:t>
            </w:r>
            <w:r w:rsidRPr="0022100D">
              <w:rPr>
                <w:sz w:val="20"/>
                <w:szCs w:val="20"/>
                <w:lang w:val="fr-CA"/>
              </w:rPr>
              <w:t>)</w:t>
            </w:r>
          </w:p>
          <w:p w:rsidR="00371F25" w:rsidRPr="0022100D" w:rsidRDefault="00371F25" w:rsidP="007B73BD">
            <w:pPr>
              <w:tabs>
                <w:tab w:val="left" w:pos="-1440"/>
                <w:tab w:val="left" w:pos="-720"/>
              </w:tabs>
              <w:rPr>
                <w:sz w:val="20"/>
                <w:szCs w:val="20"/>
                <w:lang w:val="fr-CA"/>
              </w:rPr>
            </w:pPr>
          </w:p>
          <w:p w:rsidR="00371F25" w:rsidRPr="0022100D" w:rsidRDefault="0022100D" w:rsidP="007B73BD">
            <w:pPr>
              <w:tabs>
                <w:tab w:val="left" w:pos="-1440"/>
                <w:tab w:val="left" w:pos="-720"/>
              </w:tabs>
              <w:rPr>
                <w:b/>
                <w:sz w:val="20"/>
                <w:szCs w:val="20"/>
                <w:lang w:val="fr-CA"/>
              </w:rPr>
            </w:pPr>
            <w:r w:rsidRPr="0022100D">
              <w:rPr>
                <w:b/>
                <w:sz w:val="20"/>
                <w:szCs w:val="20"/>
                <w:lang w:val="fr-CA"/>
              </w:rPr>
              <w:t>RNC Média Inc.</w:t>
            </w:r>
            <w:r>
              <w:rPr>
                <w:b/>
                <w:sz w:val="20"/>
                <w:szCs w:val="20"/>
                <w:lang w:val="fr-CA"/>
              </w:rPr>
              <w:t xml:space="preserve"> (CHOI-FM 98,1) et autre </w:t>
            </w:r>
            <w:r w:rsidR="00371F25" w:rsidRPr="0022100D">
              <w:rPr>
                <w:b/>
                <w:sz w:val="20"/>
                <w:szCs w:val="20"/>
                <w:lang w:val="fr-CA"/>
              </w:rPr>
              <w:t>(</w:t>
            </w:r>
            <w:r>
              <w:rPr>
                <w:b/>
                <w:sz w:val="20"/>
                <w:szCs w:val="20"/>
                <w:lang w:val="fr-CA"/>
              </w:rPr>
              <w:t>Qc</w:t>
            </w:r>
            <w:r w:rsidR="00371F25" w:rsidRPr="0022100D">
              <w:rPr>
                <w:b/>
                <w:sz w:val="20"/>
                <w:szCs w:val="20"/>
                <w:lang w:val="fr-CA"/>
              </w:rPr>
              <w:t>)</w:t>
            </w:r>
          </w:p>
          <w:p w:rsidR="00371F25" w:rsidRPr="0022100D" w:rsidRDefault="00371F25" w:rsidP="007B73BD">
            <w:pPr>
              <w:tabs>
                <w:tab w:val="left" w:pos="-1440"/>
                <w:tab w:val="left" w:pos="-720"/>
              </w:tabs>
              <w:rPr>
                <w:sz w:val="20"/>
                <w:szCs w:val="20"/>
                <w:lang w:val="fr-CA"/>
              </w:rPr>
            </w:pPr>
            <w:r w:rsidRPr="0022100D">
              <w:rPr>
                <w:sz w:val="20"/>
                <w:szCs w:val="20"/>
                <w:lang w:val="fr-CA"/>
              </w:rPr>
              <w:tab/>
            </w:r>
            <w:r w:rsidR="0022100D">
              <w:rPr>
                <w:sz w:val="20"/>
                <w:szCs w:val="20"/>
                <w:lang w:val="fr-CA"/>
              </w:rPr>
              <w:t>Éric Mongeau</w:t>
            </w:r>
          </w:p>
          <w:p w:rsidR="00371F25" w:rsidRPr="0022100D" w:rsidRDefault="00371F25" w:rsidP="007B73BD">
            <w:pPr>
              <w:tabs>
                <w:tab w:val="left" w:pos="-1440"/>
                <w:tab w:val="left" w:pos="-720"/>
              </w:tabs>
              <w:rPr>
                <w:sz w:val="20"/>
                <w:szCs w:val="20"/>
                <w:lang w:val="fr-CA"/>
              </w:rPr>
            </w:pPr>
            <w:r w:rsidRPr="0022100D">
              <w:rPr>
                <w:sz w:val="20"/>
                <w:szCs w:val="20"/>
                <w:lang w:val="fr-CA"/>
              </w:rPr>
              <w:tab/>
            </w:r>
            <w:r w:rsidR="0022100D">
              <w:rPr>
                <w:sz w:val="20"/>
                <w:szCs w:val="20"/>
                <w:lang w:val="fr-CA"/>
              </w:rPr>
              <w:t>Stikeman Elliott LLP</w:t>
            </w:r>
          </w:p>
          <w:p w:rsidR="00371F25" w:rsidRPr="0022100D" w:rsidRDefault="00371F25" w:rsidP="007B73BD">
            <w:pPr>
              <w:tabs>
                <w:tab w:val="left" w:pos="-1440"/>
                <w:tab w:val="left" w:pos="-720"/>
              </w:tabs>
              <w:rPr>
                <w:sz w:val="20"/>
                <w:szCs w:val="20"/>
                <w:lang w:val="fr-CA"/>
              </w:rPr>
            </w:pPr>
          </w:p>
          <w:p w:rsidR="00371F25" w:rsidRPr="0022100D" w:rsidRDefault="0022100D" w:rsidP="0022100D">
            <w:pPr>
              <w:tabs>
                <w:tab w:val="left" w:pos="-1440"/>
                <w:tab w:val="left" w:pos="-720"/>
              </w:tabs>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25</w:t>
            </w:r>
            <w:r w:rsidRPr="00806A5B">
              <w:rPr>
                <w:sz w:val="20"/>
                <w:szCs w:val="20"/>
                <w:lang w:val="fr-CA"/>
              </w:rPr>
              <w:t>.0</w:t>
            </w:r>
            <w:r>
              <w:rPr>
                <w:sz w:val="20"/>
                <w:szCs w:val="20"/>
                <w:lang w:val="fr-CA"/>
              </w:rPr>
              <w:t>5</w:t>
            </w:r>
            <w:r w:rsidRPr="00806A5B">
              <w:rPr>
                <w:sz w:val="20"/>
                <w:szCs w:val="20"/>
                <w:lang w:val="fr-CA"/>
              </w:rPr>
              <w:t>.201</w:t>
            </w:r>
            <w:r>
              <w:rPr>
                <w:sz w:val="20"/>
                <w:szCs w:val="20"/>
                <w:lang w:val="fr-CA"/>
              </w:rPr>
              <w:t>5</w:t>
            </w:r>
            <w:r w:rsidR="005B7E98">
              <w:rPr>
                <w:sz w:val="20"/>
                <w:szCs w:val="20"/>
                <w:lang w:val="fr-CA"/>
              </w:rPr>
              <w:pict>
                <v:rect id="_x0000_i1038" style="width:108pt;height:1pt" o:hrpct="0" o:hralign="center" o:hrstd="t" o:hrnoshade="t" o:hr="t" fillcolor="black [3213]" stroked="f"/>
              </w:pict>
            </w:r>
          </w:p>
        </w:tc>
      </w:tr>
      <w:tr w:rsidR="00371F25" w:rsidRPr="00787FCE" w:rsidTr="003B3977">
        <w:trPr>
          <w:cantSplit/>
        </w:trPr>
        <w:tc>
          <w:tcPr>
            <w:tcW w:w="4320" w:type="dxa"/>
            <w:shd w:val="clear" w:color="auto" w:fill="auto"/>
          </w:tcPr>
          <w:p w:rsidR="00371F25" w:rsidRPr="00787FCE" w:rsidRDefault="00787FCE" w:rsidP="007B73BD">
            <w:pPr>
              <w:rPr>
                <w:b/>
                <w:sz w:val="20"/>
                <w:szCs w:val="20"/>
              </w:rPr>
            </w:pPr>
            <w:r w:rsidRPr="00787FCE">
              <w:rPr>
                <w:b/>
                <w:sz w:val="20"/>
                <w:szCs w:val="20"/>
              </w:rPr>
              <w:t>L</w:t>
            </w:r>
            <w:r>
              <w:rPr>
                <w:b/>
                <w:sz w:val="20"/>
                <w:szCs w:val="20"/>
              </w:rPr>
              <w:t>arry Peter Klippenstein</w:t>
            </w:r>
          </w:p>
          <w:p w:rsidR="00371F25" w:rsidRPr="00787FCE" w:rsidRDefault="00371F25" w:rsidP="007B73BD">
            <w:pPr>
              <w:tabs>
                <w:tab w:val="left" w:pos="-1440"/>
                <w:tab w:val="left" w:pos="-720"/>
              </w:tabs>
              <w:rPr>
                <w:sz w:val="20"/>
                <w:szCs w:val="20"/>
              </w:rPr>
            </w:pPr>
            <w:r w:rsidRPr="00787FCE">
              <w:rPr>
                <w:sz w:val="20"/>
                <w:szCs w:val="20"/>
              </w:rPr>
              <w:tab/>
            </w:r>
            <w:r w:rsidR="00787FCE">
              <w:rPr>
                <w:sz w:val="20"/>
                <w:szCs w:val="20"/>
              </w:rPr>
              <w:t>Larry Peter Klippenstein</w:t>
            </w:r>
          </w:p>
          <w:p w:rsidR="00371F25" w:rsidRPr="00787FCE" w:rsidRDefault="00371F25" w:rsidP="007B73BD">
            <w:pPr>
              <w:tabs>
                <w:tab w:val="left" w:pos="-1440"/>
                <w:tab w:val="left" w:pos="-720"/>
              </w:tabs>
              <w:rPr>
                <w:sz w:val="20"/>
                <w:szCs w:val="20"/>
              </w:rPr>
            </w:pPr>
          </w:p>
          <w:p w:rsidR="00371F25" w:rsidRPr="00787FCE" w:rsidRDefault="00371F25" w:rsidP="007B73BD">
            <w:pPr>
              <w:tabs>
                <w:tab w:val="left" w:pos="-1440"/>
                <w:tab w:val="left" w:pos="-720"/>
              </w:tabs>
              <w:rPr>
                <w:sz w:val="20"/>
                <w:szCs w:val="20"/>
              </w:rPr>
            </w:pPr>
            <w:r w:rsidRPr="00787FCE">
              <w:rPr>
                <w:sz w:val="20"/>
                <w:szCs w:val="20"/>
              </w:rPr>
              <w:tab/>
              <w:t>v. (3</w:t>
            </w:r>
            <w:r w:rsidR="00787FCE">
              <w:rPr>
                <w:sz w:val="20"/>
                <w:szCs w:val="20"/>
              </w:rPr>
              <w:t>6470</w:t>
            </w:r>
            <w:r w:rsidRPr="00787FCE">
              <w:rPr>
                <w:sz w:val="20"/>
                <w:szCs w:val="20"/>
              </w:rPr>
              <w:t>)</w:t>
            </w:r>
          </w:p>
          <w:p w:rsidR="00371F25" w:rsidRPr="00787FCE" w:rsidRDefault="00371F25" w:rsidP="007B73BD">
            <w:pPr>
              <w:tabs>
                <w:tab w:val="left" w:pos="-1440"/>
                <w:tab w:val="left" w:pos="-720"/>
              </w:tabs>
              <w:rPr>
                <w:sz w:val="20"/>
                <w:szCs w:val="20"/>
              </w:rPr>
            </w:pPr>
          </w:p>
          <w:p w:rsidR="00371F25" w:rsidRPr="00787FCE" w:rsidRDefault="00787FCE" w:rsidP="007B73BD">
            <w:pPr>
              <w:tabs>
                <w:tab w:val="left" w:pos="-1440"/>
                <w:tab w:val="left" w:pos="-720"/>
              </w:tabs>
              <w:rPr>
                <w:b/>
                <w:sz w:val="20"/>
                <w:szCs w:val="20"/>
              </w:rPr>
            </w:pPr>
            <w:r>
              <w:rPr>
                <w:b/>
                <w:sz w:val="20"/>
                <w:szCs w:val="20"/>
              </w:rPr>
              <w:t xml:space="preserve">Manitoba Ombudsman </w:t>
            </w:r>
            <w:r w:rsidR="00371F25" w:rsidRPr="00787FCE">
              <w:rPr>
                <w:b/>
                <w:sz w:val="20"/>
                <w:szCs w:val="20"/>
              </w:rPr>
              <w:t>(</w:t>
            </w:r>
            <w:r>
              <w:rPr>
                <w:b/>
                <w:sz w:val="20"/>
                <w:szCs w:val="20"/>
              </w:rPr>
              <w:t>Ma</w:t>
            </w:r>
            <w:r w:rsidR="00371F25" w:rsidRPr="00787FCE">
              <w:rPr>
                <w:b/>
                <w:sz w:val="20"/>
                <w:szCs w:val="20"/>
              </w:rPr>
              <w:t>n.)</w:t>
            </w:r>
          </w:p>
          <w:p w:rsidR="00371F25" w:rsidRPr="00787FCE" w:rsidRDefault="00371F25" w:rsidP="007B73BD">
            <w:pPr>
              <w:tabs>
                <w:tab w:val="left" w:pos="-1440"/>
                <w:tab w:val="left" w:pos="-720"/>
              </w:tabs>
              <w:rPr>
                <w:sz w:val="20"/>
                <w:szCs w:val="20"/>
              </w:rPr>
            </w:pPr>
            <w:r w:rsidRPr="00787FCE">
              <w:rPr>
                <w:sz w:val="20"/>
                <w:szCs w:val="20"/>
              </w:rPr>
              <w:tab/>
            </w:r>
            <w:r w:rsidR="00787FCE">
              <w:rPr>
                <w:sz w:val="20"/>
                <w:szCs w:val="20"/>
              </w:rPr>
              <w:t>Rocky Kravetsky</w:t>
            </w:r>
          </w:p>
          <w:p w:rsidR="00371F25" w:rsidRPr="00787FCE" w:rsidRDefault="00371F25" w:rsidP="007B73BD">
            <w:pPr>
              <w:tabs>
                <w:tab w:val="left" w:pos="-1440"/>
                <w:tab w:val="left" w:pos="-720"/>
              </w:tabs>
              <w:rPr>
                <w:sz w:val="20"/>
                <w:szCs w:val="20"/>
              </w:rPr>
            </w:pPr>
          </w:p>
          <w:p w:rsidR="00371F25" w:rsidRPr="00787FCE" w:rsidRDefault="00371F25" w:rsidP="00787FCE">
            <w:pPr>
              <w:rPr>
                <w:sz w:val="20"/>
                <w:szCs w:val="20"/>
              </w:rPr>
            </w:pPr>
            <w:r w:rsidRPr="00787FCE">
              <w:rPr>
                <w:sz w:val="20"/>
                <w:szCs w:val="20"/>
              </w:rPr>
              <w:t>FILING DATE: 2</w:t>
            </w:r>
            <w:r w:rsidR="00787FCE">
              <w:rPr>
                <w:sz w:val="20"/>
                <w:szCs w:val="20"/>
              </w:rPr>
              <w:t>7</w:t>
            </w:r>
            <w:r w:rsidRPr="00787FCE">
              <w:rPr>
                <w:sz w:val="20"/>
                <w:szCs w:val="20"/>
              </w:rPr>
              <w:t>.0</w:t>
            </w:r>
            <w:r w:rsidR="00787FCE">
              <w:rPr>
                <w:sz w:val="20"/>
                <w:szCs w:val="20"/>
              </w:rPr>
              <w:t>5</w:t>
            </w:r>
            <w:r w:rsidRPr="00787FCE">
              <w:rPr>
                <w:sz w:val="20"/>
                <w:szCs w:val="20"/>
              </w:rPr>
              <w:t>.201</w:t>
            </w:r>
            <w:r w:rsidR="00787FCE">
              <w:rPr>
                <w:sz w:val="20"/>
                <w:szCs w:val="20"/>
              </w:rPr>
              <w:t>5</w:t>
            </w:r>
            <w:r w:rsidR="005B7E98">
              <w:rPr>
                <w:sz w:val="20"/>
                <w:szCs w:val="20"/>
                <w:lang w:val="fr-CA"/>
              </w:rPr>
              <w:pict>
                <v:rect id="_x0000_i1039" style="width:108pt;height:1pt" o:hrpct="0" o:hralign="center" o:hrstd="t" o:hrnoshade="t" o:hr="t" fillcolor="black [3213]" stroked="f"/>
              </w:pict>
            </w:r>
          </w:p>
        </w:tc>
        <w:tc>
          <w:tcPr>
            <w:tcW w:w="1181" w:type="dxa"/>
            <w:shd w:val="clear" w:color="auto" w:fill="auto"/>
          </w:tcPr>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p w:rsidR="00371F25" w:rsidRPr="00787FCE" w:rsidRDefault="00371F25" w:rsidP="00242AEE">
            <w:pPr>
              <w:jc w:val="center"/>
              <w:rPr>
                <w:sz w:val="20"/>
                <w:szCs w:val="20"/>
              </w:rPr>
            </w:pPr>
          </w:p>
        </w:tc>
        <w:tc>
          <w:tcPr>
            <w:tcW w:w="4320" w:type="dxa"/>
            <w:shd w:val="clear" w:color="auto" w:fill="auto"/>
          </w:tcPr>
          <w:p w:rsidR="00371F25" w:rsidRPr="00787FCE" w:rsidRDefault="00787FCE" w:rsidP="007B73BD">
            <w:pPr>
              <w:keepNext/>
              <w:keepLines/>
              <w:tabs>
                <w:tab w:val="left" w:pos="-1440"/>
                <w:tab w:val="left" w:pos="-720"/>
              </w:tabs>
              <w:rPr>
                <w:b/>
                <w:sz w:val="20"/>
                <w:szCs w:val="20"/>
              </w:rPr>
            </w:pPr>
            <w:r w:rsidRPr="00787FCE">
              <w:rPr>
                <w:b/>
                <w:sz w:val="20"/>
                <w:szCs w:val="20"/>
              </w:rPr>
              <w:t>Information and Privacy Commissioner of Alberta</w:t>
            </w:r>
          </w:p>
          <w:p w:rsidR="00371F25" w:rsidRPr="00896F14" w:rsidRDefault="00371F25" w:rsidP="007B73BD">
            <w:pPr>
              <w:keepNext/>
              <w:keepLines/>
              <w:tabs>
                <w:tab w:val="left" w:pos="-1440"/>
                <w:tab w:val="left" w:pos="-720"/>
              </w:tabs>
              <w:rPr>
                <w:sz w:val="20"/>
                <w:szCs w:val="20"/>
              </w:rPr>
            </w:pPr>
            <w:r w:rsidRPr="00787FCE">
              <w:rPr>
                <w:sz w:val="20"/>
                <w:szCs w:val="20"/>
              </w:rPr>
              <w:tab/>
            </w:r>
            <w:r w:rsidR="00787FCE" w:rsidRPr="00896F14">
              <w:rPr>
                <w:sz w:val="20"/>
                <w:szCs w:val="20"/>
              </w:rPr>
              <w:t>Glenn Solomon, Q.C.</w:t>
            </w:r>
          </w:p>
          <w:p w:rsidR="00371F25" w:rsidRPr="00896F14" w:rsidRDefault="00371F25" w:rsidP="007B73BD">
            <w:pPr>
              <w:keepNext/>
              <w:keepLines/>
              <w:tabs>
                <w:tab w:val="left" w:pos="-1440"/>
                <w:tab w:val="left" w:pos="-720"/>
              </w:tabs>
              <w:rPr>
                <w:sz w:val="20"/>
                <w:szCs w:val="20"/>
              </w:rPr>
            </w:pPr>
            <w:r w:rsidRPr="00896F14">
              <w:rPr>
                <w:sz w:val="20"/>
                <w:szCs w:val="20"/>
              </w:rPr>
              <w:tab/>
            </w:r>
            <w:r w:rsidR="00787FCE" w:rsidRPr="00896F14">
              <w:rPr>
                <w:sz w:val="20"/>
                <w:szCs w:val="20"/>
              </w:rPr>
              <w:t>Jensen</w:t>
            </w:r>
            <w:r w:rsidRPr="00896F14">
              <w:rPr>
                <w:sz w:val="20"/>
                <w:szCs w:val="20"/>
              </w:rPr>
              <w:t xml:space="preserve">, </w:t>
            </w:r>
            <w:r w:rsidR="00787FCE" w:rsidRPr="00896F14">
              <w:rPr>
                <w:sz w:val="20"/>
                <w:szCs w:val="20"/>
              </w:rPr>
              <w:t>Shaw</w:t>
            </w:r>
            <w:r w:rsidRPr="00896F14">
              <w:rPr>
                <w:sz w:val="20"/>
                <w:szCs w:val="20"/>
              </w:rPr>
              <w:t xml:space="preserve">a </w:t>
            </w:r>
            <w:r w:rsidR="00787FCE" w:rsidRPr="00896F14">
              <w:rPr>
                <w:sz w:val="20"/>
                <w:szCs w:val="20"/>
              </w:rPr>
              <w:t>Solomon Duguid Hawke</w:t>
            </w:r>
            <w:r w:rsidRPr="00896F14">
              <w:rPr>
                <w:sz w:val="20"/>
                <w:szCs w:val="20"/>
              </w:rPr>
              <w:t>s</w:t>
            </w:r>
            <w:r w:rsidR="00787FCE" w:rsidRPr="00896F14">
              <w:rPr>
                <w:sz w:val="20"/>
                <w:szCs w:val="20"/>
              </w:rPr>
              <w:t xml:space="preserve"> </w:t>
            </w:r>
            <w:r w:rsidR="00787FCE" w:rsidRPr="00896F14">
              <w:rPr>
                <w:sz w:val="20"/>
                <w:szCs w:val="20"/>
              </w:rPr>
              <w:tab/>
              <w:t>LLP</w:t>
            </w:r>
          </w:p>
          <w:p w:rsidR="00371F25" w:rsidRPr="00896F14" w:rsidRDefault="00371F25" w:rsidP="007B73BD">
            <w:pPr>
              <w:keepNext/>
              <w:keepLines/>
              <w:tabs>
                <w:tab w:val="left" w:pos="-1440"/>
                <w:tab w:val="left" w:pos="-720"/>
              </w:tabs>
              <w:rPr>
                <w:sz w:val="20"/>
                <w:szCs w:val="20"/>
              </w:rPr>
            </w:pPr>
          </w:p>
          <w:p w:rsidR="00371F25" w:rsidRPr="00787FCE" w:rsidRDefault="00371F25" w:rsidP="007B73BD">
            <w:pPr>
              <w:keepNext/>
              <w:keepLines/>
              <w:tabs>
                <w:tab w:val="left" w:pos="-1440"/>
                <w:tab w:val="left" w:pos="-720"/>
              </w:tabs>
              <w:rPr>
                <w:sz w:val="20"/>
                <w:szCs w:val="20"/>
              </w:rPr>
            </w:pPr>
            <w:r w:rsidRPr="00896F14">
              <w:rPr>
                <w:sz w:val="20"/>
                <w:szCs w:val="20"/>
              </w:rPr>
              <w:tab/>
            </w:r>
            <w:r w:rsidR="0022100D" w:rsidRPr="00787FCE">
              <w:rPr>
                <w:sz w:val="20"/>
                <w:szCs w:val="20"/>
              </w:rPr>
              <w:t>v</w:t>
            </w:r>
            <w:r w:rsidRPr="00787FCE">
              <w:rPr>
                <w:sz w:val="20"/>
                <w:szCs w:val="20"/>
              </w:rPr>
              <w:t>. (36</w:t>
            </w:r>
            <w:r w:rsidR="00787FCE" w:rsidRPr="00787FCE">
              <w:rPr>
                <w:sz w:val="20"/>
                <w:szCs w:val="20"/>
              </w:rPr>
              <w:t>460</w:t>
            </w:r>
            <w:r w:rsidRPr="00787FCE">
              <w:rPr>
                <w:sz w:val="20"/>
                <w:szCs w:val="20"/>
              </w:rPr>
              <w:t>)</w:t>
            </w:r>
          </w:p>
          <w:p w:rsidR="00371F25" w:rsidRPr="00787FCE" w:rsidRDefault="00371F25" w:rsidP="007B73BD">
            <w:pPr>
              <w:keepNext/>
              <w:keepLines/>
              <w:tabs>
                <w:tab w:val="left" w:pos="-1440"/>
                <w:tab w:val="left" w:pos="-720"/>
              </w:tabs>
              <w:rPr>
                <w:sz w:val="20"/>
                <w:szCs w:val="20"/>
              </w:rPr>
            </w:pPr>
          </w:p>
          <w:p w:rsidR="00371F25" w:rsidRPr="00787FCE" w:rsidRDefault="00787FCE" w:rsidP="007B73BD">
            <w:pPr>
              <w:keepNext/>
              <w:keepLines/>
              <w:tabs>
                <w:tab w:val="left" w:pos="-1440"/>
                <w:tab w:val="left" w:pos="-720"/>
              </w:tabs>
              <w:rPr>
                <w:b/>
                <w:sz w:val="20"/>
                <w:szCs w:val="20"/>
              </w:rPr>
            </w:pPr>
            <w:r w:rsidRPr="00787FCE">
              <w:rPr>
                <w:b/>
                <w:sz w:val="20"/>
                <w:szCs w:val="20"/>
              </w:rPr>
              <w:t>Board of Governors of the University of Calgary</w:t>
            </w:r>
            <w:r w:rsidR="00371F25" w:rsidRPr="00787FCE">
              <w:rPr>
                <w:b/>
                <w:sz w:val="20"/>
                <w:szCs w:val="20"/>
              </w:rPr>
              <w:t xml:space="preserve"> (</w:t>
            </w:r>
            <w:r w:rsidRPr="00787FCE">
              <w:rPr>
                <w:b/>
                <w:sz w:val="20"/>
                <w:szCs w:val="20"/>
              </w:rPr>
              <w:t>Alta.</w:t>
            </w:r>
            <w:r w:rsidR="00371F25" w:rsidRPr="00787FCE">
              <w:rPr>
                <w:b/>
                <w:sz w:val="20"/>
                <w:szCs w:val="20"/>
              </w:rPr>
              <w:t>)</w:t>
            </w:r>
          </w:p>
          <w:p w:rsidR="00371F25" w:rsidRPr="00787FCE" w:rsidRDefault="00371F25" w:rsidP="007B73BD">
            <w:pPr>
              <w:keepNext/>
              <w:keepLines/>
              <w:tabs>
                <w:tab w:val="left" w:pos="-1440"/>
                <w:tab w:val="left" w:pos="-720"/>
              </w:tabs>
              <w:rPr>
                <w:sz w:val="20"/>
                <w:szCs w:val="20"/>
              </w:rPr>
            </w:pPr>
            <w:r w:rsidRPr="00787FCE">
              <w:rPr>
                <w:sz w:val="20"/>
                <w:szCs w:val="20"/>
              </w:rPr>
              <w:tab/>
            </w:r>
            <w:r w:rsidR="00787FCE" w:rsidRPr="00787FCE">
              <w:rPr>
                <w:sz w:val="20"/>
                <w:szCs w:val="20"/>
              </w:rPr>
              <w:t>Robert Calv</w:t>
            </w:r>
            <w:r w:rsidRPr="00787FCE">
              <w:rPr>
                <w:sz w:val="20"/>
                <w:szCs w:val="20"/>
              </w:rPr>
              <w:t>e</w:t>
            </w:r>
            <w:r w:rsidR="00787FCE" w:rsidRPr="00787FCE">
              <w:rPr>
                <w:sz w:val="20"/>
                <w:szCs w:val="20"/>
              </w:rPr>
              <w:t>rt, Q.C.</w:t>
            </w:r>
          </w:p>
          <w:p w:rsidR="00371F25" w:rsidRPr="00787FCE" w:rsidRDefault="00371F25" w:rsidP="007B73BD">
            <w:pPr>
              <w:keepNext/>
              <w:keepLines/>
              <w:tabs>
                <w:tab w:val="left" w:pos="-1440"/>
                <w:tab w:val="left" w:pos="-720"/>
              </w:tabs>
              <w:rPr>
                <w:sz w:val="20"/>
                <w:szCs w:val="20"/>
              </w:rPr>
            </w:pPr>
            <w:r w:rsidRPr="00787FCE">
              <w:rPr>
                <w:sz w:val="20"/>
                <w:szCs w:val="20"/>
              </w:rPr>
              <w:tab/>
            </w:r>
            <w:r w:rsidR="00787FCE" w:rsidRPr="00787FCE">
              <w:rPr>
                <w:sz w:val="20"/>
                <w:szCs w:val="20"/>
              </w:rPr>
              <w:t>DLA Piper LLP</w:t>
            </w:r>
            <w:r w:rsidRPr="00787FCE">
              <w:rPr>
                <w:sz w:val="20"/>
                <w:szCs w:val="20"/>
              </w:rPr>
              <w:t xml:space="preserve"> </w:t>
            </w:r>
          </w:p>
          <w:p w:rsidR="00371F25" w:rsidRPr="00787FCE" w:rsidRDefault="00371F25" w:rsidP="007B73BD">
            <w:pPr>
              <w:keepNext/>
              <w:keepLines/>
              <w:tabs>
                <w:tab w:val="left" w:pos="-1440"/>
                <w:tab w:val="left" w:pos="-720"/>
              </w:tabs>
              <w:rPr>
                <w:sz w:val="20"/>
                <w:szCs w:val="20"/>
              </w:rPr>
            </w:pPr>
          </w:p>
          <w:p w:rsidR="00371F25" w:rsidRPr="00787FCE" w:rsidRDefault="0022100D" w:rsidP="00787FCE">
            <w:pPr>
              <w:rPr>
                <w:sz w:val="20"/>
                <w:szCs w:val="20"/>
              </w:rPr>
            </w:pPr>
            <w:r w:rsidRPr="00787FCE">
              <w:rPr>
                <w:sz w:val="20"/>
                <w:szCs w:val="20"/>
              </w:rPr>
              <w:t>FILING DATE: 2</w:t>
            </w:r>
            <w:r w:rsidR="00787FCE" w:rsidRPr="00787FCE">
              <w:rPr>
                <w:sz w:val="20"/>
                <w:szCs w:val="20"/>
              </w:rPr>
              <w:t>9</w:t>
            </w:r>
            <w:r w:rsidRPr="00787FCE">
              <w:rPr>
                <w:sz w:val="20"/>
                <w:szCs w:val="20"/>
              </w:rPr>
              <w:t>.0</w:t>
            </w:r>
            <w:r w:rsidR="00787FCE" w:rsidRPr="00787FCE">
              <w:rPr>
                <w:sz w:val="20"/>
                <w:szCs w:val="20"/>
              </w:rPr>
              <w:t>5</w:t>
            </w:r>
            <w:r w:rsidRPr="00787FCE">
              <w:rPr>
                <w:sz w:val="20"/>
                <w:szCs w:val="20"/>
              </w:rPr>
              <w:t>.201</w:t>
            </w:r>
            <w:r w:rsidR="00787FCE" w:rsidRPr="00787FCE">
              <w:rPr>
                <w:sz w:val="20"/>
                <w:szCs w:val="20"/>
              </w:rPr>
              <w:t>5</w:t>
            </w:r>
            <w:r w:rsidR="005B7E98">
              <w:rPr>
                <w:sz w:val="20"/>
                <w:szCs w:val="20"/>
                <w:lang w:val="fr-CA"/>
              </w:rPr>
              <w:pict>
                <v:rect id="_x0000_i1040" style="width:108pt;height:1pt" o:hrpct="0" o:hralign="center" o:hrstd="t" o:hrnoshade="t" o:hr="t" fillcolor="black [3213]" stroked="f"/>
              </w:pict>
            </w:r>
          </w:p>
        </w:tc>
      </w:tr>
    </w:tbl>
    <w:p w:rsidR="00D94028" w:rsidRPr="00787FCE" w:rsidRDefault="00D94028" w:rsidP="0095096B">
      <w:pPr>
        <w:tabs>
          <w:tab w:val="right" w:pos="9360"/>
        </w:tabs>
        <w:rPr>
          <w:sz w:val="20"/>
          <w:szCs w:val="20"/>
        </w:rPr>
      </w:pPr>
    </w:p>
    <w:p w:rsidR="00242AEE" w:rsidRPr="00787FCE" w:rsidRDefault="00242AEE" w:rsidP="0095096B">
      <w:pPr>
        <w:tabs>
          <w:tab w:val="right" w:pos="9360"/>
        </w:tabs>
        <w:rPr>
          <w:sz w:val="20"/>
          <w:szCs w:val="20"/>
        </w:rPr>
      </w:pPr>
    </w:p>
    <w:p w:rsidR="00242AEE" w:rsidRPr="00787FCE" w:rsidRDefault="00242AEE" w:rsidP="0095096B">
      <w:pPr>
        <w:tabs>
          <w:tab w:val="right" w:pos="9360"/>
        </w:tabs>
        <w:rPr>
          <w:sz w:val="20"/>
          <w:szCs w:val="20"/>
        </w:rPr>
        <w:sectPr w:rsidR="00242AEE" w:rsidRPr="00787FCE" w:rsidSect="0002435D">
          <w:headerReference w:type="default" r:id="rId17"/>
          <w:footerReference w:type="default" r:id="rId18"/>
          <w:headerReference w:type="first" r:id="rId19"/>
          <w:footerReference w:type="first" r:id="rId20"/>
          <w:pgSz w:w="12240" w:h="15840"/>
          <w:pgMar w:top="720" w:right="965" w:bottom="1080" w:left="1656" w:header="706" w:footer="706" w:gutter="0"/>
          <w:pgNumType w:start="101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B7E9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02435D">
        <w:rPr>
          <w:b/>
          <w:sz w:val="20"/>
          <w:szCs w:val="20"/>
        </w:rPr>
        <w:t>NE</w:t>
      </w:r>
      <w:r>
        <w:rPr>
          <w:b/>
          <w:sz w:val="20"/>
          <w:szCs w:val="20"/>
        </w:rPr>
        <w:t xml:space="preserve"> </w:t>
      </w:r>
      <w:r w:rsidR="00020DC3">
        <w:rPr>
          <w:b/>
          <w:sz w:val="20"/>
          <w:szCs w:val="20"/>
        </w:rPr>
        <w:t>1</w:t>
      </w:r>
      <w:r w:rsidR="001875B2">
        <w:rPr>
          <w:b/>
          <w:sz w:val="20"/>
          <w:szCs w:val="20"/>
        </w:rPr>
        <w:t>5</w:t>
      </w:r>
      <w:r w:rsidRPr="00C50A5C">
        <w:rPr>
          <w:b/>
          <w:sz w:val="20"/>
          <w:szCs w:val="20"/>
        </w:rPr>
        <w:t>, 201</w:t>
      </w:r>
      <w:r w:rsidR="00020DC3">
        <w:rPr>
          <w:b/>
          <w:sz w:val="20"/>
          <w:szCs w:val="20"/>
        </w:rPr>
        <w:t>5</w:t>
      </w:r>
      <w:r w:rsidRPr="00C50A5C">
        <w:rPr>
          <w:b/>
          <w:sz w:val="20"/>
          <w:szCs w:val="20"/>
        </w:rPr>
        <w:t xml:space="preserve"> / LE </w:t>
      </w:r>
      <w:r w:rsidR="00020DC3">
        <w:rPr>
          <w:b/>
          <w:sz w:val="20"/>
          <w:szCs w:val="20"/>
        </w:rPr>
        <w:t>1</w:t>
      </w:r>
      <w:r w:rsidR="001875B2">
        <w:rPr>
          <w:b/>
          <w:sz w:val="20"/>
          <w:szCs w:val="20"/>
        </w:rPr>
        <w:t>5</w:t>
      </w:r>
      <w:r>
        <w:rPr>
          <w:b/>
          <w:sz w:val="20"/>
          <w:szCs w:val="20"/>
        </w:rPr>
        <w:t xml:space="preserve"> J</w:t>
      </w:r>
      <w:r w:rsidR="0002435D">
        <w:rPr>
          <w:b/>
          <w:sz w:val="20"/>
          <w:szCs w:val="20"/>
        </w:rPr>
        <w:t>UI</w:t>
      </w:r>
      <w:r>
        <w:rPr>
          <w:b/>
          <w:sz w:val="20"/>
          <w:szCs w:val="20"/>
        </w:rPr>
        <w:t>N</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A028A0" w:rsidP="00CB3520">
      <w:pPr>
        <w:pStyle w:val="ListParagraph"/>
        <w:widowControl w:val="0"/>
        <w:numPr>
          <w:ilvl w:val="0"/>
          <w:numId w:val="1"/>
        </w:numPr>
        <w:ind w:hanging="720"/>
        <w:jc w:val="both"/>
        <w:rPr>
          <w:sz w:val="20"/>
          <w:szCs w:val="20"/>
        </w:rPr>
      </w:pPr>
      <w:r w:rsidRPr="00A028A0">
        <w:rPr>
          <w:i/>
          <w:sz w:val="20"/>
          <w:szCs w:val="20"/>
        </w:rPr>
        <w:t>Richard Martin Ashbourne Steele v. Her Majesty the Queen</w:t>
      </w:r>
      <w:r w:rsidRPr="00A028A0">
        <w:rPr>
          <w:sz w:val="20"/>
          <w:szCs w:val="20"/>
        </w:rPr>
        <w:t xml:space="preserve"> (Ont.) (Crim</w:t>
      </w:r>
      <w:r w:rsidR="00A12C1D">
        <w:rPr>
          <w:sz w:val="20"/>
          <w:szCs w:val="20"/>
        </w:rPr>
        <w:t>.</w:t>
      </w:r>
      <w:r w:rsidRPr="00A028A0">
        <w:rPr>
          <w:sz w:val="20"/>
          <w:szCs w:val="20"/>
        </w:rPr>
        <w:t>) (By Leave)</w:t>
      </w:r>
      <w:r w:rsidRPr="00C50A5C">
        <w:rPr>
          <w:sz w:val="20"/>
          <w:szCs w:val="20"/>
        </w:rPr>
        <w:t xml:space="preserve"> </w:t>
      </w:r>
      <w:r w:rsidR="00CB3520" w:rsidRPr="00C50A5C">
        <w:rPr>
          <w:sz w:val="20"/>
          <w:szCs w:val="20"/>
        </w:rPr>
        <w:t>(3</w:t>
      </w:r>
      <w:r w:rsidR="00CB3520">
        <w:rPr>
          <w:sz w:val="20"/>
          <w:szCs w:val="20"/>
        </w:rPr>
        <w:t>6</w:t>
      </w:r>
      <w:r>
        <w:rPr>
          <w:sz w:val="20"/>
          <w:szCs w:val="20"/>
        </w:rPr>
        <w:t>437</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A028A0" w:rsidP="00CB3520">
      <w:pPr>
        <w:pStyle w:val="ListParagraph"/>
        <w:widowControl w:val="0"/>
        <w:numPr>
          <w:ilvl w:val="0"/>
          <w:numId w:val="1"/>
        </w:numPr>
        <w:ind w:hanging="720"/>
        <w:jc w:val="both"/>
        <w:rPr>
          <w:sz w:val="20"/>
          <w:szCs w:val="20"/>
        </w:rPr>
      </w:pPr>
      <w:r w:rsidRPr="00A028A0">
        <w:rPr>
          <w:i/>
          <w:sz w:val="20"/>
          <w:szCs w:val="20"/>
        </w:rPr>
        <w:t>Curtis Bonnell v. Her Majesty the Queen</w:t>
      </w:r>
      <w:r w:rsidRPr="00A028A0">
        <w:rPr>
          <w:sz w:val="20"/>
          <w:szCs w:val="20"/>
        </w:rPr>
        <w:t xml:space="preserve"> (N.B.) (Crim</w:t>
      </w:r>
      <w:r w:rsidR="00A12C1D">
        <w:rPr>
          <w:sz w:val="20"/>
          <w:szCs w:val="20"/>
        </w:rPr>
        <w:t>.</w:t>
      </w:r>
      <w:r w:rsidRPr="00A028A0">
        <w:rPr>
          <w:sz w:val="20"/>
          <w:szCs w:val="20"/>
        </w:rPr>
        <w:t>) (By Leave)</w:t>
      </w:r>
      <w:r w:rsidR="007B73BD">
        <w:rPr>
          <w:sz w:val="20"/>
          <w:szCs w:val="20"/>
        </w:rPr>
        <w:t xml:space="preserve"> </w:t>
      </w:r>
      <w:r w:rsidR="00CB3520" w:rsidRPr="00C612D0">
        <w:rPr>
          <w:sz w:val="20"/>
          <w:szCs w:val="20"/>
        </w:rPr>
        <w:t>(3</w:t>
      </w:r>
      <w:r w:rsidR="00CB3520">
        <w:rPr>
          <w:sz w:val="20"/>
          <w:szCs w:val="20"/>
        </w:rPr>
        <w:t>6</w:t>
      </w:r>
      <w:r>
        <w:rPr>
          <w:sz w:val="20"/>
          <w:szCs w:val="20"/>
        </w:rPr>
        <w:t>364</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A028A0" w:rsidP="00CB3520">
      <w:pPr>
        <w:pStyle w:val="ListParagraph"/>
        <w:widowControl w:val="0"/>
        <w:numPr>
          <w:ilvl w:val="0"/>
          <w:numId w:val="1"/>
        </w:numPr>
        <w:ind w:hanging="720"/>
        <w:jc w:val="both"/>
        <w:rPr>
          <w:sz w:val="20"/>
          <w:szCs w:val="20"/>
        </w:rPr>
      </w:pPr>
      <w:r w:rsidRPr="00A028A0">
        <w:rPr>
          <w:i/>
          <w:sz w:val="20"/>
          <w:szCs w:val="20"/>
        </w:rPr>
        <w:t>Tajedin Getahun v. Blake Moore</w:t>
      </w:r>
      <w:r w:rsidRPr="00A028A0">
        <w:rPr>
          <w:sz w:val="20"/>
          <w:szCs w:val="20"/>
        </w:rPr>
        <w:t xml:space="preserve"> (Ont.) (Civil) (By Leave)</w:t>
      </w:r>
      <w:r w:rsidRPr="00940CAD">
        <w:rPr>
          <w:sz w:val="20"/>
          <w:szCs w:val="20"/>
        </w:rPr>
        <w:t xml:space="preserve"> </w:t>
      </w:r>
      <w:r w:rsidR="00CB3520" w:rsidRPr="00940CAD">
        <w:rPr>
          <w:sz w:val="20"/>
          <w:szCs w:val="20"/>
        </w:rPr>
        <w:t>(3</w:t>
      </w:r>
      <w:r>
        <w:rPr>
          <w:sz w:val="20"/>
          <w:szCs w:val="20"/>
        </w:rPr>
        <w:t>6363</w:t>
      </w:r>
      <w:r w:rsidR="00CB3520" w:rsidRPr="00940CAD">
        <w:rPr>
          <w:sz w:val="20"/>
          <w:szCs w:val="20"/>
        </w:rPr>
        <w:t>)</w:t>
      </w:r>
    </w:p>
    <w:p w:rsidR="00CB3520" w:rsidRPr="00C50A5C" w:rsidRDefault="00CB3520" w:rsidP="00CB3520">
      <w:pPr>
        <w:widowControl w:val="0"/>
        <w:rPr>
          <w:sz w:val="20"/>
          <w:szCs w:val="20"/>
        </w:rPr>
      </w:pPr>
    </w:p>
    <w:p w:rsidR="00CB3520" w:rsidRPr="00C50A5C" w:rsidRDefault="00A028A0" w:rsidP="00CB3520">
      <w:pPr>
        <w:pStyle w:val="ListParagraph"/>
        <w:widowControl w:val="0"/>
        <w:numPr>
          <w:ilvl w:val="0"/>
          <w:numId w:val="1"/>
        </w:numPr>
        <w:ind w:hanging="720"/>
        <w:jc w:val="both"/>
        <w:rPr>
          <w:sz w:val="20"/>
          <w:szCs w:val="20"/>
        </w:rPr>
      </w:pPr>
      <w:r w:rsidRPr="00A028A0">
        <w:rPr>
          <w:i/>
          <w:sz w:val="20"/>
          <w:szCs w:val="20"/>
        </w:rPr>
        <w:t>Daniel J. MacIsaac v. Royal Bank of Canada et al.</w:t>
      </w:r>
      <w:r w:rsidRPr="00A028A0">
        <w:rPr>
          <w:sz w:val="20"/>
          <w:szCs w:val="20"/>
        </w:rPr>
        <w:t xml:space="preserve"> (N.S.) (Civil) (By Leave)</w:t>
      </w:r>
      <w:r w:rsidRPr="00C50A5C">
        <w:rPr>
          <w:sz w:val="20"/>
          <w:szCs w:val="20"/>
        </w:rPr>
        <w:t xml:space="preserve"> </w:t>
      </w:r>
      <w:r w:rsidR="00CB3520" w:rsidRPr="00C50A5C">
        <w:rPr>
          <w:sz w:val="20"/>
          <w:szCs w:val="20"/>
        </w:rPr>
        <w:t>(3</w:t>
      </w:r>
      <w:r w:rsidR="00CB3520">
        <w:rPr>
          <w:sz w:val="20"/>
          <w:szCs w:val="20"/>
        </w:rPr>
        <w:t>6</w:t>
      </w:r>
      <w:r>
        <w:rPr>
          <w:sz w:val="20"/>
          <w:szCs w:val="20"/>
        </w:rPr>
        <w:t>369</w:t>
      </w:r>
      <w:r w:rsidR="00CB3520" w:rsidRPr="00C50A5C">
        <w:rPr>
          <w:sz w:val="20"/>
          <w:szCs w:val="20"/>
        </w:rPr>
        <w:t>)</w:t>
      </w:r>
    </w:p>
    <w:p w:rsidR="00CB3520" w:rsidRDefault="00CB3520" w:rsidP="00CB3520">
      <w:pPr>
        <w:widowControl w:val="0"/>
        <w:jc w:val="both"/>
        <w:rPr>
          <w:sz w:val="20"/>
          <w:szCs w:val="20"/>
        </w:rPr>
      </w:pPr>
    </w:p>
    <w:p w:rsidR="00A028A0" w:rsidRDefault="00A028A0" w:rsidP="00CB3520">
      <w:pPr>
        <w:widowControl w:val="0"/>
        <w:jc w:val="both"/>
        <w:rPr>
          <w:sz w:val="20"/>
          <w:szCs w:val="20"/>
        </w:rPr>
      </w:pPr>
    </w:p>
    <w:p w:rsidR="00A028A0" w:rsidRPr="00A028A0" w:rsidRDefault="00A028A0" w:rsidP="00A028A0">
      <w:pPr>
        <w:widowControl w:val="0"/>
        <w:jc w:val="center"/>
        <w:rPr>
          <w:b/>
          <w:sz w:val="20"/>
          <w:szCs w:val="20"/>
          <w:lang w:val="fr-CA"/>
        </w:rPr>
      </w:pPr>
      <w:r w:rsidRPr="00A028A0">
        <w:rPr>
          <w:b/>
          <w:sz w:val="20"/>
          <w:szCs w:val="20"/>
          <w:lang w:val="fr-CA"/>
        </w:rPr>
        <w:t>CORAM: Abella, Karakatsanis and Côté JJ.</w:t>
      </w:r>
    </w:p>
    <w:p w:rsidR="00A028A0" w:rsidRPr="00C50A5C" w:rsidRDefault="00A028A0" w:rsidP="00A028A0">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A028A0" w:rsidRPr="00A028A0" w:rsidRDefault="00A028A0" w:rsidP="00CB3520">
      <w:pPr>
        <w:widowControl w:val="0"/>
        <w:jc w:val="both"/>
        <w:rPr>
          <w:sz w:val="20"/>
          <w:szCs w:val="20"/>
          <w:lang w:val="fr-CA"/>
        </w:rPr>
      </w:pPr>
    </w:p>
    <w:p w:rsidR="00CB3520" w:rsidRPr="009C5D38" w:rsidRDefault="00A028A0" w:rsidP="00CB3520">
      <w:pPr>
        <w:pStyle w:val="ListParagraph"/>
        <w:widowControl w:val="0"/>
        <w:numPr>
          <w:ilvl w:val="0"/>
          <w:numId w:val="1"/>
        </w:numPr>
        <w:ind w:hanging="720"/>
        <w:jc w:val="both"/>
        <w:rPr>
          <w:sz w:val="20"/>
          <w:szCs w:val="20"/>
        </w:rPr>
      </w:pPr>
      <w:r w:rsidRPr="00A028A0">
        <w:rPr>
          <w:i/>
          <w:sz w:val="20"/>
          <w:szCs w:val="20"/>
        </w:rPr>
        <w:t>Her Majesty the Queen v. [A.C.]</w:t>
      </w:r>
      <w:r w:rsidRPr="00A028A0">
        <w:rPr>
          <w:sz w:val="20"/>
          <w:szCs w:val="20"/>
        </w:rPr>
        <w:t xml:space="preserve"> (Ont.) (Crim.) (By Leave)</w:t>
      </w:r>
      <w:r w:rsidRPr="009C5D38">
        <w:rPr>
          <w:sz w:val="20"/>
          <w:szCs w:val="20"/>
        </w:rPr>
        <w:t xml:space="preserve"> </w:t>
      </w:r>
      <w:r w:rsidR="00CB3520" w:rsidRPr="009C5D38">
        <w:rPr>
          <w:sz w:val="20"/>
          <w:szCs w:val="20"/>
        </w:rPr>
        <w:t>(363</w:t>
      </w:r>
      <w:r>
        <w:rPr>
          <w:sz w:val="20"/>
          <w:szCs w:val="20"/>
        </w:rPr>
        <w:t>90</w:t>
      </w:r>
      <w:r w:rsidR="00CB3520" w:rsidRPr="009C5D38">
        <w:rPr>
          <w:sz w:val="20"/>
          <w:szCs w:val="20"/>
        </w:rPr>
        <w:t>)</w:t>
      </w:r>
    </w:p>
    <w:p w:rsidR="00CB3520" w:rsidRPr="00C16CB3" w:rsidRDefault="00CB3520" w:rsidP="00CB3520">
      <w:pPr>
        <w:widowControl w:val="0"/>
        <w:jc w:val="both"/>
        <w:rPr>
          <w:sz w:val="20"/>
          <w:szCs w:val="20"/>
          <w:lang w:val="fr-CA"/>
        </w:rPr>
      </w:pPr>
    </w:p>
    <w:p w:rsidR="00CB3520" w:rsidRPr="00A028A0" w:rsidRDefault="00A028A0" w:rsidP="00CB3520">
      <w:pPr>
        <w:pStyle w:val="ListParagraph"/>
        <w:widowControl w:val="0"/>
        <w:numPr>
          <w:ilvl w:val="0"/>
          <w:numId w:val="1"/>
        </w:numPr>
        <w:ind w:hanging="720"/>
        <w:jc w:val="both"/>
        <w:rPr>
          <w:sz w:val="20"/>
          <w:szCs w:val="20"/>
        </w:rPr>
      </w:pPr>
      <w:r w:rsidRPr="00A028A0">
        <w:rPr>
          <w:i/>
          <w:sz w:val="20"/>
          <w:szCs w:val="20"/>
        </w:rPr>
        <w:t>Joseph Wilson v. Atomic Energy of Canada Limited</w:t>
      </w:r>
      <w:r w:rsidRPr="00A028A0">
        <w:rPr>
          <w:sz w:val="20"/>
          <w:szCs w:val="20"/>
        </w:rPr>
        <w:t xml:space="preserve"> (F.C.) (Civil) (By Leave) </w:t>
      </w:r>
      <w:r w:rsidR="00CB3520" w:rsidRPr="00A028A0">
        <w:rPr>
          <w:sz w:val="20"/>
          <w:szCs w:val="20"/>
        </w:rPr>
        <w:t>(353</w:t>
      </w:r>
      <w:r w:rsidRPr="00A028A0">
        <w:rPr>
          <w:sz w:val="20"/>
          <w:szCs w:val="20"/>
        </w:rPr>
        <w:t>5</w:t>
      </w:r>
      <w:r w:rsidR="00CB3520" w:rsidRPr="00A028A0">
        <w:rPr>
          <w:sz w:val="20"/>
          <w:szCs w:val="20"/>
        </w:rPr>
        <w:t>4)</w:t>
      </w:r>
    </w:p>
    <w:p w:rsidR="00CB3520" w:rsidRPr="00A028A0" w:rsidRDefault="00CB3520" w:rsidP="00CB3520">
      <w:pPr>
        <w:widowControl w:val="0"/>
        <w:jc w:val="both"/>
        <w:rPr>
          <w:sz w:val="20"/>
          <w:szCs w:val="20"/>
        </w:rPr>
      </w:pPr>
    </w:p>
    <w:p w:rsidR="00CB3520" w:rsidRPr="009C5D38" w:rsidRDefault="00A028A0" w:rsidP="00CB3520">
      <w:pPr>
        <w:pStyle w:val="ListParagraph"/>
        <w:widowControl w:val="0"/>
        <w:numPr>
          <w:ilvl w:val="0"/>
          <w:numId w:val="1"/>
        </w:numPr>
        <w:ind w:hanging="720"/>
        <w:jc w:val="both"/>
        <w:rPr>
          <w:sz w:val="20"/>
          <w:szCs w:val="20"/>
        </w:rPr>
      </w:pPr>
      <w:r w:rsidRPr="00A028A0">
        <w:rPr>
          <w:i/>
          <w:sz w:val="20"/>
          <w:szCs w:val="20"/>
        </w:rPr>
        <w:t>Steven Tonner v. Real Estate Council of Ontario et al.</w:t>
      </w:r>
      <w:r w:rsidR="00881474">
        <w:rPr>
          <w:i/>
          <w:sz w:val="20"/>
          <w:szCs w:val="20"/>
        </w:rPr>
        <w:t xml:space="preserve"> </w:t>
      </w:r>
      <w:r w:rsidR="00881474">
        <w:rPr>
          <w:sz w:val="20"/>
          <w:szCs w:val="20"/>
        </w:rPr>
        <w:t>(</w:t>
      </w:r>
      <w:r w:rsidRPr="00A028A0">
        <w:rPr>
          <w:sz w:val="20"/>
          <w:szCs w:val="20"/>
        </w:rPr>
        <w:t>Ont.) (Civil) (By Leave)</w:t>
      </w:r>
      <w:r w:rsidRPr="009C5D38">
        <w:rPr>
          <w:sz w:val="20"/>
          <w:szCs w:val="20"/>
        </w:rPr>
        <w:t xml:space="preserve"> </w:t>
      </w:r>
      <w:r w:rsidR="00CB3520" w:rsidRPr="009C5D38">
        <w:rPr>
          <w:sz w:val="20"/>
          <w:szCs w:val="20"/>
        </w:rPr>
        <w:t>(36</w:t>
      </w:r>
      <w:r>
        <w:rPr>
          <w:sz w:val="20"/>
          <w:szCs w:val="20"/>
        </w:rPr>
        <w:t>447</w:t>
      </w:r>
      <w:r w:rsidR="00CB3520" w:rsidRPr="009C5D38">
        <w:rPr>
          <w:sz w:val="20"/>
          <w:szCs w:val="20"/>
        </w:rPr>
        <w:t>)</w:t>
      </w:r>
    </w:p>
    <w:p w:rsidR="00CB3520" w:rsidRPr="009C5D38" w:rsidRDefault="00CB3520" w:rsidP="00CB3520">
      <w:pPr>
        <w:widowControl w:val="0"/>
        <w:jc w:val="both"/>
        <w:rPr>
          <w:sz w:val="20"/>
          <w:szCs w:val="20"/>
        </w:rPr>
      </w:pPr>
    </w:p>
    <w:p w:rsidR="00CB3520" w:rsidRPr="00A028A0" w:rsidRDefault="00A028A0" w:rsidP="00CB3520">
      <w:pPr>
        <w:pStyle w:val="ListParagraph"/>
        <w:widowControl w:val="0"/>
        <w:numPr>
          <w:ilvl w:val="0"/>
          <w:numId w:val="1"/>
        </w:numPr>
        <w:ind w:hanging="720"/>
        <w:jc w:val="both"/>
        <w:rPr>
          <w:sz w:val="20"/>
          <w:szCs w:val="20"/>
        </w:rPr>
      </w:pPr>
      <w:r w:rsidRPr="00A028A0">
        <w:rPr>
          <w:i/>
          <w:sz w:val="20"/>
          <w:szCs w:val="20"/>
        </w:rPr>
        <w:t>Donna Noble v. Her Majesty the Queen</w:t>
      </w:r>
      <w:r w:rsidRPr="00A028A0">
        <w:rPr>
          <w:sz w:val="20"/>
          <w:szCs w:val="20"/>
        </w:rPr>
        <w:t xml:space="preserve"> (F.C.) (Civil) (By Leave) </w:t>
      </w:r>
      <w:r w:rsidR="00CB3520" w:rsidRPr="00A028A0">
        <w:rPr>
          <w:sz w:val="20"/>
          <w:szCs w:val="20"/>
        </w:rPr>
        <w:t>(36</w:t>
      </w:r>
      <w:r w:rsidRPr="00A028A0">
        <w:rPr>
          <w:sz w:val="20"/>
          <w:szCs w:val="20"/>
        </w:rPr>
        <w:t>376</w:t>
      </w:r>
      <w:r w:rsidR="00CB3520" w:rsidRPr="00A028A0">
        <w:rPr>
          <w:sz w:val="20"/>
          <w:szCs w:val="20"/>
        </w:rPr>
        <w:t>)</w:t>
      </w:r>
    </w:p>
    <w:p w:rsidR="00CB3520" w:rsidRPr="00A028A0" w:rsidRDefault="00CB3520" w:rsidP="00CB3520">
      <w:pPr>
        <w:widowControl w:val="0"/>
        <w:rPr>
          <w:sz w:val="20"/>
          <w:szCs w:val="20"/>
        </w:rPr>
      </w:pPr>
    </w:p>
    <w:p w:rsidR="00CB3520" w:rsidRPr="009C5D38" w:rsidRDefault="00A028A0" w:rsidP="00CB3520">
      <w:pPr>
        <w:pStyle w:val="ListParagraph"/>
        <w:widowControl w:val="0"/>
        <w:numPr>
          <w:ilvl w:val="0"/>
          <w:numId w:val="1"/>
        </w:numPr>
        <w:ind w:hanging="720"/>
        <w:jc w:val="both"/>
        <w:rPr>
          <w:sz w:val="20"/>
          <w:szCs w:val="20"/>
          <w:lang w:val="fr-CA"/>
        </w:rPr>
      </w:pPr>
      <w:r w:rsidRPr="00A028A0">
        <w:rPr>
          <w:i/>
          <w:sz w:val="20"/>
          <w:szCs w:val="20"/>
        </w:rPr>
        <w:t>Van-Than Nguyen c. Ace INA Insurance</w:t>
      </w:r>
      <w:r w:rsidRPr="00A028A0">
        <w:rPr>
          <w:sz w:val="20"/>
          <w:szCs w:val="20"/>
        </w:rPr>
        <w:t xml:space="preserve"> (Qc) (Civile) (Autorisation)</w:t>
      </w:r>
      <w:r w:rsidRPr="009C5D38">
        <w:rPr>
          <w:sz w:val="20"/>
          <w:szCs w:val="20"/>
          <w:lang w:val="fr-CA"/>
        </w:rPr>
        <w:t xml:space="preserve"> </w:t>
      </w:r>
      <w:r w:rsidR="00CB3520" w:rsidRPr="009C5D38">
        <w:rPr>
          <w:sz w:val="20"/>
          <w:szCs w:val="20"/>
          <w:lang w:val="fr-CA"/>
        </w:rPr>
        <w:t>(36</w:t>
      </w:r>
      <w:r>
        <w:rPr>
          <w:sz w:val="20"/>
          <w:szCs w:val="20"/>
          <w:lang w:val="fr-CA"/>
        </w:rPr>
        <w:t>357</w:t>
      </w:r>
      <w:r w:rsidR="00CB3520" w:rsidRPr="009C5D38">
        <w:rPr>
          <w:sz w:val="20"/>
          <w:szCs w:val="20"/>
          <w:lang w:val="fr-CA"/>
        </w:rPr>
        <w:t>)</w:t>
      </w:r>
    </w:p>
    <w:p w:rsidR="00CB3520" w:rsidRDefault="00CB3520" w:rsidP="00CB3520">
      <w:pPr>
        <w:widowControl w:val="0"/>
        <w:jc w:val="both"/>
        <w:rPr>
          <w:sz w:val="20"/>
          <w:szCs w:val="20"/>
          <w:lang w:val="fr-CA"/>
        </w:rPr>
      </w:pPr>
    </w:p>
    <w:p w:rsidR="00A028A0" w:rsidRDefault="00A028A0" w:rsidP="00CB3520">
      <w:pPr>
        <w:widowControl w:val="0"/>
        <w:jc w:val="both"/>
        <w:rPr>
          <w:sz w:val="20"/>
          <w:szCs w:val="20"/>
          <w:lang w:val="fr-CA"/>
        </w:rPr>
      </w:pPr>
    </w:p>
    <w:p w:rsidR="00A028A0" w:rsidRPr="00C50A5C" w:rsidRDefault="00A028A0" w:rsidP="00A028A0">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A028A0" w:rsidRPr="00C50A5C" w:rsidRDefault="00A028A0" w:rsidP="00A028A0">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A028A0" w:rsidRPr="009C5D38" w:rsidRDefault="00A028A0" w:rsidP="00CB3520">
      <w:pPr>
        <w:widowControl w:val="0"/>
        <w:jc w:val="both"/>
        <w:rPr>
          <w:sz w:val="20"/>
          <w:szCs w:val="20"/>
          <w:lang w:val="fr-CA"/>
        </w:rPr>
      </w:pPr>
    </w:p>
    <w:p w:rsidR="00CB3520" w:rsidRPr="00115C9E" w:rsidRDefault="00A028A0" w:rsidP="00CB3520">
      <w:pPr>
        <w:pStyle w:val="ListParagraph"/>
        <w:widowControl w:val="0"/>
        <w:numPr>
          <w:ilvl w:val="0"/>
          <w:numId w:val="1"/>
        </w:numPr>
        <w:ind w:hanging="720"/>
        <w:jc w:val="both"/>
        <w:rPr>
          <w:sz w:val="20"/>
          <w:szCs w:val="20"/>
        </w:rPr>
      </w:pPr>
      <w:r w:rsidRPr="00A028A0">
        <w:rPr>
          <w:i/>
          <w:sz w:val="20"/>
          <w:szCs w:val="20"/>
        </w:rPr>
        <w:t>John Magno v. Her Majesty the Queen</w:t>
      </w:r>
      <w:r w:rsidRPr="00A028A0">
        <w:rPr>
          <w:sz w:val="20"/>
          <w:szCs w:val="20"/>
        </w:rPr>
        <w:t xml:space="preserve"> (Ont.) (Crim</w:t>
      </w:r>
      <w:r w:rsidR="00A12C1D">
        <w:rPr>
          <w:sz w:val="20"/>
          <w:szCs w:val="20"/>
        </w:rPr>
        <w:t>.</w:t>
      </w:r>
      <w:r w:rsidRPr="00A028A0">
        <w:rPr>
          <w:sz w:val="20"/>
          <w:szCs w:val="20"/>
        </w:rPr>
        <w:t>) (By Leave)</w:t>
      </w:r>
      <w:r w:rsidRPr="00115C9E">
        <w:rPr>
          <w:sz w:val="20"/>
          <w:szCs w:val="20"/>
        </w:rPr>
        <w:t xml:space="preserve"> </w:t>
      </w:r>
      <w:r w:rsidR="00CB3520" w:rsidRPr="00115C9E">
        <w:rPr>
          <w:sz w:val="20"/>
          <w:szCs w:val="20"/>
        </w:rPr>
        <w:t>(3</w:t>
      </w:r>
      <w:r>
        <w:rPr>
          <w:sz w:val="20"/>
          <w:szCs w:val="20"/>
        </w:rPr>
        <w:t>6389</w:t>
      </w:r>
      <w:r w:rsidR="00CB3520" w:rsidRPr="00115C9E">
        <w:rPr>
          <w:sz w:val="20"/>
          <w:szCs w:val="20"/>
        </w:rPr>
        <w:t>)</w:t>
      </w:r>
    </w:p>
    <w:p w:rsidR="00CB3520" w:rsidRDefault="00CB3520" w:rsidP="00CB3520">
      <w:pPr>
        <w:widowControl w:val="0"/>
        <w:jc w:val="both"/>
        <w:rPr>
          <w:sz w:val="20"/>
          <w:szCs w:val="20"/>
        </w:rPr>
      </w:pPr>
    </w:p>
    <w:p w:rsidR="00CB3520" w:rsidRPr="00115C9E" w:rsidRDefault="00A028A0" w:rsidP="00CB3520">
      <w:pPr>
        <w:pStyle w:val="ListParagraph"/>
        <w:widowControl w:val="0"/>
        <w:numPr>
          <w:ilvl w:val="0"/>
          <w:numId w:val="1"/>
        </w:numPr>
        <w:ind w:hanging="720"/>
        <w:jc w:val="both"/>
        <w:rPr>
          <w:sz w:val="20"/>
          <w:szCs w:val="20"/>
        </w:rPr>
      </w:pPr>
      <w:r w:rsidRPr="00A028A0">
        <w:rPr>
          <w:i/>
          <w:sz w:val="20"/>
          <w:szCs w:val="20"/>
        </w:rPr>
        <w:t>Bell Mobility Inc. v. James Douglas Anderson and Samuel Anderson, on behalf of themselves, and all other members of a class having a claim against Bell Mobility Inc.</w:t>
      </w:r>
      <w:r w:rsidRPr="00A028A0">
        <w:rPr>
          <w:sz w:val="20"/>
          <w:szCs w:val="20"/>
        </w:rPr>
        <w:t xml:space="preserve"> (N.W.T.) (Civil) (By Leave)</w:t>
      </w:r>
      <w:r w:rsidRPr="00115C9E">
        <w:rPr>
          <w:sz w:val="20"/>
          <w:szCs w:val="20"/>
        </w:rPr>
        <w:t xml:space="preserve"> </w:t>
      </w:r>
      <w:r w:rsidR="00CB3520" w:rsidRPr="00115C9E">
        <w:rPr>
          <w:sz w:val="20"/>
          <w:szCs w:val="20"/>
        </w:rPr>
        <w:t>(3</w:t>
      </w:r>
      <w:r w:rsidR="00CB3520">
        <w:rPr>
          <w:sz w:val="20"/>
          <w:szCs w:val="20"/>
        </w:rPr>
        <w:t>6</w:t>
      </w:r>
      <w:r>
        <w:rPr>
          <w:sz w:val="20"/>
          <w:szCs w:val="20"/>
        </w:rPr>
        <w:t>336</w:t>
      </w:r>
      <w:r w:rsidR="00CB3520" w:rsidRPr="00115C9E">
        <w:rPr>
          <w:sz w:val="20"/>
          <w:szCs w:val="20"/>
        </w:rPr>
        <w:t>)</w:t>
      </w:r>
    </w:p>
    <w:p w:rsidR="00CB3520" w:rsidRPr="00115C9E" w:rsidRDefault="00CB3520" w:rsidP="00CB3520">
      <w:pPr>
        <w:widowControl w:val="0"/>
        <w:jc w:val="both"/>
        <w:rPr>
          <w:sz w:val="20"/>
          <w:szCs w:val="20"/>
        </w:rPr>
      </w:pPr>
    </w:p>
    <w:p w:rsidR="00CB3520" w:rsidRDefault="00A028A0" w:rsidP="00CB3520">
      <w:pPr>
        <w:pStyle w:val="ListParagraph"/>
        <w:widowControl w:val="0"/>
        <w:numPr>
          <w:ilvl w:val="0"/>
          <w:numId w:val="1"/>
        </w:numPr>
        <w:ind w:hanging="720"/>
        <w:jc w:val="both"/>
        <w:rPr>
          <w:sz w:val="20"/>
          <w:szCs w:val="20"/>
        </w:rPr>
      </w:pPr>
      <w:r w:rsidRPr="00A028A0">
        <w:rPr>
          <w:i/>
          <w:sz w:val="20"/>
          <w:szCs w:val="20"/>
          <w:lang w:val="fr-CA"/>
        </w:rPr>
        <w:t>Julie Willmot v. Paula Boutis et al.</w:t>
      </w:r>
      <w:r w:rsidRPr="00A028A0">
        <w:rPr>
          <w:sz w:val="20"/>
          <w:szCs w:val="20"/>
          <w:lang w:val="fr-CA"/>
        </w:rPr>
        <w:t xml:space="preserve"> </w:t>
      </w:r>
      <w:r w:rsidRPr="00A028A0">
        <w:rPr>
          <w:sz w:val="20"/>
          <w:szCs w:val="20"/>
        </w:rPr>
        <w:t>(Ont.) (Civil) (By Leave)</w:t>
      </w:r>
      <w:r w:rsidRPr="00C50A5C">
        <w:rPr>
          <w:sz w:val="20"/>
          <w:szCs w:val="20"/>
        </w:rPr>
        <w:t xml:space="preserve"> </w:t>
      </w:r>
      <w:r w:rsidR="00CB3520" w:rsidRPr="00C50A5C">
        <w:rPr>
          <w:sz w:val="20"/>
          <w:szCs w:val="20"/>
        </w:rPr>
        <w:t>(3</w:t>
      </w:r>
      <w:r w:rsidR="00CB3520">
        <w:rPr>
          <w:sz w:val="20"/>
          <w:szCs w:val="20"/>
        </w:rPr>
        <w:t>63</w:t>
      </w:r>
      <w:r>
        <w:rPr>
          <w:sz w:val="20"/>
          <w:szCs w:val="20"/>
        </w:rPr>
        <w:t>68</w:t>
      </w:r>
      <w:r w:rsidR="00CB3520" w:rsidRPr="00C50A5C">
        <w:rPr>
          <w:sz w:val="20"/>
          <w:szCs w:val="20"/>
        </w:rPr>
        <w:t>)</w:t>
      </w:r>
    </w:p>
    <w:p w:rsidR="00CB3520" w:rsidRPr="009C5D38" w:rsidRDefault="00CB3520" w:rsidP="00CB3520">
      <w:pPr>
        <w:widowControl w:val="0"/>
        <w:rPr>
          <w:i/>
          <w:sz w:val="20"/>
          <w:szCs w:val="20"/>
        </w:rPr>
      </w:pPr>
    </w:p>
    <w:p w:rsidR="00CB3520" w:rsidRPr="009C5D38" w:rsidRDefault="00A028A0" w:rsidP="00CB3520">
      <w:pPr>
        <w:pStyle w:val="ListParagraph"/>
        <w:widowControl w:val="0"/>
        <w:numPr>
          <w:ilvl w:val="0"/>
          <w:numId w:val="1"/>
        </w:numPr>
        <w:ind w:hanging="720"/>
        <w:jc w:val="both"/>
        <w:rPr>
          <w:sz w:val="20"/>
          <w:szCs w:val="20"/>
        </w:rPr>
      </w:pPr>
      <w:r w:rsidRPr="00A028A0">
        <w:rPr>
          <w:i/>
          <w:sz w:val="20"/>
          <w:szCs w:val="20"/>
        </w:rPr>
        <w:t>David Prabakar Jayaraj v. Her Majesty the Queen et al.</w:t>
      </w:r>
      <w:r w:rsidRPr="00A028A0">
        <w:rPr>
          <w:sz w:val="20"/>
          <w:szCs w:val="20"/>
        </w:rPr>
        <w:t xml:space="preserve"> (Ont.) (Civil) (By Leave)</w:t>
      </w:r>
      <w:r w:rsidRPr="009C5D38">
        <w:rPr>
          <w:sz w:val="20"/>
          <w:szCs w:val="20"/>
        </w:rPr>
        <w:t xml:space="preserve"> </w:t>
      </w:r>
      <w:r w:rsidR="00CB3520" w:rsidRPr="009C5D38">
        <w:rPr>
          <w:sz w:val="20"/>
          <w:szCs w:val="20"/>
        </w:rPr>
        <w:t>(36</w:t>
      </w:r>
      <w:r>
        <w:rPr>
          <w:sz w:val="20"/>
          <w:szCs w:val="20"/>
        </w:rPr>
        <w:t>377</w:t>
      </w:r>
      <w:r w:rsidR="00CB3520" w:rsidRPr="009C5D38">
        <w:rPr>
          <w:sz w:val="20"/>
          <w:szCs w:val="20"/>
        </w:rPr>
        <w:t>)</w:t>
      </w:r>
    </w:p>
    <w:p w:rsidR="002E2327" w:rsidRPr="00CB3520" w:rsidRDefault="002E2327" w:rsidP="002E2327">
      <w:pPr>
        <w:widowControl w:val="0"/>
        <w:rPr>
          <w:sz w:val="20"/>
          <w:szCs w:val="20"/>
        </w:rPr>
      </w:pPr>
    </w:p>
    <w:p w:rsidR="002E2327" w:rsidRDefault="005B7E98" w:rsidP="002E2327">
      <w:pPr>
        <w:widowControl w:val="0"/>
        <w:rPr>
          <w:sz w:val="20"/>
          <w:szCs w:val="20"/>
        </w:rPr>
      </w:pPr>
      <w:r>
        <w:rPr>
          <w:sz w:val="20"/>
          <w:szCs w:val="20"/>
        </w:rPr>
        <w:pict>
          <v:rect id="_x0000_i1043" style="width:2in;height:1pt" o:hrpct="0" o:hralign="center" o:hrstd="t" o:hrnoshade="t" o:hr="t" fillcolor="black [3213]" stroked="f"/>
        </w:pict>
      </w:r>
    </w:p>
    <w:p w:rsidR="00D94028" w:rsidRDefault="00D94028" w:rsidP="002E2327">
      <w:pPr>
        <w:widowControl w:val="0"/>
        <w:rPr>
          <w:sz w:val="20"/>
          <w:szCs w:val="20"/>
        </w:rPr>
      </w:pPr>
    </w:p>
    <w:p w:rsidR="00A028A0" w:rsidRPr="00A028A0" w:rsidRDefault="00A028A0" w:rsidP="00A028A0">
      <w:pPr>
        <w:widowControl w:val="0"/>
        <w:rPr>
          <w:sz w:val="20"/>
          <w:szCs w:val="20"/>
        </w:rPr>
      </w:pPr>
    </w:p>
    <w:p w:rsidR="00A028A0" w:rsidRDefault="00A028A0" w:rsidP="00A028A0">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B7E98"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JU</w:t>
      </w:r>
      <w:r w:rsidR="00E112BD">
        <w:rPr>
          <w:b/>
          <w:sz w:val="20"/>
          <w:szCs w:val="20"/>
        </w:rPr>
        <w:t>NE</w:t>
      </w:r>
      <w:r w:rsidR="000E2959" w:rsidRPr="00C50A5C">
        <w:rPr>
          <w:b/>
          <w:sz w:val="20"/>
          <w:szCs w:val="20"/>
        </w:rPr>
        <w:t xml:space="preserve"> </w:t>
      </w:r>
      <w:r w:rsidR="00E112BD">
        <w:rPr>
          <w:b/>
          <w:sz w:val="20"/>
          <w:szCs w:val="20"/>
        </w:rPr>
        <w:t>18</w:t>
      </w:r>
      <w:r w:rsidR="000E2959" w:rsidRPr="00C50A5C">
        <w:rPr>
          <w:b/>
          <w:sz w:val="20"/>
          <w:szCs w:val="20"/>
        </w:rPr>
        <w:t>, 201</w:t>
      </w:r>
      <w:r>
        <w:rPr>
          <w:b/>
          <w:sz w:val="20"/>
          <w:szCs w:val="20"/>
        </w:rPr>
        <w:t>5</w:t>
      </w:r>
      <w:r w:rsidR="000E2959" w:rsidRPr="00C50A5C">
        <w:rPr>
          <w:b/>
          <w:sz w:val="20"/>
          <w:szCs w:val="20"/>
        </w:rPr>
        <w:t xml:space="preserve"> / LE </w:t>
      </w:r>
      <w:r w:rsidR="00E112BD">
        <w:rPr>
          <w:b/>
          <w:sz w:val="20"/>
          <w:szCs w:val="20"/>
        </w:rPr>
        <w:t>18</w:t>
      </w:r>
      <w:r w:rsidR="000E2959" w:rsidRPr="00C50A5C">
        <w:rPr>
          <w:b/>
          <w:sz w:val="20"/>
          <w:szCs w:val="20"/>
        </w:rPr>
        <w:t xml:space="preserve"> </w:t>
      </w:r>
      <w:r>
        <w:rPr>
          <w:b/>
          <w:sz w:val="20"/>
          <w:szCs w:val="20"/>
        </w:rPr>
        <w:t>J</w:t>
      </w:r>
      <w:r w:rsidR="00E112BD">
        <w:rPr>
          <w:b/>
          <w:sz w:val="20"/>
          <w:szCs w:val="20"/>
        </w:rPr>
        <w:t>UI</w:t>
      </w:r>
      <w:r>
        <w:rPr>
          <w:b/>
          <w:sz w:val="20"/>
          <w:szCs w:val="20"/>
        </w:rPr>
        <w:t>N</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30DF" w:rsidRPr="00376356" w:rsidTr="006205C5">
        <w:trPr>
          <w:cantSplit/>
        </w:trPr>
        <w:tc>
          <w:tcPr>
            <w:tcW w:w="1458" w:type="dxa"/>
          </w:tcPr>
          <w:p w:rsidR="008230DF" w:rsidRPr="008230DF" w:rsidRDefault="008230DF" w:rsidP="008230DF">
            <w:pPr>
              <w:rPr>
                <w:sz w:val="20"/>
              </w:rPr>
            </w:pPr>
            <w:r w:rsidRPr="008230DF">
              <w:rPr>
                <w:b/>
                <w:sz w:val="20"/>
                <w:lang w:val="fr-CA"/>
              </w:rPr>
              <w:t>36233</w:t>
            </w:r>
          </w:p>
          <w:p w:rsidR="008230DF" w:rsidRPr="008230DF" w:rsidRDefault="008230DF" w:rsidP="008230DF">
            <w:pPr>
              <w:rPr>
                <w:b/>
                <w:sz w:val="20"/>
                <w:lang w:val="fr-CA"/>
              </w:rPr>
            </w:pPr>
          </w:p>
        </w:tc>
        <w:tc>
          <w:tcPr>
            <w:tcW w:w="8118" w:type="dxa"/>
          </w:tcPr>
          <w:p w:rsidR="008230DF" w:rsidRPr="008230DF" w:rsidRDefault="008230DF" w:rsidP="008230DF">
            <w:pPr>
              <w:jc w:val="both"/>
              <w:rPr>
                <w:sz w:val="20"/>
                <w:lang w:val="fr-CA"/>
              </w:rPr>
            </w:pPr>
            <w:r w:rsidRPr="008230DF">
              <w:rPr>
                <w:b/>
                <w:sz w:val="20"/>
                <w:u w:val="single"/>
                <w:lang w:val="fr-CA"/>
              </w:rPr>
              <w:t>La Presse, ltée c. Guy Drouin, Daniel Lafond, Frédérick Turenne, Louis-Pierre Lafortune, Jerry Purdy, Jocelyne Therrien, Roberto Amato</w:t>
            </w:r>
            <w:r w:rsidR="00A604C0">
              <w:rPr>
                <w:b/>
                <w:sz w:val="20"/>
                <w:u w:val="single"/>
                <w:lang w:val="fr-CA"/>
              </w:rPr>
              <w:t xml:space="preserve"> et</w:t>
            </w:r>
            <w:r w:rsidRPr="008230DF">
              <w:rPr>
                <w:b/>
                <w:sz w:val="20"/>
                <w:u w:val="single"/>
                <w:lang w:val="fr-CA"/>
              </w:rPr>
              <w:t xml:space="preserve"> Sa Majesté la Reine</w:t>
            </w:r>
            <w:r w:rsidRPr="008230DF">
              <w:rPr>
                <w:sz w:val="20"/>
                <w:lang w:val="fr-CA"/>
              </w:rPr>
              <w:t xml:space="preserve"> (Qc) (Criminelle) (Autorisation)</w:t>
            </w:r>
          </w:p>
          <w:p w:rsidR="008230DF" w:rsidRPr="008230DF" w:rsidRDefault="008230DF" w:rsidP="008230DF">
            <w:pPr>
              <w:jc w:val="both"/>
              <w:rPr>
                <w:sz w:val="20"/>
                <w:lang w:val="fr-CA"/>
              </w:rPr>
            </w:pPr>
          </w:p>
        </w:tc>
      </w:tr>
      <w:tr w:rsidR="008230DF" w:rsidRPr="00376356" w:rsidTr="006205C5">
        <w:trPr>
          <w:cantSplit/>
        </w:trPr>
        <w:tc>
          <w:tcPr>
            <w:tcW w:w="1458" w:type="dxa"/>
          </w:tcPr>
          <w:p w:rsidR="008230DF" w:rsidRPr="008230DF" w:rsidRDefault="008230DF" w:rsidP="008230DF">
            <w:pPr>
              <w:rPr>
                <w:sz w:val="20"/>
              </w:rPr>
            </w:pPr>
            <w:r w:rsidRPr="008230DF">
              <w:rPr>
                <w:sz w:val="20"/>
              </w:rPr>
              <w:t>Coram :</w:t>
            </w:r>
          </w:p>
        </w:tc>
        <w:tc>
          <w:tcPr>
            <w:tcW w:w="8118" w:type="dxa"/>
          </w:tcPr>
          <w:p w:rsidR="008230DF" w:rsidRPr="008230DF" w:rsidRDefault="008230DF" w:rsidP="008230DF">
            <w:pPr>
              <w:rPr>
                <w:sz w:val="20"/>
                <w:lang w:val="fr-CA"/>
              </w:rPr>
            </w:pPr>
            <w:r w:rsidRPr="008230DF">
              <w:rPr>
                <w:sz w:val="20"/>
                <w:u w:val="single"/>
                <w:lang w:val="fr-CA"/>
              </w:rPr>
              <w:t>Les juges Abella, Karakatsanis et Côté</w:t>
            </w:r>
          </w:p>
          <w:p w:rsidR="008230DF" w:rsidRPr="008230DF" w:rsidRDefault="008230DF" w:rsidP="008230DF">
            <w:pPr>
              <w:rPr>
                <w:sz w:val="20"/>
                <w:u w:val="single"/>
                <w:lang w:val="fr-CA"/>
              </w:rPr>
            </w:pPr>
          </w:p>
        </w:tc>
      </w:tr>
      <w:tr w:rsidR="008230DF" w:rsidRPr="008230DF" w:rsidTr="006205C5">
        <w:trPr>
          <w:cantSplit/>
        </w:trPr>
        <w:tc>
          <w:tcPr>
            <w:tcW w:w="9576" w:type="dxa"/>
            <w:gridSpan w:val="2"/>
          </w:tcPr>
          <w:p w:rsidR="008230DF" w:rsidRPr="008230DF" w:rsidRDefault="008230DF" w:rsidP="008230DF">
            <w:pPr>
              <w:ind w:firstLine="720"/>
              <w:jc w:val="both"/>
              <w:rPr>
                <w:sz w:val="20"/>
                <w:lang w:val="fr-CA"/>
              </w:rPr>
            </w:pPr>
            <w:r w:rsidRPr="008230DF">
              <w:rPr>
                <w:sz w:val="20"/>
                <w:lang w:val="fr-CA"/>
              </w:rPr>
              <w:t>La requête en prorogation du délai de signification et de dépôt de la réponse des intimés Daniel Lafond, Frédérick Turenne, Louis-Pierre Lafortune, Jerry Purdy, Jocelyne Therrien et Roberto Amato, est accueillie. La demande d’autorisation d’appel de l’arrêt de la Cour supérieure du Québec, numéro 500-01-030728-098, daté du 28 octobre 2014, est rejetée sans dépens.</w:t>
            </w:r>
          </w:p>
          <w:p w:rsidR="008230DF" w:rsidRPr="008230DF" w:rsidRDefault="008230DF" w:rsidP="008230DF">
            <w:pPr>
              <w:jc w:val="both"/>
              <w:rPr>
                <w:sz w:val="20"/>
                <w:lang w:val="fr-CA"/>
              </w:rPr>
            </w:pPr>
          </w:p>
          <w:p w:rsidR="008230DF" w:rsidRPr="008230DF" w:rsidRDefault="008230DF" w:rsidP="008230DF">
            <w:pPr>
              <w:ind w:firstLine="720"/>
              <w:jc w:val="both"/>
              <w:rPr>
                <w:sz w:val="20"/>
              </w:rPr>
            </w:pPr>
            <w:r w:rsidRPr="008230DF">
              <w:rPr>
                <w:sz w:val="20"/>
              </w:rPr>
              <w:t>The motion for an extension of time to serve and file the response of the respondents Daniel Lafond, Frédérick Turenne, Louis-Pierre Lafortune, Jerry Purdy, Jocelyne Therrien and Roberto Amato, is granted. The application for leave to appeal from the judgment of the Superior Court of Quebec, Number 500-01-030728-098, dated October 28, 2014, is dismissed without costs.</w:t>
            </w:r>
          </w:p>
        </w:tc>
      </w:tr>
    </w:tbl>
    <w:p w:rsidR="00E112BD" w:rsidRDefault="00E112BD" w:rsidP="000E2959">
      <w:pPr>
        <w:rPr>
          <w:sz w:val="20"/>
          <w:szCs w:val="20"/>
        </w:rPr>
      </w:pPr>
    </w:p>
    <w:p w:rsidR="00E112BD" w:rsidRPr="001B157C" w:rsidRDefault="00E112BD" w:rsidP="00E112BD">
      <w:pPr>
        <w:rPr>
          <w:sz w:val="20"/>
          <w:szCs w:val="20"/>
          <w:u w:val="single"/>
        </w:rPr>
      </w:pPr>
      <w:r w:rsidRPr="001B157C">
        <w:rPr>
          <w:sz w:val="20"/>
          <w:szCs w:val="20"/>
          <w:u w:val="single"/>
        </w:rPr>
        <w:t>CASE SUMMARY</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4D1FE1" w:rsidRPr="00BD251B" w:rsidTr="004D7613">
        <w:tc>
          <w:tcPr>
            <w:tcW w:w="5000" w:type="pct"/>
          </w:tcPr>
          <w:p w:rsidR="004D1FE1" w:rsidRPr="00BD251B" w:rsidRDefault="004D1FE1" w:rsidP="004D7613">
            <w:pPr>
              <w:jc w:val="both"/>
              <w:rPr>
                <w:smallCaps/>
                <w:sz w:val="20"/>
              </w:rPr>
            </w:pPr>
            <w:r w:rsidRPr="00BD251B">
              <w:rPr>
                <w:smallCaps/>
                <w:sz w:val="20"/>
              </w:rPr>
              <w:t>(Publication Ban in Case)</w:t>
            </w:r>
          </w:p>
          <w:p w:rsidR="004D1FE1" w:rsidRPr="00BD251B" w:rsidRDefault="004D1FE1" w:rsidP="004D7613">
            <w:pPr>
              <w:jc w:val="both"/>
              <w:rPr>
                <w:smallCaps/>
                <w:sz w:val="20"/>
              </w:rPr>
            </w:pPr>
          </w:p>
          <w:p w:rsidR="004D1FE1" w:rsidRPr="00BD251B" w:rsidRDefault="004D1FE1" w:rsidP="004D1FE1">
            <w:pPr>
              <w:jc w:val="both"/>
              <w:rPr>
                <w:sz w:val="20"/>
              </w:rPr>
            </w:pPr>
            <w:r w:rsidRPr="00BD251B">
              <w:rPr>
                <w:sz w:val="20"/>
              </w:rPr>
              <w:t xml:space="preserve">This is an application for leave to appeal an order made in a criminal case prohibiting publication, broadcasting and transmission. </w:t>
            </w:r>
          </w:p>
        </w:tc>
      </w:tr>
    </w:tbl>
    <w:p w:rsidR="004D1FE1" w:rsidRPr="00BD251B" w:rsidRDefault="004D1FE1" w:rsidP="004D1FE1">
      <w:pPr>
        <w:ind w:left="360" w:hanging="360"/>
        <w:jc w:val="both"/>
        <w:rPr>
          <w:sz w:val="20"/>
        </w:rPr>
      </w:pPr>
    </w:p>
    <w:p w:rsidR="00E112BD" w:rsidRPr="00C50A5C" w:rsidRDefault="005B7E98" w:rsidP="00E112BD">
      <w:pPr>
        <w:rPr>
          <w:sz w:val="20"/>
          <w:szCs w:val="20"/>
        </w:rPr>
      </w:pPr>
      <w:r>
        <w:rPr>
          <w:sz w:val="20"/>
          <w:szCs w:val="20"/>
          <w:lang w:val="fr-CA"/>
        </w:rPr>
        <w:pict>
          <v:rect id="_x0000_i1046" style="width:2in;height:1pt" o:hrpct="0" o:hralign="center" o:hrstd="t" o:hrnoshade="t" o:hr="t" fillcolor="black [3213]" stroked="f"/>
        </w:pict>
      </w:r>
    </w:p>
    <w:p w:rsidR="00E112BD" w:rsidRDefault="00E112BD" w:rsidP="00E112BD">
      <w:pPr>
        <w:rPr>
          <w:sz w:val="20"/>
          <w:szCs w:val="20"/>
        </w:rPr>
      </w:pPr>
    </w:p>
    <w:p w:rsidR="00E112BD" w:rsidRPr="001B157C" w:rsidRDefault="00E112BD" w:rsidP="00E112BD">
      <w:pPr>
        <w:rPr>
          <w:sz w:val="20"/>
          <w:szCs w:val="20"/>
          <w:u w:val="single"/>
          <w:lang w:val="fr-CA"/>
        </w:rPr>
      </w:pPr>
      <w:r w:rsidRPr="001B157C">
        <w:rPr>
          <w:sz w:val="20"/>
          <w:szCs w:val="20"/>
          <w:u w:val="single"/>
          <w:lang w:val="fr-CA"/>
        </w:rPr>
        <w:t>RÉSUMÉ DE L’AFFAIRE</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4D1FE1" w:rsidRPr="00376356" w:rsidTr="004D7613">
        <w:tc>
          <w:tcPr>
            <w:tcW w:w="5000" w:type="pct"/>
          </w:tcPr>
          <w:p w:rsidR="004D1FE1" w:rsidRPr="00BD251B" w:rsidRDefault="004D1FE1" w:rsidP="004D7613">
            <w:pPr>
              <w:jc w:val="both"/>
              <w:rPr>
                <w:smallCaps/>
                <w:sz w:val="20"/>
                <w:lang w:val="fr-CA"/>
              </w:rPr>
            </w:pPr>
            <w:r w:rsidRPr="00BD251B">
              <w:rPr>
                <w:smallCaps/>
                <w:sz w:val="20"/>
                <w:lang w:val="fr-CA"/>
              </w:rPr>
              <w:t>(Ordonnance de non-publication dans le dossier)</w:t>
            </w:r>
          </w:p>
          <w:p w:rsidR="004D1FE1" w:rsidRPr="00BD251B" w:rsidRDefault="004D1FE1" w:rsidP="004D7613">
            <w:pPr>
              <w:jc w:val="both"/>
              <w:rPr>
                <w:sz w:val="20"/>
                <w:lang w:val="fr-CA"/>
              </w:rPr>
            </w:pPr>
          </w:p>
          <w:p w:rsidR="004D1FE1" w:rsidRPr="00BD251B" w:rsidRDefault="004D1FE1" w:rsidP="004D1FE1">
            <w:pPr>
              <w:jc w:val="both"/>
              <w:rPr>
                <w:sz w:val="20"/>
                <w:lang w:val="fr-CA"/>
              </w:rPr>
            </w:pPr>
            <w:r w:rsidRPr="00BD251B">
              <w:rPr>
                <w:sz w:val="20"/>
                <w:lang w:val="fr-CA"/>
              </w:rPr>
              <w:t xml:space="preserve">Il s’agit d’une demande d’autorisation d’interjeter appel d’une ordonnance de non-publication et de non-diffusion rendue dans une affaire criminelle. </w:t>
            </w:r>
          </w:p>
        </w:tc>
      </w:tr>
    </w:tbl>
    <w:p w:rsidR="004D1FE1" w:rsidRPr="00BD251B" w:rsidRDefault="004D1FE1" w:rsidP="004D1FE1">
      <w:pPr>
        <w:ind w:left="360" w:hanging="360"/>
        <w:jc w:val="both"/>
        <w:rPr>
          <w:sz w:val="20"/>
          <w:lang w:val="fr-CA"/>
        </w:rPr>
      </w:pPr>
    </w:p>
    <w:p w:rsidR="00E112BD" w:rsidRDefault="005B7E98" w:rsidP="00E112BD">
      <w:pPr>
        <w:rPr>
          <w:sz w:val="20"/>
          <w:szCs w:val="20"/>
        </w:rPr>
      </w:pPr>
      <w:r>
        <w:rPr>
          <w:sz w:val="20"/>
          <w:szCs w:val="20"/>
          <w:lang w:val="fr-CA"/>
        </w:rPr>
        <w:pict>
          <v:rect id="_x0000_i1047" style="width:2in;height:1pt" o:hrpct="0" o:hralign="center" o:hrstd="t" o:hrnoshade="t" o:hr="t" fillcolor="black [3213]" stroked="f"/>
        </w:pict>
      </w:r>
    </w:p>
    <w:p w:rsidR="00E112BD" w:rsidRDefault="00E112BD" w:rsidP="00E112B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66D7" w:rsidRPr="00392F0F" w:rsidTr="006205C5">
        <w:trPr>
          <w:cantSplit/>
        </w:trPr>
        <w:tc>
          <w:tcPr>
            <w:tcW w:w="1458" w:type="dxa"/>
          </w:tcPr>
          <w:p w:rsidR="008866D7" w:rsidRPr="00392F0F" w:rsidRDefault="008866D7" w:rsidP="006205C5">
            <w:pPr>
              <w:rPr>
                <w:sz w:val="20"/>
                <w:szCs w:val="20"/>
              </w:rPr>
            </w:pPr>
            <w:r w:rsidRPr="00392F0F">
              <w:rPr>
                <w:rStyle w:val="SCCFileNumberChar"/>
                <w:sz w:val="20"/>
                <w:szCs w:val="20"/>
              </w:rPr>
              <w:t>36250</w:t>
            </w:r>
          </w:p>
          <w:p w:rsidR="008866D7" w:rsidRPr="00392F0F" w:rsidRDefault="008866D7" w:rsidP="006205C5">
            <w:pPr>
              <w:rPr>
                <w:b/>
                <w:sz w:val="20"/>
                <w:szCs w:val="20"/>
                <w:lang w:val="fr-CA"/>
              </w:rPr>
            </w:pPr>
          </w:p>
        </w:tc>
        <w:tc>
          <w:tcPr>
            <w:tcW w:w="8118" w:type="dxa"/>
          </w:tcPr>
          <w:p w:rsidR="008866D7" w:rsidRPr="00392F0F" w:rsidRDefault="008866D7" w:rsidP="006205C5">
            <w:pPr>
              <w:jc w:val="both"/>
              <w:rPr>
                <w:sz w:val="20"/>
                <w:szCs w:val="20"/>
              </w:rPr>
            </w:pPr>
            <w:r w:rsidRPr="00392F0F">
              <w:rPr>
                <w:rStyle w:val="SCCLsocChar"/>
                <w:sz w:val="20"/>
                <w:szCs w:val="20"/>
                <w:lang w:val="en-CA"/>
              </w:rPr>
              <w:t>Ayanle Omar v. Her Majesty the Queen</w:t>
            </w:r>
            <w:r w:rsidR="005E41FF">
              <w:rPr>
                <w:rStyle w:val="SCCLsocChar"/>
                <w:sz w:val="20"/>
                <w:szCs w:val="20"/>
                <w:lang w:val="en-CA"/>
              </w:rPr>
              <w:t xml:space="preserve"> and</w:t>
            </w:r>
            <w:r w:rsidRPr="00392F0F">
              <w:rPr>
                <w:rStyle w:val="SCCLsocChar"/>
                <w:sz w:val="20"/>
                <w:szCs w:val="20"/>
                <w:lang w:val="en-CA"/>
              </w:rPr>
              <w:t xml:space="preserve"> Her Majesty the Queen in Right of Ontario</w:t>
            </w:r>
            <w:r w:rsidRPr="00392F0F">
              <w:rPr>
                <w:sz w:val="20"/>
                <w:szCs w:val="20"/>
              </w:rPr>
              <w:t xml:space="preserve"> (Ont.) (Criminal) (By Leave)</w:t>
            </w:r>
          </w:p>
          <w:p w:rsidR="008866D7" w:rsidRPr="00392F0F" w:rsidRDefault="008866D7" w:rsidP="006205C5">
            <w:pPr>
              <w:jc w:val="both"/>
              <w:rPr>
                <w:sz w:val="20"/>
                <w:szCs w:val="20"/>
              </w:rPr>
            </w:pPr>
          </w:p>
        </w:tc>
      </w:tr>
      <w:tr w:rsidR="008866D7" w:rsidRPr="00392F0F" w:rsidTr="006205C5">
        <w:trPr>
          <w:cantSplit/>
        </w:trPr>
        <w:tc>
          <w:tcPr>
            <w:tcW w:w="1458" w:type="dxa"/>
          </w:tcPr>
          <w:p w:rsidR="008866D7" w:rsidRPr="00392F0F" w:rsidRDefault="008866D7" w:rsidP="006205C5">
            <w:pPr>
              <w:rPr>
                <w:sz w:val="20"/>
                <w:szCs w:val="20"/>
              </w:rPr>
            </w:pPr>
            <w:r w:rsidRPr="00392F0F">
              <w:rPr>
                <w:sz w:val="20"/>
                <w:szCs w:val="20"/>
              </w:rPr>
              <w:t>Coram :</w:t>
            </w:r>
          </w:p>
        </w:tc>
        <w:tc>
          <w:tcPr>
            <w:tcW w:w="8118" w:type="dxa"/>
          </w:tcPr>
          <w:p w:rsidR="008866D7" w:rsidRPr="00392F0F" w:rsidRDefault="008866D7" w:rsidP="006205C5">
            <w:pPr>
              <w:rPr>
                <w:sz w:val="20"/>
                <w:szCs w:val="20"/>
              </w:rPr>
            </w:pPr>
            <w:r w:rsidRPr="00392F0F">
              <w:rPr>
                <w:rStyle w:val="SCCCoramChar"/>
                <w:sz w:val="20"/>
                <w:szCs w:val="20"/>
                <w:lang w:val="en-CA"/>
              </w:rPr>
              <w:t>Rothstein, Cromwell and Moldaver JJ.</w:t>
            </w:r>
          </w:p>
          <w:p w:rsidR="008866D7" w:rsidRPr="00392F0F" w:rsidRDefault="008866D7" w:rsidP="006205C5">
            <w:pPr>
              <w:rPr>
                <w:sz w:val="20"/>
                <w:szCs w:val="20"/>
                <w:u w:val="single"/>
              </w:rPr>
            </w:pPr>
          </w:p>
        </w:tc>
      </w:tr>
      <w:tr w:rsidR="008866D7" w:rsidRPr="00376356" w:rsidTr="006205C5">
        <w:trPr>
          <w:cantSplit/>
        </w:trPr>
        <w:tc>
          <w:tcPr>
            <w:tcW w:w="9576" w:type="dxa"/>
            <w:gridSpan w:val="2"/>
          </w:tcPr>
          <w:p w:rsidR="008866D7" w:rsidRPr="00392F0F" w:rsidRDefault="008866D7" w:rsidP="006205C5">
            <w:pPr>
              <w:pStyle w:val="SCCShortJudgment"/>
              <w:rPr>
                <w:szCs w:val="20"/>
              </w:rPr>
            </w:pPr>
            <w:r w:rsidRPr="00392F0F">
              <w:rPr>
                <w:szCs w:val="20"/>
              </w:rPr>
              <w:t>The motion for an extension of time to serve and file the application for leave to appeal is granted. The application for leave to appeal from the judgment of the Ontario Superior Court of Justice, Number  CR-14-10000128-00MO, 2014 ONSC 3981, dated July 2, 2014, is dismissed without costs.</w:t>
            </w:r>
          </w:p>
          <w:p w:rsidR="008866D7" w:rsidRPr="00392F0F" w:rsidRDefault="008866D7" w:rsidP="006205C5">
            <w:pPr>
              <w:pStyle w:val="SCCShortJudgment"/>
              <w:ind w:firstLine="0"/>
              <w:rPr>
                <w:szCs w:val="20"/>
              </w:rPr>
            </w:pPr>
          </w:p>
          <w:p w:rsidR="008866D7" w:rsidRPr="00392F0F" w:rsidRDefault="008866D7" w:rsidP="006205C5">
            <w:pPr>
              <w:pStyle w:val="SCCShortJudgment"/>
              <w:rPr>
                <w:szCs w:val="20"/>
                <w:lang w:val="fr-CA"/>
              </w:rPr>
            </w:pPr>
            <w:r w:rsidRPr="00392F0F">
              <w:rPr>
                <w:szCs w:val="20"/>
                <w:lang w:val="fr-CA"/>
              </w:rPr>
              <w:t>La requête en prorogation du délai de signification et de dépôt de la demande d’autorisation d’appel est accueillie. La demande d’autorisation d’appel de l’arrêt de la Cour supérieur de justice de l’Ontario, numéro CR-14-10000128-00MO, 2014 ONSC 3981, daté du 2 juillet 2014, est rejetée sans dépens.</w:t>
            </w:r>
          </w:p>
        </w:tc>
      </w:tr>
    </w:tbl>
    <w:p w:rsidR="00E112BD" w:rsidRPr="008866D7" w:rsidRDefault="00E112BD" w:rsidP="00E112BD">
      <w:pPr>
        <w:rPr>
          <w:sz w:val="20"/>
          <w:szCs w:val="20"/>
          <w:lang w:val="fr-CA"/>
        </w:rPr>
      </w:pPr>
    </w:p>
    <w:p w:rsidR="00E112BD" w:rsidRPr="001B157C" w:rsidRDefault="00E112BD" w:rsidP="00E112BD">
      <w:pPr>
        <w:rPr>
          <w:sz w:val="20"/>
          <w:szCs w:val="20"/>
          <w:u w:val="single"/>
        </w:rPr>
      </w:pPr>
      <w:r w:rsidRPr="001B157C">
        <w:rPr>
          <w:sz w:val="20"/>
          <w:szCs w:val="20"/>
          <w:u w:val="single"/>
        </w:rPr>
        <w:lastRenderedPageBreak/>
        <w:t>CASE SUMMARY</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1FE1" w:rsidRPr="00BD251B" w:rsidTr="004D7613">
        <w:tc>
          <w:tcPr>
            <w:tcW w:w="5000" w:type="pct"/>
            <w:gridSpan w:val="3"/>
          </w:tcPr>
          <w:p w:rsidR="004D1FE1" w:rsidRPr="00BD251B" w:rsidRDefault="004D1FE1" w:rsidP="004D7613">
            <w:pPr>
              <w:jc w:val="both"/>
              <w:rPr>
                <w:sz w:val="20"/>
              </w:rPr>
            </w:pPr>
            <w:r w:rsidRPr="00BD251B">
              <w:rPr>
                <w:sz w:val="20"/>
              </w:rPr>
              <w:t>Criminal law — Appeals — Interlocutory orders — Investigation involving wiretap authorizations to intercept private communications — Trial court refusing accused’s application for Crown’s full disclosure of information to obtain authorizations — Whether this Court has jurisdiction to grant leave to appeal trial court’s disclosure ruling? — Whether Crown required to disclose all information in investigative file?</w:t>
            </w:r>
          </w:p>
        </w:tc>
      </w:tr>
      <w:tr w:rsidR="004D1FE1" w:rsidRPr="00BD251B" w:rsidTr="004D7613">
        <w:tc>
          <w:tcPr>
            <w:tcW w:w="5000" w:type="pct"/>
            <w:gridSpan w:val="3"/>
          </w:tcPr>
          <w:p w:rsidR="004D1FE1" w:rsidRPr="00BD251B" w:rsidRDefault="004D1FE1" w:rsidP="004D7613">
            <w:pPr>
              <w:jc w:val="both"/>
              <w:rPr>
                <w:sz w:val="20"/>
              </w:rPr>
            </w:pPr>
          </w:p>
        </w:tc>
      </w:tr>
      <w:tr w:rsidR="004D1FE1" w:rsidRPr="00BD251B" w:rsidTr="004D7613">
        <w:tc>
          <w:tcPr>
            <w:tcW w:w="5000" w:type="pct"/>
            <w:gridSpan w:val="3"/>
          </w:tcPr>
          <w:p w:rsidR="004D1FE1" w:rsidRPr="00BD251B" w:rsidRDefault="004D1FE1" w:rsidP="004D7613">
            <w:pPr>
              <w:jc w:val="both"/>
              <w:rPr>
                <w:sz w:val="20"/>
              </w:rPr>
            </w:pPr>
            <w:r w:rsidRPr="00BD251B">
              <w:rPr>
                <w:sz w:val="20"/>
              </w:rPr>
              <w:t>This leave application relates to charges stemming from an investigation called “Project Traveller”, conducted by the Toronto Police Service Guns and Gangs Unit.  The investigation targeted an alleged street gang known as the Dixon Road Bloods.  In 2012, at the conclusion of the investigation, the police arrested nearly fifty people and charged them with offences relating to being members of a criminal organization.  For trial management purposes, those charged were subdivided into six separate prosecutions.  The federal Crown has carriage of some prosecutions and the provincial Crown has carriage of others. Both the federal and provincial Crowns are respondents here.</w:t>
            </w:r>
          </w:p>
          <w:p w:rsidR="004D1FE1" w:rsidRPr="00BD251B" w:rsidRDefault="004D1FE1" w:rsidP="004D7613">
            <w:pPr>
              <w:jc w:val="both"/>
              <w:rPr>
                <w:sz w:val="20"/>
              </w:rPr>
            </w:pPr>
          </w:p>
          <w:p w:rsidR="004D1FE1" w:rsidRPr="00BD251B" w:rsidRDefault="004D1FE1" w:rsidP="004D7613">
            <w:pPr>
              <w:jc w:val="both"/>
              <w:rPr>
                <w:sz w:val="20"/>
              </w:rPr>
            </w:pPr>
            <w:r w:rsidRPr="00BD251B">
              <w:rPr>
                <w:sz w:val="20"/>
              </w:rPr>
              <w:t xml:space="preserve">The investigation involved two wiretap authorizations to intercept private communications and during the pre-trial proceedings, the applicant, Mr. Omar, requested disclosure of the information to obtain them (the “ITO”).  When the Crown disclosed only part of ITO, Mr. Omar applied to the Superior Court for an order, but it ruled against him. </w:t>
            </w:r>
          </w:p>
          <w:p w:rsidR="004D1FE1" w:rsidRPr="00BD251B" w:rsidRDefault="004D1FE1" w:rsidP="004D7613">
            <w:pPr>
              <w:jc w:val="both"/>
              <w:rPr>
                <w:sz w:val="20"/>
              </w:rPr>
            </w:pPr>
          </w:p>
        </w:tc>
      </w:tr>
      <w:tr w:rsidR="004D1FE1" w:rsidRPr="00BD251B" w:rsidTr="004D7613">
        <w:tc>
          <w:tcPr>
            <w:tcW w:w="2427" w:type="pct"/>
          </w:tcPr>
          <w:p w:rsidR="004D1FE1" w:rsidRPr="00BD251B" w:rsidRDefault="004D1FE1" w:rsidP="004D7613">
            <w:pPr>
              <w:jc w:val="both"/>
              <w:rPr>
                <w:sz w:val="20"/>
              </w:rPr>
            </w:pPr>
            <w:r w:rsidRPr="00BD251B">
              <w:rPr>
                <w:sz w:val="20"/>
              </w:rPr>
              <w:t>July 2, 2014</w:t>
            </w:r>
          </w:p>
          <w:p w:rsidR="004D1FE1" w:rsidRPr="00BD251B" w:rsidRDefault="004D1FE1" w:rsidP="004D7613">
            <w:pPr>
              <w:jc w:val="both"/>
              <w:rPr>
                <w:sz w:val="20"/>
              </w:rPr>
            </w:pPr>
            <w:r w:rsidRPr="00BD251B">
              <w:rPr>
                <w:sz w:val="20"/>
              </w:rPr>
              <w:t>Ontario Superior Court of Justice</w:t>
            </w:r>
          </w:p>
          <w:p w:rsidR="004D1FE1" w:rsidRPr="00BD251B" w:rsidRDefault="004D1FE1" w:rsidP="004D7613">
            <w:pPr>
              <w:jc w:val="both"/>
              <w:rPr>
                <w:sz w:val="20"/>
              </w:rPr>
            </w:pPr>
            <w:r w:rsidRPr="00BD251B">
              <w:rPr>
                <w:sz w:val="20"/>
              </w:rPr>
              <w:t>(Clark J.)</w:t>
            </w:r>
          </w:p>
          <w:p w:rsidR="004D1FE1" w:rsidRPr="00BD251B" w:rsidRDefault="005B7E98" w:rsidP="004D7613">
            <w:pPr>
              <w:jc w:val="both"/>
              <w:rPr>
                <w:sz w:val="20"/>
              </w:rPr>
            </w:pPr>
            <w:hyperlink r:id="rId25" w:history="1">
              <w:r w:rsidR="004D1FE1" w:rsidRPr="00BD251B">
                <w:rPr>
                  <w:color w:val="0000FF" w:themeColor="hyperlink"/>
                  <w:sz w:val="20"/>
                  <w:u w:val="single"/>
                </w:rPr>
                <w:t>2014 ONSC 3981</w:t>
              </w:r>
            </w:hyperlink>
            <w:r w:rsidR="004D1FE1" w:rsidRPr="00BD251B">
              <w:rPr>
                <w:sz w:val="20"/>
              </w:rPr>
              <w:t xml:space="preserve"> </w:t>
            </w:r>
          </w:p>
          <w:p w:rsidR="004D1FE1" w:rsidRPr="00BD251B" w:rsidRDefault="004D1FE1" w:rsidP="004D7613">
            <w:pPr>
              <w:jc w:val="both"/>
              <w:rPr>
                <w:sz w:val="20"/>
              </w:rPr>
            </w:pPr>
          </w:p>
        </w:tc>
        <w:tc>
          <w:tcPr>
            <w:tcW w:w="243" w:type="pct"/>
          </w:tcPr>
          <w:p w:rsidR="004D1FE1" w:rsidRPr="00BD251B" w:rsidRDefault="004D1FE1" w:rsidP="004D7613">
            <w:pPr>
              <w:jc w:val="both"/>
              <w:rPr>
                <w:sz w:val="20"/>
              </w:rPr>
            </w:pPr>
          </w:p>
        </w:tc>
        <w:tc>
          <w:tcPr>
            <w:tcW w:w="2330" w:type="pct"/>
          </w:tcPr>
          <w:p w:rsidR="004D1FE1" w:rsidRPr="00BD251B" w:rsidRDefault="004D1FE1" w:rsidP="004D7613">
            <w:pPr>
              <w:jc w:val="both"/>
              <w:rPr>
                <w:sz w:val="20"/>
              </w:rPr>
            </w:pPr>
            <w:r w:rsidRPr="00BD251B">
              <w:rPr>
                <w:sz w:val="20"/>
              </w:rPr>
              <w:t>Disclosure application dismissed.</w:t>
            </w:r>
          </w:p>
          <w:p w:rsidR="004D1FE1" w:rsidRPr="00BD251B" w:rsidRDefault="004D1FE1" w:rsidP="004D7613">
            <w:pPr>
              <w:jc w:val="both"/>
              <w:rPr>
                <w:sz w:val="20"/>
              </w:rPr>
            </w:pPr>
          </w:p>
        </w:tc>
      </w:tr>
      <w:tr w:rsidR="004D1FE1" w:rsidRPr="00BD251B" w:rsidTr="004D7613">
        <w:tc>
          <w:tcPr>
            <w:tcW w:w="2427" w:type="pct"/>
          </w:tcPr>
          <w:p w:rsidR="004D1FE1" w:rsidRPr="00BD251B" w:rsidRDefault="004D1FE1" w:rsidP="004D7613">
            <w:pPr>
              <w:jc w:val="both"/>
              <w:rPr>
                <w:sz w:val="20"/>
              </w:rPr>
            </w:pPr>
            <w:r w:rsidRPr="00BD251B">
              <w:rPr>
                <w:sz w:val="20"/>
              </w:rPr>
              <w:t>January 9, 2015</w:t>
            </w:r>
          </w:p>
          <w:p w:rsidR="004D1FE1" w:rsidRPr="00BD251B" w:rsidRDefault="004D1FE1" w:rsidP="004D7613">
            <w:pPr>
              <w:jc w:val="both"/>
              <w:rPr>
                <w:sz w:val="20"/>
              </w:rPr>
            </w:pPr>
            <w:r w:rsidRPr="00BD251B">
              <w:rPr>
                <w:sz w:val="20"/>
              </w:rPr>
              <w:t>Supreme Court of Canada</w:t>
            </w:r>
          </w:p>
          <w:p w:rsidR="004D1FE1" w:rsidRPr="00BD251B" w:rsidRDefault="004D1FE1" w:rsidP="004D7613">
            <w:pPr>
              <w:jc w:val="both"/>
              <w:rPr>
                <w:sz w:val="20"/>
              </w:rPr>
            </w:pPr>
          </w:p>
        </w:tc>
        <w:tc>
          <w:tcPr>
            <w:tcW w:w="243" w:type="pct"/>
          </w:tcPr>
          <w:p w:rsidR="004D1FE1" w:rsidRPr="00BD251B" w:rsidRDefault="004D1FE1" w:rsidP="004D7613">
            <w:pPr>
              <w:jc w:val="both"/>
              <w:rPr>
                <w:sz w:val="20"/>
              </w:rPr>
            </w:pPr>
          </w:p>
        </w:tc>
        <w:tc>
          <w:tcPr>
            <w:tcW w:w="2330" w:type="pct"/>
          </w:tcPr>
          <w:p w:rsidR="004D1FE1" w:rsidRPr="00BD251B" w:rsidRDefault="004D1FE1" w:rsidP="004D7613">
            <w:pPr>
              <w:jc w:val="both"/>
              <w:rPr>
                <w:sz w:val="20"/>
              </w:rPr>
            </w:pPr>
            <w:r w:rsidRPr="00BD251B">
              <w:rPr>
                <w:sz w:val="20"/>
              </w:rPr>
              <w:t>Application for leave to appeal filed together with motion for extension of time to serve and file application itself.</w:t>
            </w:r>
          </w:p>
        </w:tc>
      </w:tr>
    </w:tbl>
    <w:p w:rsidR="00E112BD" w:rsidRPr="004D1FE1" w:rsidRDefault="00E112BD" w:rsidP="00E112BD">
      <w:pPr>
        <w:rPr>
          <w:sz w:val="20"/>
          <w:szCs w:val="20"/>
        </w:rPr>
      </w:pPr>
    </w:p>
    <w:p w:rsidR="00E112BD" w:rsidRPr="00C50A5C" w:rsidRDefault="005B7E98" w:rsidP="00E112BD">
      <w:pPr>
        <w:rPr>
          <w:sz w:val="20"/>
          <w:szCs w:val="20"/>
        </w:rPr>
      </w:pPr>
      <w:r>
        <w:rPr>
          <w:sz w:val="20"/>
          <w:szCs w:val="20"/>
          <w:lang w:val="fr-CA"/>
        </w:rPr>
        <w:pict>
          <v:rect id="_x0000_i1048" style="width:2in;height:1pt" o:hrpct="0" o:hralign="center" o:hrstd="t" o:hrnoshade="t" o:hr="t" fillcolor="black [3213]" stroked="f"/>
        </w:pict>
      </w:r>
    </w:p>
    <w:p w:rsidR="00E112BD" w:rsidRDefault="00E112BD" w:rsidP="00E112BD">
      <w:pPr>
        <w:rPr>
          <w:sz w:val="20"/>
          <w:szCs w:val="20"/>
        </w:rPr>
      </w:pPr>
    </w:p>
    <w:p w:rsidR="00E112BD" w:rsidRPr="001B157C" w:rsidRDefault="00E112BD" w:rsidP="00E112BD">
      <w:pPr>
        <w:rPr>
          <w:sz w:val="20"/>
          <w:szCs w:val="20"/>
          <w:u w:val="single"/>
          <w:lang w:val="fr-CA"/>
        </w:rPr>
      </w:pPr>
      <w:r w:rsidRPr="001B157C">
        <w:rPr>
          <w:sz w:val="20"/>
          <w:szCs w:val="20"/>
          <w:u w:val="single"/>
          <w:lang w:val="fr-CA"/>
        </w:rPr>
        <w:t>RÉSUMÉ DE L’AFFAIRE</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1FE1" w:rsidRPr="00A12C1D" w:rsidTr="004D7613">
        <w:tc>
          <w:tcPr>
            <w:tcW w:w="5000" w:type="pct"/>
            <w:gridSpan w:val="3"/>
          </w:tcPr>
          <w:p w:rsidR="004D1FE1" w:rsidRPr="00BD251B" w:rsidRDefault="004D1FE1" w:rsidP="004D7613">
            <w:pPr>
              <w:jc w:val="both"/>
              <w:rPr>
                <w:sz w:val="20"/>
                <w:lang w:val="fr-CA"/>
              </w:rPr>
            </w:pPr>
            <w:r w:rsidRPr="00BD251B">
              <w:rPr>
                <w:sz w:val="20"/>
                <w:lang w:val="fr-CA"/>
              </w:rPr>
              <w:t>Droit criminel — Appels — Ordonnances interlocutoires — Enquête dans le cadre duquel il y a eu des autorisations d’écoute électronique pour intercepter des communications privées — Le tribunal de première instance a rejeté la demande de l’accusé pour que le ministère public lui communique au complet la dénonciation en vue d’obtenir les autorisations — Cette Cour a-t-elle compétence pour accorder l’autorisation d’appel du jugement du tribunal de première instance portant sur la communication? — Le ministère public est-il tenu de communiquer au complet la dénonciation dans un dossier d’enquête?</w:t>
            </w:r>
          </w:p>
        </w:tc>
      </w:tr>
      <w:tr w:rsidR="004D1FE1" w:rsidRPr="00A12C1D" w:rsidTr="004D7613">
        <w:tc>
          <w:tcPr>
            <w:tcW w:w="5000" w:type="pct"/>
            <w:gridSpan w:val="3"/>
          </w:tcPr>
          <w:p w:rsidR="004D1FE1" w:rsidRPr="00BD251B" w:rsidRDefault="004D1FE1" w:rsidP="004D7613">
            <w:pPr>
              <w:jc w:val="both"/>
              <w:rPr>
                <w:sz w:val="20"/>
                <w:lang w:val="fr-CA"/>
              </w:rPr>
            </w:pPr>
          </w:p>
        </w:tc>
      </w:tr>
      <w:tr w:rsidR="004D1FE1" w:rsidRPr="00A12C1D" w:rsidTr="004D7613">
        <w:tc>
          <w:tcPr>
            <w:tcW w:w="5000" w:type="pct"/>
            <w:gridSpan w:val="3"/>
          </w:tcPr>
          <w:p w:rsidR="004D1FE1" w:rsidRPr="00BD251B" w:rsidRDefault="004D1FE1" w:rsidP="004D7613">
            <w:pPr>
              <w:jc w:val="both"/>
              <w:rPr>
                <w:sz w:val="20"/>
                <w:lang w:val="fr-CA"/>
              </w:rPr>
            </w:pPr>
            <w:r w:rsidRPr="00BD251B">
              <w:rPr>
                <w:sz w:val="20"/>
                <w:lang w:val="fr-CA"/>
              </w:rPr>
              <w:t>La présente demande d’autorisation a trait à des accusations portées à l’issue d’une enquête nommée [</w:t>
            </w:r>
            <w:r w:rsidRPr="00BD251B">
              <w:rPr>
                <w:smallCaps/>
                <w:sz w:val="20"/>
                <w:lang w:val="fr-CA"/>
              </w:rPr>
              <w:t>traduction</w:t>
            </w:r>
            <w:r w:rsidRPr="00BD251B">
              <w:rPr>
                <w:sz w:val="20"/>
                <w:lang w:val="fr-CA"/>
              </w:rPr>
              <w:t>] « Projet voyageur », menée par l’unité des armes à feu et des gangs du service de police de Toronto.  L’enquête ciblait un présumé gang de rue appelé « Dixon Road Bloods ».  En 2012, à l’issue de l’enquête, la police a arrêté une cinquantaine de personnes et les a accusées d’infractions liées à leur appartenance à une organisation criminelle.  Aux fins de la gestion de l’instance, l’ensemble des accusés a été divisé en six groupes dont chacun a fait l’objet d’une poursuite distincte.  Le ministère public fédéral est chargé de certaines poursuites alors que le ministère public provincial s’occupe des autres.  Sa Majesté du chef du Canada et Sa Majesté du chef de l’Ontario sont intimées en l’espèce.</w:t>
            </w:r>
          </w:p>
          <w:p w:rsidR="004D1FE1" w:rsidRPr="00BD251B" w:rsidRDefault="004D1FE1" w:rsidP="004D7613">
            <w:pPr>
              <w:jc w:val="both"/>
              <w:rPr>
                <w:sz w:val="20"/>
                <w:lang w:val="fr-CA"/>
              </w:rPr>
            </w:pPr>
          </w:p>
          <w:p w:rsidR="004D1FE1" w:rsidRPr="00BD251B" w:rsidRDefault="004D1FE1" w:rsidP="004D7613">
            <w:pPr>
              <w:jc w:val="both"/>
              <w:rPr>
                <w:sz w:val="20"/>
                <w:lang w:val="fr-CA"/>
              </w:rPr>
            </w:pPr>
            <w:r w:rsidRPr="00BD251B">
              <w:rPr>
                <w:sz w:val="20"/>
                <w:lang w:val="fr-CA"/>
              </w:rPr>
              <w:t xml:space="preserve">Dans le cadre de l’enquête, il y a eu deux autorisations d’écoute électronique pour intercepter des communications privées et au cours des procédures préalables au procès, le demandeur, M. Omar, a demandé qu’on lui communique la dénonciation en vue d’obtenir ces autorisations (la « Dénonciation »).  Lorsque le ministère public n’a communiqué la Dénonciation qu’en partie, M. Omar a demandé une ordonnance à la Cour supérieure, mais il a été débouté. </w:t>
            </w:r>
          </w:p>
          <w:p w:rsidR="004D1FE1" w:rsidRPr="00BD251B" w:rsidRDefault="004D1FE1" w:rsidP="004D7613">
            <w:pPr>
              <w:jc w:val="both"/>
              <w:rPr>
                <w:sz w:val="20"/>
                <w:lang w:val="fr-CA"/>
              </w:rPr>
            </w:pPr>
          </w:p>
        </w:tc>
      </w:tr>
      <w:tr w:rsidR="004D1FE1" w:rsidRPr="00A12C1D" w:rsidTr="004D7613">
        <w:tc>
          <w:tcPr>
            <w:tcW w:w="2427" w:type="pct"/>
          </w:tcPr>
          <w:p w:rsidR="004D1FE1" w:rsidRPr="00BD251B" w:rsidRDefault="004D1FE1" w:rsidP="004D7613">
            <w:pPr>
              <w:jc w:val="both"/>
              <w:rPr>
                <w:sz w:val="20"/>
                <w:lang w:val="fr-CA"/>
              </w:rPr>
            </w:pPr>
            <w:r w:rsidRPr="00BD251B">
              <w:rPr>
                <w:sz w:val="20"/>
                <w:lang w:val="fr-CA"/>
              </w:rPr>
              <w:lastRenderedPageBreak/>
              <w:t>2 juillet 2014</w:t>
            </w:r>
          </w:p>
          <w:p w:rsidR="004D1FE1" w:rsidRPr="00BD251B" w:rsidRDefault="004D1FE1" w:rsidP="004D7613">
            <w:pPr>
              <w:jc w:val="both"/>
              <w:rPr>
                <w:sz w:val="20"/>
                <w:lang w:val="fr-CA"/>
              </w:rPr>
            </w:pPr>
            <w:r w:rsidRPr="00BD251B">
              <w:rPr>
                <w:sz w:val="20"/>
                <w:lang w:val="fr-CA"/>
              </w:rPr>
              <w:t>Cour supérieure de justice de l’Ontario</w:t>
            </w:r>
          </w:p>
          <w:p w:rsidR="004D1FE1" w:rsidRPr="00BD251B" w:rsidRDefault="004D1FE1" w:rsidP="004D7613">
            <w:pPr>
              <w:jc w:val="both"/>
              <w:rPr>
                <w:sz w:val="20"/>
                <w:lang w:val="fr-CA"/>
              </w:rPr>
            </w:pPr>
            <w:r w:rsidRPr="00BD251B">
              <w:rPr>
                <w:sz w:val="20"/>
                <w:lang w:val="fr-CA"/>
              </w:rPr>
              <w:t>(Juge Clark)</w:t>
            </w:r>
          </w:p>
          <w:p w:rsidR="004D1FE1" w:rsidRPr="00BD251B" w:rsidRDefault="005B7E98" w:rsidP="004D7613">
            <w:pPr>
              <w:jc w:val="both"/>
              <w:rPr>
                <w:sz w:val="20"/>
                <w:lang w:val="fr-CA"/>
              </w:rPr>
            </w:pPr>
            <w:hyperlink r:id="rId26" w:history="1">
              <w:r w:rsidR="004D1FE1" w:rsidRPr="00BD251B">
                <w:rPr>
                  <w:color w:val="0000FF" w:themeColor="hyperlink"/>
                  <w:sz w:val="20"/>
                  <w:u w:val="single"/>
                  <w:lang w:val="fr-CA"/>
                </w:rPr>
                <w:t>2014 ONSC 3981</w:t>
              </w:r>
            </w:hyperlink>
            <w:r w:rsidR="004D1FE1" w:rsidRPr="00BD251B">
              <w:rPr>
                <w:sz w:val="20"/>
                <w:lang w:val="fr-CA"/>
              </w:rPr>
              <w:t xml:space="preserve"> </w:t>
            </w:r>
          </w:p>
          <w:p w:rsidR="004D1FE1" w:rsidRPr="00BD251B" w:rsidRDefault="004D1FE1" w:rsidP="004D7613">
            <w:pPr>
              <w:jc w:val="both"/>
              <w:rPr>
                <w:sz w:val="20"/>
                <w:lang w:val="fr-CA"/>
              </w:rPr>
            </w:pPr>
          </w:p>
        </w:tc>
        <w:tc>
          <w:tcPr>
            <w:tcW w:w="243" w:type="pct"/>
          </w:tcPr>
          <w:p w:rsidR="004D1FE1" w:rsidRPr="00BD251B" w:rsidRDefault="004D1FE1" w:rsidP="004D7613">
            <w:pPr>
              <w:jc w:val="both"/>
              <w:rPr>
                <w:sz w:val="20"/>
                <w:lang w:val="fr-CA"/>
              </w:rPr>
            </w:pPr>
          </w:p>
        </w:tc>
        <w:tc>
          <w:tcPr>
            <w:tcW w:w="2330" w:type="pct"/>
          </w:tcPr>
          <w:p w:rsidR="004D1FE1" w:rsidRPr="00BD251B" w:rsidRDefault="004D1FE1" w:rsidP="004D7613">
            <w:pPr>
              <w:jc w:val="both"/>
              <w:rPr>
                <w:sz w:val="20"/>
                <w:lang w:val="fr-CA"/>
              </w:rPr>
            </w:pPr>
            <w:r w:rsidRPr="00BD251B">
              <w:rPr>
                <w:sz w:val="20"/>
                <w:lang w:val="fr-CA"/>
              </w:rPr>
              <w:t>Rejet de la demande de communication.</w:t>
            </w:r>
          </w:p>
          <w:p w:rsidR="004D1FE1" w:rsidRPr="00BD251B" w:rsidRDefault="004D1FE1" w:rsidP="004D7613">
            <w:pPr>
              <w:jc w:val="both"/>
              <w:rPr>
                <w:sz w:val="20"/>
                <w:lang w:val="fr-CA"/>
              </w:rPr>
            </w:pPr>
          </w:p>
        </w:tc>
      </w:tr>
      <w:tr w:rsidR="004D1FE1" w:rsidRPr="00A12C1D" w:rsidTr="004D7613">
        <w:tc>
          <w:tcPr>
            <w:tcW w:w="2427" w:type="pct"/>
          </w:tcPr>
          <w:p w:rsidR="004D1FE1" w:rsidRPr="00BD251B" w:rsidRDefault="004D1FE1" w:rsidP="004D7613">
            <w:pPr>
              <w:jc w:val="both"/>
              <w:rPr>
                <w:sz w:val="20"/>
                <w:lang w:val="fr-CA"/>
              </w:rPr>
            </w:pPr>
            <w:r w:rsidRPr="00BD251B">
              <w:rPr>
                <w:sz w:val="20"/>
                <w:lang w:val="fr-CA"/>
              </w:rPr>
              <w:t>9 janvier 2015</w:t>
            </w:r>
          </w:p>
          <w:p w:rsidR="004D1FE1" w:rsidRPr="00BD251B" w:rsidRDefault="004D1FE1" w:rsidP="004D7613">
            <w:pPr>
              <w:jc w:val="both"/>
              <w:rPr>
                <w:sz w:val="20"/>
                <w:lang w:val="fr-CA"/>
              </w:rPr>
            </w:pPr>
            <w:r w:rsidRPr="00BD251B">
              <w:rPr>
                <w:sz w:val="20"/>
                <w:lang w:val="fr-CA"/>
              </w:rPr>
              <w:t>Cour suprême du Canada</w:t>
            </w:r>
          </w:p>
          <w:p w:rsidR="004D1FE1" w:rsidRPr="00BD251B" w:rsidRDefault="004D1FE1" w:rsidP="004D7613">
            <w:pPr>
              <w:jc w:val="both"/>
              <w:rPr>
                <w:sz w:val="20"/>
                <w:lang w:val="fr-CA"/>
              </w:rPr>
            </w:pPr>
          </w:p>
        </w:tc>
        <w:tc>
          <w:tcPr>
            <w:tcW w:w="243" w:type="pct"/>
          </w:tcPr>
          <w:p w:rsidR="004D1FE1" w:rsidRPr="00BD251B" w:rsidRDefault="004D1FE1" w:rsidP="004D7613">
            <w:pPr>
              <w:jc w:val="both"/>
              <w:rPr>
                <w:sz w:val="20"/>
                <w:lang w:val="fr-CA"/>
              </w:rPr>
            </w:pPr>
          </w:p>
        </w:tc>
        <w:tc>
          <w:tcPr>
            <w:tcW w:w="2330" w:type="pct"/>
          </w:tcPr>
          <w:p w:rsidR="004D1FE1" w:rsidRPr="00BD251B" w:rsidRDefault="004D1FE1" w:rsidP="004D7613">
            <w:pPr>
              <w:jc w:val="both"/>
              <w:rPr>
                <w:sz w:val="20"/>
                <w:lang w:val="fr-CA"/>
              </w:rPr>
            </w:pPr>
            <w:r w:rsidRPr="00BD251B">
              <w:rPr>
                <w:sz w:val="20"/>
                <w:lang w:val="fr-CA"/>
              </w:rPr>
              <w:t>Dépôt de la demande d’autorisation d’appel et d’une requête en prorogation du délai de signification et de dépôt de la demande.</w:t>
            </w:r>
          </w:p>
        </w:tc>
      </w:tr>
    </w:tbl>
    <w:p w:rsidR="00E112BD" w:rsidRPr="004D1FE1" w:rsidRDefault="00E112BD" w:rsidP="00E112BD">
      <w:pPr>
        <w:rPr>
          <w:sz w:val="20"/>
          <w:szCs w:val="20"/>
          <w:lang w:val="fr-CA"/>
        </w:rPr>
      </w:pPr>
    </w:p>
    <w:p w:rsidR="00E112BD" w:rsidRDefault="005B7E98" w:rsidP="00E112BD">
      <w:pPr>
        <w:rPr>
          <w:sz w:val="20"/>
          <w:szCs w:val="20"/>
        </w:rPr>
      </w:pPr>
      <w:r>
        <w:rPr>
          <w:sz w:val="20"/>
          <w:szCs w:val="20"/>
          <w:lang w:val="fr-CA"/>
        </w:rPr>
        <w:pict>
          <v:rect id="_x0000_i1049" style="width:2in;height:1pt" o:hrpct="0" o:hralign="center" o:hrstd="t" o:hrnoshade="t" o:hr="t" fillcolor="black [3213]" stroked="f"/>
        </w:pict>
      </w:r>
    </w:p>
    <w:p w:rsidR="00E112BD" w:rsidRDefault="00E112BD" w:rsidP="00E112B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66D7" w:rsidRPr="00A12C1D" w:rsidTr="006205C5">
        <w:trPr>
          <w:cantSplit/>
        </w:trPr>
        <w:tc>
          <w:tcPr>
            <w:tcW w:w="1458" w:type="dxa"/>
          </w:tcPr>
          <w:p w:rsidR="008866D7" w:rsidRPr="00392F0F" w:rsidRDefault="008866D7" w:rsidP="006205C5">
            <w:pPr>
              <w:rPr>
                <w:sz w:val="20"/>
                <w:szCs w:val="20"/>
              </w:rPr>
            </w:pPr>
            <w:r w:rsidRPr="00392F0F">
              <w:rPr>
                <w:rStyle w:val="SCCFileNumberChar"/>
                <w:sz w:val="20"/>
                <w:szCs w:val="20"/>
              </w:rPr>
              <w:t>36286</w:t>
            </w:r>
          </w:p>
          <w:p w:rsidR="008866D7" w:rsidRPr="00392F0F" w:rsidRDefault="008866D7" w:rsidP="006205C5">
            <w:pPr>
              <w:rPr>
                <w:b/>
                <w:sz w:val="20"/>
                <w:szCs w:val="20"/>
                <w:lang w:val="fr-CA"/>
              </w:rPr>
            </w:pPr>
          </w:p>
        </w:tc>
        <w:tc>
          <w:tcPr>
            <w:tcW w:w="8118" w:type="dxa"/>
          </w:tcPr>
          <w:p w:rsidR="008866D7" w:rsidRPr="00392F0F" w:rsidRDefault="008866D7" w:rsidP="006205C5">
            <w:pPr>
              <w:rPr>
                <w:sz w:val="20"/>
                <w:szCs w:val="20"/>
                <w:lang w:val="fr-CA"/>
              </w:rPr>
            </w:pPr>
            <w:r w:rsidRPr="00392F0F">
              <w:rPr>
                <w:rStyle w:val="SCCLsocChar"/>
                <w:sz w:val="20"/>
                <w:szCs w:val="20"/>
              </w:rPr>
              <w:t>Frank Antoine Joseph c. Sa Majesté la Reine</w:t>
            </w:r>
            <w:r w:rsidRPr="00392F0F">
              <w:rPr>
                <w:sz w:val="20"/>
                <w:szCs w:val="20"/>
                <w:lang w:val="fr-CA"/>
              </w:rPr>
              <w:t xml:space="preserve"> (Qc) (Criminelle) (Autorisation)</w:t>
            </w:r>
          </w:p>
          <w:p w:rsidR="008866D7" w:rsidRPr="00392F0F" w:rsidRDefault="008866D7" w:rsidP="006205C5">
            <w:pPr>
              <w:rPr>
                <w:sz w:val="20"/>
                <w:szCs w:val="20"/>
                <w:lang w:val="fr-CA"/>
              </w:rPr>
            </w:pPr>
          </w:p>
        </w:tc>
      </w:tr>
      <w:tr w:rsidR="008866D7" w:rsidRPr="00A12C1D" w:rsidTr="006205C5">
        <w:trPr>
          <w:cantSplit/>
        </w:trPr>
        <w:tc>
          <w:tcPr>
            <w:tcW w:w="1458" w:type="dxa"/>
          </w:tcPr>
          <w:p w:rsidR="008866D7" w:rsidRPr="00392F0F" w:rsidRDefault="008866D7" w:rsidP="006205C5">
            <w:pPr>
              <w:rPr>
                <w:sz w:val="20"/>
                <w:szCs w:val="20"/>
              </w:rPr>
            </w:pPr>
            <w:r w:rsidRPr="00392F0F">
              <w:rPr>
                <w:sz w:val="20"/>
                <w:szCs w:val="20"/>
              </w:rPr>
              <w:t>Coram :</w:t>
            </w:r>
          </w:p>
        </w:tc>
        <w:tc>
          <w:tcPr>
            <w:tcW w:w="8118" w:type="dxa"/>
          </w:tcPr>
          <w:p w:rsidR="008866D7" w:rsidRPr="00392F0F" w:rsidRDefault="008866D7" w:rsidP="006205C5">
            <w:pPr>
              <w:rPr>
                <w:sz w:val="20"/>
                <w:szCs w:val="20"/>
                <w:lang w:val="fr-CA"/>
              </w:rPr>
            </w:pPr>
            <w:r w:rsidRPr="00392F0F">
              <w:rPr>
                <w:rStyle w:val="SCCCoramChar"/>
                <w:sz w:val="20"/>
                <w:szCs w:val="20"/>
              </w:rPr>
              <w:t>Les juges Abella, Karakatsanis et Côté</w:t>
            </w:r>
          </w:p>
          <w:p w:rsidR="008866D7" w:rsidRPr="00392F0F" w:rsidRDefault="008866D7" w:rsidP="006205C5">
            <w:pPr>
              <w:rPr>
                <w:sz w:val="20"/>
                <w:szCs w:val="20"/>
                <w:u w:val="single"/>
                <w:lang w:val="fr-CA"/>
              </w:rPr>
            </w:pPr>
          </w:p>
        </w:tc>
      </w:tr>
      <w:tr w:rsidR="008866D7" w:rsidRPr="00392F0F" w:rsidTr="006205C5">
        <w:trPr>
          <w:cantSplit/>
        </w:trPr>
        <w:tc>
          <w:tcPr>
            <w:tcW w:w="9576" w:type="dxa"/>
            <w:gridSpan w:val="2"/>
          </w:tcPr>
          <w:p w:rsidR="008866D7" w:rsidRPr="00392F0F" w:rsidRDefault="008866D7" w:rsidP="006205C5">
            <w:pPr>
              <w:pStyle w:val="SCCShortJudgment"/>
              <w:rPr>
                <w:szCs w:val="20"/>
                <w:lang w:val="fr-CA"/>
              </w:rPr>
            </w:pPr>
            <w:r w:rsidRPr="00392F0F">
              <w:rPr>
                <w:szCs w:val="20"/>
                <w:lang w:val="fr-CA"/>
              </w:rPr>
              <w:t>La demande d’autorisation d’appel de l’arrêt de la Cour d’appel du Québec (Montréal), numéro 500-10-005239-122, 2014 QCCA 2232, daté du 2 décembre 2014, est rejetée.</w:t>
            </w:r>
          </w:p>
          <w:p w:rsidR="008866D7" w:rsidRPr="00392F0F" w:rsidRDefault="008866D7" w:rsidP="006205C5">
            <w:pPr>
              <w:pStyle w:val="SCCShortJudgment"/>
              <w:ind w:firstLine="0"/>
              <w:rPr>
                <w:szCs w:val="20"/>
                <w:lang w:val="fr-CA"/>
              </w:rPr>
            </w:pPr>
          </w:p>
          <w:p w:rsidR="008866D7" w:rsidRPr="00392F0F" w:rsidRDefault="008866D7" w:rsidP="006205C5">
            <w:pPr>
              <w:pStyle w:val="SCCShortJudgment"/>
              <w:rPr>
                <w:szCs w:val="20"/>
              </w:rPr>
            </w:pPr>
            <w:r w:rsidRPr="00392F0F">
              <w:rPr>
                <w:szCs w:val="20"/>
              </w:rPr>
              <w:t>The application for leave to appeal from the judgment of the Court of Appeal of Quebec (Montreal), Number 500-10-005239-122, 2014 QCCA 2232, dated December 2, 2014, is dismissed.</w:t>
            </w:r>
          </w:p>
        </w:tc>
      </w:tr>
    </w:tbl>
    <w:p w:rsidR="004D1FE1" w:rsidRDefault="004D1FE1" w:rsidP="00E112BD">
      <w:pPr>
        <w:rPr>
          <w:sz w:val="20"/>
          <w:szCs w:val="20"/>
        </w:rPr>
      </w:pPr>
    </w:p>
    <w:p w:rsidR="00E112BD" w:rsidRPr="001B157C" w:rsidRDefault="00E112BD" w:rsidP="00E112BD">
      <w:pPr>
        <w:rPr>
          <w:sz w:val="20"/>
          <w:szCs w:val="20"/>
          <w:u w:val="single"/>
        </w:rPr>
      </w:pPr>
      <w:r w:rsidRPr="001B157C">
        <w:rPr>
          <w:sz w:val="20"/>
          <w:szCs w:val="20"/>
          <w:u w:val="single"/>
        </w:rPr>
        <w:t>CASE SUMMARY</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1FE1" w:rsidRPr="00BD251B" w:rsidTr="004D7613">
        <w:tc>
          <w:tcPr>
            <w:tcW w:w="5000" w:type="pct"/>
            <w:gridSpan w:val="3"/>
          </w:tcPr>
          <w:p w:rsidR="004D1FE1" w:rsidRPr="00BD251B" w:rsidRDefault="004D1FE1" w:rsidP="004D7613">
            <w:pPr>
              <w:jc w:val="both"/>
              <w:rPr>
                <w:sz w:val="20"/>
              </w:rPr>
            </w:pPr>
            <w:r w:rsidRPr="00BD251B">
              <w:rPr>
                <w:sz w:val="20"/>
              </w:rPr>
              <w:t>Criminal law – First degree murder – Charge to jury – Reasonable verdict – Identification evidence – Whether jury adequately instructed on identification evidence – Whether verdict unreasonable.</w:t>
            </w:r>
          </w:p>
        </w:tc>
      </w:tr>
      <w:tr w:rsidR="004D1FE1" w:rsidRPr="00BD251B" w:rsidTr="004D7613">
        <w:tc>
          <w:tcPr>
            <w:tcW w:w="5000" w:type="pct"/>
            <w:gridSpan w:val="3"/>
          </w:tcPr>
          <w:p w:rsidR="004D1FE1" w:rsidRPr="00BD251B" w:rsidRDefault="004D1FE1" w:rsidP="004D7613">
            <w:pPr>
              <w:jc w:val="both"/>
              <w:rPr>
                <w:sz w:val="20"/>
              </w:rPr>
            </w:pPr>
          </w:p>
        </w:tc>
      </w:tr>
      <w:tr w:rsidR="004D1FE1" w:rsidRPr="00BD251B" w:rsidTr="004D7613">
        <w:tc>
          <w:tcPr>
            <w:tcW w:w="5000" w:type="pct"/>
            <w:gridSpan w:val="3"/>
          </w:tcPr>
          <w:p w:rsidR="004D1FE1" w:rsidRPr="00BD251B" w:rsidRDefault="004D1FE1" w:rsidP="004D7613">
            <w:pPr>
              <w:jc w:val="both"/>
              <w:rPr>
                <w:sz w:val="20"/>
              </w:rPr>
            </w:pPr>
            <w:r w:rsidRPr="00BD251B">
              <w:rPr>
                <w:sz w:val="20"/>
              </w:rPr>
              <w:t>The applicant, Mr. Joseph, was convicted of first degree murder.  While the victim was sitting outside with some friends, an individual approached to about 10 metres away, put on gloves, greeted the victim, took out a sawed</w:t>
            </w:r>
            <w:r w:rsidRPr="00BD251B">
              <w:rPr>
                <w:sz w:val="20"/>
              </w:rPr>
              <w:noBreakHyphen/>
              <w:t>off shotgun, shot the victim in the head and fled.  The shooter’s identity was a key issue for the outcome of the trial.  The jury was satisfied from the identification evidence, the testimony on the facts and the evidence relating to cell phone calls that Mr. Joseph had committed the crime.  On appeal, Mr. Joseph argued that the trial judge had inadequately instructed the jury on the dangers of identification evidence and that the verdict was unreasonable.  The Court of Appeal dismissed the appeal.</w:t>
            </w:r>
          </w:p>
          <w:p w:rsidR="004D1FE1" w:rsidRPr="00BD251B" w:rsidRDefault="004D1FE1" w:rsidP="004D7613">
            <w:pPr>
              <w:jc w:val="both"/>
              <w:rPr>
                <w:sz w:val="20"/>
              </w:rPr>
            </w:pPr>
          </w:p>
        </w:tc>
      </w:tr>
      <w:tr w:rsidR="004D1FE1" w:rsidRPr="00BD251B" w:rsidTr="004D7613">
        <w:tc>
          <w:tcPr>
            <w:tcW w:w="2427" w:type="pct"/>
          </w:tcPr>
          <w:p w:rsidR="004D1FE1" w:rsidRPr="00BD251B" w:rsidRDefault="004D1FE1" w:rsidP="004D7613">
            <w:pPr>
              <w:jc w:val="both"/>
              <w:rPr>
                <w:sz w:val="20"/>
              </w:rPr>
            </w:pPr>
            <w:r w:rsidRPr="00BD251B">
              <w:rPr>
                <w:sz w:val="20"/>
              </w:rPr>
              <w:t>October 23, 2011</w:t>
            </w:r>
          </w:p>
          <w:p w:rsidR="004D1FE1" w:rsidRPr="00BD251B" w:rsidRDefault="004D1FE1" w:rsidP="004D7613">
            <w:pPr>
              <w:jc w:val="both"/>
              <w:rPr>
                <w:sz w:val="20"/>
              </w:rPr>
            </w:pPr>
            <w:r w:rsidRPr="00BD251B">
              <w:rPr>
                <w:sz w:val="20"/>
              </w:rPr>
              <w:t>Quebec Superior Court</w:t>
            </w:r>
          </w:p>
          <w:p w:rsidR="004D1FE1" w:rsidRPr="00BD251B" w:rsidRDefault="004D1FE1" w:rsidP="004D7613">
            <w:pPr>
              <w:jc w:val="both"/>
              <w:rPr>
                <w:sz w:val="20"/>
              </w:rPr>
            </w:pPr>
            <w:r w:rsidRPr="00BD251B">
              <w:rPr>
                <w:sz w:val="20"/>
              </w:rPr>
              <w:t>(Bourque J.)</w:t>
            </w:r>
          </w:p>
          <w:p w:rsidR="004D1FE1" w:rsidRPr="00BD251B" w:rsidRDefault="004D1FE1" w:rsidP="004D7613">
            <w:pPr>
              <w:jc w:val="both"/>
              <w:rPr>
                <w:sz w:val="20"/>
              </w:rPr>
            </w:pPr>
          </w:p>
        </w:tc>
        <w:tc>
          <w:tcPr>
            <w:tcW w:w="243" w:type="pct"/>
          </w:tcPr>
          <w:p w:rsidR="004D1FE1" w:rsidRPr="00BD251B" w:rsidRDefault="004D1FE1" w:rsidP="004D7613">
            <w:pPr>
              <w:jc w:val="both"/>
              <w:rPr>
                <w:sz w:val="20"/>
              </w:rPr>
            </w:pPr>
          </w:p>
        </w:tc>
        <w:tc>
          <w:tcPr>
            <w:tcW w:w="2330" w:type="pct"/>
          </w:tcPr>
          <w:p w:rsidR="004D1FE1" w:rsidRPr="00BD251B" w:rsidRDefault="004D1FE1" w:rsidP="004D7613">
            <w:pPr>
              <w:jc w:val="both"/>
              <w:rPr>
                <w:sz w:val="20"/>
              </w:rPr>
            </w:pPr>
            <w:r w:rsidRPr="00BD251B">
              <w:rPr>
                <w:sz w:val="20"/>
              </w:rPr>
              <w:t>Applicant convicted of first degree murder</w:t>
            </w:r>
          </w:p>
          <w:p w:rsidR="004D1FE1" w:rsidRPr="00BD251B" w:rsidRDefault="004D1FE1" w:rsidP="004D7613">
            <w:pPr>
              <w:jc w:val="both"/>
              <w:rPr>
                <w:sz w:val="20"/>
              </w:rPr>
            </w:pPr>
          </w:p>
        </w:tc>
      </w:tr>
      <w:tr w:rsidR="004D1FE1" w:rsidRPr="00BD251B" w:rsidTr="004D7613">
        <w:tc>
          <w:tcPr>
            <w:tcW w:w="2427" w:type="pct"/>
          </w:tcPr>
          <w:p w:rsidR="004D1FE1" w:rsidRPr="00BD251B" w:rsidRDefault="004D1FE1" w:rsidP="004D7613">
            <w:pPr>
              <w:jc w:val="both"/>
              <w:rPr>
                <w:sz w:val="20"/>
              </w:rPr>
            </w:pPr>
            <w:r w:rsidRPr="00BD251B">
              <w:rPr>
                <w:sz w:val="20"/>
              </w:rPr>
              <w:t>December 2, 2014</w:t>
            </w:r>
          </w:p>
          <w:p w:rsidR="004D1FE1" w:rsidRPr="00BD251B" w:rsidRDefault="004D1FE1" w:rsidP="004D7613">
            <w:pPr>
              <w:jc w:val="both"/>
              <w:rPr>
                <w:sz w:val="20"/>
              </w:rPr>
            </w:pPr>
            <w:r w:rsidRPr="00BD251B">
              <w:rPr>
                <w:sz w:val="20"/>
              </w:rPr>
              <w:t>Quebec Court of Appeal (Québec)</w:t>
            </w:r>
          </w:p>
          <w:p w:rsidR="004D1FE1" w:rsidRPr="00BD251B" w:rsidRDefault="004D1FE1" w:rsidP="004D7613">
            <w:pPr>
              <w:jc w:val="both"/>
              <w:rPr>
                <w:sz w:val="20"/>
              </w:rPr>
            </w:pPr>
            <w:r w:rsidRPr="00BD251B">
              <w:rPr>
                <w:sz w:val="20"/>
              </w:rPr>
              <w:t>(Thibault, Gagnon and Vauclair JJ.A.)</w:t>
            </w:r>
          </w:p>
          <w:p w:rsidR="004D1FE1" w:rsidRPr="00BD251B" w:rsidRDefault="005B7E98" w:rsidP="004D7613">
            <w:pPr>
              <w:jc w:val="both"/>
              <w:rPr>
                <w:sz w:val="20"/>
              </w:rPr>
            </w:pPr>
            <w:hyperlink r:id="rId27" w:history="1">
              <w:r w:rsidR="004D1FE1" w:rsidRPr="00BD251B">
                <w:rPr>
                  <w:color w:val="0000FF" w:themeColor="hyperlink"/>
                  <w:sz w:val="20"/>
                  <w:u w:val="single"/>
                </w:rPr>
                <w:t>2014 QCCA 2232</w:t>
              </w:r>
            </w:hyperlink>
          </w:p>
          <w:p w:rsidR="004D1FE1" w:rsidRPr="00BD251B" w:rsidRDefault="004D1FE1" w:rsidP="004D7613">
            <w:pPr>
              <w:jc w:val="both"/>
              <w:rPr>
                <w:sz w:val="20"/>
              </w:rPr>
            </w:pPr>
          </w:p>
        </w:tc>
        <w:tc>
          <w:tcPr>
            <w:tcW w:w="243" w:type="pct"/>
          </w:tcPr>
          <w:p w:rsidR="004D1FE1" w:rsidRPr="00BD251B" w:rsidRDefault="004D1FE1" w:rsidP="004D7613">
            <w:pPr>
              <w:jc w:val="both"/>
              <w:rPr>
                <w:sz w:val="20"/>
              </w:rPr>
            </w:pPr>
          </w:p>
        </w:tc>
        <w:tc>
          <w:tcPr>
            <w:tcW w:w="2330" w:type="pct"/>
          </w:tcPr>
          <w:p w:rsidR="004D1FE1" w:rsidRPr="00BD251B" w:rsidRDefault="004D1FE1" w:rsidP="004D7613">
            <w:pPr>
              <w:jc w:val="both"/>
              <w:rPr>
                <w:sz w:val="20"/>
              </w:rPr>
            </w:pPr>
            <w:r w:rsidRPr="00BD251B">
              <w:rPr>
                <w:sz w:val="20"/>
              </w:rPr>
              <w:t>Appeal dismissed</w:t>
            </w:r>
          </w:p>
          <w:p w:rsidR="004D1FE1" w:rsidRPr="00BD251B" w:rsidRDefault="004D1FE1" w:rsidP="004D7613">
            <w:pPr>
              <w:jc w:val="both"/>
              <w:rPr>
                <w:sz w:val="20"/>
              </w:rPr>
            </w:pPr>
          </w:p>
        </w:tc>
      </w:tr>
      <w:tr w:rsidR="004D1FE1" w:rsidRPr="00BD251B" w:rsidTr="004D7613">
        <w:tc>
          <w:tcPr>
            <w:tcW w:w="2427" w:type="pct"/>
          </w:tcPr>
          <w:p w:rsidR="004D1FE1" w:rsidRPr="00BD251B" w:rsidRDefault="004D1FE1" w:rsidP="004D7613">
            <w:pPr>
              <w:jc w:val="both"/>
              <w:rPr>
                <w:sz w:val="20"/>
              </w:rPr>
            </w:pPr>
            <w:r w:rsidRPr="00BD251B">
              <w:rPr>
                <w:sz w:val="20"/>
              </w:rPr>
              <w:t>February 2, 2015</w:t>
            </w:r>
          </w:p>
          <w:p w:rsidR="004D1FE1" w:rsidRPr="00BD251B" w:rsidRDefault="004D1FE1" w:rsidP="004D7613">
            <w:pPr>
              <w:jc w:val="both"/>
              <w:rPr>
                <w:sz w:val="20"/>
              </w:rPr>
            </w:pPr>
            <w:r w:rsidRPr="00BD251B">
              <w:rPr>
                <w:sz w:val="20"/>
              </w:rPr>
              <w:t>Supreme Court of Canada</w:t>
            </w:r>
          </w:p>
        </w:tc>
        <w:tc>
          <w:tcPr>
            <w:tcW w:w="243" w:type="pct"/>
          </w:tcPr>
          <w:p w:rsidR="004D1FE1" w:rsidRPr="00BD251B" w:rsidRDefault="004D1FE1" w:rsidP="004D7613">
            <w:pPr>
              <w:jc w:val="both"/>
              <w:rPr>
                <w:sz w:val="20"/>
              </w:rPr>
            </w:pPr>
          </w:p>
        </w:tc>
        <w:tc>
          <w:tcPr>
            <w:tcW w:w="2330" w:type="pct"/>
          </w:tcPr>
          <w:p w:rsidR="004D1FE1" w:rsidRPr="00BD251B" w:rsidRDefault="004D1FE1" w:rsidP="004D7613">
            <w:pPr>
              <w:jc w:val="both"/>
              <w:rPr>
                <w:sz w:val="20"/>
              </w:rPr>
            </w:pPr>
            <w:r w:rsidRPr="00BD251B">
              <w:rPr>
                <w:sz w:val="20"/>
              </w:rPr>
              <w:t>Application for leave to appeal filed</w:t>
            </w:r>
          </w:p>
          <w:p w:rsidR="004D1FE1" w:rsidRPr="00BD251B" w:rsidRDefault="004D1FE1" w:rsidP="004D7613">
            <w:pPr>
              <w:jc w:val="both"/>
              <w:rPr>
                <w:sz w:val="20"/>
              </w:rPr>
            </w:pPr>
          </w:p>
        </w:tc>
      </w:tr>
    </w:tbl>
    <w:p w:rsidR="00E112BD" w:rsidRPr="004D1FE1" w:rsidRDefault="00E112BD" w:rsidP="00E112BD">
      <w:pPr>
        <w:rPr>
          <w:sz w:val="20"/>
          <w:szCs w:val="20"/>
        </w:rPr>
      </w:pPr>
    </w:p>
    <w:p w:rsidR="00E112BD" w:rsidRPr="00C50A5C" w:rsidRDefault="005B7E98" w:rsidP="00E112BD">
      <w:pPr>
        <w:rPr>
          <w:sz w:val="20"/>
          <w:szCs w:val="20"/>
        </w:rPr>
      </w:pPr>
      <w:r>
        <w:rPr>
          <w:sz w:val="20"/>
          <w:szCs w:val="20"/>
          <w:lang w:val="fr-CA"/>
        </w:rPr>
        <w:pict>
          <v:rect id="_x0000_i1050" style="width:2in;height:1pt" o:hrpct="0" o:hralign="center" o:hrstd="t" o:hrnoshade="t" o:hr="t" fillcolor="black [3213]" stroked="f"/>
        </w:pict>
      </w:r>
    </w:p>
    <w:p w:rsidR="00E112BD" w:rsidRDefault="00E112BD" w:rsidP="00E112BD">
      <w:pPr>
        <w:rPr>
          <w:sz w:val="20"/>
          <w:szCs w:val="20"/>
        </w:rPr>
      </w:pPr>
    </w:p>
    <w:p w:rsidR="00E112BD" w:rsidRPr="001B157C" w:rsidRDefault="00E112BD" w:rsidP="00E112BD">
      <w:pPr>
        <w:rPr>
          <w:sz w:val="20"/>
          <w:szCs w:val="20"/>
          <w:u w:val="single"/>
          <w:lang w:val="fr-CA"/>
        </w:rPr>
      </w:pPr>
      <w:r w:rsidRPr="001B157C">
        <w:rPr>
          <w:sz w:val="20"/>
          <w:szCs w:val="20"/>
          <w:u w:val="single"/>
          <w:lang w:val="fr-CA"/>
        </w:rPr>
        <w:lastRenderedPageBreak/>
        <w:t>RÉSUMÉ DE L’AFFAIRE</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1FE1" w:rsidRPr="00A12C1D" w:rsidTr="004D7613">
        <w:tc>
          <w:tcPr>
            <w:tcW w:w="5000" w:type="pct"/>
            <w:gridSpan w:val="3"/>
          </w:tcPr>
          <w:p w:rsidR="004D1FE1" w:rsidRPr="00BD251B" w:rsidRDefault="004D1FE1" w:rsidP="004D7613">
            <w:pPr>
              <w:jc w:val="both"/>
              <w:rPr>
                <w:sz w:val="20"/>
                <w:lang w:val="fr-CA"/>
              </w:rPr>
            </w:pPr>
            <w:r w:rsidRPr="00BD251B">
              <w:rPr>
                <w:sz w:val="20"/>
                <w:lang w:val="fr-CA"/>
              </w:rPr>
              <w:t>Droit criminel – Meurtre au premier degré – Exposé au jury – Verdict raisonnable – Preuve d’identification – Les directives au jury sur la preuve d’identification étaient-elles suffisantes? – Le verdict était-il déraisonnable?</w:t>
            </w:r>
          </w:p>
        </w:tc>
      </w:tr>
      <w:tr w:rsidR="004D1FE1" w:rsidRPr="00A12C1D" w:rsidTr="004D7613">
        <w:tc>
          <w:tcPr>
            <w:tcW w:w="5000" w:type="pct"/>
            <w:gridSpan w:val="3"/>
          </w:tcPr>
          <w:p w:rsidR="004D1FE1" w:rsidRPr="00BD251B" w:rsidRDefault="004D1FE1" w:rsidP="004D7613">
            <w:pPr>
              <w:jc w:val="both"/>
              <w:rPr>
                <w:sz w:val="20"/>
                <w:lang w:val="fr-CA"/>
              </w:rPr>
            </w:pPr>
          </w:p>
        </w:tc>
      </w:tr>
      <w:tr w:rsidR="004D1FE1" w:rsidRPr="00BD251B" w:rsidTr="004D7613">
        <w:tc>
          <w:tcPr>
            <w:tcW w:w="5000" w:type="pct"/>
            <w:gridSpan w:val="3"/>
          </w:tcPr>
          <w:p w:rsidR="004D1FE1" w:rsidRPr="00BD251B" w:rsidRDefault="004D1FE1" w:rsidP="004D7613">
            <w:pPr>
              <w:jc w:val="both"/>
              <w:rPr>
                <w:sz w:val="20"/>
                <w:lang w:val="fr-CA"/>
              </w:rPr>
            </w:pPr>
            <w:r w:rsidRPr="00BD251B">
              <w:rPr>
                <w:sz w:val="20"/>
                <w:lang w:val="fr-CA"/>
              </w:rPr>
              <w:t>Monsieur Joseph, demandeur, a été déclaré coupable de meurtre au premier degré.  Alors que la victime était assise dehors avec des amis, un individu s’est approché à une dizaine de mètres, a mis des gants, l’a saluée, a sorti un fusil tronçonné, lui a tiré à la tête et s’est enfuit.  L’identité du tireur était une question déterminante pour l’issue du procès. La preuve d’identification, les témoignages sur les faits et la preuve portant sur les communications cellulaires ont convaincu le jury que M. Joseph était l’auteur du crime.  En appel, M. Joseph a plaidé que la juge de première instance avait donné au jury des directives insuffisantes sur les dangers de la preuve d’identification et que le verdict était déraisonnable.  La Cour d’appel a rejeté l’appel.</w:t>
            </w:r>
          </w:p>
          <w:p w:rsidR="004D1FE1" w:rsidRPr="00BD251B" w:rsidRDefault="004D1FE1" w:rsidP="004D7613">
            <w:pPr>
              <w:jc w:val="both"/>
              <w:rPr>
                <w:sz w:val="20"/>
                <w:lang w:val="fr-CA"/>
              </w:rPr>
            </w:pPr>
          </w:p>
        </w:tc>
      </w:tr>
      <w:tr w:rsidR="004D1FE1" w:rsidRPr="00A12C1D" w:rsidTr="004D7613">
        <w:tc>
          <w:tcPr>
            <w:tcW w:w="2427" w:type="pct"/>
          </w:tcPr>
          <w:p w:rsidR="004D1FE1" w:rsidRPr="00BD251B" w:rsidRDefault="004D1FE1" w:rsidP="004D7613">
            <w:pPr>
              <w:jc w:val="both"/>
              <w:rPr>
                <w:sz w:val="20"/>
                <w:lang w:val="fr-CA"/>
              </w:rPr>
            </w:pPr>
            <w:r w:rsidRPr="00BD251B">
              <w:rPr>
                <w:sz w:val="20"/>
                <w:lang w:val="fr-CA"/>
              </w:rPr>
              <w:t>Le 23 octobre 2011</w:t>
            </w:r>
          </w:p>
          <w:p w:rsidR="004D1FE1" w:rsidRPr="00BD251B" w:rsidRDefault="004D1FE1" w:rsidP="004D7613">
            <w:pPr>
              <w:jc w:val="both"/>
              <w:rPr>
                <w:sz w:val="20"/>
                <w:lang w:val="fr-CA"/>
              </w:rPr>
            </w:pPr>
            <w:r w:rsidRPr="00BD251B">
              <w:rPr>
                <w:sz w:val="20"/>
                <w:lang w:val="fr-CA"/>
              </w:rPr>
              <w:t>Cour supérieure du Québec</w:t>
            </w:r>
          </w:p>
          <w:p w:rsidR="004D1FE1" w:rsidRPr="00BD251B" w:rsidRDefault="004D1FE1" w:rsidP="004D7613">
            <w:pPr>
              <w:jc w:val="both"/>
              <w:rPr>
                <w:sz w:val="20"/>
                <w:lang w:val="fr-CA"/>
              </w:rPr>
            </w:pPr>
            <w:r w:rsidRPr="00BD251B">
              <w:rPr>
                <w:sz w:val="20"/>
                <w:lang w:val="fr-CA"/>
              </w:rPr>
              <w:t>(La juge Bourque)</w:t>
            </w:r>
          </w:p>
          <w:p w:rsidR="004D1FE1" w:rsidRPr="00BD251B" w:rsidRDefault="004D1FE1" w:rsidP="004D7613">
            <w:pPr>
              <w:jc w:val="both"/>
              <w:rPr>
                <w:sz w:val="20"/>
                <w:lang w:val="fr-CA"/>
              </w:rPr>
            </w:pPr>
          </w:p>
        </w:tc>
        <w:tc>
          <w:tcPr>
            <w:tcW w:w="243" w:type="pct"/>
          </w:tcPr>
          <w:p w:rsidR="004D1FE1" w:rsidRPr="00BD251B" w:rsidRDefault="004D1FE1" w:rsidP="004D7613">
            <w:pPr>
              <w:jc w:val="both"/>
              <w:rPr>
                <w:sz w:val="20"/>
                <w:lang w:val="fr-CA"/>
              </w:rPr>
            </w:pPr>
          </w:p>
        </w:tc>
        <w:tc>
          <w:tcPr>
            <w:tcW w:w="2330" w:type="pct"/>
          </w:tcPr>
          <w:p w:rsidR="004D1FE1" w:rsidRPr="00BD251B" w:rsidRDefault="004D1FE1" w:rsidP="004D7613">
            <w:pPr>
              <w:jc w:val="both"/>
              <w:rPr>
                <w:sz w:val="20"/>
                <w:lang w:val="fr-CA"/>
              </w:rPr>
            </w:pPr>
            <w:r w:rsidRPr="00BD251B">
              <w:rPr>
                <w:sz w:val="20"/>
                <w:lang w:val="fr-CA"/>
              </w:rPr>
              <w:t>Demandeur déclaré coupable de meurtre au premier degré</w:t>
            </w:r>
          </w:p>
          <w:p w:rsidR="004D1FE1" w:rsidRPr="00BD251B" w:rsidRDefault="004D1FE1" w:rsidP="004D7613">
            <w:pPr>
              <w:jc w:val="both"/>
              <w:rPr>
                <w:sz w:val="20"/>
                <w:lang w:val="fr-CA"/>
              </w:rPr>
            </w:pPr>
          </w:p>
        </w:tc>
      </w:tr>
      <w:tr w:rsidR="004D1FE1" w:rsidRPr="00BD251B" w:rsidTr="004D7613">
        <w:tc>
          <w:tcPr>
            <w:tcW w:w="2427" w:type="pct"/>
          </w:tcPr>
          <w:p w:rsidR="004D1FE1" w:rsidRPr="00BD251B" w:rsidRDefault="004D1FE1" w:rsidP="004D7613">
            <w:pPr>
              <w:jc w:val="both"/>
              <w:rPr>
                <w:sz w:val="20"/>
                <w:lang w:val="fr-CA"/>
              </w:rPr>
            </w:pPr>
            <w:r w:rsidRPr="00BD251B">
              <w:rPr>
                <w:sz w:val="20"/>
                <w:lang w:val="fr-CA"/>
              </w:rPr>
              <w:t>Le 2 décembre 2014</w:t>
            </w:r>
          </w:p>
          <w:p w:rsidR="004D1FE1" w:rsidRPr="00BD251B" w:rsidRDefault="004D1FE1" w:rsidP="004D7613">
            <w:pPr>
              <w:jc w:val="both"/>
              <w:rPr>
                <w:sz w:val="20"/>
                <w:lang w:val="fr-CA"/>
              </w:rPr>
            </w:pPr>
            <w:r w:rsidRPr="00BD251B">
              <w:rPr>
                <w:sz w:val="20"/>
                <w:lang w:val="fr-CA"/>
              </w:rPr>
              <w:t>Cour d’appel du Québec (Québec)</w:t>
            </w:r>
          </w:p>
          <w:p w:rsidR="004D1FE1" w:rsidRPr="00BD251B" w:rsidRDefault="004D1FE1" w:rsidP="004D7613">
            <w:pPr>
              <w:jc w:val="both"/>
              <w:rPr>
                <w:sz w:val="20"/>
                <w:lang w:val="fr-CA"/>
              </w:rPr>
            </w:pPr>
            <w:r w:rsidRPr="00BD251B">
              <w:rPr>
                <w:sz w:val="20"/>
                <w:lang w:val="fr-CA"/>
              </w:rPr>
              <w:t>(Les juges Thibault, Gagnon et Vauclair)</w:t>
            </w:r>
          </w:p>
          <w:p w:rsidR="004D1FE1" w:rsidRPr="00BD251B" w:rsidRDefault="005B7E98" w:rsidP="004D7613">
            <w:pPr>
              <w:jc w:val="both"/>
              <w:rPr>
                <w:sz w:val="20"/>
                <w:lang w:val="fr-CA"/>
              </w:rPr>
            </w:pPr>
            <w:hyperlink r:id="rId28" w:history="1">
              <w:r w:rsidR="004D1FE1" w:rsidRPr="00BD251B">
                <w:rPr>
                  <w:color w:val="0000FF" w:themeColor="hyperlink"/>
                  <w:sz w:val="20"/>
                  <w:u w:val="single"/>
                  <w:lang w:val="fr-CA"/>
                </w:rPr>
                <w:t>2014 QCCA 2232</w:t>
              </w:r>
            </w:hyperlink>
          </w:p>
          <w:p w:rsidR="004D1FE1" w:rsidRPr="00BD251B" w:rsidRDefault="004D1FE1" w:rsidP="004D7613">
            <w:pPr>
              <w:jc w:val="both"/>
              <w:rPr>
                <w:sz w:val="20"/>
                <w:lang w:val="fr-CA"/>
              </w:rPr>
            </w:pPr>
          </w:p>
        </w:tc>
        <w:tc>
          <w:tcPr>
            <w:tcW w:w="243" w:type="pct"/>
          </w:tcPr>
          <w:p w:rsidR="004D1FE1" w:rsidRPr="00BD251B" w:rsidRDefault="004D1FE1" w:rsidP="004D7613">
            <w:pPr>
              <w:jc w:val="both"/>
              <w:rPr>
                <w:sz w:val="20"/>
                <w:lang w:val="fr-CA"/>
              </w:rPr>
            </w:pPr>
          </w:p>
        </w:tc>
        <w:tc>
          <w:tcPr>
            <w:tcW w:w="2330" w:type="pct"/>
          </w:tcPr>
          <w:p w:rsidR="004D1FE1" w:rsidRPr="00BD251B" w:rsidRDefault="004D1FE1" w:rsidP="004D7613">
            <w:pPr>
              <w:jc w:val="both"/>
              <w:rPr>
                <w:sz w:val="20"/>
                <w:lang w:val="fr-CA"/>
              </w:rPr>
            </w:pPr>
            <w:r w:rsidRPr="00BD251B">
              <w:rPr>
                <w:sz w:val="20"/>
                <w:lang w:val="fr-CA"/>
              </w:rPr>
              <w:t>Appel rejeté</w:t>
            </w:r>
          </w:p>
          <w:p w:rsidR="004D1FE1" w:rsidRPr="00BD251B" w:rsidRDefault="004D1FE1" w:rsidP="004D7613">
            <w:pPr>
              <w:jc w:val="both"/>
              <w:rPr>
                <w:sz w:val="20"/>
                <w:lang w:val="fr-CA"/>
              </w:rPr>
            </w:pPr>
          </w:p>
        </w:tc>
      </w:tr>
      <w:tr w:rsidR="004D1FE1" w:rsidRPr="00BD251B" w:rsidTr="004D7613">
        <w:tc>
          <w:tcPr>
            <w:tcW w:w="2427" w:type="pct"/>
          </w:tcPr>
          <w:p w:rsidR="004D1FE1" w:rsidRPr="00BD251B" w:rsidRDefault="004D1FE1" w:rsidP="004D7613">
            <w:pPr>
              <w:jc w:val="both"/>
              <w:rPr>
                <w:sz w:val="20"/>
                <w:lang w:val="fr-CA"/>
              </w:rPr>
            </w:pPr>
            <w:r w:rsidRPr="00BD251B">
              <w:rPr>
                <w:sz w:val="20"/>
                <w:lang w:val="fr-CA"/>
              </w:rPr>
              <w:t>Le 2 février 2015</w:t>
            </w:r>
          </w:p>
          <w:p w:rsidR="004D1FE1" w:rsidRPr="00BD251B" w:rsidRDefault="004D1FE1" w:rsidP="004D7613">
            <w:pPr>
              <w:jc w:val="both"/>
              <w:rPr>
                <w:sz w:val="20"/>
                <w:lang w:val="fr-CA"/>
              </w:rPr>
            </w:pPr>
            <w:r w:rsidRPr="00BD251B">
              <w:rPr>
                <w:sz w:val="20"/>
                <w:lang w:val="fr-CA"/>
              </w:rPr>
              <w:t>Cour suprême du Canada</w:t>
            </w:r>
          </w:p>
        </w:tc>
        <w:tc>
          <w:tcPr>
            <w:tcW w:w="243" w:type="pct"/>
          </w:tcPr>
          <w:p w:rsidR="004D1FE1" w:rsidRPr="00BD251B" w:rsidRDefault="004D1FE1" w:rsidP="004D7613">
            <w:pPr>
              <w:jc w:val="both"/>
              <w:rPr>
                <w:sz w:val="20"/>
                <w:lang w:val="fr-CA"/>
              </w:rPr>
            </w:pPr>
          </w:p>
        </w:tc>
        <w:tc>
          <w:tcPr>
            <w:tcW w:w="2330" w:type="pct"/>
          </w:tcPr>
          <w:p w:rsidR="004D1FE1" w:rsidRPr="00BD251B" w:rsidRDefault="004D1FE1" w:rsidP="004D7613">
            <w:pPr>
              <w:jc w:val="both"/>
              <w:rPr>
                <w:sz w:val="20"/>
                <w:lang w:val="fr-CA"/>
              </w:rPr>
            </w:pPr>
            <w:r w:rsidRPr="00BD251B">
              <w:rPr>
                <w:sz w:val="20"/>
                <w:lang w:val="fr-CA"/>
              </w:rPr>
              <w:t>Demande d'autorisation d'appel déposée</w:t>
            </w:r>
          </w:p>
          <w:p w:rsidR="004D1FE1" w:rsidRPr="00BD251B" w:rsidRDefault="004D1FE1" w:rsidP="004D7613">
            <w:pPr>
              <w:jc w:val="both"/>
              <w:rPr>
                <w:sz w:val="20"/>
                <w:lang w:val="fr-CA"/>
              </w:rPr>
            </w:pPr>
          </w:p>
        </w:tc>
      </w:tr>
    </w:tbl>
    <w:p w:rsidR="00E112BD" w:rsidRDefault="00E112BD" w:rsidP="00E112BD">
      <w:pPr>
        <w:rPr>
          <w:sz w:val="20"/>
          <w:szCs w:val="20"/>
        </w:rPr>
      </w:pPr>
    </w:p>
    <w:p w:rsidR="00E112BD" w:rsidRDefault="005B7E98" w:rsidP="00E112BD">
      <w:pPr>
        <w:rPr>
          <w:sz w:val="20"/>
          <w:szCs w:val="20"/>
        </w:rPr>
      </w:pPr>
      <w:r>
        <w:rPr>
          <w:sz w:val="20"/>
          <w:szCs w:val="20"/>
          <w:lang w:val="fr-CA"/>
        </w:rPr>
        <w:pict>
          <v:rect id="_x0000_i1051" style="width:2in;height:1pt" o:hrpct="0" o:hralign="center" o:hrstd="t" o:hrnoshade="t" o:hr="t" fillcolor="black [3213]" stroked="f"/>
        </w:pict>
      </w:r>
    </w:p>
    <w:p w:rsidR="00E112BD" w:rsidRDefault="00E112BD" w:rsidP="00E112B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866D7" w:rsidRPr="00392F0F" w:rsidTr="006205C5">
        <w:trPr>
          <w:cantSplit/>
        </w:trPr>
        <w:tc>
          <w:tcPr>
            <w:tcW w:w="1458" w:type="dxa"/>
          </w:tcPr>
          <w:p w:rsidR="008866D7" w:rsidRPr="00392F0F" w:rsidRDefault="008866D7" w:rsidP="006205C5">
            <w:pPr>
              <w:rPr>
                <w:sz w:val="20"/>
                <w:szCs w:val="20"/>
              </w:rPr>
            </w:pPr>
            <w:r w:rsidRPr="00392F0F">
              <w:rPr>
                <w:rStyle w:val="SCCFileNumberChar"/>
                <w:sz w:val="20"/>
                <w:szCs w:val="20"/>
              </w:rPr>
              <w:t>36303</w:t>
            </w:r>
          </w:p>
          <w:p w:rsidR="008866D7" w:rsidRPr="00392F0F" w:rsidRDefault="008866D7" w:rsidP="006205C5">
            <w:pPr>
              <w:rPr>
                <w:b/>
                <w:sz w:val="20"/>
                <w:szCs w:val="20"/>
                <w:lang w:val="fr-CA"/>
              </w:rPr>
            </w:pPr>
          </w:p>
        </w:tc>
        <w:tc>
          <w:tcPr>
            <w:tcW w:w="8118" w:type="dxa"/>
          </w:tcPr>
          <w:p w:rsidR="008866D7" w:rsidRPr="00392F0F" w:rsidRDefault="008866D7" w:rsidP="006205C5">
            <w:pPr>
              <w:rPr>
                <w:sz w:val="20"/>
                <w:szCs w:val="20"/>
              </w:rPr>
            </w:pPr>
            <w:r w:rsidRPr="00392F0F">
              <w:rPr>
                <w:rStyle w:val="SCCLsocChar"/>
                <w:sz w:val="20"/>
                <w:szCs w:val="20"/>
                <w:lang w:val="en-CA"/>
              </w:rPr>
              <w:t>Sweetgrass First Nation v. Rath &amp; Company</w:t>
            </w:r>
            <w:r w:rsidRPr="00392F0F">
              <w:rPr>
                <w:sz w:val="20"/>
                <w:szCs w:val="20"/>
              </w:rPr>
              <w:t xml:space="preserve"> (Alta.) (Civil) (By Leave)</w:t>
            </w:r>
          </w:p>
          <w:p w:rsidR="008866D7" w:rsidRPr="00392F0F" w:rsidRDefault="008866D7" w:rsidP="006205C5">
            <w:pPr>
              <w:rPr>
                <w:sz w:val="20"/>
                <w:szCs w:val="20"/>
              </w:rPr>
            </w:pPr>
          </w:p>
        </w:tc>
      </w:tr>
      <w:tr w:rsidR="008866D7" w:rsidRPr="00392F0F" w:rsidTr="006205C5">
        <w:trPr>
          <w:cantSplit/>
        </w:trPr>
        <w:tc>
          <w:tcPr>
            <w:tcW w:w="1458" w:type="dxa"/>
          </w:tcPr>
          <w:p w:rsidR="008866D7" w:rsidRPr="00392F0F" w:rsidRDefault="008866D7" w:rsidP="006205C5">
            <w:pPr>
              <w:rPr>
                <w:sz w:val="20"/>
                <w:szCs w:val="20"/>
              </w:rPr>
            </w:pPr>
            <w:r w:rsidRPr="00392F0F">
              <w:rPr>
                <w:sz w:val="20"/>
                <w:szCs w:val="20"/>
              </w:rPr>
              <w:t>Coram :</w:t>
            </w:r>
          </w:p>
        </w:tc>
        <w:tc>
          <w:tcPr>
            <w:tcW w:w="8118" w:type="dxa"/>
          </w:tcPr>
          <w:p w:rsidR="008866D7" w:rsidRPr="00392F0F" w:rsidRDefault="008866D7" w:rsidP="006205C5">
            <w:pPr>
              <w:rPr>
                <w:sz w:val="20"/>
                <w:szCs w:val="20"/>
              </w:rPr>
            </w:pPr>
            <w:r w:rsidRPr="00392F0F">
              <w:rPr>
                <w:rStyle w:val="SCCCoramChar"/>
                <w:sz w:val="20"/>
                <w:szCs w:val="20"/>
                <w:lang w:val="en-CA"/>
              </w:rPr>
              <w:t>Rothstein, Cromwell and Moldaver JJ.</w:t>
            </w:r>
          </w:p>
          <w:p w:rsidR="008866D7" w:rsidRPr="00392F0F" w:rsidRDefault="008866D7" w:rsidP="006205C5">
            <w:pPr>
              <w:rPr>
                <w:sz w:val="20"/>
                <w:szCs w:val="20"/>
                <w:u w:val="single"/>
              </w:rPr>
            </w:pPr>
          </w:p>
        </w:tc>
      </w:tr>
      <w:tr w:rsidR="008866D7" w:rsidRPr="00A12C1D" w:rsidTr="006205C5">
        <w:trPr>
          <w:cantSplit/>
        </w:trPr>
        <w:tc>
          <w:tcPr>
            <w:tcW w:w="9576" w:type="dxa"/>
            <w:gridSpan w:val="2"/>
          </w:tcPr>
          <w:p w:rsidR="008866D7" w:rsidRPr="00392F0F" w:rsidRDefault="008866D7" w:rsidP="006205C5">
            <w:pPr>
              <w:pStyle w:val="SCCShortJudgment"/>
              <w:rPr>
                <w:szCs w:val="20"/>
              </w:rPr>
            </w:pPr>
            <w:r w:rsidRPr="00392F0F">
              <w:rPr>
                <w:szCs w:val="20"/>
              </w:rPr>
              <w:t>The application for leave to appeal from the judgment of the Court of Appeal of Alberta (Calgary), Number 1301-0239-AC, 2014 ABCA 426, dated December 15, 2014, is dismissed with costs.</w:t>
            </w:r>
          </w:p>
          <w:p w:rsidR="008866D7" w:rsidRPr="00392F0F" w:rsidRDefault="008866D7" w:rsidP="006205C5">
            <w:pPr>
              <w:pStyle w:val="SCCShortJudgment"/>
              <w:ind w:firstLine="0"/>
              <w:rPr>
                <w:szCs w:val="20"/>
              </w:rPr>
            </w:pPr>
          </w:p>
          <w:p w:rsidR="008866D7" w:rsidRPr="00392F0F" w:rsidRDefault="008866D7" w:rsidP="006205C5">
            <w:pPr>
              <w:pStyle w:val="SCCShortJudgment"/>
              <w:rPr>
                <w:szCs w:val="20"/>
                <w:lang w:val="fr-CA"/>
              </w:rPr>
            </w:pPr>
            <w:r w:rsidRPr="00392F0F">
              <w:rPr>
                <w:szCs w:val="20"/>
                <w:lang w:val="fr-CA"/>
              </w:rPr>
              <w:t>La demande d’autorisation d’appel de l’arrêt de la Cour d'appel de l’Alberta (Calgary), numéro 1301-0239-AC, 2014 ABCA 426, daté du 15 décembre 2014, est rejetée avec dépens.</w:t>
            </w:r>
          </w:p>
        </w:tc>
      </w:tr>
    </w:tbl>
    <w:p w:rsidR="00E112BD" w:rsidRPr="008866D7" w:rsidRDefault="00E112BD" w:rsidP="00E112BD">
      <w:pPr>
        <w:rPr>
          <w:sz w:val="20"/>
          <w:szCs w:val="20"/>
          <w:lang w:val="fr-CA"/>
        </w:rPr>
      </w:pPr>
    </w:p>
    <w:p w:rsidR="00E112BD" w:rsidRPr="001B157C" w:rsidRDefault="00E112BD" w:rsidP="00E112BD">
      <w:pPr>
        <w:rPr>
          <w:sz w:val="20"/>
          <w:szCs w:val="20"/>
          <w:u w:val="single"/>
        </w:rPr>
      </w:pPr>
      <w:r w:rsidRPr="001B157C">
        <w:rPr>
          <w:sz w:val="20"/>
          <w:szCs w:val="20"/>
          <w:u w:val="single"/>
        </w:rPr>
        <w:t>CASE SUMMARY</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613" w:rsidRPr="00BD251B" w:rsidTr="004D7613">
        <w:tc>
          <w:tcPr>
            <w:tcW w:w="5000" w:type="pct"/>
            <w:gridSpan w:val="3"/>
          </w:tcPr>
          <w:p w:rsidR="004D7613" w:rsidRPr="00BD251B" w:rsidRDefault="004D7613" w:rsidP="004D7613">
            <w:pPr>
              <w:jc w:val="both"/>
              <w:rPr>
                <w:sz w:val="20"/>
              </w:rPr>
            </w:pPr>
            <w:r w:rsidRPr="00BD251B">
              <w:rPr>
                <w:sz w:val="20"/>
              </w:rPr>
              <w:t>Law of professions – Barristers and solicitors – Assessment by Review Officer of lawyer’s accounts – Whether courts should impose restrictions on the legislative authority of Review Officers to assess lawyers’ accounts – Whether restrictions are justified given the consumer protection purpose of assessments – Whether the decisions below pose a risk of eroding consumer confidence and the ability to access justice.</w:t>
            </w:r>
          </w:p>
        </w:tc>
      </w:tr>
      <w:tr w:rsidR="004D7613" w:rsidRPr="00BD251B" w:rsidTr="004D7613">
        <w:tc>
          <w:tcPr>
            <w:tcW w:w="5000" w:type="pct"/>
            <w:gridSpan w:val="3"/>
          </w:tcPr>
          <w:p w:rsidR="004D7613" w:rsidRPr="00BD251B" w:rsidRDefault="004D7613" w:rsidP="004D7613">
            <w:pPr>
              <w:jc w:val="both"/>
              <w:rPr>
                <w:sz w:val="20"/>
              </w:rPr>
            </w:pPr>
          </w:p>
        </w:tc>
      </w:tr>
      <w:tr w:rsidR="004D7613" w:rsidRPr="00BD251B" w:rsidTr="004D7613">
        <w:tc>
          <w:tcPr>
            <w:tcW w:w="5000" w:type="pct"/>
            <w:gridSpan w:val="3"/>
          </w:tcPr>
          <w:p w:rsidR="004D7613" w:rsidRPr="00BD251B" w:rsidRDefault="004D7613" w:rsidP="004D7613">
            <w:pPr>
              <w:jc w:val="both"/>
              <w:rPr>
                <w:sz w:val="20"/>
              </w:rPr>
            </w:pPr>
            <w:r w:rsidRPr="00BD251B">
              <w:rPr>
                <w:sz w:val="20"/>
              </w:rPr>
              <w:t xml:space="preserve">The applicant, Sweetgrass First Nation, retained the respondent law firm, Rath &amp; Company, for a variety of legal matters over several years.  After retaining other lawyers, Sweetgrass sought to review a number of Rath &amp; Company's accounts, including one covered by a written contingency fee agreement and eight other accounts for which there was no written retainer.  The Review Officer granted significant reductions on most of the accounts, including the amount billed on the contingency fee account which was reduced by over 60%.  Rath &amp; Company brought an appeal from the </w:t>
            </w:r>
            <w:r w:rsidRPr="00BD251B">
              <w:rPr>
                <w:sz w:val="20"/>
              </w:rPr>
              <w:lastRenderedPageBreak/>
              <w:t>Review Officer’s assessment in the Alberta Court of Queen’s Bench, requesting that the accounts be allowed in full or, in the alternative, that the accounts be sent back to be reviewed by another Review Officer.</w:t>
            </w:r>
          </w:p>
          <w:p w:rsidR="004D7613" w:rsidRPr="00BD251B" w:rsidRDefault="004D7613" w:rsidP="004D7613">
            <w:pPr>
              <w:jc w:val="both"/>
              <w:rPr>
                <w:sz w:val="20"/>
              </w:rPr>
            </w:pPr>
          </w:p>
          <w:p w:rsidR="004D7613" w:rsidRPr="00BD251B" w:rsidRDefault="004D7613" w:rsidP="004D7613">
            <w:pPr>
              <w:jc w:val="both"/>
              <w:rPr>
                <w:sz w:val="20"/>
              </w:rPr>
            </w:pPr>
            <w:r w:rsidRPr="00BD251B">
              <w:rPr>
                <w:sz w:val="20"/>
              </w:rPr>
              <w:t>The Alberta Court of Queen’s Bench allowed the respondent’s appeal of the Review Officer’s assessment, ordering a re-hearing before another Review Officer.  The majority of the Alberta Court of Appeal allowed the applicant’s appeal in part, restoring the Review Officer’s assessment for two of the lawyer’s accounts and ordering a re-hearing on the remainder of the accounts.</w:t>
            </w:r>
          </w:p>
          <w:p w:rsidR="004D7613" w:rsidRPr="00BD251B" w:rsidRDefault="004D7613" w:rsidP="004D7613">
            <w:pPr>
              <w:jc w:val="both"/>
              <w:rPr>
                <w:sz w:val="20"/>
              </w:rPr>
            </w:pPr>
          </w:p>
        </w:tc>
      </w:tr>
      <w:tr w:rsidR="004D7613" w:rsidRPr="00BD251B" w:rsidTr="004D7613">
        <w:tc>
          <w:tcPr>
            <w:tcW w:w="2427" w:type="pct"/>
          </w:tcPr>
          <w:p w:rsidR="004D7613" w:rsidRPr="00BD251B" w:rsidRDefault="004D7613" w:rsidP="004D7613">
            <w:pPr>
              <w:jc w:val="both"/>
              <w:rPr>
                <w:sz w:val="20"/>
              </w:rPr>
            </w:pPr>
            <w:r w:rsidRPr="00BD251B">
              <w:rPr>
                <w:sz w:val="20"/>
              </w:rPr>
              <w:lastRenderedPageBreak/>
              <w:t>March 15, 2013</w:t>
            </w:r>
          </w:p>
          <w:p w:rsidR="004D7613" w:rsidRPr="00BD251B" w:rsidRDefault="004D7613" w:rsidP="004D7613">
            <w:pPr>
              <w:jc w:val="both"/>
              <w:rPr>
                <w:sz w:val="20"/>
              </w:rPr>
            </w:pPr>
            <w:r w:rsidRPr="00BD251B">
              <w:rPr>
                <w:sz w:val="20"/>
              </w:rPr>
              <w:t>Court of Queen’s Bench of Alberta</w:t>
            </w:r>
          </w:p>
          <w:p w:rsidR="004D7613" w:rsidRPr="00BD251B" w:rsidRDefault="004D7613" w:rsidP="004D7613">
            <w:pPr>
              <w:jc w:val="both"/>
              <w:rPr>
                <w:sz w:val="20"/>
              </w:rPr>
            </w:pPr>
            <w:r w:rsidRPr="00BD251B">
              <w:rPr>
                <w:sz w:val="20"/>
              </w:rPr>
              <w:t>(Tilleman J.)</w:t>
            </w:r>
          </w:p>
          <w:p w:rsidR="004D7613" w:rsidRPr="00BD251B" w:rsidRDefault="004D7613" w:rsidP="004D7613">
            <w:pPr>
              <w:jc w:val="both"/>
              <w:rPr>
                <w:sz w:val="20"/>
              </w:rPr>
            </w:pPr>
            <w:r w:rsidRPr="00BD251B">
              <w:rPr>
                <w:sz w:val="20"/>
              </w:rPr>
              <w:t xml:space="preserve">Neutral citation:  </w:t>
            </w:r>
            <w:hyperlink r:id="rId29" w:history="1">
              <w:r w:rsidRPr="00BD251B">
                <w:rPr>
                  <w:color w:val="0000FF" w:themeColor="hyperlink"/>
                  <w:sz w:val="20"/>
                  <w:u w:val="single"/>
                </w:rPr>
                <w:t>2013 ABQB 165</w:t>
              </w:r>
            </w:hyperlink>
          </w:p>
          <w:p w:rsidR="004D7613" w:rsidRPr="00BD251B" w:rsidRDefault="004D7613" w:rsidP="004D7613">
            <w:pPr>
              <w:jc w:val="both"/>
              <w:rPr>
                <w:sz w:val="20"/>
              </w:rPr>
            </w:pP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rPr>
            </w:pPr>
            <w:r w:rsidRPr="00BD251B">
              <w:rPr>
                <w:sz w:val="20"/>
              </w:rPr>
              <w:t>Respondent’s appeal from Review Officer’s assessment of lawyer’s accounts, allowed;  re-hearing ordered before another Review Officer.</w:t>
            </w:r>
          </w:p>
          <w:p w:rsidR="004D7613" w:rsidRPr="00BD251B" w:rsidRDefault="004D7613" w:rsidP="004D7613">
            <w:pPr>
              <w:jc w:val="both"/>
              <w:rPr>
                <w:sz w:val="20"/>
              </w:rPr>
            </w:pPr>
          </w:p>
        </w:tc>
      </w:tr>
      <w:tr w:rsidR="004D7613" w:rsidRPr="00BD251B" w:rsidTr="004D7613">
        <w:tc>
          <w:tcPr>
            <w:tcW w:w="2427" w:type="pct"/>
          </w:tcPr>
          <w:p w:rsidR="004D7613" w:rsidRPr="00BD251B" w:rsidRDefault="004D7613" w:rsidP="004D7613">
            <w:pPr>
              <w:jc w:val="both"/>
              <w:rPr>
                <w:sz w:val="20"/>
              </w:rPr>
            </w:pPr>
            <w:r w:rsidRPr="00BD251B">
              <w:rPr>
                <w:sz w:val="20"/>
              </w:rPr>
              <w:t>December 15, 2014</w:t>
            </w:r>
          </w:p>
          <w:p w:rsidR="004D7613" w:rsidRPr="00BD251B" w:rsidRDefault="004D7613" w:rsidP="004D7613">
            <w:pPr>
              <w:jc w:val="both"/>
              <w:rPr>
                <w:sz w:val="20"/>
              </w:rPr>
            </w:pPr>
            <w:r w:rsidRPr="00BD251B">
              <w:rPr>
                <w:sz w:val="20"/>
              </w:rPr>
              <w:t>Court of Appeal of Alberta (Calgary)</w:t>
            </w:r>
          </w:p>
          <w:p w:rsidR="004D7613" w:rsidRPr="00BD251B" w:rsidRDefault="004D7613" w:rsidP="004D7613">
            <w:pPr>
              <w:jc w:val="both"/>
              <w:rPr>
                <w:sz w:val="20"/>
              </w:rPr>
            </w:pPr>
            <w:r w:rsidRPr="00BD251B">
              <w:rPr>
                <w:sz w:val="20"/>
              </w:rPr>
              <w:t xml:space="preserve">(Berger, McDonald [dissenting] and Veldhuis </w:t>
            </w:r>
          </w:p>
          <w:p w:rsidR="004D7613" w:rsidRPr="00BD251B" w:rsidRDefault="004D7613" w:rsidP="004D7613">
            <w:pPr>
              <w:jc w:val="both"/>
              <w:rPr>
                <w:sz w:val="20"/>
              </w:rPr>
            </w:pPr>
            <w:r w:rsidRPr="00BD251B">
              <w:rPr>
                <w:sz w:val="20"/>
              </w:rPr>
              <w:t>JJ.A.)</w:t>
            </w:r>
          </w:p>
          <w:p w:rsidR="004D7613" w:rsidRPr="00BD251B" w:rsidRDefault="004D7613" w:rsidP="004D7613">
            <w:pPr>
              <w:jc w:val="both"/>
              <w:rPr>
                <w:sz w:val="20"/>
              </w:rPr>
            </w:pPr>
            <w:r w:rsidRPr="00BD251B">
              <w:rPr>
                <w:sz w:val="20"/>
              </w:rPr>
              <w:t xml:space="preserve">Neutral citation: </w:t>
            </w:r>
            <w:hyperlink r:id="rId30" w:history="1">
              <w:r w:rsidRPr="00BD251B">
                <w:rPr>
                  <w:color w:val="0000FF" w:themeColor="hyperlink"/>
                  <w:sz w:val="20"/>
                  <w:u w:val="single"/>
                </w:rPr>
                <w:t>2014 ABCA 426</w:t>
              </w:r>
            </w:hyperlink>
          </w:p>
          <w:p w:rsidR="004D7613" w:rsidRPr="00BD251B" w:rsidRDefault="004D7613" w:rsidP="004D7613">
            <w:pPr>
              <w:jc w:val="both"/>
              <w:rPr>
                <w:sz w:val="20"/>
              </w:rPr>
            </w:pP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rPr>
            </w:pPr>
            <w:r w:rsidRPr="00BD251B">
              <w:rPr>
                <w:sz w:val="20"/>
              </w:rPr>
              <w:t>Applicant’s appeal allowed in part; re-hearing ordered before another Review Officer on all but two of the lawyer’s accounts.</w:t>
            </w:r>
          </w:p>
          <w:p w:rsidR="004D7613" w:rsidRPr="00BD251B" w:rsidRDefault="004D7613" w:rsidP="004D7613">
            <w:pPr>
              <w:jc w:val="both"/>
              <w:rPr>
                <w:sz w:val="20"/>
              </w:rPr>
            </w:pPr>
          </w:p>
        </w:tc>
      </w:tr>
      <w:tr w:rsidR="004D7613" w:rsidRPr="00BD251B" w:rsidTr="004D7613">
        <w:tc>
          <w:tcPr>
            <w:tcW w:w="2427" w:type="pct"/>
          </w:tcPr>
          <w:p w:rsidR="004D7613" w:rsidRPr="00BD251B" w:rsidRDefault="004D7613" w:rsidP="004D7613">
            <w:pPr>
              <w:jc w:val="both"/>
              <w:rPr>
                <w:sz w:val="20"/>
              </w:rPr>
            </w:pPr>
            <w:r w:rsidRPr="00BD251B">
              <w:rPr>
                <w:sz w:val="20"/>
              </w:rPr>
              <w:t>February 13, 2015</w:t>
            </w:r>
          </w:p>
          <w:p w:rsidR="004D7613" w:rsidRPr="00BD251B" w:rsidRDefault="004D7613" w:rsidP="004D7613">
            <w:pPr>
              <w:jc w:val="both"/>
              <w:rPr>
                <w:sz w:val="20"/>
              </w:rPr>
            </w:pPr>
            <w:r w:rsidRPr="00BD251B">
              <w:rPr>
                <w:sz w:val="20"/>
              </w:rPr>
              <w:t>Supreme Court of Canada</w:t>
            </w: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rPr>
            </w:pPr>
            <w:r w:rsidRPr="00BD251B">
              <w:rPr>
                <w:sz w:val="20"/>
              </w:rPr>
              <w:t>Application for leave to appeal, filed.</w:t>
            </w:r>
          </w:p>
        </w:tc>
      </w:tr>
    </w:tbl>
    <w:p w:rsidR="00E112BD" w:rsidRPr="004D7613" w:rsidRDefault="00E112BD" w:rsidP="00E112BD">
      <w:pPr>
        <w:rPr>
          <w:sz w:val="20"/>
          <w:szCs w:val="20"/>
        </w:rPr>
      </w:pPr>
    </w:p>
    <w:p w:rsidR="00E112BD" w:rsidRPr="00C50A5C" w:rsidRDefault="005B7E98" w:rsidP="00E112BD">
      <w:pPr>
        <w:rPr>
          <w:sz w:val="20"/>
          <w:szCs w:val="20"/>
        </w:rPr>
      </w:pPr>
      <w:r>
        <w:rPr>
          <w:sz w:val="20"/>
          <w:szCs w:val="20"/>
          <w:lang w:val="fr-CA"/>
        </w:rPr>
        <w:pict>
          <v:rect id="_x0000_i1052" style="width:2in;height:1pt" o:hrpct="0" o:hralign="center" o:hrstd="t" o:hrnoshade="t" o:hr="t" fillcolor="black [3213]" stroked="f"/>
        </w:pict>
      </w:r>
    </w:p>
    <w:p w:rsidR="00E112BD" w:rsidRDefault="00E112BD" w:rsidP="00E112BD">
      <w:pPr>
        <w:rPr>
          <w:sz w:val="20"/>
          <w:szCs w:val="20"/>
        </w:rPr>
      </w:pPr>
    </w:p>
    <w:p w:rsidR="00E112BD" w:rsidRPr="001B157C" w:rsidRDefault="00E112BD" w:rsidP="00E112BD">
      <w:pPr>
        <w:rPr>
          <w:sz w:val="20"/>
          <w:szCs w:val="20"/>
          <w:u w:val="single"/>
          <w:lang w:val="fr-CA"/>
        </w:rPr>
      </w:pPr>
      <w:r w:rsidRPr="001B157C">
        <w:rPr>
          <w:sz w:val="20"/>
          <w:szCs w:val="20"/>
          <w:u w:val="single"/>
          <w:lang w:val="fr-CA"/>
        </w:rPr>
        <w:t>RÉSUMÉ DE L’AFFAIRE</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613" w:rsidRPr="00A12C1D" w:rsidTr="004D7613">
        <w:tc>
          <w:tcPr>
            <w:tcW w:w="5000" w:type="pct"/>
            <w:gridSpan w:val="3"/>
          </w:tcPr>
          <w:p w:rsidR="004D7613" w:rsidRPr="00BD251B" w:rsidRDefault="004D7613" w:rsidP="004D7613">
            <w:pPr>
              <w:jc w:val="both"/>
              <w:rPr>
                <w:sz w:val="20"/>
                <w:lang w:val="fr-CA"/>
              </w:rPr>
            </w:pPr>
            <w:r w:rsidRPr="00BD251B">
              <w:rPr>
                <w:sz w:val="20"/>
                <w:lang w:val="fr-CA"/>
              </w:rPr>
              <w:t>Droit des professions – Avocats et procureurs – Évaluation des comptes d’honoraires de l’avocat par un agent de révision – Les tribunaux devraient-ils imposer des restrictions sur la compétence législative des agents de révision d’évaluer les comptes d’honoraires des avocats? – Des restrictions sont-elles justifiées par l’objectif de protection des consommateurs que visent les évaluations? – Les décisions des juridictions inférieures risquent-elles de miner la confiance des consommateurs et l’accès à la justice?</w:t>
            </w:r>
          </w:p>
        </w:tc>
      </w:tr>
      <w:tr w:rsidR="004D7613" w:rsidRPr="00A12C1D" w:rsidTr="004D7613">
        <w:tc>
          <w:tcPr>
            <w:tcW w:w="5000" w:type="pct"/>
            <w:gridSpan w:val="3"/>
          </w:tcPr>
          <w:p w:rsidR="004D7613" w:rsidRPr="00BD251B" w:rsidRDefault="004D7613" w:rsidP="004D7613">
            <w:pPr>
              <w:jc w:val="both"/>
              <w:rPr>
                <w:sz w:val="20"/>
                <w:lang w:val="fr-CA"/>
              </w:rPr>
            </w:pPr>
          </w:p>
        </w:tc>
      </w:tr>
      <w:tr w:rsidR="004D7613" w:rsidRPr="00A12C1D" w:rsidTr="004D7613">
        <w:tc>
          <w:tcPr>
            <w:tcW w:w="5000" w:type="pct"/>
            <w:gridSpan w:val="3"/>
          </w:tcPr>
          <w:p w:rsidR="004D7613" w:rsidRPr="00BD251B" w:rsidRDefault="004D7613" w:rsidP="004D7613">
            <w:pPr>
              <w:jc w:val="both"/>
              <w:rPr>
                <w:sz w:val="20"/>
                <w:lang w:val="fr-CA"/>
              </w:rPr>
            </w:pPr>
            <w:r w:rsidRPr="00BD251B">
              <w:rPr>
                <w:sz w:val="20"/>
                <w:lang w:val="fr-CA"/>
              </w:rPr>
              <w:t>La demanderesse, la Première Nation Sweetgrass, a confié un mandat de représentation au cabinet d’avocats intimé, Rath &amp; Company, relativement à diverses questions juridiques sur plusieurs années.  Après avoir confié un mandat de représentation à d’autres avocats, Sweetgrass a demandé la révision d’un certain nombre de comptes d’honoraires de Rath &amp; Company, y compris un compte couvert par une convention écrite d’honoraires conditionnels et huit autres comptes pour lesquels il n’y avait pas de mandat écrit de représentation.  L’agent de révision a accordé des réductions substantielles relativement à la plupart des comptes d’honoraires, y compris le montant facturé sur le compte d’honoraires conditionnels qui a été réduit de plus de 60 %.  Rath &amp; Company a interjeté appel, à la Cour du Banc de la Reine de l’Alberta, de l’évaluation de l’agent de révision, demandant que les comptes d’honoraires soient autorisés intégralement ou, subsidiairement, que les comptes soient renvoyés à un autre agent de révision pour réexamen.</w:t>
            </w:r>
          </w:p>
          <w:p w:rsidR="004D7613" w:rsidRPr="00BD251B" w:rsidRDefault="004D7613" w:rsidP="004D7613">
            <w:pPr>
              <w:jc w:val="both"/>
              <w:rPr>
                <w:sz w:val="20"/>
                <w:lang w:val="fr-CA"/>
              </w:rPr>
            </w:pPr>
          </w:p>
          <w:p w:rsidR="004D7613" w:rsidRPr="00BD251B" w:rsidRDefault="004D7613" w:rsidP="004D7613">
            <w:pPr>
              <w:jc w:val="both"/>
              <w:rPr>
                <w:sz w:val="20"/>
                <w:lang w:val="fr-CA"/>
              </w:rPr>
            </w:pPr>
            <w:r w:rsidRPr="00BD251B">
              <w:rPr>
                <w:sz w:val="20"/>
                <w:lang w:val="fr-CA"/>
              </w:rPr>
              <w:t>La Cour du Banc de la Reine de l’Alberta a accueilli l’appel de l’évaluation de l’agent de révision interjeté par l’intimé, ordonnant que l’affaire soit entendue de nouveau par un autre agent de révision.  Les juges majoritaires de la Cour d’appel ont accueilli en partie l’appel de la demanderesse, rétablissant l’évaluation de l’agent de révision relativement à deux comptes d’honoraires de l’avocat et ordonnant une nouvelle audience relativement aux autres comptes.</w:t>
            </w:r>
          </w:p>
          <w:p w:rsidR="004D7613" w:rsidRPr="00BD251B" w:rsidRDefault="004D7613" w:rsidP="004D7613">
            <w:pPr>
              <w:jc w:val="both"/>
              <w:rPr>
                <w:sz w:val="20"/>
                <w:lang w:val="fr-CA"/>
              </w:rPr>
            </w:pPr>
          </w:p>
        </w:tc>
      </w:tr>
      <w:tr w:rsidR="004D7613" w:rsidRPr="00A12C1D" w:rsidTr="00586995">
        <w:trPr>
          <w:cantSplit/>
        </w:trPr>
        <w:tc>
          <w:tcPr>
            <w:tcW w:w="2427" w:type="pct"/>
          </w:tcPr>
          <w:p w:rsidR="004D7613" w:rsidRPr="00BD251B" w:rsidRDefault="004D7613" w:rsidP="004D7613">
            <w:pPr>
              <w:jc w:val="both"/>
              <w:rPr>
                <w:sz w:val="20"/>
                <w:lang w:val="fr-CA"/>
              </w:rPr>
            </w:pPr>
            <w:r w:rsidRPr="00BD251B">
              <w:rPr>
                <w:sz w:val="20"/>
                <w:lang w:val="fr-CA"/>
              </w:rPr>
              <w:lastRenderedPageBreak/>
              <w:t>15 mars 2013</w:t>
            </w:r>
          </w:p>
          <w:p w:rsidR="004D7613" w:rsidRPr="00BD251B" w:rsidRDefault="004D7613" w:rsidP="004D7613">
            <w:pPr>
              <w:jc w:val="both"/>
              <w:rPr>
                <w:sz w:val="20"/>
                <w:lang w:val="fr-CA"/>
              </w:rPr>
            </w:pPr>
            <w:r w:rsidRPr="00BD251B">
              <w:rPr>
                <w:sz w:val="20"/>
                <w:lang w:val="fr-CA"/>
              </w:rPr>
              <w:t>Cour du Banc de la Reine de l’Alberta</w:t>
            </w:r>
          </w:p>
          <w:p w:rsidR="004D7613" w:rsidRPr="00BD251B" w:rsidRDefault="004D7613" w:rsidP="004D7613">
            <w:pPr>
              <w:jc w:val="both"/>
              <w:rPr>
                <w:sz w:val="20"/>
                <w:lang w:val="fr-CA"/>
              </w:rPr>
            </w:pPr>
            <w:r w:rsidRPr="00BD251B">
              <w:rPr>
                <w:sz w:val="20"/>
                <w:lang w:val="fr-CA"/>
              </w:rPr>
              <w:t>(Juge Tilleman)</w:t>
            </w:r>
          </w:p>
          <w:p w:rsidR="004D7613" w:rsidRPr="00BD251B" w:rsidRDefault="004D7613" w:rsidP="004D7613">
            <w:pPr>
              <w:jc w:val="both"/>
              <w:rPr>
                <w:sz w:val="20"/>
                <w:lang w:val="fr-CA"/>
              </w:rPr>
            </w:pPr>
            <w:r w:rsidRPr="00BD251B">
              <w:rPr>
                <w:sz w:val="20"/>
                <w:lang w:val="fr-CA"/>
              </w:rPr>
              <w:t xml:space="preserve">Référence neutre :  </w:t>
            </w:r>
            <w:hyperlink r:id="rId31" w:history="1">
              <w:r w:rsidRPr="00BD251B">
                <w:rPr>
                  <w:color w:val="0000FF" w:themeColor="hyperlink"/>
                  <w:sz w:val="20"/>
                  <w:u w:val="single"/>
                  <w:lang w:val="fr-CA"/>
                </w:rPr>
                <w:t>2013 ABQB 165</w:t>
              </w:r>
            </w:hyperlink>
          </w:p>
          <w:p w:rsidR="004D7613" w:rsidRPr="00BD251B" w:rsidRDefault="004D7613" w:rsidP="004D7613">
            <w:pPr>
              <w:jc w:val="both"/>
              <w:rPr>
                <w:sz w:val="20"/>
                <w:lang w:val="fr-CA"/>
              </w:rPr>
            </w:pPr>
          </w:p>
        </w:tc>
        <w:tc>
          <w:tcPr>
            <w:tcW w:w="243" w:type="pct"/>
          </w:tcPr>
          <w:p w:rsidR="004D7613" w:rsidRPr="00BD251B" w:rsidRDefault="004D7613" w:rsidP="004D7613">
            <w:pPr>
              <w:jc w:val="both"/>
              <w:rPr>
                <w:sz w:val="20"/>
                <w:lang w:val="fr-CA"/>
              </w:rPr>
            </w:pPr>
          </w:p>
        </w:tc>
        <w:tc>
          <w:tcPr>
            <w:tcW w:w="2330" w:type="pct"/>
          </w:tcPr>
          <w:p w:rsidR="004D7613" w:rsidRPr="00BD251B" w:rsidRDefault="004D7613" w:rsidP="004D7613">
            <w:pPr>
              <w:jc w:val="both"/>
              <w:rPr>
                <w:sz w:val="20"/>
                <w:lang w:val="fr-CA"/>
              </w:rPr>
            </w:pPr>
            <w:r w:rsidRPr="00BD251B">
              <w:rPr>
                <w:sz w:val="20"/>
                <w:lang w:val="fr-CA"/>
              </w:rPr>
              <w:t>Jugement accueillant l’appel de l’évaluation de l’agent de révision des comptes d’honoraires de l’avocat interjeté par l’intimé et ordonnant la tenue d’une nouvelle audience devant un autre agent de révision.</w:t>
            </w:r>
          </w:p>
          <w:p w:rsidR="004D7613" w:rsidRPr="00BD251B" w:rsidRDefault="004D7613" w:rsidP="004D7613">
            <w:pPr>
              <w:jc w:val="both"/>
              <w:rPr>
                <w:sz w:val="20"/>
                <w:lang w:val="fr-CA"/>
              </w:rPr>
            </w:pPr>
          </w:p>
        </w:tc>
      </w:tr>
      <w:tr w:rsidR="004D7613" w:rsidRPr="00A12C1D" w:rsidTr="00586995">
        <w:trPr>
          <w:cantSplit/>
        </w:trPr>
        <w:tc>
          <w:tcPr>
            <w:tcW w:w="2427" w:type="pct"/>
          </w:tcPr>
          <w:p w:rsidR="004D7613" w:rsidRPr="00BD251B" w:rsidRDefault="004D7613" w:rsidP="004D7613">
            <w:pPr>
              <w:jc w:val="both"/>
              <w:rPr>
                <w:sz w:val="20"/>
                <w:lang w:val="fr-CA"/>
              </w:rPr>
            </w:pPr>
            <w:r w:rsidRPr="00BD251B">
              <w:rPr>
                <w:sz w:val="20"/>
                <w:lang w:val="fr-CA"/>
              </w:rPr>
              <w:t>15 décembre 2014</w:t>
            </w:r>
          </w:p>
          <w:p w:rsidR="004D7613" w:rsidRPr="00BD251B" w:rsidRDefault="004D7613" w:rsidP="004D7613">
            <w:pPr>
              <w:jc w:val="both"/>
              <w:rPr>
                <w:sz w:val="20"/>
                <w:lang w:val="fr-CA"/>
              </w:rPr>
            </w:pPr>
            <w:r w:rsidRPr="00BD251B">
              <w:rPr>
                <w:sz w:val="20"/>
                <w:lang w:val="fr-CA"/>
              </w:rPr>
              <w:t>Cour d’appel de l’Alberta (Calgary)</w:t>
            </w:r>
          </w:p>
          <w:p w:rsidR="004D7613" w:rsidRPr="00BD251B" w:rsidRDefault="004D7613" w:rsidP="004D7613">
            <w:pPr>
              <w:jc w:val="both"/>
              <w:rPr>
                <w:sz w:val="20"/>
                <w:lang w:val="fr-CA"/>
              </w:rPr>
            </w:pPr>
            <w:r w:rsidRPr="00BD251B">
              <w:rPr>
                <w:sz w:val="20"/>
                <w:lang w:val="fr-CA"/>
              </w:rPr>
              <w:t>(Juges Berger, McDonald [dissident] et Veldhuis)</w:t>
            </w:r>
          </w:p>
          <w:p w:rsidR="004D7613" w:rsidRPr="00BD251B" w:rsidRDefault="004D7613" w:rsidP="004D7613">
            <w:pPr>
              <w:jc w:val="both"/>
              <w:rPr>
                <w:sz w:val="20"/>
                <w:lang w:val="fr-CA"/>
              </w:rPr>
            </w:pPr>
            <w:r w:rsidRPr="00BD251B">
              <w:rPr>
                <w:sz w:val="20"/>
                <w:lang w:val="fr-CA"/>
              </w:rPr>
              <w:t xml:space="preserve">Référence neutre : </w:t>
            </w:r>
            <w:hyperlink r:id="rId32" w:history="1">
              <w:r w:rsidRPr="00BD251B">
                <w:rPr>
                  <w:color w:val="0000FF" w:themeColor="hyperlink"/>
                  <w:sz w:val="20"/>
                  <w:u w:val="single"/>
                  <w:lang w:val="fr-CA"/>
                </w:rPr>
                <w:t>2014 ABCA 426</w:t>
              </w:r>
            </w:hyperlink>
          </w:p>
          <w:p w:rsidR="004D7613" w:rsidRPr="00BD251B" w:rsidRDefault="004D7613" w:rsidP="004D7613">
            <w:pPr>
              <w:jc w:val="both"/>
              <w:rPr>
                <w:sz w:val="20"/>
                <w:lang w:val="fr-CA"/>
              </w:rPr>
            </w:pPr>
          </w:p>
        </w:tc>
        <w:tc>
          <w:tcPr>
            <w:tcW w:w="243" w:type="pct"/>
          </w:tcPr>
          <w:p w:rsidR="004D7613" w:rsidRPr="00BD251B" w:rsidRDefault="004D7613" w:rsidP="004D7613">
            <w:pPr>
              <w:jc w:val="both"/>
              <w:rPr>
                <w:sz w:val="20"/>
                <w:lang w:val="fr-CA"/>
              </w:rPr>
            </w:pPr>
          </w:p>
        </w:tc>
        <w:tc>
          <w:tcPr>
            <w:tcW w:w="2330" w:type="pct"/>
          </w:tcPr>
          <w:p w:rsidR="004D7613" w:rsidRPr="00BD251B" w:rsidRDefault="004D7613" w:rsidP="004D7613">
            <w:pPr>
              <w:jc w:val="both"/>
              <w:rPr>
                <w:sz w:val="20"/>
                <w:lang w:val="fr-CA"/>
              </w:rPr>
            </w:pPr>
            <w:r w:rsidRPr="00BD251B">
              <w:rPr>
                <w:sz w:val="20"/>
                <w:lang w:val="fr-CA"/>
              </w:rPr>
              <w:t>Arrêt accueillant en partie l’appel de la demanderesse et ordonnant la tenue d’une nouvelle audience devant un autre agent de révision relativement à tous les comptes d’honoraires de l’avocat, sauf deux.</w:t>
            </w:r>
          </w:p>
          <w:p w:rsidR="004D7613" w:rsidRPr="00BD251B" w:rsidRDefault="004D7613" w:rsidP="004D7613">
            <w:pPr>
              <w:jc w:val="both"/>
              <w:rPr>
                <w:sz w:val="20"/>
                <w:lang w:val="fr-CA"/>
              </w:rPr>
            </w:pPr>
          </w:p>
        </w:tc>
      </w:tr>
      <w:tr w:rsidR="004D7613" w:rsidRPr="00A12C1D" w:rsidTr="00586995">
        <w:trPr>
          <w:cantSplit/>
        </w:trPr>
        <w:tc>
          <w:tcPr>
            <w:tcW w:w="2427" w:type="pct"/>
          </w:tcPr>
          <w:p w:rsidR="004D7613" w:rsidRPr="00BD251B" w:rsidRDefault="004D7613" w:rsidP="004D7613">
            <w:pPr>
              <w:jc w:val="both"/>
              <w:rPr>
                <w:sz w:val="20"/>
                <w:lang w:val="fr-CA"/>
              </w:rPr>
            </w:pPr>
            <w:r w:rsidRPr="00BD251B">
              <w:rPr>
                <w:sz w:val="20"/>
                <w:lang w:val="fr-CA"/>
              </w:rPr>
              <w:t>13 février 2015</w:t>
            </w:r>
          </w:p>
          <w:p w:rsidR="004D7613" w:rsidRPr="00BD251B" w:rsidRDefault="004D7613" w:rsidP="004D7613">
            <w:pPr>
              <w:jc w:val="both"/>
              <w:rPr>
                <w:sz w:val="20"/>
                <w:lang w:val="fr-CA"/>
              </w:rPr>
            </w:pPr>
            <w:r w:rsidRPr="00BD251B">
              <w:rPr>
                <w:sz w:val="20"/>
                <w:lang w:val="fr-CA"/>
              </w:rPr>
              <w:t>Cour suprême du Canada</w:t>
            </w:r>
          </w:p>
        </w:tc>
        <w:tc>
          <w:tcPr>
            <w:tcW w:w="243" w:type="pct"/>
          </w:tcPr>
          <w:p w:rsidR="004D7613" w:rsidRPr="00BD251B" w:rsidRDefault="004D7613" w:rsidP="004D7613">
            <w:pPr>
              <w:jc w:val="both"/>
              <w:rPr>
                <w:sz w:val="20"/>
                <w:lang w:val="fr-CA"/>
              </w:rPr>
            </w:pPr>
          </w:p>
        </w:tc>
        <w:tc>
          <w:tcPr>
            <w:tcW w:w="2330" w:type="pct"/>
          </w:tcPr>
          <w:p w:rsidR="004D7613" w:rsidRPr="00BD251B" w:rsidRDefault="004D7613" w:rsidP="004D7613">
            <w:pPr>
              <w:jc w:val="both"/>
              <w:rPr>
                <w:sz w:val="20"/>
                <w:lang w:val="fr-CA"/>
              </w:rPr>
            </w:pPr>
            <w:r w:rsidRPr="00BD251B">
              <w:rPr>
                <w:sz w:val="20"/>
                <w:lang w:val="fr-CA"/>
              </w:rPr>
              <w:t>Dépôt de la demande d’autorisation d’appel.</w:t>
            </w:r>
          </w:p>
          <w:p w:rsidR="004D7613" w:rsidRPr="00BD251B" w:rsidRDefault="004D7613" w:rsidP="004D7613">
            <w:pPr>
              <w:jc w:val="both"/>
              <w:rPr>
                <w:sz w:val="20"/>
                <w:lang w:val="fr-CA"/>
              </w:rPr>
            </w:pPr>
          </w:p>
        </w:tc>
      </w:tr>
    </w:tbl>
    <w:p w:rsidR="00E112BD" w:rsidRPr="004D7613" w:rsidRDefault="00E112BD" w:rsidP="00E112BD">
      <w:pPr>
        <w:rPr>
          <w:sz w:val="20"/>
          <w:szCs w:val="20"/>
          <w:lang w:val="fr-CA"/>
        </w:rPr>
      </w:pPr>
    </w:p>
    <w:p w:rsidR="00E112BD" w:rsidRDefault="005B7E98" w:rsidP="00E112BD">
      <w:pPr>
        <w:rPr>
          <w:sz w:val="20"/>
          <w:szCs w:val="20"/>
        </w:rPr>
      </w:pPr>
      <w:r>
        <w:rPr>
          <w:sz w:val="20"/>
          <w:szCs w:val="20"/>
          <w:lang w:val="fr-CA"/>
        </w:rPr>
        <w:pict>
          <v:rect id="_x0000_i1053" style="width:2in;height:1pt" o:hrpct="0" o:hralign="center" o:hrstd="t" o:hrnoshade="t" o:hr="t" fillcolor="black [3213]" stroked="f"/>
        </w:pict>
      </w:r>
    </w:p>
    <w:p w:rsidR="00E112BD" w:rsidRDefault="00E112BD" w:rsidP="00E112B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86995" w:rsidRPr="00392F0F" w:rsidTr="006205C5">
        <w:trPr>
          <w:cantSplit/>
        </w:trPr>
        <w:tc>
          <w:tcPr>
            <w:tcW w:w="1458" w:type="dxa"/>
          </w:tcPr>
          <w:p w:rsidR="00586995" w:rsidRPr="00392F0F" w:rsidRDefault="00586995" w:rsidP="006205C5">
            <w:pPr>
              <w:rPr>
                <w:sz w:val="20"/>
                <w:szCs w:val="20"/>
              </w:rPr>
            </w:pPr>
            <w:r w:rsidRPr="00392F0F">
              <w:rPr>
                <w:rStyle w:val="SCCFileNumberChar"/>
                <w:sz w:val="20"/>
                <w:szCs w:val="20"/>
              </w:rPr>
              <w:t>36321</w:t>
            </w:r>
          </w:p>
          <w:p w:rsidR="00586995" w:rsidRPr="00392F0F" w:rsidRDefault="00586995" w:rsidP="006205C5">
            <w:pPr>
              <w:rPr>
                <w:b/>
                <w:sz w:val="20"/>
                <w:szCs w:val="20"/>
                <w:lang w:val="fr-CA"/>
              </w:rPr>
            </w:pPr>
          </w:p>
        </w:tc>
        <w:tc>
          <w:tcPr>
            <w:tcW w:w="8118" w:type="dxa"/>
          </w:tcPr>
          <w:p w:rsidR="00586995" w:rsidRPr="00392F0F" w:rsidRDefault="00586995" w:rsidP="006205C5">
            <w:pPr>
              <w:rPr>
                <w:sz w:val="20"/>
                <w:szCs w:val="20"/>
              </w:rPr>
            </w:pPr>
            <w:r w:rsidRPr="00392F0F">
              <w:rPr>
                <w:rStyle w:val="SCCLsocChar"/>
                <w:sz w:val="20"/>
                <w:szCs w:val="20"/>
                <w:lang w:val="en-CA"/>
              </w:rPr>
              <w:t>Udell So v. Her Majesty the Queen</w:t>
            </w:r>
            <w:r w:rsidRPr="00392F0F">
              <w:rPr>
                <w:sz w:val="20"/>
                <w:szCs w:val="20"/>
              </w:rPr>
              <w:t xml:space="preserve"> (Alta.) (Criminal) (By Leave)</w:t>
            </w:r>
          </w:p>
          <w:p w:rsidR="00586995" w:rsidRPr="00392F0F" w:rsidRDefault="00586995" w:rsidP="006205C5">
            <w:pPr>
              <w:rPr>
                <w:sz w:val="20"/>
                <w:szCs w:val="20"/>
              </w:rPr>
            </w:pPr>
          </w:p>
        </w:tc>
      </w:tr>
      <w:tr w:rsidR="00586995" w:rsidRPr="00392F0F" w:rsidTr="006205C5">
        <w:trPr>
          <w:cantSplit/>
        </w:trPr>
        <w:tc>
          <w:tcPr>
            <w:tcW w:w="1458" w:type="dxa"/>
          </w:tcPr>
          <w:p w:rsidR="00586995" w:rsidRPr="00392F0F" w:rsidRDefault="00586995" w:rsidP="006205C5">
            <w:pPr>
              <w:rPr>
                <w:sz w:val="20"/>
                <w:szCs w:val="20"/>
              </w:rPr>
            </w:pPr>
            <w:r w:rsidRPr="00392F0F">
              <w:rPr>
                <w:sz w:val="20"/>
                <w:szCs w:val="20"/>
              </w:rPr>
              <w:t>Coram :</w:t>
            </w:r>
          </w:p>
        </w:tc>
        <w:tc>
          <w:tcPr>
            <w:tcW w:w="8118" w:type="dxa"/>
          </w:tcPr>
          <w:p w:rsidR="00586995" w:rsidRPr="00392F0F" w:rsidRDefault="00586995" w:rsidP="006205C5">
            <w:pPr>
              <w:rPr>
                <w:sz w:val="20"/>
                <w:szCs w:val="20"/>
              </w:rPr>
            </w:pPr>
            <w:r w:rsidRPr="00392F0F">
              <w:rPr>
                <w:rStyle w:val="SCCCoramChar"/>
                <w:sz w:val="20"/>
                <w:szCs w:val="20"/>
                <w:lang w:val="en-CA"/>
              </w:rPr>
              <w:t>McLachlin C.J. and Wagner and Gascon JJ.</w:t>
            </w:r>
          </w:p>
          <w:p w:rsidR="00586995" w:rsidRPr="00392F0F" w:rsidRDefault="00586995" w:rsidP="006205C5">
            <w:pPr>
              <w:rPr>
                <w:sz w:val="20"/>
                <w:szCs w:val="20"/>
                <w:u w:val="single"/>
              </w:rPr>
            </w:pPr>
          </w:p>
        </w:tc>
      </w:tr>
      <w:tr w:rsidR="00586995" w:rsidRPr="00A12C1D" w:rsidTr="006205C5">
        <w:trPr>
          <w:cantSplit/>
        </w:trPr>
        <w:tc>
          <w:tcPr>
            <w:tcW w:w="9576" w:type="dxa"/>
            <w:gridSpan w:val="2"/>
          </w:tcPr>
          <w:p w:rsidR="00586995" w:rsidRPr="00392F0F" w:rsidRDefault="00586995" w:rsidP="006205C5">
            <w:pPr>
              <w:pStyle w:val="SCCShortJudgment"/>
              <w:rPr>
                <w:szCs w:val="20"/>
              </w:rPr>
            </w:pPr>
            <w:r w:rsidRPr="00392F0F">
              <w:rPr>
                <w:szCs w:val="20"/>
              </w:rPr>
              <w:t>The application for leave to appeal from the judgment of the Court of Appeal of Alberta (Calgary), Number 1301-0274-A, 2014 ABCA 451, dated December 23, 2014, is dismissed.</w:t>
            </w:r>
          </w:p>
          <w:p w:rsidR="00586995" w:rsidRPr="00392F0F" w:rsidRDefault="00586995" w:rsidP="006205C5">
            <w:pPr>
              <w:pStyle w:val="SCCShortJudgment"/>
              <w:ind w:firstLine="0"/>
              <w:rPr>
                <w:szCs w:val="20"/>
              </w:rPr>
            </w:pPr>
          </w:p>
          <w:p w:rsidR="00586995" w:rsidRPr="00392F0F" w:rsidRDefault="00586995" w:rsidP="006205C5">
            <w:pPr>
              <w:pStyle w:val="SCCShortJudgment"/>
              <w:rPr>
                <w:szCs w:val="20"/>
                <w:lang w:val="fr-CA"/>
              </w:rPr>
            </w:pPr>
            <w:r w:rsidRPr="00392F0F">
              <w:rPr>
                <w:szCs w:val="20"/>
                <w:lang w:val="fr-CA"/>
              </w:rPr>
              <w:t>La demande d’autorisation d’appel de l’arrêt de la Cour d’appel de l’Alberta (Calgary), numéro 1301-0274-A, 2014 ABCA 451, daté du 23 décembre 2014, est rejetée.</w:t>
            </w:r>
          </w:p>
        </w:tc>
      </w:tr>
    </w:tbl>
    <w:p w:rsidR="00E112BD" w:rsidRPr="00586995" w:rsidRDefault="00E112BD" w:rsidP="00E112BD">
      <w:pPr>
        <w:rPr>
          <w:sz w:val="20"/>
          <w:szCs w:val="20"/>
          <w:lang w:val="fr-CA"/>
        </w:rPr>
      </w:pPr>
    </w:p>
    <w:p w:rsidR="00E112BD" w:rsidRPr="001B157C" w:rsidRDefault="00E112BD" w:rsidP="00E112BD">
      <w:pPr>
        <w:rPr>
          <w:sz w:val="20"/>
          <w:szCs w:val="20"/>
          <w:u w:val="single"/>
        </w:rPr>
      </w:pPr>
      <w:r w:rsidRPr="001B157C">
        <w:rPr>
          <w:sz w:val="20"/>
          <w:szCs w:val="20"/>
          <w:u w:val="single"/>
        </w:rPr>
        <w:t>CASE SUMMARY</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613" w:rsidRPr="00BD251B" w:rsidTr="004D7613">
        <w:tc>
          <w:tcPr>
            <w:tcW w:w="5000" w:type="pct"/>
            <w:gridSpan w:val="3"/>
          </w:tcPr>
          <w:p w:rsidR="004D7613" w:rsidRPr="00BD251B" w:rsidRDefault="004D7613" w:rsidP="004D7613">
            <w:pPr>
              <w:jc w:val="both"/>
              <w:rPr>
                <w:sz w:val="20"/>
              </w:rPr>
            </w:pPr>
            <w:r w:rsidRPr="00BD251B">
              <w:rPr>
                <w:sz w:val="20"/>
              </w:rPr>
              <w:t xml:space="preserve">Criminal law – Evidence – Operating a motor vehicle with a blood alcohol content exceeding .08 – To rebut the statutory presumptions in s. 258(1) (c)of the </w:t>
            </w:r>
            <w:r w:rsidRPr="00BD251B">
              <w:rPr>
                <w:i/>
                <w:sz w:val="20"/>
              </w:rPr>
              <w:t xml:space="preserve">Criminal Code </w:t>
            </w:r>
            <w:r w:rsidRPr="00BD251B">
              <w:rPr>
                <w:sz w:val="20"/>
              </w:rPr>
              <w:t xml:space="preserve">an accused must establish to the reasonable doubt standard: (a) a deficiency in the functioning or operation of the instrument; and (b) that the deficiency directly related to the reliability of the breath test results – Whether the failure to comply with the operating procedures set out in the ATC Recommended Standards and Procedures and the Qualified Breath Technician Manual raise a doubt whether the approved instrument was operated improperly – Is evidence which raises a reasonable doubt whether the approved instrument was operated improperly sufficient to rebut the presumptions in s. 258(1)(c) of the </w:t>
            </w:r>
            <w:r w:rsidRPr="00BD251B">
              <w:rPr>
                <w:i/>
                <w:sz w:val="20"/>
              </w:rPr>
              <w:t>Criminal Code</w:t>
            </w:r>
            <w:r w:rsidRPr="00BD251B">
              <w:rPr>
                <w:sz w:val="20"/>
              </w:rPr>
              <w:t xml:space="preserve"> or must the accused also show that such improper operation relates directly to the reliability of the breath test results?</w:t>
            </w:r>
          </w:p>
          <w:p w:rsidR="004D7613" w:rsidRPr="00BD251B" w:rsidRDefault="004D7613" w:rsidP="004D7613">
            <w:pPr>
              <w:jc w:val="both"/>
              <w:rPr>
                <w:sz w:val="20"/>
              </w:rPr>
            </w:pPr>
          </w:p>
        </w:tc>
      </w:tr>
      <w:tr w:rsidR="004D7613" w:rsidRPr="00BD251B" w:rsidTr="004D7613">
        <w:tc>
          <w:tcPr>
            <w:tcW w:w="5000" w:type="pct"/>
            <w:gridSpan w:val="3"/>
          </w:tcPr>
          <w:p w:rsidR="004D7613" w:rsidRPr="00BD251B" w:rsidRDefault="004D7613" w:rsidP="004D7613">
            <w:pPr>
              <w:jc w:val="both"/>
              <w:rPr>
                <w:sz w:val="20"/>
              </w:rPr>
            </w:pPr>
            <w:r w:rsidRPr="00BD251B">
              <w:rPr>
                <w:sz w:val="20"/>
              </w:rPr>
              <w:t>The applicant consumed nine alcoholic drinks between 18:00 and 02:00, followed by two slices of pizza. The applicant burped in the police car and in the holding room before each breath test, in each case unnoticed by the police.  Sampling was not additionally delayed as a consequence.  The Certificate of Analysis on his breath, sampled at 04:10 and 04:35, reported 140 mg/100 ml and 130 mg/100 ml of blood alcohol respectively.  The applicant was convicted of operating a motor vehicle with a blood alcohol content exceeding .08.  His conviction appeal was dismissed by the summary conviction appeal judge.  The Court of Appeal dismissed the applicant’s appeal.</w:t>
            </w:r>
          </w:p>
          <w:p w:rsidR="004D7613" w:rsidRPr="00BD251B" w:rsidRDefault="004D7613" w:rsidP="004D7613">
            <w:pPr>
              <w:jc w:val="both"/>
              <w:rPr>
                <w:sz w:val="20"/>
              </w:rPr>
            </w:pPr>
          </w:p>
        </w:tc>
      </w:tr>
      <w:tr w:rsidR="004D7613" w:rsidRPr="00BD251B" w:rsidTr="004D7613">
        <w:tc>
          <w:tcPr>
            <w:tcW w:w="2427" w:type="pct"/>
          </w:tcPr>
          <w:p w:rsidR="004D7613" w:rsidRPr="00BD251B" w:rsidRDefault="004D7613" w:rsidP="004D7613">
            <w:pPr>
              <w:jc w:val="both"/>
              <w:rPr>
                <w:sz w:val="20"/>
              </w:rPr>
            </w:pPr>
            <w:r w:rsidRPr="00BD251B">
              <w:rPr>
                <w:sz w:val="20"/>
              </w:rPr>
              <w:t>April 18, 2013</w:t>
            </w:r>
          </w:p>
          <w:p w:rsidR="004D7613" w:rsidRPr="00BD251B" w:rsidRDefault="004D7613" w:rsidP="004D7613">
            <w:pPr>
              <w:jc w:val="both"/>
              <w:rPr>
                <w:sz w:val="20"/>
              </w:rPr>
            </w:pPr>
            <w:r w:rsidRPr="00BD251B">
              <w:rPr>
                <w:sz w:val="20"/>
              </w:rPr>
              <w:t>Provincial Court of Alberta</w:t>
            </w:r>
          </w:p>
          <w:p w:rsidR="004D7613" w:rsidRPr="00BD251B" w:rsidRDefault="004D7613" w:rsidP="004D7613">
            <w:pPr>
              <w:jc w:val="both"/>
              <w:rPr>
                <w:sz w:val="20"/>
              </w:rPr>
            </w:pPr>
            <w:r w:rsidRPr="00BD251B">
              <w:rPr>
                <w:sz w:val="20"/>
              </w:rPr>
              <w:t>(Tyndale P.C.J.)</w:t>
            </w:r>
          </w:p>
          <w:p w:rsidR="004D7613" w:rsidRPr="00BD251B" w:rsidRDefault="004D7613" w:rsidP="004D7613">
            <w:pPr>
              <w:jc w:val="both"/>
              <w:rPr>
                <w:sz w:val="20"/>
              </w:rPr>
            </w:pPr>
            <w:r w:rsidRPr="00BD251B">
              <w:rPr>
                <w:sz w:val="20"/>
              </w:rPr>
              <w:t>2013 ABPC 93</w:t>
            </w:r>
          </w:p>
          <w:p w:rsidR="004D7613" w:rsidRPr="00BD251B" w:rsidRDefault="005B7E98" w:rsidP="004D7613">
            <w:pPr>
              <w:jc w:val="both"/>
              <w:rPr>
                <w:sz w:val="20"/>
              </w:rPr>
            </w:pPr>
            <w:hyperlink r:id="rId33" w:history="1">
              <w:r w:rsidR="004D7613" w:rsidRPr="00BD251B">
                <w:rPr>
                  <w:color w:val="0000FF" w:themeColor="hyperlink"/>
                  <w:sz w:val="20"/>
                  <w:u w:val="single"/>
                </w:rPr>
                <w:t>http://canlii.ca/t/fx9cq</w:t>
              </w:r>
            </w:hyperlink>
          </w:p>
          <w:p w:rsidR="004D7613" w:rsidRPr="00BD251B" w:rsidRDefault="004D7613" w:rsidP="004D7613">
            <w:pPr>
              <w:jc w:val="both"/>
              <w:rPr>
                <w:sz w:val="20"/>
              </w:rPr>
            </w:pP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rPr>
            </w:pPr>
            <w:r w:rsidRPr="00BD251B">
              <w:rPr>
                <w:sz w:val="20"/>
              </w:rPr>
              <w:t>Conviction: operating a motor vehicle with a blood alcohol content exceeding .08</w:t>
            </w:r>
          </w:p>
          <w:p w:rsidR="004D7613" w:rsidRPr="00BD251B" w:rsidRDefault="004D7613" w:rsidP="004D7613">
            <w:pPr>
              <w:jc w:val="both"/>
              <w:rPr>
                <w:sz w:val="20"/>
              </w:rPr>
            </w:pPr>
          </w:p>
        </w:tc>
      </w:tr>
      <w:tr w:rsidR="004D7613" w:rsidRPr="00BD251B" w:rsidTr="00586995">
        <w:trPr>
          <w:cantSplit/>
        </w:trPr>
        <w:tc>
          <w:tcPr>
            <w:tcW w:w="2427" w:type="pct"/>
          </w:tcPr>
          <w:p w:rsidR="004D7613" w:rsidRPr="00BD251B" w:rsidRDefault="004D7613" w:rsidP="004D7613">
            <w:pPr>
              <w:jc w:val="both"/>
              <w:rPr>
                <w:sz w:val="20"/>
              </w:rPr>
            </w:pPr>
            <w:r w:rsidRPr="00BD251B">
              <w:rPr>
                <w:sz w:val="20"/>
              </w:rPr>
              <w:lastRenderedPageBreak/>
              <w:t>September 20, 2013</w:t>
            </w:r>
          </w:p>
          <w:p w:rsidR="004D7613" w:rsidRPr="00BD251B" w:rsidRDefault="004D7613" w:rsidP="004D7613">
            <w:pPr>
              <w:jc w:val="both"/>
              <w:rPr>
                <w:sz w:val="20"/>
              </w:rPr>
            </w:pPr>
            <w:r w:rsidRPr="00BD251B">
              <w:rPr>
                <w:sz w:val="20"/>
              </w:rPr>
              <w:t>Court of Queen’s Bench of Alberta</w:t>
            </w:r>
          </w:p>
          <w:p w:rsidR="004D7613" w:rsidRPr="00BD251B" w:rsidRDefault="004D7613" w:rsidP="004D7613">
            <w:pPr>
              <w:jc w:val="both"/>
              <w:rPr>
                <w:sz w:val="20"/>
              </w:rPr>
            </w:pPr>
            <w:r w:rsidRPr="00BD251B">
              <w:rPr>
                <w:sz w:val="20"/>
              </w:rPr>
              <w:t>(Wilson J.)</w:t>
            </w:r>
          </w:p>
          <w:p w:rsidR="004D7613" w:rsidRPr="00BD251B" w:rsidRDefault="004D7613" w:rsidP="004D7613">
            <w:pPr>
              <w:jc w:val="both"/>
              <w:rPr>
                <w:sz w:val="20"/>
              </w:rPr>
            </w:pPr>
            <w:r w:rsidRPr="00BD251B">
              <w:rPr>
                <w:sz w:val="20"/>
              </w:rPr>
              <w:t>2013 ABQB 549</w:t>
            </w:r>
          </w:p>
          <w:p w:rsidR="004D7613" w:rsidRPr="00BD251B" w:rsidRDefault="005B7E98" w:rsidP="004D7613">
            <w:pPr>
              <w:jc w:val="both"/>
              <w:rPr>
                <w:sz w:val="20"/>
              </w:rPr>
            </w:pPr>
            <w:hyperlink r:id="rId34" w:history="1">
              <w:r w:rsidR="004D7613" w:rsidRPr="00BD251B">
                <w:rPr>
                  <w:color w:val="0000FF" w:themeColor="hyperlink"/>
                  <w:sz w:val="20"/>
                  <w:u w:val="single"/>
                </w:rPr>
                <w:t>http://canlii.ca/t/g0ttw</w:t>
              </w:r>
            </w:hyperlink>
          </w:p>
          <w:p w:rsidR="004D7613" w:rsidRPr="00BD251B" w:rsidRDefault="004D7613" w:rsidP="004D7613">
            <w:pPr>
              <w:jc w:val="both"/>
              <w:rPr>
                <w:sz w:val="20"/>
              </w:rPr>
            </w:pP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rPr>
            </w:pPr>
            <w:r w:rsidRPr="00BD251B">
              <w:rPr>
                <w:sz w:val="20"/>
              </w:rPr>
              <w:t>Conviction appeal dismissed</w:t>
            </w:r>
          </w:p>
          <w:p w:rsidR="004D7613" w:rsidRPr="00BD251B" w:rsidRDefault="004D7613" w:rsidP="004D7613">
            <w:pPr>
              <w:jc w:val="both"/>
              <w:rPr>
                <w:sz w:val="20"/>
              </w:rPr>
            </w:pPr>
          </w:p>
        </w:tc>
      </w:tr>
      <w:tr w:rsidR="004D7613" w:rsidRPr="00BD251B" w:rsidTr="00586995">
        <w:trPr>
          <w:cantSplit/>
        </w:trPr>
        <w:tc>
          <w:tcPr>
            <w:tcW w:w="2427" w:type="pct"/>
          </w:tcPr>
          <w:p w:rsidR="004D7613" w:rsidRPr="00BD251B" w:rsidRDefault="004D7613" w:rsidP="004D7613">
            <w:pPr>
              <w:jc w:val="both"/>
              <w:rPr>
                <w:sz w:val="20"/>
              </w:rPr>
            </w:pPr>
            <w:r w:rsidRPr="00BD251B">
              <w:rPr>
                <w:sz w:val="20"/>
              </w:rPr>
              <w:t xml:space="preserve">December 20, 2014 </w:t>
            </w:r>
          </w:p>
          <w:p w:rsidR="004D7613" w:rsidRPr="00BD251B" w:rsidRDefault="004D7613" w:rsidP="004D7613">
            <w:pPr>
              <w:jc w:val="both"/>
              <w:rPr>
                <w:sz w:val="20"/>
              </w:rPr>
            </w:pPr>
            <w:r w:rsidRPr="00BD251B">
              <w:rPr>
                <w:sz w:val="20"/>
              </w:rPr>
              <w:t>Court of Appeal of Alberta (Calgary)</w:t>
            </w:r>
          </w:p>
          <w:p w:rsidR="004D7613" w:rsidRPr="00BD251B" w:rsidRDefault="004D7613" w:rsidP="004D7613">
            <w:pPr>
              <w:jc w:val="both"/>
              <w:rPr>
                <w:sz w:val="20"/>
              </w:rPr>
            </w:pPr>
            <w:r w:rsidRPr="00BD251B">
              <w:rPr>
                <w:sz w:val="20"/>
              </w:rPr>
              <w:t>(O’Ferrall J.A.)</w:t>
            </w:r>
          </w:p>
          <w:p w:rsidR="004D7613" w:rsidRPr="00BD251B" w:rsidRDefault="004D7613" w:rsidP="004D7613">
            <w:pPr>
              <w:jc w:val="both"/>
              <w:rPr>
                <w:sz w:val="20"/>
              </w:rPr>
            </w:pPr>
            <w:r w:rsidRPr="00BD251B">
              <w:rPr>
                <w:sz w:val="20"/>
              </w:rPr>
              <w:t>2013 ABCA 433</w:t>
            </w:r>
          </w:p>
          <w:p w:rsidR="004D7613" w:rsidRPr="00BD251B" w:rsidRDefault="005B7E98" w:rsidP="004D7613">
            <w:pPr>
              <w:jc w:val="both"/>
              <w:rPr>
                <w:sz w:val="20"/>
              </w:rPr>
            </w:pPr>
            <w:hyperlink r:id="rId35" w:history="1">
              <w:r w:rsidR="004D7613" w:rsidRPr="00BD251B">
                <w:rPr>
                  <w:color w:val="0000FF" w:themeColor="hyperlink"/>
                  <w:sz w:val="20"/>
                  <w:u w:val="single"/>
                </w:rPr>
                <w:t>http://canlii.ca/t/g2fl9</w:t>
              </w:r>
            </w:hyperlink>
          </w:p>
          <w:p w:rsidR="004D7613" w:rsidRPr="00BD251B" w:rsidRDefault="004D7613" w:rsidP="004D7613">
            <w:pPr>
              <w:jc w:val="both"/>
              <w:rPr>
                <w:sz w:val="20"/>
              </w:rPr>
            </w:pP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rPr>
            </w:pPr>
            <w:r w:rsidRPr="00BD251B">
              <w:rPr>
                <w:sz w:val="20"/>
              </w:rPr>
              <w:t>Leave to appeal to the Court of Appeal granted</w:t>
            </w:r>
          </w:p>
          <w:p w:rsidR="004D7613" w:rsidRPr="00BD251B" w:rsidRDefault="004D7613" w:rsidP="004D7613">
            <w:pPr>
              <w:jc w:val="both"/>
              <w:rPr>
                <w:sz w:val="20"/>
              </w:rPr>
            </w:pPr>
          </w:p>
        </w:tc>
      </w:tr>
      <w:tr w:rsidR="004D7613" w:rsidRPr="00BD251B" w:rsidTr="00586995">
        <w:trPr>
          <w:cantSplit/>
        </w:trPr>
        <w:tc>
          <w:tcPr>
            <w:tcW w:w="2427" w:type="pct"/>
          </w:tcPr>
          <w:p w:rsidR="004D7613" w:rsidRPr="00BD251B" w:rsidRDefault="004D7613" w:rsidP="004D7613">
            <w:pPr>
              <w:jc w:val="both"/>
              <w:rPr>
                <w:sz w:val="20"/>
              </w:rPr>
            </w:pPr>
            <w:r w:rsidRPr="00BD251B">
              <w:rPr>
                <w:sz w:val="20"/>
              </w:rPr>
              <w:t>December 23, 2014</w:t>
            </w:r>
          </w:p>
          <w:p w:rsidR="004D7613" w:rsidRPr="00BD251B" w:rsidRDefault="004D7613" w:rsidP="004D7613">
            <w:pPr>
              <w:jc w:val="both"/>
              <w:rPr>
                <w:sz w:val="20"/>
              </w:rPr>
            </w:pPr>
            <w:r w:rsidRPr="00BD251B">
              <w:rPr>
                <w:sz w:val="20"/>
              </w:rPr>
              <w:t>Court of Appeal of Alberta (Calgary)</w:t>
            </w:r>
          </w:p>
          <w:p w:rsidR="004D7613" w:rsidRPr="00BD251B" w:rsidRDefault="004D7613" w:rsidP="004D7613">
            <w:pPr>
              <w:jc w:val="both"/>
              <w:rPr>
                <w:sz w:val="20"/>
              </w:rPr>
            </w:pPr>
            <w:r w:rsidRPr="00BD251B">
              <w:rPr>
                <w:sz w:val="20"/>
              </w:rPr>
              <w:t>(Côté, Rowbotham, Jeffrey JJ.A.)</w:t>
            </w:r>
          </w:p>
          <w:p w:rsidR="004D7613" w:rsidRPr="00BD251B" w:rsidRDefault="004D7613" w:rsidP="004D7613">
            <w:pPr>
              <w:jc w:val="both"/>
              <w:rPr>
                <w:sz w:val="20"/>
              </w:rPr>
            </w:pPr>
            <w:r w:rsidRPr="00BD251B">
              <w:rPr>
                <w:sz w:val="20"/>
              </w:rPr>
              <w:t>2014 ABCA 451, 1301-0274-A</w:t>
            </w:r>
          </w:p>
          <w:p w:rsidR="004D7613" w:rsidRPr="00BD251B" w:rsidRDefault="005B7E98" w:rsidP="004D7613">
            <w:pPr>
              <w:jc w:val="both"/>
              <w:rPr>
                <w:sz w:val="20"/>
              </w:rPr>
            </w:pPr>
            <w:hyperlink r:id="rId36" w:history="1">
              <w:r w:rsidR="004D7613" w:rsidRPr="00BD251B">
                <w:rPr>
                  <w:color w:val="0000FF" w:themeColor="hyperlink"/>
                  <w:sz w:val="20"/>
                  <w:u w:val="single"/>
                </w:rPr>
                <w:t>http://canlii.ca/t/gfr66</w:t>
              </w:r>
            </w:hyperlink>
          </w:p>
          <w:p w:rsidR="004D7613" w:rsidRPr="00BD251B" w:rsidRDefault="004D7613" w:rsidP="004D7613">
            <w:pPr>
              <w:jc w:val="both"/>
              <w:rPr>
                <w:sz w:val="20"/>
              </w:rPr>
            </w:pP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rPr>
            </w:pPr>
            <w:r w:rsidRPr="00BD251B">
              <w:rPr>
                <w:sz w:val="20"/>
              </w:rPr>
              <w:t>Appeal dismissed</w:t>
            </w:r>
          </w:p>
          <w:p w:rsidR="004D7613" w:rsidRPr="00BD251B" w:rsidRDefault="004D7613" w:rsidP="004D7613">
            <w:pPr>
              <w:jc w:val="both"/>
              <w:rPr>
                <w:sz w:val="20"/>
              </w:rPr>
            </w:pPr>
          </w:p>
        </w:tc>
      </w:tr>
      <w:tr w:rsidR="004D7613" w:rsidRPr="00BD251B" w:rsidTr="00586995">
        <w:trPr>
          <w:cantSplit/>
        </w:trPr>
        <w:tc>
          <w:tcPr>
            <w:tcW w:w="2427" w:type="pct"/>
          </w:tcPr>
          <w:p w:rsidR="004D7613" w:rsidRPr="00BD251B" w:rsidRDefault="004D7613" w:rsidP="004D7613">
            <w:pPr>
              <w:jc w:val="both"/>
              <w:rPr>
                <w:sz w:val="20"/>
              </w:rPr>
            </w:pPr>
            <w:r w:rsidRPr="00BD251B">
              <w:rPr>
                <w:sz w:val="20"/>
              </w:rPr>
              <w:t>February 23, 2015</w:t>
            </w:r>
          </w:p>
          <w:p w:rsidR="004D7613" w:rsidRPr="00BD251B" w:rsidRDefault="004D7613" w:rsidP="004D7613">
            <w:pPr>
              <w:jc w:val="both"/>
              <w:rPr>
                <w:sz w:val="20"/>
              </w:rPr>
            </w:pPr>
            <w:r w:rsidRPr="00BD251B">
              <w:rPr>
                <w:sz w:val="20"/>
              </w:rPr>
              <w:t>Supreme Court of Canada</w:t>
            </w: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rPr>
            </w:pPr>
            <w:r w:rsidRPr="00BD251B">
              <w:rPr>
                <w:sz w:val="20"/>
              </w:rPr>
              <w:t>Application for leave to appeal filed</w:t>
            </w:r>
          </w:p>
          <w:p w:rsidR="004D7613" w:rsidRPr="00BD251B" w:rsidRDefault="004D7613" w:rsidP="004D7613">
            <w:pPr>
              <w:jc w:val="both"/>
              <w:rPr>
                <w:sz w:val="20"/>
              </w:rPr>
            </w:pPr>
          </w:p>
        </w:tc>
      </w:tr>
    </w:tbl>
    <w:p w:rsidR="00E112BD" w:rsidRPr="004D7613" w:rsidRDefault="00E112BD" w:rsidP="00E112BD">
      <w:pPr>
        <w:rPr>
          <w:sz w:val="20"/>
          <w:szCs w:val="20"/>
        </w:rPr>
      </w:pPr>
    </w:p>
    <w:p w:rsidR="00E112BD" w:rsidRPr="00C50A5C" w:rsidRDefault="005B7E98" w:rsidP="00E112BD">
      <w:pPr>
        <w:rPr>
          <w:sz w:val="20"/>
          <w:szCs w:val="20"/>
        </w:rPr>
      </w:pPr>
      <w:r>
        <w:rPr>
          <w:sz w:val="20"/>
          <w:szCs w:val="20"/>
          <w:lang w:val="fr-CA"/>
        </w:rPr>
        <w:pict>
          <v:rect id="_x0000_i1054" style="width:2in;height:1pt" o:hrpct="0" o:hralign="center" o:hrstd="t" o:hrnoshade="t" o:hr="t" fillcolor="black [3213]" stroked="f"/>
        </w:pict>
      </w:r>
    </w:p>
    <w:p w:rsidR="00E112BD" w:rsidRDefault="00E112BD" w:rsidP="00E112BD">
      <w:pPr>
        <w:rPr>
          <w:sz w:val="20"/>
          <w:szCs w:val="20"/>
        </w:rPr>
      </w:pPr>
    </w:p>
    <w:p w:rsidR="00E112BD" w:rsidRPr="001B157C" w:rsidRDefault="00E112BD" w:rsidP="00E112BD">
      <w:pPr>
        <w:rPr>
          <w:sz w:val="20"/>
          <w:szCs w:val="20"/>
          <w:u w:val="single"/>
          <w:lang w:val="fr-CA"/>
        </w:rPr>
      </w:pPr>
      <w:r w:rsidRPr="001B157C">
        <w:rPr>
          <w:sz w:val="20"/>
          <w:szCs w:val="20"/>
          <w:u w:val="single"/>
          <w:lang w:val="fr-CA"/>
        </w:rPr>
        <w:t>RÉSUMÉ DE L’AFFAIRE</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7613" w:rsidRPr="00A12C1D" w:rsidTr="004D7613">
        <w:tc>
          <w:tcPr>
            <w:tcW w:w="5000" w:type="pct"/>
            <w:gridSpan w:val="3"/>
          </w:tcPr>
          <w:p w:rsidR="004D7613" w:rsidRPr="00BD251B" w:rsidRDefault="004D7613" w:rsidP="004D7613">
            <w:pPr>
              <w:jc w:val="both"/>
              <w:rPr>
                <w:sz w:val="20"/>
                <w:lang w:val="fr-CA"/>
              </w:rPr>
            </w:pPr>
            <w:r w:rsidRPr="00BD251B">
              <w:rPr>
                <w:sz w:val="20"/>
                <w:lang w:val="fr-CA"/>
              </w:rPr>
              <w:t>Droit criminel – Preuve – Conduite d'un véhicule à moteur avec une alcoolémie supérieure à 0,08 – Pour réfuter les présomptions légales établies à l’al. 258(1)</w:t>
            </w:r>
            <w:r w:rsidRPr="00BD251B">
              <w:rPr>
                <w:i/>
                <w:sz w:val="20"/>
                <w:lang w:val="fr-CA"/>
              </w:rPr>
              <w:t>c</w:t>
            </w:r>
            <w:r w:rsidRPr="00BD251B">
              <w:rPr>
                <w:sz w:val="20"/>
                <w:lang w:val="fr-CA"/>
              </w:rPr>
              <w:t>) du</w:t>
            </w:r>
            <w:r w:rsidRPr="00BD251B">
              <w:rPr>
                <w:i/>
                <w:sz w:val="20"/>
                <w:lang w:val="fr-CA"/>
              </w:rPr>
              <w:t xml:space="preserve"> Code criminel</w:t>
            </w:r>
            <w:r w:rsidRPr="00BD251B">
              <w:rPr>
                <w:sz w:val="20"/>
                <w:lang w:val="fr-CA"/>
              </w:rPr>
              <w:t xml:space="preserve">, l’accusé doit établir, suivant la norme du doute raisonnable : a) une défaillance dans le fonctionnement ou l’utilisation de l’appareil et b) que la défaillance était directement liée à la fiabilité des résultats de l’alcootest – Le non-respect des Normes et procédures recommandées par le Comité des analyses d’alcool et du manuel du technicien qualifié en éthylométrie soulève-t-il un doute quant à savoir si l’appareil approuvé avait été mal utilisé? – Un élément de preuve qui soulève un doute raisonnable quant à savoir si l’appareil approuvé a été mal utilisé est-il suffisant pour réfuter les présomptions établies à l’al. 258(1) </w:t>
            </w:r>
            <w:r w:rsidRPr="00BD251B">
              <w:rPr>
                <w:i/>
                <w:sz w:val="20"/>
                <w:lang w:val="fr-CA"/>
              </w:rPr>
              <w:t>c</w:t>
            </w:r>
            <w:r w:rsidRPr="00BD251B">
              <w:rPr>
                <w:sz w:val="20"/>
                <w:lang w:val="fr-CA"/>
              </w:rPr>
              <w:t>) du</w:t>
            </w:r>
            <w:r w:rsidRPr="00BD251B">
              <w:rPr>
                <w:i/>
                <w:sz w:val="20"/>
                <w:lang w:val="fr-CA"/>
              </w:rPr>
              <w:t xml:space="preserve"> Code criminel</w:t>
            </w:r>
            <w:r w:rsidRPr="00BD251B">
              <w:rPr>
                <w:sz w:val="20"/>
                <w:lang w:val="fr-CA"/>
              </w:rPr>
              <w:t>, ou bien est-ce que l’accusé doit également établir que la mauvaise utilisation est directement liée à la fiabilité des résultats de l’alcootest?</w:t>
            </w:r>
          </w:p>
          <w:p w:rsidR="004D7613" w:rsidRPr="00BD251B" w:rsidRDefault="004D7613" w:rsidP="004D7613">
            <w:pPr>
              <w:jc w:val="both"/>
              <w:rPr>
                <w:sz w:val="20"/>
                <w:lang w:val="fr-CA"/>
              </w:rPr>
            </w:pPr>
          </w:p>
        </w:tc>
      </w:tr>
      <w:tr w:rsidR="004D7613" w:rsidRPr="00BD251B" w:rsidTr="004D7613">
        <w:tc>
          <w:tcPr>
            <w:tcW w:w="5000" w:type="pct"/>
            <w:gridSpan w:val="3"/>
          </w:tcPr>
          <w:p w:rsidR="004D7613" w:rsidRPr="00BD251B" w:rsidRDefault="004D7613" w:rsidP="004D7613">
            <w:pPr>
              <w:jc w:val="both"/>
              <w:rPr>
                <w:sz w:val="20"/>
                <w:lang w:val="fr-CA"/>
              </w:rPr>
            </w:pPr>
            <w:r w:rsidRPr="00BD251B">
              <w:rPr>
                <w:sz w:val="20"/>
                <w:lang w:val="fr-CA"/>
              </w:rPr>
              <w:t>Le demandeur a consommé neuf boissons alcoolisées entre 18 h et 2 h, après quoi il a mangé deux pointes de pizza.  Avant chaque épreuve de dépistage et sans que les policiers ne s’en rendent compte dans les deux cas, le demandeur a éructé dans l’auto-patrouille et dans la salle de transit.  L’échantillonnage n’a pas été retardé pour autant.  Le certificat d’analyse de son haleine, échantillonné à 4 h 10 et à 4 h 35, indiquait une alcoolémie de 144 mg par 100 ml et de 130 mg par 100 ml, respectivement.  Le demandeur a été déclaré coupable de conduite d’un véhicule à moteur avec une alcoolémie supérieure à 0,08.  Le juge de la cour d’appel des poursuites sommaires a rejeté l’appel de la déclaration de culpabilité.  La Cour d’appel a rejeté l’appel du demandeur.</w:t>
            </w:r>
          </w:p>
          <w:p w:rsidR="004D7613" w:rsidRPr="00BD251B" w:rsidRDefault="004D7613" w:rsidP="004D7613">
            <w:pPr>
              <w:jc w:val="both"/>
              <w:rPr>
                <w:sz w:val="20"/>
                <w:lang w:val="fr-CA"/>
              </w:rPr>
            </w:pPr>
          </w:p>
        </w:tc>
      </w:tr>
      <w:tr w:rsidR="004D7613" w:rsidRPr="00A12C1D" w:rsidTr="004D7613">
        <w:tc>
          <w:tcPr>
            <w:tcW w:w="2427" w:type="pct"/>
          </w:tcPr>
          <w:p w:rsidR="004D7613" w:rsidRPr="00BD251B" w:rsidRDefault="004D7613" w:rsidP="004D7613">
            <w:pPr>
              <w:jc w:val="both"/>
              <w:rPr>
                <w:sz w:val="20"/>
                <w:lang w:val="fr-CA"/>
              </w:rPr>
            </w:pPr>
            <w:r w:rsidRPr="00BD251B">
              <w:rPr>
                <w:sz w:val="20"/>
                <w:lang w:val="fr-CA"/>
              </w:rPr>
              <w:t>18 avril 2013</w:t>
            </w:r>
          </w:p>
          <w:p w:rsidR="004D7613" w:rsidRPr="00BD251B" w:rsidRDefault="004D7613" w:rsidP="004D7613">
            <w:pPr>
              <w:jc w:val="both"/>
              <w:rPr>
                <w:sz w:val="20"/>
                <w:lang w:val="fr-CA"/>
              </w:rPr>
            </w:pPr>
            <w:r w:rsidRPr="00BD251B">
              <w:rPr>
                <w:sz w:val="20"/>
                <w:lang w:val="fr-CA"/>
              </w:rPr>
              <w:t xml:space="preserve">Cour provinciale de l’Alberta </w:t>
            </w:r>
          </w:p>
          <w:p w:rsidR="004D7613" w:rsidRPr="00BD251B" w:rsidRDefault="004D7613" w:rsidP="004D7613">
            <w:pPr>
              <w:jc w:val="both"/>
              <w:rPr>
                <w:sz w:val="20"/>
                <w:lang w:val="fr-CA"/>
              </w:rPr>
            </w:pPr>
            <w:r w:rsidRPr="00BD251B">
              <w:rPr>
                <w:sz w:val="20"/>
                <w:lang w:val="fr-CA"/>
              </w:rPr>
              <w:t>(Juge Tyndale)</w:t>
            </w:r>
          </w:p>
          <w:p w:rsidR="004D7613" w:rsidRPr="00BD251B" w:rsidRDefault="004D7613" w:rsidP="004D7613">
            <w:pPr>
              <w:jc w:val="both"/>
              <w:rPr>
                <w:sz w:val="20"/>
              </w:rPr>
            </w:pPr>
            <w:r w:rsidRPr="00BD251B">
              <w:rPr>
                <w:sz w:val="20"/>
              </w:rPr>
              <w:t>2013 ABPC 93</w:t>
            </w:r>
          </w:p>
          <w:p w:rsidR="004D7613" w:rsidRPr="00BD251B" w:rsidRDefault="005B7E98" w:rsidP="004D7613">
            <w:pPr>
              <w:jc w:val="both"/>
              <w:rPr>
                <w:sz w:val="20"/>
              </w:rPr>
            </w:pPr>
            <w:hyperlink r:id="rId37" w:history="1">
              <w:r w:rsidR="004D7613" w:rsidRPr="00BD251B">
                <w:rPr>
                  <w:color w:val="0000FF" w:themeColor="hyperlink"/>
                  <w:sz w:val="20"/>
                  <w:u w:val="single"/>
                </w:rPr>
                <w:t>http://canlii.ca/t/fx9cq</w:t>
              </w:r>
            </w:hyperlink>
          </w:p>
          <w:p w:rsidR="004D7613" w:rsidRPr="00BD251B" w:rsidRDefault="004D7613" w:rsidP="004D7613">
            <w:pPr>
              <w:jc w:val="both"/>
              <w:rPr>
                <w:sz w:val="20"/>
              </w:rPr>
            </w:pP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lang w:val="fr-CA"/>
              </w:rPr>
            </w:pPr>
            <w:r w:rsidRPr="00BD251B">
              <w:rPr>
                <w:sz w:val="20"/>
                <w:lang w:val="fr-CA"/>
              </w:rPr>
              <w:t>Déclaration de culpabilité : conduite d’un véhicule à moteur avec une alcoolémie supérieure à 0,08</w:t>
            </w:r>
          </w:p>
          <w:p w:rsidR="004D7613" w:rsidRPr="00BD251B" w:rsidRDefault="004D7613" w:rsidP="004D7613">
            <w:pPr>
              <w:jc w:val="both"/>
              <w:rPr>
                <w:sz w:val="20"/>
                <w:lang w:val="fr-CA"/>
              </w:rPr>
            </w:pPr>
          </w:p>
        </w:tc>
      </w:tr>
      <w:tr w:rsidR="004D7613" w:rsidRPr="00A12C1D" w:rsidTr="00586995">
        <w:trPr>
          <w:cantSplit/>
        </w:trPr>
        <w:tc>
          <w:tcPr>
            <w:tcW w:w="2427" w:type="pct"/>
          </w:tcPr>
          <w:p w:rsidR="004D7613" w:rsidRPr="00BD251B" w:rsidRDefault="004D7613" w:rsidP="004D7613">
            <w:pPr>
              <w:jc w:val="both"/>
              <w:rPr>
                <w:sz w:val="20"/>
                <w:lang w:val="fr-CA"/>
              </w:rPr>
            </w:pPr>
            <w:r w:rsidRPr="00BD251B">
              <w:rPr>
                <w:sz w:val="20"/>
                <w:lang w:val="fr-CA"/>
              </w:rPr>
              <w:lastRenderedPageBreak/>
              <w:t>20 septembre 2013</w:t>
            </w:r>
          </w:p>
          <w:p w:rsidR="004D7613" w:rsidRPr="00BD251B" w:rsidRDefault="004D7613" w:rsidP="004D7613">
            <w:pPr>
              <w:jc w:val="both"/>
              <w:rPr>
                <w:sz w:val="20"/>
                <w:lang w:val="fr-CA"/>
              </w:rPr>
            </w:pPr>
            <w:r w:rsidRPr="00BD251B">
              <w:rPr>
                <w:sz w:val="20"/>
                <w:lang w:val="fr-CA"/>
              </w:rPr>
              <w:t>Cours du Banc de la Reine de l’Alberta</w:t>
            </w:r>
          </w:p>
          <w:p w:rsidR="004D7613" w:rsidRPr="00BD251B" w:rsidRDefault="004D7613" w:rsidP="004D7613">
            <w:pPr>
              <w:jc w:val="both"/>
              <w:rPr>
                <w:sz w:val="20"/>
              </w:rPr>
            </w:pPr>
            <w:r w:rsidRPr="00BD251B">
              <w:rPr>
                <w:sz w:val="20"/>
              </w:rPr>
              <w:t>(Juge Wilson)</w:t>
            </w:r>
          </w:p>
          <w:p w:rsidR="004D7613" w:rsidRPr="00BD251B" w:rsidRDefault="004D7613" w:rsidP="004D7613">
            <w:pPr>
              <w:jc w:val="both"/>
              <w:rPr>
                <w:sz w:val="20"/>
              </w:rPr>
            </w:pPr>
            <w:r w:rsidRPr="00BD251B">
              <w:rPr>
                <w:sz w:val="20"/>
              </w:rPr>
              <w:t>2013 ABQB 549</w:t>
            </w:r>
          </w:p>
          <w:p w:rsidR="004D7613" w:rsidRPr="00BD251B" w:rsidRDefault="005B7E98" w:rsidP="004D7613">
            <w:pPr>
              <w:jc w:val="both"/>
              <w:rPr>
                <w:sz w:val="20"/>
              </w:rPr>
            </w:pPr>
            <w:hyperlink r:id="rId38" w:history="1">
              <w:r w:rsidR="004D7613" w:rsidRPr="00BD251B">
                <w:rPr>
                  <w:color w:val="0000FF" w:themeColor="hyperlink"/>
                  <w:sz w:val="20"/>
                  <w:u w:val="single"/>
                </w:rPr>
                <w:t>http://canlii.ca/t/g0ttw</w:t>
              </w:r>
            </w:hyperlink>
          </w:p>
          <w:p w:rsidR="004D7613" w:rsidRPr="00BD251B" w:rsidRDefault="004D7613" w:rsidP="004D7613">
            <w:pPr>
              <w:jc w:val="both"/>
              <w:rPr>
                <w:sz w:val="20"/>
              </w:rPr>
            </w:pP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lang w:val="fr-CA"/>
              </w:rPr>
            </w:pPr>
            <w:r w:rsidRPr="00BD251B">
              <w:rPr>
                <w:sz w:val="20"/>
                <w:lang w:val="fr-CA"/>
              </w:rPr>
              <w:t>Rejet de l’appel de la déclaration de culpabilité</w:t>
            </w:r>
          </w:p>
          <w:p w:rsidR="004D7613" w:rsidRPr="00BD251B" w:rsidRDefault="004D7613" w:rsidP="004D7613">
            <w:pPr>
              <w:jc w:val="both"/>
              <w:rPr>
                <w:sz w:val="20"/>
                <w:lang w:val="fr-CA"/>
              </w:rPr>
            </w:pPr>
          </w:p>
        </w:tc>
      </w:tr>
      <w:tr w:rsidR="004D7613" w:rsidRPr="00A12C1D" w:rsidTr="00586995">
        <w:trPr>
          <w:cantSplit/>
        </w:trPr>
        <w:tc>
          <w:tcPr>
            <w:tcW w:w="2427" w:type="pct"/>
          </w:tcPr>
          <w:p w:rsidR="004D7613" w:rsidRPr="00BD251B" w:rsidRDefault="004D7613" w:rsidP="004D7613">
            <w:pPr>
              <w:jc w:val="both"/>
              <w:rPr>
                <w:sz w:val="20"/>
                <w:lang w:val="fr-CA"/>
              </w:rPr>
            </w:pPr>
            <w:r w:rsidRPr="00BD251B">
              <w:rPr>
                <w:sz w:val="20"/>
                <w:lang w:val="fr-CA"/>
              </w:rPr>
              <w:t xml:space="preserve">20 décembre 2014 </w:t>
            </w:r>
          </w:p>
          <w:p w:rsidR="004D7613" w:rsidRPr="00BD251B" w:rsidRDefault="004D7613" w:rsidP="004D7613">
            <w:pPr>
              <w:jc w:val="both"/>
              <w:rPr>
                <w:sz w:val="20"/>
                <w:lang w:val="fr-CA"/>
              </w:rPr>
            </w:pPr>
            <w:r w:rsidRPr="00BD251B">
              <w:rPr>
                <w:sz w:val="20"/>
                <w:lang w:val="fr-CA"/>
              </w:rPr>
              <w:t>Cour d’appel de l’Alberta (Calgary)</w:t>
            </w:r>
          </w:p>
          <w:p w:rsidR="004D7613" w:rsidRPr="00BD251B" w:rsidRDefault="004D7613" w:rsidP="004D7613">
            <w:pPr>
              <w:jc w:val="both"/>
              <w:rPr>
                <w:sz w:val="20"/>
              </w:rPr>
            </w:pPr>
            <w:r w:rsidRPr="00BD251B">
              <w:rPr>
                <w:sz w:val="20"/>
              </w:rPr>
              <w:t>(Juge O’Ferrall)</w:t>
            </w:r>
          </w:p>
          <w:p w:rsidR="004D7613" w:rsidRPr="00BD251B" w:rsidRDefault="004D7613" w:rsidP="004D7613">
            <w:pPr>
              <w:jc w:val="both"/>
              <w:rPr>
                <w:sz w:val="20"/>
              </w:rPr>
            </w:pPr>
            <w:r w:rsidRPr="00BD251B">
              <w:rPr>
                <w:sz w:val="20"/>
              </w:rPr>
              <w:t>2013 ABCA 433</w:t>
            </w:r>
          </w:p>
          <w:p w:rsidR="004D7613" w:rsidRPr="00BD251B" w:rsidRDefault="005B7E98" w:rsidP="004D7613">
            <w:pPr>
              <w:jc w:val="both"/>
              <w:rPr>
                <w:sz w:val="20"/>
              </w:rPr>
            </w:pPr>
            <w:hyperlink r:id="rId39" w:history="1">
              <w:r w:rsidR="004D7613" w:rsidRPr="00BD251B">
                <w:rPr>
                  <w:color w:val="0000FF" w:themeColor="hyperlink"/>
                  <w:sz w:val="20"/>
                  <w:u w:val="single"/>
                </w:rPr>
                <w:t>http://canlii.ca/t/g2fl9</w:t>
              </w:r>
            </w:hyperlink>
          </w:p>
          <w:p w:rsidR="004D7613" w:rsidRPr="00BD251B" w:rsidRDefault="004D7613" w:rsidP="004D7613">
            <w:pPr>
              <w:jc w:val="both"/>
              <w:rPr>
                <w:sz w:val="20"/>
              </w:rPr>
            </w:pP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lang w:val="fr-CA"/>
              </w:rPr>
            </w:pPr>
            <w:r w:rsidRPr="00BD251B">
              <w:rPr>
                <w:sz w:val="20"/>
                <w:lang w:val="fr-CA"/>
              </w:rPr>
              <w:t>Autorisation d’appel à la Cour d’appel</w:t>
            </w:r>
          </w:p>
          <w:p w:rsidR="004D7613" w:rsidRPr="00BD251B" w:rsidRDefault="004D7613" w:rsidP="004D7613">
            <w:pPr>
              <w:jc w:val="both"/>
              <w:rPr>
                <w:sz w:val="20"/>
                <w:lang w:val="fr-CA"/>
              </w:rPr>
            </w:pPr>
          </w:p>
        </w:tc>
      </w:tr>
      <w:tr w:rsidR="004D7613" w:rsidRPr="00BD251B" w:rsidTr="00586995">
        <w:trPr>
          <w:cantSplit/>
        </w:trPr>
        <w:tc>
          <w:tcPr>
            <w:tcW w:w="2427" w:type="pct"/>
          </w:tcPr>
          <w:p w:rsidR="004D7613" w:rsidRPr="00BD251B" w:rsidRDefault="004D7613" w:rsidP="004D7613">
            <w:pPr>
              <w:jc w:val="both"/>
              <w:rPr>
                <w:sz w:val="20"/>
                <w:lang w:val="fr-CA"/>
              </w:rPr>
            </w:pPr>
            <w:r w:rsidRPr="00BD251B">
              <w:rPr>
                <w:sz w:val="20"/>
                <w:lang w:val="fr-CA"/>
              </w:rPr>
              <w:t>23 décembre 2014</w:t>
            </w:r>
          </w:p>
          <w:p w:rsidR="004D7613" w:rsidRPr="00BD251B" w:rsidRDefault="004D7613" w:rsidP="004D7613">
            <w:pPr>
              <w:jc w:val="both"/>
              <w:rPr>
                <w:sz w:val="20"/>
                <w:lang w:val="fr-CA"/>
              </w:rPr>
            </w:pPr>
            <w:r w:rsidRPr="00BD251B">
              <w:rPr>
                <w:sz w:val="20"/>
                <w:lang w:val="fr-CA"/>
              </w:rPr>
              <w:t>Cour d’appel de l’Alberta (Calgary)</w:t>
            </w:r>
          </w:p>
          <w:p w:rsidR="004D7613" w:rsidRPr="00BD251B" w:rsidRDefault="004D7613" w:rsidP="004D7613">
            <w:pPr>
              <w:jc w:val="both"/>
              <w:rPr>
                <w:sz w:val="20"/>
                <w:lang w:val="fr-CA"/>
              </w:rPr>
            </w:pPr>
            <w:r w:rsidRPr="00BD251B">
              <w:rPr>
                <w:sz w:val="20"/>
                <w:lang w:val="fr-CA"/>
              </w:rPr>
              <w:t>(Juges Côté, Rowbotham et Jeffrey)</w:t>
            </w:r>
          </w:p>
          <w:p w:rsidR="004D7613" w:rsidRPr="00BD251B" w:rsidRDefault="004D7613" w:rsidP="004D7613">
            <w:pPr>
              <w:jc w:val="both"/>
              <w:rPr>
                <w:sz w:val="20"/>
              </w:rPr>
            </w:pPr>
            <w:r w:rsidRPr="00BD251B">
              <w:rPr>
                <w:sz w:val="20"/>
              </w:rPr>
              <w:t>2014 ABCA 451, 1301-0274-A</w:t>
            </w:r>
          </w:p>
          <w:p w:rsidR="004D7613" w:rsidRPr="00BD251B" w:rsidRDefault="005B7E98" w:rsidP="004D7613">
            <w:pPr>
              <w:jc w:val="both"/>
              <w:rPr>
                <w:sz w:val="20"/>
              </w:rPr>
            </w:pPr>
            <w:hyperlink r:id="rId40" w:history="1">
              <w:r w:rsidR="004D7613" w:rsidRPr="00BD251B">
                <w:rPr>
                  <w:color w:val="0000FF" w:themeColor="hyperlink"/>
                  <w:sz w:val="20"/>
                  <w:u w:val="single"/>
                </w:rPr>
                <w:t>http://canlii.ca/t/gfr66</w:t>
              </w:r>
            </w:hyperlink>
          </w:p>
          <w:p w:rsidR="004D7613" w:rsidRPr="00BD251B" w:rsidRDefault="004D7613" w:rsidP="004D7613">
            <w:pPr>
              <w:jc w:val="both"/>
              <w:rPr>
                <w:sz w:val="20"/>
              </w:rPr>
            </w:pPr>
          </w:p>
        </w:tc>
        <w:tc>
          <w:tcPr>
            <w:tcW w:w="243" w:type="pct"/>
          </w:tcPr>
          <w:p w:rsidR="004D7613" w:rsidRPr="00BD251B" w:rsidRDefault="004D7613" w:rsidP="004D7613">
            <w:pPr>
              <w:jc w:val="both"/>
              <w:rPr>
                <w:sz w:val="20"/>
              </w:rPr>
            </w:pPr>
          </w:p>
        </w:tc>
        <w:tc>
          <w:tcPr>
            <w:tcW w:w="2330" w:type="pct"/>
          </w:tcPr>
          <w:p w:rsidR="004D7613" w:rsidRPr="00BD251B" w:rsidRDefault="004D7613" w:rsidP="004D7613">
            <w:pPr>
              <w:jc w:val="both"/>
              <w:rPr>
                <w:sz w:val="20"/>
                <w:lang w:val="fr-CA"/>
              </w:rPr>
            </w:pPr>
            <w:r w:rsidRPr="00BD251B">
              <w:rPr>
                <w:sz w:val="20"/>
                <w:lang w:val="fr-CA"/>
              </w:rPr>
              <w:t>Rejet de l’appel</w:t>
            </w:r>
          </w:p>
          <w:p w:rsidR="004D7613" w:rsidRPr="00BD251B" w:rsidRDefault="004D7613" w:rsidP="004D7613">
            <w:pPr>
              <w:jc w:val="both"/>
              <w:rPr>
                <w:sz w:val="20"/>
                <w:lang w:val="fr-CA"/>
              </w:rPr>
            </w:pPr>
          </w:p>
        </w:tc>
      </w:tr>
      <w:tr w:rsidR="004D7613" w:rsidRPr="00A12C1D" w:rsidTr="00586995">
        <w:trPr>
          <w:cantSplit/>
        </w:trPr>
        <w:tc>
          <w:tcPr>
            <w:tcW w:w="2427" w:type="pct"/>
          </w:tcPr>
          <w:p w:rsidR="004D7613" w:rsidRPr="00BD251B" w:rsidRDefault="004D7613" w:rsidP="004D7613">
            <w:pPr>
              <w:jc w:val="both"/>
              <w:rPr>
                <w:sz w:val="20"/>
                <w:lang w:val="fr-CA"/>
              </w:rPr>
            </w:pPr>
            <w:r w:rsidRPr="00BD251B">
              <w:rPr>
                <w:sz w:val="20"/>
                <w:lang w:val="fr-CA"/>
              </w:rPr>
              <w:t>23 février 2015</w:t>
            </w:r>
          </w:p>
          <w:p w:rsidR="004D7613" w:rsidRPr="00BD251B" w:rsidRDefault="004D7613" w:rsidP="004D7613">
            <w:pPr>
              <w:jc w:val="both"/>
              <w:rPr>
                <w:sz w:val="20"/>
                <w:lang w:val="fr-CA"/>
              </w:rPr>
            </w:pPr>
            <w:r w:rsidRPr="00BD251B">
              <w:rPr>
                <w:sz w:val="20"/>
                <w:lang w:val="fr-CA"/>
              </w:rPr>
              <w:t>Cour suprême du Canada</w:t>
            </w:r>
          </w:p>
        </w:tc>
        <w:tc>
          <w:tcPr>
            <w:tcW w:w="243" w:type="pct"/>
          </w:tcPr>
          <w:p w:rsidR="004D7613" w:rsidRPr="00BD251B" w:rsidRDefault="004D7613" w:rsidP="004D7613">
            <w:pPr>
              <w:jc w:val="both"/>
              <w:rPr>
                <w:sz w:val="20"/>
                <w:lang w:val="fr-CA"/>
              </w:rPr>
            </w:pPr>
          </w:p>
        </w:tc>
        <w:tc>
          <w:tcPr>
            <w:tcW w:w="2330" w:type="pct"/>
          </w:tcPr>
          <w:p w:rsidR="004D7613" w:rsidRPr="00BD251B" w:rsidRDefault="004D7613" w:rsidP="004D7613">
            <w:pPr>
              <w:jc w:val="both"/>
              <w:rPr>
                <w:sz w:val="20"/>
                <w:lang w:val="fr-CA"/>
              </w:rPr>
            </w:pPr>
            <w:r w:rsidRPr="00BD251B">
              <w:rPr>
                <w:sz w:val="20"/>
                <w:lang w:val="fr-CA"/>
              </w:rPr>
              <w:t>Dépôt de la demande d’autorisation d’appel</w:t>
            </w:r>
          </w:p>
          <w:p w:rsidR="004D7613" w:rsidRPr="00BD251B" w:rsidRDefault="004D7613" w:rsidP="004D7613">
            <w:pPr>
              <w:jc w:val="both"/>
              <w:rPr>
                <w:sz w:val="20"/>
                <w:lang w:val="fr-CA"/>
              </w:rPr>
            </w:pPr>
          </w:p>
        </w:tc>
      </w:tr>
    </w:tbl>
    <w:p w:rsidR="00E112BD" w:rsidRPr="004D7613" w:rsidRDefault="00E112BD" w:rsidP="00E112BD">
      <w:pPr>
        <w:rPr>
          <w:sz w:val="20"/>
          <w:szCs w:val="20"/>
          <w:lang w:val="fr-CA"/>
        </w:rPr>
      </w:pPr>
    </w:p>
    <w:p w:rsidR="00E112BD" w:rsidRDefault="005B7E98" w:rsidP="00E112BD">
      <w:pPr>
        <w:rPr>
          <w:sz w:val="20"/>
          <w:szCs w:val="20"/>
        </w:rPr>
      </w:pPr>
      <w:r>
        <w:rPr>
          <w:sz w:val="20"/>
          <w:szCs w:val="20"/>
          <w:lang w:val="fr-CA"/>
        </w:rPr>
        <w:pict>
          <v:rect id="_x0000_i1055" style="width:2in;height:1pt" o:hrpct="0" o:hralign="center" o:hrstd="t" o:hrnoshade="t" o:hr="t" fillcolor="black [3213]" stroked="f"/>
        </w:pict>
      </w:r>
    </w:p>
    <w:p w:rsidR="00E112BD" w:rsidRDefault="00E112BD" w:rsidP="00E112B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86995" w:rsidRPr="00392F0F" w:rsidTr="006205C5">
        <w:trPr>
          <w:cantSplit/>
        </w:trPr>
        <w:tc>
          <w:tcPr>
            <w:tcW w:w="1458" w:type="dxa"/>
          </w:tcPr>
          <w:p w:rsidR="00586995" w:rsidRPr="00392F0F" w:rsidRDefault="00586995" w:rsidP="006205C5">
            <w:pPr>
              <w:rPr>
                <w:sz w:val="20"/>
                <w:szCs w:val="20"/>
              </w:rPr>
            </w:pPr>
            <w:r w:rsidRPr="00392F0F">
              <w:rPr>
                <w:rStyle w:val="SCCFileNumberChar"/>
                <w:sz w:val="20"/>
                <w:szCs w:val="20"/>
              </w:rPr>
              <w:t>36326</w:t>
            </w:r>
          </w:p>
          <w:p w:rsidR="00586995" w:rsidRPr="00392F0F" w:rsidRDefault="00586995" w:rsidP="006205C5">
            <w:pPr>
              <w:rPr>
                <w:b/>
                <w:sz w:val="20"/>
                <w:szCs w:val="20"/>
                <w:lang w:val="fr-CA"/>
              </w:rPr>
            </w:pPr>
          </w:p>
        </w:tc>
        <w:tc>
          <w:tcPr>
            <w:tcW w:w="8118" w:type="dxa"/>
          </w:tcPr>
          <w:p w:rsidR="00586995" w:rsidRPr="00392F0F" w:rsidRDefault="00586995" w:rsidP="006205C5">
            <w:pPr>
              <w:rPr>
                <w:sz w:val="20"/>
                <w:szCs w:val="20"/>
              </w:rPr>
            </w:pPr>
            <w:r w:rsidRPr="00392F0F">
              <w:rPr>
                <w:rStyle w:val="SCCLsocChar"/>
                <w:sz w:val="20"/>
                <w:szCs w:val="20"/>
                <w:lang w:val="en-CA"/>
              </w:rPr>
              <w:t>A.K. v. Batshaw Youth and Family Centers</w:t>
            </w:r>
            <w:r w:rsidRPr="00392F0F">
              <w:rPr>
                <w:sz w:val="20"/>
                <w:szCs w:val="20"/>
              </w:rPr>
              <w:t xml:space="preserve"> (Que.) (Civil) (By Leave)</w:t>
            </w:r>
          </w:p>
          <w:p w:rsidR="00586995" w:rsidRPr="00392F0F" w:rsidRDefault="00586995" w:rsidP="006205C5">
            <w:pPr>
              <w:rPr>
                <w:sz w:val="20"/>
                <w:szCs w:val="20"/>
              </w:rPr>
            </w:pPr>
          </w:p>
        </w:tc>
      </w:tr>
      <w:tr w:rsidR="00586995" w:rsidRPr="00A12C1D" w:rsidTr="006205C5">
        <w:trPr>
          <w:cantSplit/>
        </w:trPr>
        <w:tc>
          <w:tcPr>
            <w:tcW w:w="1458" w:type="dxa"/>
          </w:tcPr>
          <w:p w:rsidR="00586995" w:rsidRPr="00392F0F" w:rsidRDefault="00586995" w:rsidP="006205C5">
            <w:pPr>
              <w:rPr>
                <w:sz w:val="20"/>
                <w:szCs w:val="20"/>
              </w:rPr>
            </w:pPr>
            <w:r w:rsidRPr="00392F0F">
              <w:rPr>
                <w:sz w:val="20"/>
                <w:szCs w:val="20"/>
              </w:rPr>
              <w:t>Coram :</w:t>
            </w:r>
          </w:p>
        </w:tc>
        <w:tc>
          <w:tcPr>
            <w:tcW w:w="8118" w:type="dxa"/>
          </w:tcPr>
          <w:p w:rsidR="00586995" w:rsidRPr="00392F0F" w:rsidRDefault="00586995" w:rsidP="006205C5">
            <w:pPr>
              <w:rPr>
                <w:sz w:val="20"/>
                <w:szCs w:val="20"/>
                <w:lang w:val="fr-CA"/>
              </w:rPr>
            </w:pPr>
            <w:r w:rsidRPr="00392F0F">
              <w:rPr>
                <w:rStyle w:val="SCCCoramChar"/>
                <w:sz w:val="20"/>
                <w:szCs w:val="20"/>
              </w:rPr>
              <w:t>Abella, Karakatsanis and Côté JJ.</w:t>
            </w:r>
          </w:p>
          <w:p w:rsidR="00586995" w:rsidRPr="00392F0F" w:rsidRDefault="00586995" w:rsidP="006205C5">
            <w:pPr>
              <w:rPr>
                <w:sz w:val="20"/>
                <w:szCs w:val="20"/>
                <w:u w:val="single"/>
                <w:lang w:val="fr-CA"/>
              </w:rPr>
            </w:pPr>
          </w:p>
        </w:tc>
      </w:tr>
      <w:tr w:rsidR="00586995" w:rsidRPr="00A12C1D" w:rsidTr="006205C5">
        <w:trPr>
          <w:cantSplit/>
        </w:trPr>
        <w:tc>
          <w:tcPr>
            <w:tcW w:w="9576" w:type="dxa"/>
            <w:gridSpan w:val="2"/>
          </w:tcPr>
          <w:p w:rsidR="00586995" w:rsidRPr="00392F0F" w:rsidRDefault="00586995" w:rsidP="006205C5">
            <w:pPr>
              <w:pStyle w:val="SCCShortJudgment"/>
              <w:rPr>
                <w:szCs w:val="20"/>
              </w:rPr>
            </w:pPr>
            <w:r w:rsidRPr="00392F0F">
              <w:rPr>
                <w:szCs w:val="20"/>
              </w:rPr>
              <w:t>The motion for an extension of time to serve and file the application for leave to appeal is granted. The application for leave to appeal from the judgment of the Court of Appeal of Quebec (Montréal), Number 500-09-024411-142, 2014 QCCA 1530,  dated August 6, 2014, is dismissed with costs.</w:t>
            </w:r>
          </w:p>
          <w:p w:rsidR="00586995" w:rsidRPr="00392F0F" w:rsidRDefault="00586995" w:rsidP="006205C5">
            <w:pPr>
              <w:pStyle w:val="SCCShortJudgment"/>
              <w:ind w:firstLine="0"/>
              <w:rPr>
                <w:szCs w:val="20"/>
              </w:rPr>
            </w:pPr>
          </w:p>
          <w:p w:rsidR="00586995" w:rsidRPr="00392F0F" w:rsidRDefault="00586995" w:rsidP="006205C5">
            <w:pPr>
              <w:pStyle w:val="SCCShortJudgment"/>
              <w:rPr>
                <w:szCs w:val="20"/>
                <w:lang w:val="fr-CA"/>
              </w:rPr>
            </w:pPr>
            <w:r w:rsidRPr="00392F0F">
              <w:rPr>
                <w:szCs w:val="20"/>
                <w:lang w:val="fr-CA"/>
              </w:rPr>
              <w:t>La requête en prorogation du délai de signification et de dépôt de la demande d’autorisation d’appel est accueillie. La demande d’autorisation d’appel de l’arrêt de la Cour d’appel du Québec (Montréal), numéro 500-09-024411-142, 2014 QCCA 1530, daté du 6 août 2014, est rejetée avec dépens.</w:t>
            </w:r>
          </w:p>
        </w:tc>
      </w:tr>
    </w:tbl>
    <w:p w:rsidR="00E112BD" w:rsidRPr="00586995" w:rsidRDefault="00E112BD" w:rsidP="00E112BD">
      <w:pPr>
        <w:rPr>
          <w:sz w:val="20"/>
          <w:szCs w:val="20"/>
          <w:lang w:val="fr-CA"/>
        </w:rPr>
      </w:pPr>
    </w:p>
    <w:p w:rsidR="00E112BD" w:rsidRPr="001B157C" w:rsidRDefault="00E112BD" w:rsidP="00E112BD">
      <w:pPr>
        <w:rPr>
          <w:sz w:val="20"/>
          <w:szCs w:val="20"/>
          <w:u w:val="single"/>
        </w:rPr>
      </w:pPr>
      <w:r w:rsidRPr="001B157C">
        <w:rPr>
          <w:sz w:val="20"/>
          <w:szCs w:val="20"/>
          <w:u w:val="single"/>
        </w:rPr>
        <w:t>CASE SUMMARY</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F71A3" w:rsidRPr="00BD251B" w:rsidTr="00D27959">
        <w:tc>
          <w:tcPr>
            <w:tcW w:w="5000" w:type="pct"/>
            <w:gridSpan w:val="3"/>
          </w:tcPr>
          <w:p w:rsidR="00AF71A3" w:rsidRPr="00BD251B" w:rsidRDefault="00AF71A3" w:rsidP="00D27959">
            <w:pPr>
              <w:jc w:val="both"/>
              <w:rPr>
                <w:smallCaps/>
                <w:sz w:val="20"/>
              </w:rPr>
            </w:pPr>
            <w:r w:rsidRPr="00BD251B">
              <w:rPr>
                <w:smallCaps/>
                <w:sz w:val="20"/>
              </w:rPr>
              <w:t xml:space="preserve">(Publication </w:t>
            </w:r>
            <w:r>
              <w:rPr>
                <w:smallCaps/>
                <w:sz w:val="20"/>
              </w:rPr>
              <w:t>B</w:t>
            </w:r>
            <w:r w:rsidRPr="00BD251B">
              <w:rPr>
                <w:smallCaps/>
                <w:sz w:val="20"/>
              </w:rPr>
              <w:t xml:space="preserve">an in </w:t>
            </w:r>
            <w:r>
              <w:rPr>
                <w:smallCaps/>
                <w:sz w:val="20"/>
              </w:rPr>
              <w:t>C</w:t>
            </w:r>
            <w:r w:rsidRPr="00BD251B">
              <w:rPr>
                <w:smallCaps/>
                <w:sz w:val="20"/>
              </w:rPr>
              <w:t xml:space="preserve">ase) (Publication </w:t>
            </w:r>
            <w:r>
              <w:rPr>
                <w:smallCaps/>
                <w:sz w:val="20"/>
              </w:rPr>
              <w:t>B</w:t>
            </w:r>
            <w:r w:rsidRPr="00BD251B">
              <w:rPr>
                <w:smallCaps/>
                <w:sz w:val="20"/>
              </w:rPr>
              <w:t xml:space="preserve">an on </w:t>
            </w:r>
            <w:r>
              <w:rPr>
                <w:smallCaps/>
                <w:sz w:val="20"/>
              </w:rPr>
              <w:t>P</w:t>
            </w:r>
            <w:r w:rsidRPr="00BD251B">
              <w:rPr>
                <w:smallCaps/>
                <w:sz w:val="20"/>
              </w:rPr>
              <w:t xml:space="preserve">arty) (Sealing </w:t>
            </w:r>
            <w:r>
              <w:rPr>
                <w:smallCaps/>
                <w:sz w:val="20"/>
              </w:rPr>
              <w:t>O</w:t>
            </w:r>
            <w:r w:rsidRPr="00BD251B">
              <w:rPr>
                <w:smallCaps/>
                <w:sz w:val="20"/>
              </w:rPr>
              <w:t xml:space="preserve">rder) (Court </w:t>
            </w:r>
            <w:r>
              <w:rPr>
                <w:smallCaps/>
                <w:sz w:val="20"/>
              </w:rPr>
              <w:t>F</w:t>
            </w:r>
            <w:r w:rsidRPr="00BD251B">
              <w:rPr>
                <w:smallCaps/>
                <w:sz w:val="20"/>
              </w:rPr>
              <w:t xml:space="preserve">ile </w:t>
            </w:r>
            <w:r>
              <w:rPr>
                <w:smallCaps/>
                <w:sz w:val="20"/>
              </w:rPr>
              <w:t>C</w:t>
            </w:r>
            <w:r w:rsidRPr="00BD251B">
              <w:rPr>
                <w:smallCaps/>
                <w:sz w:val="20"/>
              </w:rPr>
              <w:t xml:space="preserve">ontains </w:t>
            </w:r>
            <w:r>
              <w:rPr>
                <w:smallCaps/>
                <w:sz w:val="20"/>
              </w:rPr>
              <w:t>I</w:t>
            </w:r>
            <w:r w:rsidRPr="00BD251B">
              <w:rPr>
                <w:smallCaps/>
                <w:sz w:val="20"/>
              </w:rPr>
              <w:t xml:space="preserve">nformation that is not </w:t>
            </w:r>
            <w:r>
              <w:rPr>
                <w:smallCaps/>
                <w:sz w:val="20"/>
              </w:rPr>
              <w:t>A</w:t>
            </w:r>
            <w:r w:rsidRPr="00BD251B">
              <w:rPr>
                <w:smallCaps/>
                <w:sz w:val="20"/>
              </w:rPr>
              <w:t xml:space="preserve">vailable for </w:t>
            </w:r>
            <w:r>
              <w:rPr>
                <w:smallCaps/>
                <w:sz w:val="20"/>
              </w:rPr>
              <w:t>I</w:t>
            </w:r>
            <w:r w:rsidRPr="00BD251B">
              <w:rPr>
                <w:smallCaps/>
                <w:sz w:val="20"/>
              </w:rPr>
              <w:t xml:space="preserve">nspection by the </w:t>
            </w:r>
            <w:r>
              <w:rPr>
                <w:smallCaps/>
                <w:sz w:val="20"/>
              </w:rPr>
              <w:t>P</w:t>
            </w:r>
            <w:r w:rsidRPr="00BD251B">
              <w:rPr>
                <w:smallCaps/>
                <w:sz w:val="20"/>
              </w:rPr>
              <w:t>ublic)</w:t>
            </w:r>
          </w:p>
          <w:p w:rsidR="00AF71A3" w:rsidRPr="00BD251B" w:rsidRDefault="00AF71A3" w:rsidP="00D27959">
            <w:pPr>
              <w:jc w:val="both"/>
              <w:rPr>
                <w:sz w:val="20"/>
              </w:rPr>
            </w:pPr>
          </w:p>
          <w:p w:rsidR="00AF71A3" w:rsidRPr="00BD251B" w:rsidRDefault="00AF71A3" w:rsidP="00D27959">
            <w:pPr>
              <w:jc w:val="both"/>
              <w:rPr>
                <w:sz w:val="20"/>
              </w:rPr>
            </w:pPr>
            <w:r w:rsidRPr="00BD251B">
              <w:rPr>
                <w:sz w:val="20"/>
              </w:rPr>
              <w:t>Civil procedure – Appeals – Motion to dismiss appeal granted and appeal dismissed – Did the Court of appeal err in finding that the appeal had no reasonable chance of success?</w:t>
            </w:r>
          </w:p>
        </w:tc>
      </w:tr>
      <w:tr w:rsidR="00AF71A3" w:rsidRPr="00BD251B" w:rsidTr="00D27959">
        <w:tc>
          <w:tcPr>
            <w:tcW w:w="5000" w:type="pct"/>
            <w:gridSpan w:val="3"/>
          </w:tcPr>
          <w:p w:rsidR="00AF71A3" w:rsidRPr="00BD251B" w:rsidRDefault="00AF71A3" w:rsidP="00D27959">
            <w:pPr>
              <w:jc w:val="both"/>
              <w:rPr>
                <w:sz w:val="20"/>
              </w:rPr>
            </w:pPr>
          </w:p>
        </w:tc>
      </w:tr>
      <w:tr w:rsidR="00AF71A3" w:rsidRPr="00BD251B" w:rsidTr="00D27959">
        <w:tc>
          <w:tcPr>
            <w:tcW w:w="5000" w:type="pct"/>
            <w:gridSpan w:val="3"/>
          </w:tcPr>
          <w:p w:rsidR="00AF71A3" w:rsidRPr="00BD251B" w:rsidRDefault="00AF71A3" w:rsidP="00D27959">
            <w:pPr>
              <w:jc w:val="both"/>
              <w:rPr>
                <w:sz w:val="20"/>
              </w:rPr>
            </w:pPr>
            <w:r w:rsidRPr="00BD251B">
              <w:rPr>
                <w:sz w:val="20"/>
              </w:rPr>
              <w:t>In 2002, the Court of Quebec determined that Mr. K.’s child had been sexually abused by him and that the security and development of the children of the couple was compromised.  Their care was entrusted to their mother, Ms. A., and to the respondent Batshaw Youth and Family Centers.  Mr. K. was subsequently acquitted of seven charges of sexual assault.  The children are now teenagers or adults in their 20s living with Ms. A.</w:t>
            </w:r>
          </w:p>
          <w:p w:rsidR="00AF71A3" w:rsidRPr="00BD251B" w:rsidRDefault="00AF71A3" w:rsidP="00D27959">
            <w:pPr>
              <w:jc w:val="both"/>
              <w:rPr>
                <w:sz w:val="20"/>
              </w:rPr>
            </w:pPr>
          </w:p>
          <w:p w:rsidR="00AF71A3" w:rsidRPr="00BD251B" w:rsidRDefault="00AF71A3" w:rsidP="00D27959">
            <w:pPr>
              <w:jc w:val="both"/>
              <w:rPr>
                <w:sz w:val="20"/>
              </w:rPr>
            </w:pPr>
            <w:r w:rsidRPr="00BD251B">
              <w:rPr>
                <w:sz w:val="20"/>
              </w:rPr>
              <w:t xml:space="preserve">Mr. K. sued Batshaw and Ms. A. for damages, alleging that Ms. A. had physically, emotionally and sexually abused the couple’s children between 1999 and 2001, that Batshaw and Ms. A. encouraged the children to make up stories </w:t>
            </w:r>
            <w:r w:rsidRPr="00BD251B">
              <w:rPr>
                <w:sz w:val="20"/>
              </w:rPr>
              <w:lastRenderedPageBreak/>
              <w:t>about physical and sexual abuse by Mr. K., which Batshaw then used to maliciously prosecute Mr. K. in civil and criminal court, that Batshaw misled the professionals hired to assess the validity of the sexual abuse allegations, that Batshaw destroyed documents and denied him access to its files, and that the respondents were engaged in a large scale frame-up.  He claimed over $10 million in compensatory and punitive damages.</w:t>
            </w:r>
          </w:p>
          <w:p w:rsidR="00AF71A3" w:rsidRPr="00BD251B" w:rsidRDefault="00AF71A3" w:rsidP="00D27959">
            <w:pPr>
              <w:jc w:val="both"/>
              <w:rPr>
                <w:sz w:val="20"/>
              </w:rPr>
            </w:pPr>
          </w:p>
          <w:p w:rsidR="00AF71A3" w:rsidRPr="00BD251B" w:rsidRDefault="00AF71A3" w:rsidP="00D27959">
            <w:pPr>
              <w:jc w:val="both"/>
              <w:rPr>
                <w:sz w:val="20"/>
              </w:rPr>
            </w:pPr>
            <w:r w:rsidRPr="00BD251B">
              <w:rPr>
                <w:sz w:val="20"/>
              </w:rPr>
              <w:t>The Superior Court dismissed the claim.  The Court of Appeal granted a motion to dismiss the appeal, on the basis that an appeal would have no reasonable chance of success in this case.</w:t>
            </w:r>
          </w:p>
          <w:p w:rsidR="00AF71A3" w:rsidRPr="00BD251B" w:rsidRDefault="00AF71A3" w:rsidP="00D27959">
            <w:pPr>
              <w:jc w:val="both"/>
              <w:rPr>
                <w:sz w:val="20"/>
              </w:rPr>
            </w:pPr>
          </w:p>
        </w:tc>
      </w:tr>
      <w:tr w:rsidR="00AF71A3" w:rsidRPr="00BD251B" w:rsidTr="00D27959">
        <w:tc>
          <w:tcPr>
            <w:tcW w:w="2427" w:type="pct"/>
          </w:tcPr>
          <w:p w:rsidR="00AF71A3" w:rsidRPr="00BD251B" w:rsidRDefault="00AF71A3" w:rsidP="00D27959">
            <w:pPr>
              <w:jc w:val="both"/>
              <w:rPr>
                <w:sz w:val="20"/>
              </w:rPr>
            </w:pPr>
            <w:r w:rsidRPr="00BD251B">
              <w:rPr>
                <w:sz w:val="20"/>
              </w:rPr>
              <w:lastRenderedPageBreak/>
              <w:t xml:space="preserve">April 4, 2014 </w:t>
            </w:r>
          </w:p>
          <w:p w:rsidR="00AF71A3" w:rsidRPr="00BD251B" w:rsidRDefault="00AF71A3" w:rsidP="00D27959">
            <w:pPr>
              <w:jc w:val="both"/>
              <w:rPr>
                <w:sz w:val="20"/>
              </w:rPr>
            </w:pPr>
            <w:r w:rsidRPr="00BD251B">
              <w:rPr>
                <w:sz w:val="20"/>
              </w:rPr>
              <w:t>Superior Court of Québec</w:t>
            </w:r>
          </w:p>
          <w:p w:rsidR="00AF71A3" w:rsidRPr="00BD251B" w:rsidRDefault="00AF71A3" w:rsidP="00D27959">
            <w:pPr>
              <w:jc w:val="both"/>
              <w:rPr>
                <w:sz w:val="20"/>
              </w:rPr>
            </w:pPr>
            <w:r w:rsidRPr="00BD251B">
              <w:rPr>
                <w:sz w:val="20"/>
              </w:rPr>
              <w:t>(Collier J.)</w:t>
            </w:r>
          </w:p>
          <w:p w:rsidR="00AF71A3" w:rsidRPr="00BD251B" w:rsidRDefault="005B7E98" w:rsidP="00D27959">
            <w:pPr>
              <w:jc w:val="both"/>
              <w:rPr>
                <w:sz w:val="20"/>
              </w:rPr>
            </w:pPr>
            <w:hyperlink r:id="rId41" w:history="1">
              <w:r w:rsidR="00AF71A3" w:rsidRPr="00BD251B">
                <w:rPr>
                  <w:color w:val="0000FF" w:themeColor="hyperlink"/>
                  <w:sz w:val="20"/>
                  <w:u w:val="single"/>
                </w:rPr>
                <w:t>2014 QCCS 1373</w:t>
              </w:r>
            </w:hyperlink>
          </w:p>
          <w:p w:rsidR="00AF71A3" w:rsidRPr="00BD251B" w:rsidRDefault="00AF71A3" w:rsidP="00D27959">
            <w:pPr>
              <w:jc w:val="both"/>
              <w:rPr>
                <w:sz w:val="20"/>
              </w:rPr>
            </w:pPr>
          </w:p>
        </w:tc>
        <w:tc>
          <w:tcPr>
            <w:tcW w:w="243" w:type="pct"/>
          </w:tcPr>
          <w:p w:rsidR="00AF71A3" w:rsidRPr="00BD251B" w:rsidRDefault="00AF71A3" w:rsidP="00D27959">
            <w:pPr>
              <w:jc w:val="both"/>
              <w:rPr>
                <w:sz w:val="20"/>
              </w:rPr>
            </w:pPr>
          </w:p>
        </w:tc>
        <w:tc>
          <w:tcPr>
            <w:tcW w:w="2330" w:type="pct"/>
          </w:tcPr>
          <w:p w:rsidR="00AF71A3" w:rsidRPr="00BD251B" w:rsidRDefault="00AF71A3" w:rsidP="00D27959">
            <w:pPr>
              <w:jc w:val="both"/>
              <w:rPr>
                <w:sz w:val="20"/>
              </w:rPr>
            </w:pPr>
            <w:r w:rsidRPr="00BD251B">
              <w:rPr>
                <w:sz w:val="20"/>
              </w:rPr>
              <w:t xml:space="preserve">Action dismissed </w:t>
            </w:r>
          </w:p>
        </w:tc>
      </w:tr>
      <w:tr w:rsidR="00AF71A3" w:rsidRPr="00BD251B" w:rsidTr="00D27959">
        <w:tc>
          <w:tcPr>
            <w:tcW w:w="2427" w:type="pct"/>
          </w:tcPr>
          <w:p w:rsidR="00AF71A3" w:rsidRPr="00BD251B" w:rsidRDefault="00AF71A3" w:rsidP="00D27959">
            <w:pPr>
              <w:jc w:val="both"/>
              <w:rPr>
                <w:sz w:val="20"/>
              </w:rPr>
            </w:pPr>
            <w:r w:rsidRPr="00BD251B">
              <w:rPr>
                <w:sz w:val="20"/>
              </w:rPr>
              <w:t xml:space="preserve">August 6, 2014 </w:t>
            </w:r>
          </w:p>
          <w:p w:rsidR="00AF71A3" w:rsidRPr="00BD251B" w:rsidRDefault="00AF71A3" w:rsidP="00D27959">
            <w:pPr>
              <w:jc w:val="both"/>
              <w:rPr>
                <w:sz w:val="20"/>
              </w:rPr>
            </w:pPr>
            <w:r w:rsidRPr="00BD251B">
              <w:rPr>
                <w:sz w:val="20"/>
              </w:rPr>
              <w:t>Court of Appeal of Quebec (Montréal)</w:t>
            </w:r>
          </w:p>
          <w:p w:rsidR="00AF71A3" w:rsidRPr="00BD251B" w:rsidRDefault="00AF71A3" w:rsidP="00D27959">
            <w:pPr>
              <w:jc w:val="both"/>
              <w:rPr>
                <w:sz w:val="20"/>
              </w:rPr>
            </w:pPr>
            <w:r w:rsidRPr="00BD251B">
              <w:rPr>
                <w:sz w:val="20"/>
              </w:rPr>
              <w:t>(Vauclair, Marcotte and Schrager JJ.A.)</w:t>
            </w:r>
          </w:p>
          <w:p w:rsidR="00AF71A3" w:rsidRPr="00BD251B" w:rsidRDefault="00AF71A3" w:rsidP="00D27959">
            <w:pPr>
              <w:jc w:val="both"/>
              <w:rPr>
                <w:sz w:val="20"/>
              </w:rPr>
            </w:pPr>
            <w:r w:rsidRPr="00BD251B">
              <w:rPr>
                <w:sz w:val="20"/>
              </w:rPr>
              <w:t xml:space="preserve">500-09-024411-142; </w:t>
            </w:r>
            <w:hyperlink r:id="rId42" w:history="1">
              <w:r w:rsidRPr="00BD251B">
                <w:rPr>
                  <w:color w:val="0000FF" w:themeColor="hyperlink"/>
                  <w:sz w:val="20"/>
                  <w:u w:val="single"/>
                </w:rPr>
                <w:t>2014 QCCA 1530</w:t>
              </w:r>
            </w:hyperlink>
          </w:p>
          <w:p w:rsidR="00AF71A3" w:rsidRPr="00BD251B" w:rsidRDefault="00AF71A3" w:rsidP="00D27959">
            <w:pPr>
              <w:jc w:val="both"/>
              <w:rPr>
                <w:sz w:val="20"/>
              </w:rPr>
            </w:pPr>
          </w:p>
        </w:tc>
        <w:tc>
          <w:tcPr>
            <w:tcW w:w="243" w:type="pct"/>
          </w:tcPr>
          <w:p w:rsidR="00AF71A3" w:rsidRPr="00BD251B" w:rsidRDefault="00AF71A3" w:rsidP="00D27959">
            <w:pPr>
              <w:jc w:val="both"/>
              <w:rPr>
                <w:sz w:val="20"/>
              </w:rPr>
            </w:pPr>
          </w:p>
        </w:tc>
        <w:tc>
          <w:tcPr>
            <w:tcW w:w="2330" w:type="pct"/>
          </w:tcPr>
          <w:p w:rsidR="00AF71A3" w:rsidRPr="00BD251B" w:rsidRDefault="00AF71A3" w:rsidP="00D27959">
            <w:pPr>
              <w:jc w:val="both"/>
              <w:rPr>
                <w:sz w:val="20"/>
              </w:rPr>
            </w:pPr>
            <w:r w:rsidRPr="00BD251B">
              <w:rPr>
                <w:sz w:val="20"/>
              </w:rPr>
              <w:t>Motion to dismiss the appeal granted; appeal dismissed</w:t>
            </w:r>
          </w:p>
        </w:tc>
      </w:tr>
      <w:tr w:rsidR="00AF71A3" w:rsidRPr="00BD251B" w:rsidTr="00D27959">
        <w:tc>
          <w:tcPr>
            <w:tcW w:w="2427" w:type="pct"/>
          </w:tcPr>
          <w:p w:rsidR="00AF71A3" w:rsidRPr="00BD251B" w:rsidRDefault="00AF71A3" w:rsidP="00D27959">
            <w:pPr>
              <w:jc w:val="both"/>
              <w:rPr>
                <w:sz w:val="20"/>
              </w:rPr>
            </w:pPr>
            <w:r w:rsidRPr="00BD251B">
              <w:rPr>
                <w:sz w:val="20"/>
              </w:rPr>
              <w:t>January 27, 2015</w:t>
            </w:r>
          </w:p>
          <w:p w:rsidR="00AF71A3" w:rsidRPr="00BD251B" w:rsidRDefault="00AF71A3" w:rsidP="00D27959">
            <w:pPr>
              <w:jc w:val="both"/>
              <w:rPr>
                <w:sz w:val="20"/>
              </w:rPr>
            </w:pPr>
            <w:r w:rsidRPr="00BD251B">
              <w:rPr>
                <w:sz w:val="20"/>
              </w:rPr>
              <w:t>Supreme Court of Canada</w:t>
            </w:r>
          </w:p>
          <w:p w:rsidR="00AF71A3" w:rsidRPr="00BD251B" w:rsidRDefault="00AF71A3" w:rsidP="00D27959">
            <w:pPr>
              <w:jc w:val="both"/>
              <w:rPr>
                <w:sz w:val="20"/>
              </w:rPr>
            </w:pPr>
          </w:p>
        </w:tc>
        <w:tc>
          <w:tcPr>
            <w:tcW w:w="243" w:type="pct"/>
          </w:tcPr>
          <w:p w:rsidR="00AF71A3" w:rsidRPr="00BD251B" w:rsidRDefault="00AF71A3" w:rsidP="00D27959">
            <w:pPr>
              <w:jc w:val="both"/>
              <w:rPr>
                <w:sz w:val="20"/>
              </w:rPr>
            </w:pPr>
          </w:p>
        </w:tc>
        <w:tc>
          <w:tcPr>
            <w:tcW w:w="2330" w:type="pct"/>
          </w:tcPr>
          <w:p w:rsidR="00AF71A3" w:rsidRPr="00BD251B" w:rsidRDefault="00AF71A3" w:rsidP="00D27959">
            <w:pPr>
              <w:jc w:val="both"/>
              <w:rPr>
                <w:sz w:val="20"/>
              </w:rPr>
            </w:pPr>
            <w:r w:rsidRPr="00BD251B">
              <w:rPr>
                <w:sz w:val="20"/>
              </w:rPr>
              <w:t>Motion for an extension of time to file an application for leave to appeal and application for leave to appeal filed</w:t>
            </w:r>
          </w:p>
        </w:tc>
      </w:tr>
    </w:tbl>
    <w:p w:rsidR="00E112BD" w:rsidRPr="00AF71A3" w:rsidRDefault="00E112BD" w:rsidP="00E112BD">
      <w:pPr>
        <w:rPr>
          <w:sz w:val="20"/>
          <w:szCs w:val="20"/>
        </w:rPr>
      </w:pPr>
    </w:p>
    <w:p w:rsidR="00E112BD" w:rsidRPr="00C50A5C" w:rsidRDefault="005B7E98" w:rsidP="00E112BD">
      <w:pPr>
        <w:rPr>
          <w:sz w:val="20"/>
          <w:szCs w:val="20"/>
        </w:rPr>
      </w:pPr>
      <w:r>
        <w:rPr>
          <w:sz w:val="20"/>
          <w:szCs w:val="20"/>
          <w:lang w:val="fr-CA"/>
        </w:rPr>
        <w:pict>
          <v:rect id="_x0000_i1056" style="width:2in;height:1pt" o:hrpct="0" o:hralign="center" o:hrstd="t" o:hrnoshade="t" o:hr="t" fillcolor="black [3213]" stroked="f"/>
        </w:pict>
      </w:r>
    </w:p>
    <w:p w:rsidR="00E112BD" w:rsidRDefault="00E112BD" w:rsidP="00E112BD">
      <w:pPr>
        <w:rPr>
          <w:sz w:val="20"/>
          <w:szCs w:val="20"/>
        </w:rPr>
      </w:pPr>
    </w:p>
    <w:p w:rsidR="00E112BD" w:rsidRPr="001B157C" w:rsidRDefault="00E112BD" w:rsidP="00E112BD">
      <w:pPr>
        <w:rPr>
          <w:sz w:val="20"/>
          <w:szCs w:val="20"/>
          <w:u w:val="single"/>
          <w:lang w:val="fr-CA"/>
        </w:rPr>
      </w:pPr>
      <w:r w:rsidRPr="001B157C">
        <w:rPr>
          <w:sz w:val="20"/>
          <w:szCs w:val="20"/>
          <w:u w:val="single"/>
          <w:lang w:val="fr-CA"/>
        </w:rPr>
        <w:t>RÉSUMÉ DE L’AFFAIRE</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F71A3" w:rsidRPr="00A12C1D" w:rsidTr="00D27959">
        <w:tc>
          <w:tcPr>
            <w:tcW w:w="5000" w:type="pct"/>
            <w:gridSpan w:val="3"/>
          </w:tcPr>
          <w:p w:rsidR="00AF71A3" w:rsidRPr="00BD251B" w:rsidRDefault="00AF71A3" w:rsidP="00D27959">
            <w:pPr>
              <w:jc w:val="both"/>
              <w:rPr>
                <w:smallCaps/>
                <w:sz w:val="20"/>
                <w:lang w:val="fr-CA"/>
              </w:rPr>
            </w:pPr>
            <w:r w:rsidRPr="00BD251B">
              <w:rPr>
                <w:smallCaps/>
                <w:sz w:val="20"/>
                <w:lang w:val="fr-CA"/>
              </w:rPr>
              <w:t>(Ordonnance de non-publication dans le dossier) (Ordonnance de non-publication visant une partie) (Ordonnance de mise sous scellés) (Le dossier de la Cour renferme des données que le public n’est pas autorisé à consulter)</w:t>
            </w:r>
          </w:p>
          <w:p w:rsidR="00AF71A3" w:rsidRPr="00BD251B" w:rsidRDefault="00AF71A3" w:rsidP="00D27959">
            <w:pPr>
              <w:jc w:val="both"/>
              <w:rPr>
                <w:sz w:val="20"/>
                <w:lang w:val="fr-CA"/>
              </w:rPr>
            </w:pPr>
          </w:p>
          <w:p w:rsidR="00AF71A3" w:rsidRPr="00BD251B" w:rsidRDefault="00AF71A3" w:rsidP="00D27959">
            <w:pPr>
              <w:jc w:val="both"/>
              <w:rPr>
                <w:sz w:val="20"/>
                <w:lang w:val="fr-CA"/>
              </w:rPr>
            </w:pPr>
            <w:r w:rsidRPr="00BD251B">
              <w:rPr>
                <w:sz w:val="20"/>
                <w:lang w:val="fr-CA"/>
              </w:rPr>
              <w:t>Procédure civile – Appels – Rejet d’appel sur requête – La Cour d’appel a-t-elle eu tort de conclure que l’appel ne présentait aucune chance raisonnable de succès?</w:t>
            </w:r>
          </w:p>
        </w:tc>
      </w:tr>
      <w:tr w:rsidR="00AF71A3" w:rsidRPr="00A12C1D" w:rsidTr="00D27959">
        <w:tc>
          <w:tcPr>
            <w:tcW w:w="5000" w:type="pct"/>
            <w:gridSpan w:val="3"/>
          </w:tcPr>
          <w:p w:rsidR="00AF71A3" w:rsidRPr="00BD251B" w:rsidRDefault="00AF71A3" w:rsidP="00D27959">
            <w:pPr>
              <w:jc w:val="both"/>
              <w:rPr>
                <w:sz w:val="20"/>
                <w:lang w:val="fr-CA"/>
              </w:rPr>
            </w:pPr>
          </w:p>
        </w:tc>
      </w:tr>
      <w:tr w:rsidR="00AF71A3" w:rsidRPr="00A12C1D" w:rsidTr="00D27959">
        <w:tc>
          <w:tcPr>
            <w:tcW w:w="5000" w:type="pct"/>
            <w:gridSpan w:val="3"/>
          </w:tcPr>
          <w:p w:rsidR="00AF71A3" w:rsidRPr="00BD251B" w:rsidRDefault="00AF71A3" w:rsidP="00D27959">
            <w:pPr>
              <w:jc w:val="both"/>
              <w:rPr>
                <w:sz w:val="20"/>
                <w:lang w:val="fr-CA"/>
              </w:rPr>
            </w:pPr>
            <w:r w:rsidRPr="00BD251B">
              <w:rPr>
                <w:sz w:val="20"/>
                <w:lang w:val="fr-CA"/>
              </w:rPr>
              <w:t>En 2002, la Cour du Québec a conclu que M. K. avait fait subir des sévices sexuels à son enfant et que la sécurité et le développement des enfants du couple étaient compromis.  La garde des enfants a été confiée à leur mère, Mme A., et à l’intimée Batshaw Youth and Family Centers.  Monsieur K. a subséquemment été acquitté de sept accusations d’agression sexuelle.  Les enfants sont maintenant adolescents ou adultes dans la vingtaine et habitent avec Mme A.</w:t>
            </w:r>
          </w:p>
          <w:p w:rsidR="00AF71A3" w:rsidRPr="00BD251B" w:rsidRDefault="00AF71A3" w:rsidP="00D27959">
            <w:pPr>
              <w:jc w:val="both"/>
              <w:rPr>
                <w:sz w:val="20"/>
                <w:lang w:val="fr-CA"/>
              </w:rPr>
            </w:pPr>
          </w:p>
          <w:p w:rsidR="00AF71A3" w:rsidRPr="00BD251B" w:rsidRDefault="00AF71A3" w:rsidP="00D27959">
            <w:pPr>
              <w:jc w:val="both"/>
              <w:rPr>
                <w:sz w:val="20"/>
                <w:lang w:val="fr-CA"/>
              </w:rPr>
            </w:pPr>
            <w:r w:rsidRPr="00BD251B">
              <w:rPr>
                <w:sz w:val="20"/>
                <w:lang w:val="fr-CA"/>
              </w:rPr>
              <w:t>Monsieur K. a poursuivi Batshaw et Mme A. en dommages-intérêts, alléguant que Mme A. avait fait subir des sévices physiques, affectifs et sexuels aux enfants du couple entre 1999 et 2001, que Batshaw et Mme A. avaient incité les enfants à inventer des histoires à propos de sévices physiques et sexuels de la part de M. K, des histoires dont se serait ensuite servie Batshaw pour intenter des poursuites abusives contre M. K en cour civile et criminelle, que Batshaw avait trompé les professionnels engagés pour évaluer la validité des allégations de sévices sexuels, que Batshaw avait détruit des documents et avait empêché M. K. d’avoir accès aux dossiers de Batshaw et que les intimés avaient pris part à un vaste coup monté.  Il a réclamé plus de dix millions de dollars en dommages-intérêts compensatoires et punitifs.</w:t>
            </w:r>
          </w:p>
          <w:p w:rsidR="00AF71A3" w:rsidRPr="00BD251B" w:rsidRDefault="00AF71A3" w:rsidP="00D27959">
            <w:pPr>
              <w:jc w:val="both"/>
              <w:rPr>
                <w:sz w:val="20"/>
                <w:lang w:val="fr-CA"/>
              </w:rPr>
            </w:pPr>
          </w:p>
          <w:p w:rsidR="00AF71A3" w:rsidRPr="00BD251B" w:rsidRDefault="00AF71A3" w:rsidP="00D27959">
            <w:pPr>
              <w:jc w:val="both"/>
              <w:rPr>
                <w:sz w:val="20"/>
                <w:lang w:val="fr-CA"/>
              </w:rPr>
            </w:pPr>
            <w:r w:rsidRPr="00BD251B">
              <w:rPr>
                <w:sz w:val="20"/>
                <w:lang w:val="fr-CA"/>
              </w:rPr>
              <w:t>La Cour supérieure a rejeté la demande.  La Cour d’appel a accueilli une requête en rejet de l’appel, statuant que l’appel ne présentait aucune chance raisonnable de succès.</w:t>
            </w:r>
          </w:p>
          <w:p w:rsidR="00AF71A3" w:rsidRPr="00BD251B" w:rsidRDefault="00AF71A3" w:rsidP="00D27959">
            <w:pPr>
              <w:jc w:val="both"/>
              <w:rPr>
                <w:sz w:val="20"/>
                <w:lang w:val="fr-CA"/>
              </w:rPr>
            </w:pPr>
          </w:p>
        </w:tc>
      </w:tr>
      <w:tr w:rsidR="00AF71A3" w:rsidRPr="00BD251B" w:rsidTr="00586995">
        <w:trPr>
          <w:cantSplit/>
        </w:trPr>
        <w:tc>
          <w:tcPr>
            <w:tcW w:w="2427" w:type="pct"/>
          </w:tcPr>
          <w:p w:rsidR="00AF71A3" w:rsidRPr="00BD251B" w:rsidRDefault="00AF71A3" w:rsidP="00D27959">
            <w:pPr>
              <w:jc w:val="both"/>
              <w:rPr>
                <w:sz w:val="20"/>
                <w:lang w:val="fr-CA"/>
              </w:rPr>
            </w:pPr>
            <w:r w:rsidRPr="00BD251B">
              <w:rPr>
                <w:sz w:val="20"/>
                <w:lang w:val="fr-CA"/>
              </w:rPr>
              <w:lastRenderedPageBreak/>
              <w:t xml:space="preserve">4 avril 2014 </w:t>
            </w:r>
          </w:p>
          <w:p w:rsidR="00AF71A3" w:rsidRPr="00BD251B" w:rsidRDefault="00AF71A3" w:rsidP="00D27959">
            <w:pPr>
              <w:jc w:val="both"/>
              <w:rPr>
                <w:sz w:val="20"/>
                <w:lang w:val="fr-CA"/>
              </w:rPr>
            </w:pPr>
            <w:r w:rsidRPr="00BD251B">
              <w:rPr>
                <w:sz w:val="20"/>
                <w:lang w:val="fr-CA"/>
              </w:rPr>
              <w:t>Cour supérieure du Québec</w:t>
            </w:r>
          </w:p>
          <w:p w:rsidR="00AF71A3" w:rsidRPr="00BD251B" w:rsidRDefault="00AF71A3" w:rsidP="00D27959">
            <w:pPr>
              <w:jc w:val="both"/>
              <w:rPr>
                <w:sz w:val="20"/>
                <w:lang w:val="fr-CA"/>
              </w:rPr>
            </w:pPr>
            <w:r w:rsidRPr="00BD251B">
              <w:rPr>
                <w:sz w:val="20"/>
                <w:lang w:val="fr-CA"/>
              </w:rPr>
              <w:t>(Juge Collier)</w:t>
            </w:r>
          </w:p>
          <w:p w:rsidR="00AF71A3" w:rsidRPr="00BD251B" w:rsidRDefault="005B7E98" w:rsidP="00D27959">
            <w:pPr>
              <w:jc w:val="both"/>
              <w:rPr>
                <w:sz w:val="20"/>
                <w:lang w:val="fr-CA"/>
              </w:rPr>
            </w:pPr>
            <w:hyperlink r:id="rId43" w:history="1">
              <w:r w:rsidR="00AF71A3" w:rsidRPr="00BD251B">
                <w:rPr>
                  <w:color w:val="0000FF" w:themeColor="hyperlink"/>
                  <w:sz w:val="20"/>
                  <w:u w:val="single"/>
                  <w:lang w:val="fr-CA"/>
                </w:rPr>
                <w:t>2014 QCCS 1373</w:t>
              </w:r>
            </w:hyperlink>
          </w:p>
          <w:p w:rsidR="00AF71A3" w:rsidRPr="00BD251B" w:rsidRDefault="00AF71A3" w:rsidP="00D27959">
            <w:pPr>
              <w:jc w:val="both"/>
              <w:rPr>
                <w:sz w:val="20"/>
                <w:lang w:val="fr-CA"/>
              </w:rPr>
            </w:pPr>
          </w:p>
        </w:tc>
        <w:tc>
          <w:tcPr>
            <w:tcW w:w="243" w:type="pct"/>
          </w:tcPr>
          <w:p w:rsidR="00AF71A3" w:rsidRPr="00BD251B" w:rsidRDefault="00AF71A3" w:rsidP="00D27959">
            <w:pPr>
              <w:jc w:val="both"/>
              <w:rPr>
                <w:sz w:val="20"/>
                <w:lang w:val="fr-CA"/>
              </w:rPr>
            </w:pPr>
          </w:p>
        </w:tc>
        <w:tc>
          <w:tcPr>
            <w:tcW w:w="2330" w:type="pct"/>
          </w:tcPr>
          <w:p w:rsidR="00AF71A3" w:rsidRPr="00BD251B" w:rsidRDefault="00AF71A3" w:rsidP="00D27959">
            <w:pPr>
              <w:jc w:val="both"/>
              <w:rPr>
                <w:sz w:val="20"/>
                <w:lang w:val="fr-CA"/>
              </w:rPr>
            </w:pPr>
            <w:r w:rsidRPr="00BD251B">
              <w:rPr>
                <w:sz w:val="20"/>
                <w:lang w:val="fr-CA"/>
              </w:rPr>
              <w:t xml:space="preserve">Rejet de l’action </w:t>
            </w:r>
          </w:p>
        </w:tc>
      </w:tr>
      <w:tr w:rsidR="00AF71A3" w:rsidRPr="00A12C1D" w:rsidTr="00586995">
        <w:trPr>
          <w:cantSplit/>
        </w:trPr>
        <w:tc>
          <w:tcPr>
            <w:tcW w:w="2427" w:type="pct"/>
          </w:tcPr>
          <w:p w:rsidR="00AF71A3" w:rsidRPr="00BD251B" w:rsidRDefault="00AF71A3" w:rsidP="00D27959">
            <w:pPr>
              <w:jc w:val="both"/>
              <w:rPr>
                <w:sz w:val="20"/>
                <w:lang w:val="fr-CA"/>
              </w:rPr>
            </w:pPr>
            <w:r w:rsidRPr="00BD251B">
              <w:rPr>
                <w:sz w:val="20"/>
                <w:lang w:val="fr-CA"/>
              </w:rPr>
              <w:t xml:space="preserve">6 août 2014 </w:t>
            </w:r>
          </w:p>
          <w:p w:rsidR="00AF71A3" w:rsidRPr="00BD251B" w:rsidRDefault="00AF71A3" w:rsidP="00D27959">
            <w:pPr>
              <w:jc w:val="both"/>
              <w:rPr>
                <w:sz w:val="20"/>
                <w:lang w:val="fr-CA"/>
              </w:rPr>
            </w:pPr>
            <w:r w:rsidRPr="00BD251B">
              <w:rPr>
                <w:sz w:val="20"/>
                <w:lang w:val="fr-CA"/>
              </w:rPr>
              <w:t>Cour d’appel du Québec (Montréal)</w:t>
            </w:r>
          </w:p>
          <w:p w:rsidR="00AF71A3" w:rsidRPr="00BD251B" w:rsidRDefault="00AF71A3" w:rsidP="00D27959">
            <w:pPr>
              <w:jc w:val="both"/>
              <w:rPr>
                <w:sz w:val="20"/>
                <w:lang w:val="fr-CA"/>
              </w:rPr>
            </w:pPr>
            <w:r w:rsidRPr="00BD251B">
              <w:rPr>
                <w:sz w:val="20"/>
                <w:lang w:val="fr-CA"/>
              </w:rPr>
              <w:t>(Juges Vauclair, Marcotte et Schrager)</w:t>
            </w:r>
          </w:p>
          <w:p w:rsidR="00AF71A3" w:rsidRPr="00BD251B" w:rsidRDefault="00AF71A3" w:rsidP="00D27959">
            <w:pPr>
              <w:jc w:val="both"/>
              <w:rPr>
                <w:sz w:val="20"/>
                <w:lang w:val="fr-CA"/>
              </w:rPr>
            </w:pPr>
            <w:r w:rsidRPr="00BD251B">
              <w:rPr>
                <w:sz w:val="20"/>
                <w:lang w:val="fr-CA"/>
              </w:rPr>
              <w:t xml:space="preserve">500-09-024411-142; </w:t>
            </w:r>
            <w:hyperlink r:id="rId44" w:history="1">
              <w:r w:rsidRPr="00BD251B">
                <w:rPr>
                  <w:color w:val="0000FF" w:themeColor="hyperlink"/>
                  <w:sz w:val="20"/>
                  <w:u w:val="single"/>
                  <w:lang w:val="fr-CA"/>
                </w:rPr>
                <w:t>2014 QCCA 1530</w:t>
              </w:r>
            </w:hyperlink>
          </w:p>
          <w:p w:rsidR="00AF71A3" w:rsidRPr="00BD251B" w:rsidRDefault="00AF71A3" w:rsidP="00D27959">
            <w:pPr>
              <w:jc w:val="both"/>
              <w:rPr>
                <w:sz w:val="20"/>
                <w:lang w:val="fr-CA"/>
              </w:rPr>
            </w:pPr>
          </w:p>
        </w:tc>
        <w:tc>
          <w:tcPr>
            <w:tcW w:w="243" w:type="pct"/>
          </w:tcPr>
          <w:p w:rsidR="00AF71A3" w:rsidRPr="00BD251B" w:rsidRDefault="00AF71A3" w:rsidP="00D27959">
            <w:pPr>
              <w:jc w:val="both"/>
              <w:rPr>
                <w:sz w:val="20"/>
                <w:lang w:val="fr-CA"/>
              </w:rPr>
            </w:pPr>
          </w:p>
        </w:tc>
        <w:tc>
          <w:tcPr>
            <w:tcW w:w="2330" w:type="pct"/>
          </w:tcPr>
          <w:p w:rsidR="00AF71A3" w:rsidRPr="00BD251B" w:rsidRDefault="00AF71A3" w:rsidP="00D27959">
            <w:pPr>
              <w:jc w:val="both"/>
              <w:rPr>
                <w:sz w:val="20"/>
                <w:lang w:val="fr-CA"/>
              </w:rPr>
            </w:pPr>
            <w:r w:rsidRPr="00BD251B">
              <w:rPr>
                <w:sz w:val="20"/>
                <w:lang w:val="fr-CA"/>
              </w:rPr>
              <w:t>Rejet de l’appel, sur requête</w:t>
            </w:r>
          </w:p>
        </w:tc>
      </w:tr>
      <w:tr w:rsidR="00AF71A3" w:rsidRPr="00A12C1D" w:rsidTr="00586995">
        <w:trPr>
          <w:cantSplit/>
        </w:trPr>
        <w:tc>
          <w:tcPr>
            <w:tcW w:w="2427" w:type="pct"/>
          </w:tcPr>
          <w:p w:rsidR="00AF71A3" w:rsidRPr="00BD251B" w:rsidRDefault="00AF71A3" w:rsidP="00D27959">
            <w:pPr>
              <w:jc w:val="both"/>
              <w:rPr>
                <w:sz w:val="20"/>
                <w:lang w:val="fr-CA"/>
              </w:rPr>
            </w:pPr>
            <w:r w:rsidRPr="00BD251B">
              <w:rPr>
                <w:sz w:val="20"/>
                <w:lang w:val="fr-CA"/>
              </w:rPr>
              <w:t>27 janvier 2015</w:t>
            </w:r>
          </w:p>
          <w:p w:rsidR="00AF71A3" w:rsidRPr="00BD251B" w:rsidRDefault="00AF71A3" w:rsidP="00D27959">
            <w:pPr>
              <w:jc w:val="both"/>
              <w:rPr>
                <w:sz w:val="20"/>
                <w:lang w:val="fr-CA"/>
              </w:rPr>
            </w:pPr>
            <w:r w:rsidRPr="00BD251B">
              <w:rPr>
                <w:sz w:val="20"/>
                <w:lang w:val="fr-CA"/>
              </w:rPr>
              <w:t>Cour suprême du Canada</w:t>
            </w:r>
          </w:p>
          <w:p w:rsidR="00AF71A3" w:rsidRPr="00BD251B" w:rsidRDefault="00AF71A3" w:rsidP="00D27959">
            <w:pPr>
              <w:jc w:val="both"/>
              <w:rPr>
                <w:sz w:val="20"/>
                <w:lang w:val="fr-CA"/>
              </w:rPr>
            </w:pPr>
          </w:p>
        </w:tc>
        <w:tc>
          <w:tcPr>
            <w:tcW w:w="243" w:type="pct"/>
          </w:tcPr>
          <w:p w:rsidR="00AF71A3" w:rsidRPr="00BD251B" w:rsidRDefault="00AF71A3" w:rsidP="00D27959">
            <w:pPr>
              <w:jc w:val="both"/>
              <w:rPr>
                <w:sz w:val="20"/>
                <w:lang w:val="fr-CA"/>
              </w:rPr>
            </w:pPr>
          </w:p>
        </w:tc>
        <w:tc>
          <w:tcPr>
            <w:tcW w:w="2330" w:type="pct"/>
          </w:tcPr>
          <w:p w:rsidR="00AF71A3" w:rsidRPr="00BD251B" w:rsidRDefault="00AF71A3" w:rsidP="00D27959">
            <w:pPr>
              <w:jc w:val="both"/>
              <w:rPr>
                <w:sz w:val="20"/>
                <w:lang w:val="fr-CA"/>
              </w:rPr>
            </w:pPr>
            <w:r w:rsidRPr="00BD251B">
              <w:rPr>
                <w:sz w:val="20"/>
                <w:lang w:val="fr-CA"/>
              </w:rPr>
              <w:t>Dépôt de la requête en prorogation du délai de dépôt de la demande d’autorisation d’appel et de la demande d’autorisation d’appel</w:t>
            </w:r>
          </w:p>
        </w:tc>
      </w:tr>
    </w:tbl>
    <w:p w:rsidR="00E112BD" w:rsidRPr="00AF71A3" w:rsidRDefault="00E112BD" w:rsidP="00E112BD">
      <w:pPr>
        <w:rPr>
          <w:sz w:val="20"/>
          <w:szCs w:val="20"/>
          <w:lang w:val="fr-CA"/>
        </w:rPr>
      </w:pPr>
    </w:p>
    <w:p w:rsidR="00E112BD" w:rsidRDefault="005B7E98" w:rsidP="00E112BD">
      <w:pPr>
        <w:rPr>
          <w:sz w:val="20"/>
          <w:szCs w:val="20"/>
        </w:rPr>
      </w:pPr>
      <w:r>
        <w:rPr>
          <w:sz w:val="20"/>
          <w:szCs w:val="20"/>
          <w:lang w:val="fr-CA"/>
        </w:rPr>
        <w:pict>
          <v:rect id="_x0000_i1057" style="width:2in;height:1pt" o:hrpct="0" o:hralign="center" o:hrstd="t" o:hrnoshade="t" o:hr="t" fillcolor="black [3213]" stroked="f"/>
        </w:pict>
      </w:r>
    </w:p>
    <w:p w:rsidR="00E112BD" w:rsidRDefault="00E112BD" w:rsidP="00E112B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958BC" w:rsidRPr="00392F0F" w:rsidTr="006205C5">
        <w:trPr>
          <w:cantSplit/>
        </w:trPr>
        <w:tc>
          <w:tcPr>
            <w:tcW w:w="1458" w:type="dxa"/>
          </w:tcPr>
          <w:p w:rsidR="00C958BC" w:rsidRPr="00392F0F" w:rsidRDefault="00C958BC" w:rsidP="006205C5">
            <w:pPr>
              <w:rPr>
                <w:sz w:val="20"/>
                <w:szCs w:val="20"/>
              </w:rPr>
            </w:pPr>
            <w:r w:rsidRPr="00392F0F">
              <w:rPr>
                <w:rStyle w:val="SCCFileNumberChar"/>
                <w:sz w:val="20"/>
                <w:szCs w:val="20"/>
              </w:rPr>
              <w:t>36339</w:t>
            </w:r>
          </w:p>
          <w:p w:rsidR="00C958BC" w:rsidRPr="00392F0F" w:rsidRDefault="00C958BC" w:rsidP="006205C5">
            <w:pPr>
              <w:rPr>
                <w:b/>
                <w:sz w:val="20"/>
                <w:szCs w:val="20"/>
                <w:lang w:val="fr-CA"/>
              </w:rPr>
            </w:pPr>
          </w:p>
        </w:tc>
        <w:tc>
          <w:tcPr>
            <w:tcW w:w="8118" w:type="dxa"/>
          </w:tcPr>
          <w:p w:rsidR="00C958BC" w:rsidRPr="00392F0F" w:rsidRDefault="00C958BC" w:rsidP="006205C5">
            <w:pPr>
              <w:jc w:val="both"/>
              <w:rPr>
                <w:sz w:val="20"/>
                <w:szCs w:val="20"/>
              </w:rPr>
            </w:pPr>
            <w:r w:rsidRPr="00392F0F">
              <w:rPr>
                <w:rStyle w:val="SCCLsocChar"/>
                <w:sz w:val="20"/>
                <w:szCs w:val="20"/>
                <w:lang w:val="en-CA"/>
              </w:rPr>
              <w:t xml:space="preserve">Martin Green v. Hiep Tram, Arlene Skull, Deb Woloshyn, </w:t>
            </w:r>
            <w:r w:rsidR="00C5083F">
              <w:rPr>
                <w:rStyle w:val="SCCLsocChar"/>
                <w:sz w:val="20"/>
                <w:szCs w:val="20"/>
                <w:lang w:val="en-CA"/>
              </w:rPr>
              <w:t xml:space="preserve">Wally Stewart, John Anchan and </w:t>
            </w:r>
            <w:r w:rsidRPr="00392F0F">
              <w:rPr>
                <w:rStyle w:val="SCCLsocChar"/>
                <w:sz w:val="20"/>
                <w:szCs w:val="20"/>
                <w:lang w:val="en-CA"/>
              </w:rPr>
              <w:t xml:space="preserve"> University of Winnipeg</w:t>
            </w:r>
            <w:r w:rsidRPr="00392F0F">
              <w:rPr>
                <w:sz w:val="20"/>
                <w:szCs w:val="20"/>
              </w:rPr>
              <w:t xml:space="preserve"> (Man.) (Civil) (By Leave)</w:t>
            </w:r>
          </w:p>
          <w:p w:rsidR="00C958BC" w:rsidRPr="00392F0F" w:rsidRDefault="00C958BC" w:rsidP="006205C5">
            <w:pPr>
              <w:jc w:val="both"/>
              <w:rPr>
                <w:sz w:val="20"/>
                <w:szCs w:val="20"/>
              </w:rPr>
            </w:pPr>
          </w:p>
        </w:tc>
      </w:tr>
      <w:tr w:rsidR="00C958BC" w:rsidRPr="00392F0F" w:rsidTr="006205C5">
        <w:trPr>
          <w:cantSplit/>
        </w:trPr>
        <w:tc>
          <w:tcPr>
            <w:tcW w:w="1458" w:type="dxa"/>
          </w:tcPr>
          <w:p w:rsidR="00C958BC" w:rsidRPr="00392F0F" w:rsidRDefault="00C958BC" w:rsidP="006205C5">
            <w:pPr>
              <w:rPr>
                <w:sz w:val="20"/>
                <w:szCs w:val="20"/>
              </w:rPr>
            </w:pPr>
            <w:r w:rsidRPr="00392F0F">
              <w:rPr>
                <w:sz w:val="20"/>
                <w:szCs w:val="20"/>
              </w:rPr>
              <w:t>Coram :</w:t>
            </w:r>
          </w:p>
        </w:tc>
        <w:tc>
          <w:tcPr>
            <w:tcW w:w="8118" w:type="dxa"/>
          </w:tcPr>
          <w:p w:rsidR="00C958BC" w:rsidRPr="00392F0F" w:rsidRDefault="00C958BC" w:rsidP="006205C5">
            <w:pPr>
              <w:rPr>
                <w:sz w:val="20"/>
                <w:szCs w:val="20"/>
              </w:rPr>
            </w:pPr>
            <w:r w:rsidRPr="00392F0F">
              <w:rPr>
                <w:rStyle w:val="SCCCoramChar"/>
                <w:sz w:val="20"/>
                <w:szCs w:val="20"/>
                <w:lang w:val="en-CA"/>
              </w:rPr>
              <w:t>Rothstein, Cromwell and Moldaver JJ.</w:t>
            </w:r>
          </w:p>
          <w:p w:rsidR="00C958BC" w:rsidRPr="00392F0F" w:rsidRDefault="00C958BC" w:rsidP="006205C5">
            <w:pPr>
              <w:rPr>
                <w:sz w:val="20"/>
                <w:szCs w:val="20"/>
                <w:u w:val="single"/>
              </w:rPr>
            </w:pPr>
          </w:p>
        </w:tc>
      </w:tr>
      <w:tr w:rsidR="00C958BC" w:rsidRPr="00A12C1D" w:rsidTr="006205C5">
        <w:trPr>
          <w:cantSplit/>
        </w:trPr>
        <w:tc>
          <w:tcPr>
            <w:tcW w:w="9576" w:type="dxa"/>
            <w:gridSpan w:val="2"/>
          </w:tcPr>
          <w:p w:rsidR="00C958BC" w:rsidRPr="00392F0F" w:rsidRDefault="00C958BC" w:rsidP="006205C5">
            <w:pPr>
              <w:pStyle w:val="SCCShortJudgment"/>
              <w:rPr>
                <w:szCs w:val="20"/>
              </w:rPr>
            </w:pPr>
            <w:r w:rsidRPr="00392F0F">
              <w:rPr>
                <w:szCs w:val="20"/>
              </w:rPr>
              <w:t>The application for leave to appeal from the judgment of the Court of Appeal of Manitoba, Number AI14-30-08236, 2015 MBCA 8, dated January 14, 2015, is dismissed with costs to the respondents Hiep Tram and Arlene Skull.</w:t>
            </w:r>
          </w:p>
          <w:p w:rsidR="00C958BC" w:rsidRPr="00392F0F" w:rsidRDefault="00C958BC" w:rsidP="006205C5">
            <w:pPr>
              <w:pStyle w:val="SCCShortJudgment"/>
              <w:ind w:firstLine="0"/>
              <w:rPr>
                <w:szCs w:val="20"/>
              </w:rPr>
            </w:pPr>
          </w:p>
          <w:p w:rsidR="00C958BC" w:rsidRPr="00392F0F" w:rsidRDefault="00C958BC" w:rsidP="006205C5">
            <w:pPr>
              <w:pStyle w:val="SCCShortJudgment"/>
              <w:rPr>
                <w:szCs w:val="20"/>
                <w:lang w:val="fr-CA"/>
              </w:rPr>
            </w:pPr>
            <w:r w:rsidRPr="00392F0F">
              <w:rPr>
                <w:szCs w:val="20"/>
                <w:lang w:val="fr-CA"/>
              </w:rPr>
              <w:t>La demande d’autorisation d’appel de l’arrêt de la Cour d’appel du Manitoba, numéro AI14-30-08236, 2015 MBCA 8, daté du 14 janvier 2015, est rejetée avec dépens aux intimés Hiep Tram et Arlene Skull.</w:t>
            </w:r>
          </w:p>
        </w:tc>
      </w:tr>
    </w:tbl>
    <w:p w:rsidR="00E112BD" w:rsidRPr="00C958BC" w:rsidRDefault="00E112BD" w:rsidP="00E112BD">
      <w:pPr>
        <w:rPr>
          <w:sz w:val="20"/>
          <w:szCs w:val="20"/>
          <w:lang w:val="fr-CA"/>
        </w:rPr>
      </w:pPr>
    </w:p>
    <w:p w:rsidR="00E112BD" w:rsidRPr="001B157C" w:rsidRDefault="00E112BD" w:rsidP="00E112BD">
      <w:pPr>
        <w:rPr>
          <w:sz w:val="20"/>
          <w:szCs w:val="20"/>
          <w:u w:val="single"/>
        </w:rPr>
      </w:pPr>
      <w:r w:rsidRPr="001B157C">
        <w:rPr>
          <w:sz w:val="20"/>
          <w:szCs w:val="20"/>
          <w:u w:val="single"/>
        </w:rPr>
        <w:t>CASE SUMMARY</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C032C5" w:rsidRPr="00BD251B" w:rsidTr="00D27959">
        <w:tc>
          <w:tcPr>
            <w:tcW w:w="5000" w:type="pct"/>
            <w:gridSpan w:val="3"/>
          </w:tcPr>
          <w:p w:rsidR="00C032C5" w:rsidRPr="00BD251B" w:rsidRDefault="00C032C5" w:rsidP="00D27959">
            <w:pPr>
              <w:jc w:val="both"/>
              <w:rPr>
                <w:sz w:val="20"/>
              </w:rPr>
            </w:pPr>
            <w:r w:rsidRPr="00BD251B">
              <w:rPr>
                <w:sz w:val="20"/>
              </w:rPr>
              <w:t>Civil Procedure – Summary judgment – Whether the Manitoba Courts erred in finding the respondents had met their first-stage onus – Whether the Manitoba Courts erred when they refused to allow the applicant to argue his second-stage onus based on the allegations in his pleadings – Whether the Manitoba Courts erred when they held the applicant to the wrong standard for meeting his second-stage onus – Whether the Manitoba Courts erred when they failed to apply the full appreciation test before weighing the evidence and making findings of credibility.</w:t>
            </w:r>
          </w:p>
        </w:tc>
      </w:tr>
      <w:tr w:rsidR="00C032C5" w:rsidRPr="00BD251B" w:rsidTr="00D27959">
        <w:tc>
          <w:tcPr>
            <w:tcW w:w="5000" w:type="pct"/>
            <w:gridSpan w:val="3"/>
          </w:tcPr>
          <w:p w:rsidR="00C032C5" w:rsidRPr="00BD251B" w:rsidRDefault="00C032C5" w:rsidP="00D27959">
            <w:pPr>
              <w:jc w:val="both"/>
              <w:rPr>
                <w:sz w:val="20"/>
              </w:rPr>
            </w:pPr>
          </w:p>
        </w:tc>
      </w:tr>
      <w:tr w:rsidR="00C032C5" w:rsidRPr="00BD251B" w:rsidTr="00D27959">
        <w:tc>
          <w:tcPr>
            <w:tcW w:w="5000" w:type="pct"/>
            <w:gridSpan w:val="3"/>
          </w:tcPr>
          <w:p w:rsidR="00C032C5" w:rsidRPr="00BD251B" w:rsidRDefault="00C032C5" w:rsidP="00D27959">
            <w:pPr>
              <w:jc w:val="both"/>
              <w:rPr>
                <w:sz w:val="20"/>
              </w:rPr>
            </w:pPr>
            <w:r w:rsidRPr="00BD251B">
              <w:rPr>
                <w:sz w:val="20"/>
              </w:rPr>
              <w:t xml:space="preserve">In November 2011, the applicant, Martin Green, was removed from his student teacher practicum at Gordon Bell High School in Winnipeg.  The respondent, Hiep Tram, was a Gordon Bell High School teacher who supervised Mr. Green for one course and the respondent, Arlene Skull, was the principal.  Subsequently, for his conduct as a student teacher and other reasons, Mr. Green was suspended from his studies at the University of Winnipeg teacher certification program.  He blames the respondents for this, claiming they conspired together to injure him by depriving him of his opportunity to become a certified teacher.  He further alleges that Mr. Tram and Ms. Skull defamed him.  </w:t>
            </w:r>
          </w:p>
          <w:p w:rsidR="00C032C5" w:rsidRPr="00BD251B" w:rsidRDefault="00C032C5" w:rsidP="00D27959">
            <w:pPr>
              <w:jc w:val="both"/>
              <w:rPr>
                <w:sz w:val="20"/>
              </w:rPr>
            </w:pPr>
          </w:p>
          <w:p w:rsidR="00C032C5" w:rsidRDefault="00C032C5" w:rsidP="00D27959">
            <w:pPr>
              <w:jc w:val="both"/>
              <w:rPr>
                <w:sz w:val="20"/>
              </w:rPr>
            </w:pPr>
            <w:r w:rsidRPr="00BD251B">
              <w:rPr>
                <w:sz w:val="20"/>
              </w:rPr>
              <w:t>A Master of the Manitoba Court of Queen’s Bench granted the respondents’ (Tram and Skull) motion for summary judgment and dismissed the action.  A judge of the Court of Queen’s Bench dismissed the applicant’s appeal and dismissed the action.  The Court of Appeal dismissed the applicant’s appeal.</w:t>
            </w:r>
          </w:p>
          <w:p w:rsidR="00BE04F7" w:rsidRPr="00BD251B" w:rsidRDefault="00BE04F7" w:rsidP="00D27959">
            <w:pPr>
              <w:jc w:val="both"/>
              <w:rPr>
                <w:sz w:val="20"/>
              </w:rPr>
            </w:pPr>
          </w:p>
        </w:tc>
      </w:tr>
      <w:tr w:rsidR="00C032C5" w:rsidRPr="00BD251B" w:rsidTr="00BE04F7">
        <w:tblPrEx>
          <w:tblCellMar>
            <w:bottom w:w="0" w:type="dxa"/>
          </w:tblCellMar>
        </w:tblPrEx>
        <w:trPr>
          <w:cantSplit/>
        </w:trPr>
        <w:tc>
          <w:tcPr>
            <w:tcW w:w="2390" w:type="pct"/>
          </w:tcPr>
          <w:p w:rsidR="00C032C5" w:rsidRPr="00BD251B" w:rsidRDefault="00C032C5" w:rsidP="00D27959">
            <w:pPr>
              <w:jc w:val="both"/>
              <w:rPr>
                <w:sz w:val="20"/>
              </w:rPr>
            </w:pPr>
            <w:r w:rsidRPr="00BD251B">
              <w:rPr>
                <w:sz w:val="20"/>
              </w:rPr>
              <w:lastRenderedPageBreak/>
              <w:t>January 29, 2014</w:t>
            </w:r>
          </w:p>
          <w:p w:rsidR="00C032C5" w:rsidRPr="00BD251B" w:rsidRDefault="00C032C5" w:rsidP="00D27959">
            <w:pPr>
              <w:jc w:val="both"/>
              <w:rPr>
                <w:sz w:val="20"/>
              </w:rPr>
            </w:pPr>
            <w:r w:rsidRPr="00BD251B">
              <w:rPr>
                <w:sz w:val="20"/>
              </w:rPr>
              <w:t>Court of Queen’s Bench of Manitoba</w:t>
            </w:r>
          </w:p>
          <w:p w:rsidR="00C032C5" w:rsidRPr="00BD251B" w:rsidRDefault="00C032C5" w:rsidP="00D27959">
            <w:pPr>
              <w:jc w:val="both"/>
              <w:rPr>
                <w:sz w:val="20"/>
              </w:rPr>
            </w:pPr>
            <w:r w:rsidRPr="00BD251B">
              <w:rPr>
                <w:sz w:val="20"/>
              </w:rPr>
              <w:t>(Berthaudin, Master)</w:t>
            </w:r>
          </w:p>
          <w:p w:rsidR="00C032C5" w:rsidRPr="00BD251B" w:rsidRDefault="00C032C5" w:rsidP="00D27959">
            <w:pPr>
              <w:jc w:val="both"/>
              <w:rPr>
                <w:sz w:val="20"/>
              </w:rPr>
            </w:pPr>
            <w:r w:rsidRPr="00BD251B">
              <w:rPr>
                <w:sz w:val="20"/>
              </w:rPr>
              <w:t>Neutral citation: N/A</w:t>
            </w:r>
          </w:p>
          <w:p w:rsidR="00C032C5" w:rsidRPr="00BD251B" w:rsidRDefault="00C032C5" w:rsidP="00D27959">
            <w:pPr>
              <w:jc w:val="both"/>
              <w:rPr>
                <w:sz w:val="20"/>
              </w:rPr>
            </w:pPr>
          </w:p>
        </w:tc>
        <w:tc>
          <w:tcPr>
            <w:tcW w:w="270" w:type="pct"/>
          </w:tcPr>
          <w:p w:rsidR="00C032C5" w:rsidRPr="00BD251B" w:rsidRDefault="00C032C5" w:rsidP="00D27959">
            <w:pPr>
              <w:jc w:val="both"/>
              <w:rPr>
                <w:sz w:val="20"/>
              </w:rPr>
            </w:pPr>
          </w:p>
        </w:tc>
        <w:tc>
          <w:tcPr>
            <w:tcW w:w="2340" w:type="pct"/>
          </w:tcPr>
          <w:p w:rsidR="00C032C5" w:rsidRPr="00BD251B" w:rsidRDefault="00C032C5" w:rsidP="00D27959">
            <w:pPr>
              <w:jc w:val="both"/>
              <w:rPr>
                <w:sz w:val="20"/>
              </w:rPr>
            </w:pPr>
            <w:r w:rsidRPr="00BD251B">
              <w:rPr>
                <w:sz w:val="20"/>
              </w:rPr>
              <w:t>Respondents’ (Tram and Skull) motion for summary judgment dismissing the applicant’s claim, granted.</w:t>
            </w:r>
          </w:p>
          <w:p w:rsidR="00C032C5" w:rsidRPr="00BD251B" w:rsidRDefault="00C032C5" w:rsidP="00D27959">
            <w:pPr>
              <w:jc w:val="both"/>
              <w:rPr>
                <w:sz w:val="20"/>
              </w:rPr>
            </w:pPr>
          </w:p>
        </w:tc>
      </w:tr>
      <w:tr w:rsidR="00C032C5" w:rsidRPr="00BD251B" w:rsidTr="00BE04F7">
        <w:tblPrEx>
          <w:tblCellMar>
            <w:bottom w:w="0" w:type="dxa"/>
          </w:tblCellMar>
        </w:tblPrEx>
        <w:trPr>
          <w:cantSplit/>
        </w:trPr>
        <w:tc>
          <w:tcPr>
            <w:tcW w:w="2390" w:type="pct"/>
          </w:tcPr>
          <w:p w:rsidR="00C032C5" w:rsidRPr="00BD251B" w:rsidRDefault="00C032C5" w:rsidP="00D27959">
            <w:pPr>
              <w:jc w:val="both"/>
              <w:rPr>
                <w:sz w:val="20"/>
              </w:rPr>
            </w:pPr>
            <w:r w:rsidRPr="00BD251B">
              <w:rPr>
                <w:sz w:val="20"/>
              </w:rPr>
              <w:t>June 11, 2014</w:t>
            </w:r>
          </w:p>
          <w:p w:rsidR="00C032C5" w:rsidRPr="00BD251B" w:rsidRDefault="00C032C5" w:rsidP="00D27959">
            <w:pPr>
              <w:jc w:val="both"/>
              <w:rPr>
                <w:sz w:val="20"/>
              </w:rPr>
            </w:pPr>
            <w:r w:rsidRPr="00BD251B">
              <w:rPr>
                <w:sz w:val="20"/>
              </w:rPr>
              <w:t>Court of Queen’s Bench of Manitoba</w:t>
            </w:r>
          </w:p>
          <w:p w:rsidR="00C032C5" w:rsidRPr="00BD251B" w:rsidRDefault="00C032C5" w:rsidP="00D27959">
            <w:pPr>
              <w:jc w:val="both"/>
              <w:rPr>
                <w:sz w:val="20"/>
              </w:rPr>
            </w:pPr>
            <w:r w:rsidRPr="00BD251B">
              <w:rPr>
                <w:sz w:val="20"/>
              </w:rPr>
              <w:t>(Martin J.)</w:t>
            </w:r>
          </w:p>
          <w:p w:rsidR="00C032C5" w:rsidRPr="00BD251B" w:rsidRDefault="00C032C5" w:rsidP="00D27959">
            <w:pPr>
              <w:jc w:val="both"/>
              <w:rPr>
                <w:sz w:val="20"/>
              </w:rPr>
            </w:pPr>
            <w:r w:rsidRPr="00BD251B">
              <w:rPr>
                <w:sz w:val="20"/>
              </w:rPr>
              <w:t xml:space="preserve">Neutral citation: </w:t>
            </w:r>
            <w:hyperlink r:id="rId45" w:history="1">
              <w:r w:rsidRPr="00BD251B">
                <w:rPr>
                  <w:color w:val="0000FF" w:themeColor="hyperlink"/>
                  <w:sz w:val="20"/>
                  <w:u w:val="single"/>
                </w:rPr>
                <w:t>2014 MBQB 118</w:t>
              </w:r>
            </w:hyperlink>
          </w:p>
          <w:p w:rsidR="00C032C5" w:rsidRPr="00BD251B" w:rsidRDefault="00C032C5" w:rsidP="00D27959">
            <w:pPr>
              <w:jc w:val="both"/>
              <w:rPr>
                <w:sz w:val="20"/>
              </w:rPr>
            </w:pPr>
          </w:p>
        </w:tc>
        <w:tc>
          <w:tcPr>
            <w:tcW w:w="270" w:type="pct"/>
          </w:tcPr>
          <w:p w:rsidR="00C032C5" w:rsidRPr="00BD251B" w:rsidRDefault="00C032C5" w:rsidP="00D27959">
            <w:pPr>
              <w:jc w:val="both"/>
              <w:rPr>
                <w:sz w:val="20"/>
              </w:rPr>
            </w:pPr>
          </w:p>
        </w:tc>
        <w:tc>
          <w:tcPr>
            <w:tcW w:w="2340" w:type="pct"/>
          </w:tcPr>
          <w:p w:rsidR="00C032C5" w:rsidRPr="00BD251B" w:rsidRDefault="00C032C5" w:rsidP="00D27959">
            <w:pPr>
              <w:jc w:val="both"/>
              <w:rPr>
                <w:sz w:val="20"/>
              </w:rPr>
            </w:pPr>
            <w:r w:rsidRPr="00BD251B">
              <w:rPr>
                <w:sz w:val="20"/>
              </w:rPr>
              <w:t>Applicant’s appeal from the Master’s order, dismissed; applicant’s claim, dismissed.</w:t>
            </w:r>
          </w:p>
          <w:p w:rsidR="00C032C5" w:rsidRPr="00BD251B" w:rsidRDefault="00C032C5" w:rsidP="00D27959">
            <w:pPr>
              <w:jc w:val="both"/>
              <w:rPr>
                <w:sz w:val="20"/>
              </w:rPr>
            </w:pPr>
          </w:p>
        </w:tc>
      </w:tr>
      <w:tr w:rsidR="00C032C5" w:rsidRPr="00BD251B" w:rsidTr="00BE04F7">
        <w:tblPrEx>
          <w:tblCellMar>
            <w:bottom w:w="0" w:type="dxa"/>
          </w:tblCellMar>
        </w:tblPrEx>
        <w:trPr>
          <w:cantSplit/>
        </w:trPr>
        <w:tc>
          <w:tcPr>
            <w:tcW w:w="2390" w:type="pct"/>
          </w:tcPr>
          <w:p w:rsidR="00C032C5" w:rsidRPr="00BD251B" w:rsidRDefault="00C032C5" w:rsidP="00D27959">
            <w:pPr>
              <w:jc w:val="both"/>
              <w:rPr>
                <w:sz w:val="20"/>
              </w:rPr>
            </w:pPr>
            <w:r w:rsidRPr="00BD251B">
              <w:rPr>
                <w:sz w:val="20"/>
              </w:rPr>
              <w:t>January 14, 2015</w:t>
            </w:r>
          </w:p>
          <w:p w:rsidR="00C032C5" w:rsidRPr="00BD251B" w:rsidRDefault="00C032C5" w:rsidP="00D27959">
            <w:pPr>
              <w:jc w:val="both"/>
              <w:rPr>
                <w:sz w:val="20"/>
              </w:rPr>
            </w:pPr>
            <w:r w:rsidRPr="00BD251B">
              <w:rPr>
                <w:sz w:val="20"/>
              </w:rPr>
              <w:t>Court of Appeal of Manitoba</w:t>
            </w:r>
          </w:p>
          <w:p w:rsidR="00C032C5" w:rsidRPr="00BD251B" w:rsidRDefault="00C032C5" w:rsidP="00D27959">
            <w:pPr>
              <w:jc w:val="both"/>
              <w:rPr>
                <w:sz w:val="20"/>
                <w:lang w:val="fr-CA"/>
              </w:rPr>
            </w:pPr>
            <w:r w:rsidRPr="00BD251B">
              <w:rPr>
                <w:sz w:val="20"/>
                <w:lang w:val="fr-CA"/>
              </w:rPr>
              <w:t>(MacInnes, Monnin and Mainella JJ.A.)</w:t>
            </w:r>
          </w:p>
          <w:p w:rsidR="00C032C5" w:rsidRPr="00BD251B" w:rsidRDefault="00C032C5" w:rsidP="00D27959">
            <w:pPr>
              <w:jc w:val="both"/>
              <w:rPr>
                <w:sz w:val="20"/>
              </w:rPr>
            </w:pPr>
            <w:r w:rsidRPr="00BD251B">
              <w:rPr>
                <w:sz w:val="20"/>
              </w:rPr>
              <w:t xml:space="preserve">Neutral citation: </w:t>
            </w:r>
            <w:hyperlink r:id="rId46" w:history="1">
              <w:r w:rsidRPr="00BD251B">
                <w:rPr>
                  <w:color w:val="0000FF" w:themeColor="hyperlink"/>
                  <w:sz w:val="20"/>
                  <w:u w:val="single"/>
                </w:rPr>
                <w:t>2015 MBCA 8</w:t>
              </w:r>
            </w:hyperlink>
          </w:p>
          <w:p w:rsidR="00C032C5" w:rsidRPr="00BD251B" w:rsidRDefault="00C032C5" w:rsidP="00D27959">
            <w:pPr>
              <w:jc w:val="both"/>
              <w:rPr>
                <w:sz w:val="20"/>
              </w:rPr>
            </w:pPr>
          </w:p>
        </w:tc>
        <w:tc>
          <w:tcPr>
            <w:tcW w:w="270" w:type="pct"/>
          </w:tcPr>
          <w:p w:rsidR="00C032C5" w:rsidRPr="00BD251B" w:rsidRDefault="00C032C5" w:rsidP="00D27959">
            <w:pPr>
              <w:jc w:val="both"/>
              <w:rPr>
                <w:sz w:val="20"/>
              </w:rPr>
            </w:pPr>
          </w:p>
        </w:tc>
        <w:tc>
          <w:tcPr>
            <w:tcW w:w="2340" w:type="pct"/>
          </w:tcPr>
          <w:p w:rsidR="00C032C5" w:rsidRPr="00BD251B" w:rsidRDefault="00C032C5" w:rsidP="00D27959">
            <w:pPr>
              <w:jc w:val="both"/>
              <w:rPr>
                <w:sz w:val="20"/>
              </w:rPr>
            </w:pPr>
            <w:r w:rsidRPr="00BD251B">
              <w:rPr>
                <w:sz w:val="20"/>
              </w:rPr>
              <w:t>Applicant’s appeal, dismissed.</w:t>
            </w:r>
          </w:p>
          <w:p w:rsidR="00C032C5" w:rsidRPr="00BD251B" w:rsidRDefault="00C032C5" w:rsidP="00D27959">
            <w:pPr>
              <w:jc w:val="both"/>
              <w:rPr>
                <w:sz w:val="20"/>
              </w:rPr>
            </w:pPr>
          </w:p>
        </w:tc>
      </w:tr>
      <w:tr w:rsidR="00C032C5" w:rsidRPr="00BD251B" w:rsidTr="00BE04F7">
        <w:tblPrEx>
          <w:tblCellMar>
            <w:bottom w:w="0" w:type="dxa"/>
          </w:tblCellMar>
        </w:tblPrEx>
        <w:trPr>
          <w:cantSplit/>
        </w:trPr>
        <w:tc>
          <w:tcPr>
            <w:tcW w:w="2390" w:type="pct"/>
          </w:tcPr>
          <w:p w:rsidR="00C032C5" w:rsidRPr="00BD251B" w:rsidRDefault="00C032C5" w:rsidP="00D27959">
            <w:pPr>
              <w:jc w:val="both"/>
              <w:rPr>
                <w:sz w:val="20"/>
              </w:rPr>
            </w:pPr>
            <w:r w:rsidRPr="00BD251B">
              <w:rPr>
                <w:sz w:val="20"/>
              </w:rPr>
              <w:t>March 10, 2015</w:t>
            </w:r>
          </w:p>
          <w:p w:rsidR="00C032C5" w:rsidRPr="00BD251B" w:rsidRDefault="00C032C5" w:rsidP="00D27959">
            <w:pPr>
              <w:jc w:val="both"/>
              <w:rPr>
                <w:sz w:val="20"/>
              </w:rPr>
            </w:pPr>
            <w:r w:rsidRPr="00BD251B">
              <w:rPr>
                <w:sz w:val="20"/>
              </w:rPr>
              <w:t>Supreme Court of Canada</w:t>
            </w:r>
          </w:p>
        </w:tc>
        <w:tc>
          <w:tcPr>
            <w:tcW w:w="270" w:type="pct"/>
          </w:tcPr>
          <w:p w:rsidR="00C032C5" w:rsidRPr="00BD251B" w:rsidRDefault="00C032C5" w:rsidP="00D27959">
            <w:pPr>
              <w:jc w:val="both"/>
              <w:rPr>
                <w:sz w:val="20"/>
              </w:rPr>
            </w:pPr>
          </w:p>
        </w:tc>
        <w:tc>
          <w:tcPr>
            <w:tcW w:w="2340" w:type="pct"/>
          </w:tcPr>
          <w:p w:rsidR="00C032C5" w:rsidRPr="00BD251B" w:rsidRDefault="00C032C5" w:rsidP="00D27959">
            <w:pPr>
              <w:jc w:val="both"/>
              <w:rPr>
                <w:sz w:val="20"/>
              </w:rPr>
            </w:pPr>
            <w:r w:rsidRPr="00BD251B">
              <w:rPr>
                <w:sz w:val="20"/>
              </w:rPr>
              <w:t>Application for leave to appeal, filed.</w:t>
            </w:r>
          </w:p>
          <w:p w:rsidR="00C032C5" w:rsidRPr="00BD251B" w:rsidRDefault="00C032C5" w:rsidP="00D27959">
            <w:pPr>
              <w:jc w:val="both"/>
              <w:rPr>
                <w:sz w:val="20"/>
              </w:rPr>
            </w:pPr>
          </w:p>
        </w:tc>
      </w:tr>
    </w:tbl>
    <w:p w:rsidR="00E112BD" w:rsidRPr="00C032C5" w:rsidRDefault="00E112BD" w:rsidP="00E112BD">
      <w:pPr>
        <w:rPr>
          <w:sz w:val="20"/>
          <w:szCs w:val="20"/>
        </w:rPr>
      </w:pPr>
    </w:p>
    <w:p w:rsidR="00E112BD" w:rsidRPr="00C50A5C" w:rsidRDefault="005B7E98" w:rsidP="00E112BD">
      <w:pPr>
        <w:rPr>
          <w:sz w:val="20"/>
          <w:szCs w:val="20"/>
        </w:rPr>
      </w:pPr>
      <w:r>
        <w:rPr>
          <w:sz w:val="20"/>
          <w:szCs w:val="20"/>
          <w:lang w:val="fr-CA"/>
        </w:rPr>
        <w:pict>
          <v:rect id="_x0000_i1058" style="width:2in;height:1pt" o:hrpct="0" o:hralign="center" o:hrstd="t" o:hrnoshade="t" o:hr="t" fillcolor="black [3213]" stroked="f"/>
        </w:pict>
      </w:r>
    </w:p>
    <w:p w:rsidR="00E112BD" w:rsidRDefault="00E112BD" w:rsidP="00E112BD">
      <w:pPr>
        <w:rPr>
          <w:sz w:val="20"/>
          <w:szCs w:val="20"/>
        </w:rPr>
      </w:pPr>
    </w:p>
    <w:p w:rsidR="00E112BD" w:rsidRPr="001B157C" w:rsidRDefault="00E112BD" w:rsidP="00E112BD">
      <w:pPr>
        <w:rPr>
          <w:sz w:val="20"/>
          <w:szCs w:val="20"/>
          <w:u w:val="single"/>
          <w:lang w:val="fr-CA"/>
        </w:rPr>
      </w:pPr>
      <w:r w:rsidRPr="001B157C">
        <w:rPr>
          <w:sz w:val="20"/>
          <w:szCs w:val="20"/>
          <w:u w:val="single"/>
          <w:lang w:val="fr-CA"/>
        </w:rPr>
        <w:t>RÉSUMÉ DE L’AFFAIRE</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C032C5" w:rsidRPr="00A12C1D" w:rsidTr="00D27959">
        <w:tc>
          <w:tcPr>
            <w:tcW w:w="5000" w:type="pct"/>
            <w:gridSpan w:val="3"/>
          </w:tcPr>
          <w:p w:rsidR="00C032C5" w:rsidRPr="00BD251B" w:rsidRDefault="00C032C5" w:rsidP="00D27959">
            <w:pPr>
              <w:jc w:val="both"/>
              <w:rPr>
                <w:sz w:val="20"/>
                <w:lang w:val="fr-CA"/>
              </w:rPr>
            </w:pPr>
            <w:r w:rsidRPr="00BD251B">
              <w:rPr>
                <w:sz w:val="20"/>
                <w:lang w:val="fr-CA"/>
              </w:rPr>
              <w:t>Procédure civile – Jugement sommaire – Les tribunaux du Manitoba ont-ils eu tort de conclure que les intimés s’étaient déchargés du fardeau qui leur était imposé à la première étape? – Les tribunaux du Manitoba ont-ils commis une erreur en refusant de permettre au demandeur de faire valoir des arguments pour se décharger du fardeau qui lui était imposé à la deuxième étape sur le fondement des allégations dans ses actes de procédure? – Les tribunaux du Manitoba ont-ils commis une erreur en obligeant le demandeur à satisfaire la mauvaise norme pour se décharger du fardeau qui lui était imposé à la deuxième étape? – Les tribunaux du Manitoba ont-ils commis une erreur en omettant d’appliquer le critère de la pleine appréciation avant d’évaluer la preuve et de tirer des conclusions relatives à la crédibilité?</w:t>
            </w:r>
          </w:p>
        </w:tc>
      </w:tr>
      <w:tr w:rsidR="00C032C5" w:rsidRPr="00A12C1D" w:rsidTr="00D27959">
        <w:tc>
          <w:tcPr>
            <w:tcW w:w="5000" w:type="pct"/>
            <w:gridSpan w:val="3"/>
          </w:tcPr>
          <w:p w:rsidR="00C032C5" w:rsidRPr="00BD251B" w:rsidRDefault="00C032C5" w:rsidP="00D27959">
            <w:pPr>
              <w:jc w:val="both"/>
              <w:rPr>
                <w:sz w:val="20"/>
                <w:lang w:val="fr-CA"/>
              </w:rPr>
            </w:pPr>
          </w:p>
        </w:tc>
      </w:tr>
      <w:tr w:rsidR="00C032C5" w:rsidRPr="00BD251B" w:rsidTr="00D27959">
        <w:tc>
          <w:tcPr>
            <w:tcW w:w="5000" w:type="pct"/>
            <w:gridSpan w:val="3"/>
          </w:tcPr>
          <w:p w:rsidR="00C032C5" w:rsidRPr="00BD251B" w:rsidRDefault="00C032C5" w:rsidP="00D27959">
            <w:pPr>
              <w:jc w:val="both"/>
              <w:rPr>
                <w:sz w:val="20"/>
                <w:lang w:val="fr-CA"/>
              </w:rPr>
            </w:pPr>
            <w:r w:rsidRPr="00BD251B">
              <w:rPr>
                <w:sz w:val="20"/>
                <w:lang w:val="fr-CA"/>
              </w:rPr>
              <w:t xml:space="preserve">En novembre 2011, le demandeur, Martin Green, a été renvoyé de son stage en enseignement à l’école secondaire Gordon Bell à Winnipeg.  L’intimé, Hiep Tram, un enseignant de l’école secondaire Gordon Bell, avait supervisé M. Green dans le cadre d’un cours et l’intimée Arlene Skull était la directrice de l’école.  Par la suite, en raison de sa conduite comme stagiaire et pour d’autres motifs, M. Green a été suspendu du programme de formation des maîtres de l’Université de Winnipeg.  Il blâme les intimés pour cette situation, alléguant qu’ils auraient comploté entre eux pour lui faire du tort en le privant de l’occasion de devenir enseignant breveté.  Il allègue en outre que M. Tram et Mme Skull l’auraient diffamé.  </w:t>
            </w:r>
          </w:p>
          <w:p w:rsidR="00C032C5" w:rsidRPr="00BD251B" w:rsidRDefault="00C032C5" w:rsidP="00D27959">
            <w:pPr>
              <w:jc w:val="both"/>
              <w:rPr>
                <w:sz w:val="20"/>
                <w:lang w:val="fr-CA"/>
              </w:rPr>
            </w:pPr>
          </w:p>
          <w:p w:rsidR="00C032C5" w:rsidRDefault="00C032C5" w:rsidP="00D27959">
            <w:pPr>
              <w:jc w:val="both"/>
              <w:rPr>
                <w:sz w:val="20"/>
                <w:lang w:val="fr-CA"/>
              </w:rPr>
            </w:pPr>
            <w:r w:rsidRPr="00BD251B">
              <w:rPr>
                <w:sz w:val="20"/>
                <w:lang w:val="fr-CA"/>
              </w:rPr>
              <w:t>Un conseiller-maître du Cour du Banc de la Reine du Manitoba a accueilli la motion en jugement sommaire des intimés (M. Tram et Mme Skull) et a rejeté l’action.  Un juge de la Cour du Banc de la Reine a rejeté l’appel du demandeur et rejeté l’action.  La Cour d’appel a rejeté l’appel du demandeur.</w:t>
            </w:r>
          </w:p>
          <w:p w:rsidR="00E25CEB" w:rsidRPr="00BD251B" w:rsidRDefault="00E25CEB" w:rsidP="00D27959">
            <w:pPr>
              <w:jc w:val="both"/>
              <w:rPr>
                <w:sz w:val="20"/>
                <w:lang w:val="fr-CA"/>
              </w:rPr>
            </w:pPr>
          </w:p>
        </w:tc>
      </w:tr>
      <w:tr w:rsidR="00C032C5" w:rsidRPr="00A12C1D" w:rsidTr="00D27959">
        <w:tblPrEx>
          <w:tblCellMar>
            <w:bottom w:w="0" w:type="dxa"/>
          </w:tblCellMar>
        </w:tblPrEx>
        <w:tc>
          <w:tcPr>
            <w:tcW w:w="2390" w:type="pct"/>
          </w:tcPr>
          <w:p w:rsidR="00C032C5" w:rsidRPr="00BD251B" w:rsidRDefault="00C032C5" w:rsidP="00D27959">
            <w:pPr>
              <w:jc w:val="both"/>
              <w:rPr>
                <w:sz w:val="20"/>
                <w:lang w:val="fr-CA"/>
              </w:rPr>
            </w:pPr>
            <w:r w:rsidRPr="00BD251B">
              <w:rPr>
                <w:sz w:val="20"/>
                <w:lang w:val="fr-CA"/>
              </w:rPr>
              <w:t>29 janvier 2014</w:t>
            </w:r>
          </w:p>
          <w:p w:rsidR="00C032C5" w:rsidRPr="00BD251B" w:rsidRDefault="00C032C5" w:rsidP="00D27959">
            <w:pPr>
              <w:jc w:val="both"/>
              <w:rPr>
                <w:sz w:val="20"/>
                <w:lang w:val="fr-CA"/>
              </w:rPr>
            </w:pPr>
            <w:r w:rsidRPr="00BD251B">
              <w:rPr>
                <w:sz w:val="20"/>
                <w:lang w:val="fr-CA"/>
              </w:rPr>
              <w:t>Cour du Banc de la Reine du Manitoba</w:t>
            </w:r>
          </w:p>
          <w:p w:rsidR="00C032C5" w:rsidRPr="00BD251B" w:rsidRDefault="00C032C5" w:rsidP="00D27959">
            <w:pPr>
              <w:jc w:val="both"/>
              <w:rPr>
                <w:sz w:val="20"/>
                <w:lang w:val="fr-CA"/>
              </w:rPr>
            </w:pPr>
            <w:r w:rsidRPr="00BD251B">
              <w:rPr>
                <w:sz w:val="20"/>
                <w:lang w:val="fr-CA"/>
              </w:rPr>
              <w:t>(Conseiller-maître Berthaudin)</w:t>
            </w:r>
          </w:p>
          <w:p w:rsidR="00C032C5" w:rsidRPr="00BD251B" w:rsidRDefault="00C032C5" w:rsidP="00D27959">
            <w:pPr>
              <w:jc w:val="both"/>
              <w:rPr>
                <w:sz w:val="20"/>
                <w:lang w:val="fr-CA"/>
              </w:rPr>
            </w:pPr>
            <w:r w:rsidRPr="00BD251B">
              <w:rPr>
                <w:sz w:val="20"/>
                <w:lang w:val="fr-CA"/>
              </w:rPr>
              <w:t>Référence neutre : s.o.</w:t>
            </w:r>
          </w:p>
          <w:p w:rsidR="00C032C5" w:rsidRPr="00BD251B" w:rsidRDefault="00C032C5" w:rsidP="00D27959">
            <w:pPr>
              <w:jc w:val="both"/>
              <w:rPr>
                <w:sz w:val="20"/>
                <w:lang w:val="fr-CA"/>
              </w:rPr>
            </w:pPr>
          </w:p>
        </w:tc>
        <w:tc>
          <w:tcPr>
            <w:tcW w:w="270" w:type="pct"/>
          </w:tcPr>
          <w:p w:rsidR="00C032C5" w:rsidRPr="00BD251B" w:rsidRDefault="00C032C5" w:rsidP="00D27959">
            <w:pPr>
              <w:jc w:val="both"/>
              <w:rPr>
                <w:sz w:val="20"/>
                <w:lang w:val="fr-CA"/>
              </w:rPr>
            </w:pPr>
          </w:p>
        </w:tc>
        <w:tc>
          <w:tcPr>
            <w:tcW w:w="2340" w:type="pct"/>
          </w:tcPr>
          <w:p w:rsidR="00C032C5" w:rsidRPr="00BD251B" w:rsidRDefault="00C032C5" w:rsidP="00D27959">
            <w:pPr>
              <w:jc w:val="both"/>
              <w:rPr>
                <w:sz w:val="20"/>
                <w:lang w:val="fr-CA"/>
              </w:rPr>
            </w:pPr>
            <w:r w:rsidRPr="00BD251B">
              <w:rPr>
                <w:sz w:val="20"/>
                <w:lang w:val="fr-CA"/>
              </w:rPr>
              <w:t>Décision accueillant la motion en jugement sommaire des intimés (M. Tram et Mme Skull) rejetant l’action du demandeur</w:t>
            </w:r>
          </w:p>
          <w:p w:rsidR="00C032C5" w:rsidRPr="00BD251B" w:rsidRDefault="00C032C5" w:rsidP="00D27959">
            <w:pPr>
              <w:jc w:val="both"/>
              <w:rPr>
                <w:sz w:val="20"/>
                <w:lang w:val="fr-CA"/>
              </w:rPr>
            </w:pPr>
          </w:p>
        </w:tc>
      </w:tr>
      <w:tr w:rsidR="00C032C5" w:rsidRPr="00A12C1D" w:rsidTr="00D27959">
        <w:tblPrEx>
          <w:tblCellMar>
            <w:bottom w:w="0" w:type="dxa"/>
          </w:tblCellMar>
        </w:tblPrEx>
        <w:tc>
          <w:tcPr>
            <w:tcW w:w="2390" w:type="pct"/>
          </w:tcPr>
          <w:p w:rsidR="00C032C5" w:rsidRPr="00BD251B" w:rsidRDefault="00C032C5" w:rsidP="00D27959">
            <w:pPr>
              <w:jc w:val="both"/>
              <w:rPr>
                <w:sz w:val="20"/>
                <w:lang w:val="fr-CA"/>
              </w:rPr>
            </w:pPr>
            <w:r w:rsidRPr="00BD251B">
              <w:rPr>
                <w:sz w:val="20"/>
                <w:lang w:val="fr-CA"/>
              </w:rPr>
              <w:t>11 juin 2014</w:t>
            </w:r>
          </w:p>
          <w:p w:rsidR="00C032C5" w:rsidRPr="00BD251B" w:rsidRDefault="00C032C5" w:rsidP="00D27959">
            <w:pPr>
              <w:jc w:val="both"/>
              <w:rPr>
                <w:sz w:val="20"/>
                <w:lang w:val="fr-CA"/>
              </w:rPr>
            </w:pPr>
            <w:r w:rsidRPr="00BD251B">
              <w:rPr>
                <w:sz w:val="20"/>
                <w:lang w:val="fr-CA"/>
              </w:rPr>
              <w:t>Cour du Banc de la Reine du Manitoba</w:t>
            </w:r>
          </w:p>
          <w:p w:rsidR="00C032C5" w:rsidRPr="00BD251B" w:rsidRDefault="00C032C5" w:rsidP="00D27959">
            <w:pPr>
              <w:jc w:val="both"/>
              <w:rPr>
                <w:sz w:val="20"/>
                <w:lang w:val="fr-CA"/>
              </w:rPr>
            </w:pPr>
            <w:r w:rsidRPr="00BD251B">
              <w:rPr>
                <w:sz w:val="20"/>
                <w:lang w:val="fr-CA"/>
              </w:rPr>
              <w:t>(Juge Martin)</w:t>
            </w:r>
          </w:p>
          <w:p w:rsidR="00C032C5" w:rsidRPr="00BD251B" w:rsidRDefault="00C032C5" w:rsidP="00D27959">
            <w:pPr>
              <w:jc w:val="both"/>
              <w:rPr>
                <w:sz w:val="20"/>
                <w:lang w:val="fr-CA"/>
              </w:rPr>
            </w:pPr>
            <w:r w:rsidRPr="00BD251B">
              <w:rPr>
                <w:sz w:val="20"/>
                <w:lang w:val="fr-CA"/>
              </w:rPr>
              <w:t xml:space="preserve">Référence neutre : </w:t>
            </w:r>
            <w:hyperlink r:id="rId47" w:history="1">
              <w:r w:rsidRPr="00BD251B">
                <w:rPr>
                  <w:color w:val="0000FF" w:themeColor="hyperlink"/>
                  <w:sz w:val="20"/>
                  <w:u w:val="single"/>
                  <w:lang w:val="fr-CA"/>
                </w:rPr>
                <w:t>2014 MBQB 118</w:t>
              </w:r>
            </w:hyperlink>
          </w:p>
          <w:p w:rsidR="00C032C5" w:rsidRPr="00BD251B" w:rsidRDefault="00C032C5" w:rsidP="00D27959">
            <w:pPr>
              <w:jc w:val="both"/>
              <w:rPr>
                <w:sz w:val="20"/>
                <w:lang w:val="fr-CA"/>
              </w:rPr>
            </w:pPr>
          </w:p>
        </w:tc>
        <w:tc>
          <w:tcPr>
            <w:tcW w:w="270" w:type="pct"/>
          </w:tcPr>
          <w:p w:rsidR="00C032C5" w:rsidRPr="00BD251B" w:rsidRDefault="00C032C5" w:rsidP="00D27959">
            <w:pPr>
              <w:jc w:val="both"/>
              <w:rPr>
                <w:sz w:val="20"/>
                <w:lang w:val="fr-CA"/>
              </w:rPr>
            </w:pPr>
          </w:p>
        </w:tc>
        <w:tc>
          <w:tcPr>
            <w:tcW w:w="2340" w:type="pct"/>
          </w:tcPr>
          <w:p w:rsidR="00C032C5" w:rsidRPr="00BD251B" w:rsidRDefault="00C032C5" w:rsidP="00D27959">
            <w:pPr>
              <w:jc w:val="both"/>
              <w:rPr>
                <w:sz w:val="20"/>
                <w:lang w:val="fr-CA"/>
              </w:rPr>
            </w:pPr>
            <w:r w:rsidRPr="00BD251B">
              <w:rPr>
                <w:sz w:val="20"/>
                <w:lang w:val="fr-CA"/>
              </w:rPr>
              <w:t>Rejet de l’appel du demandeur de l’ordonnance du conseiller-maître; rejet de l’action du demandeur.</w:t>
            </w:r>
          </w:p>
          <w:p w:rsidR="00C032C5" w:rsidRPr="00BD251B" w:rsidRDefault="00C032C5" w:rsidP="00D27959">
            <w:pPr>
              <w:jc w:val="both"/>
              <w:rPr>
                <w:sz w:val="20"/>
                <w:lang w:val="fr-CA"/>
              </w:rPr>
            </w:pPr>
          </w:p>
        </w:tc>
      </w:tr>
      <w:tr w:rsidR="00C032C5" w:rsidRPr="00A12C1D" w:rsidTr="00E25CEB">
        <w:tblPrEx>
          <w:tblCellMar>
            <w:bottom w:w="0" w:type="dxa"/>
          </w:tblCellMar>
        </w:tblPrEx>
        <w:trPr>
          <w:cantSplit/>
        </w:trPr>
        <w:tc>
          <w:tcPr>
            <w:tcW w:w="2390" w:type="pct"/>
          </w:tcPr>
          <w:p w:rsidR="00C032C5" w:rsidRPr="00BD251B" w:rsidRDefault="00C032C5" w:rsidP="00D27959">
            <w:pPr>
              <w:jc w:val="both"/>
              <w:rPr>
                <w:sz w:val="20"/>
                <w:lang w:val="fr-CA"/>
              </w:rPr>
            </w:pPr>
            <w:r w:rsidRPr="00BD251B">
              <w:rPr>
                <w:sz w:val="20"/>
                <w:lang w:val="fr-CA"/>
              </w:rPr>
              <w:lastRenderedPageBreak/>
              <w:t>14 janvier 2015</w:t>
            </w:r>
          </w:p>
          <w:p w:rsidR="00C032C5" w:rsidRPr="00BD251B" w:rsidRDefault="00C032C5" w:rsidP="00D27959">
            <w:pPr>
              <w:jc w:val="both"/>
              <w:rPr>
                <w:sz w:val="20"/>
                <w:lang w:val="fr-CA"/>
              </w:rPr>
            </w:pPr>
            <w:r w:rsidRPr="00BD251B">
              <w:rPr>
                <w:sz w:val="20"/>
                <w:lang w:val="fr-CA"/>
              </w:rPr>
              <w:t>Cour d’appel du Manitoba</w:t>
            </w:r>
          </w:p>
          <w:p w:rsidR="00C032C5" w:rsidRPr="00BD251B" w:rsidRDefault="00C032C5" w:rsidP="00D27959">
            <w:pPr>
              <w:jc w:val="both"/>
              <w:rPr>
                <w:sz w:val="20"/>
                <w:lang w:val="fr-CA"/>
              </w:rPr>
            </w:pPr>
            <w:r w:rsidRPr="00BD251B">
              <w:rPr>
                <w:sz w:val="20"/>
                <w:lang w:val="fr-CA"/>
              </w:rPr>
              <w:t>(Juges MacInnes, Monnin et Mainella)</w:t>
            </w:r>
          </w:p>
          <w:p w:rsidR="00C032C5" w:rsidRPr="00BD251B" w:rsidRDefault="00C032C5" w:rsidP="00D27959">
            <w:pPr>
              <w:jc w:val="both"/>
              <w:rPr>
                <w:sz w:val="20"/>
                <w:lang w:val="fr-CA"/>
              </w:rPr>
            </w:pPr>
            <w:r w:rsidRPr="00BD251B">
              <w:rPr>
                <w:sz w:val="20"/>
                <w:lang w:val="fr-CA"/>
              </w:rPr>
              <w:t xml:space="preserve">Référence neutre : </w:t>
            </w:r>
            <w:hyperlink r:id="rId48" w:history="1">
              <w:r w:rsidRPr="00BD251B">
                <w:rPr>
                  <w:color w:val="0000FF" w:themeColor="hyperlink"/>
                  <w:sz w:val="20"/>
                  <w:u w:val="single"/>
                  <w:lang w:val="fr-CA"/>
                </w:rPr>
                <w:t>2015 MBCA 8</w:t>
              </w:r>
            </w:hyperlink>
          </w:p>
          <w:p w:rsidR="00C032C5" w:rsidRPr="00BD251B" w:rsidRDefault="00C032C5" w:rsidP="00D27959">
            <w:pPr>
              <w:jc w:val="both"/>
              <w:rPr>
                <w:sz w:val="20"/>
                <w:lang w:val="fr-CA"/>
              </w:rPr>
            </w:pPr>
          </w:p>
        </w:tc>
        <w:tc>
          <w:tcPr>
            <w:tcW w:w="270" w:type="pct"/>
          </w:tcPr>
          <w:p w:rsidR="00C032C5" w:rsidRPr="00BD251B" w:rsidRDefault="00C032C5" w:rsidP="00D27959">
            <w:pPr>
              <w:jc w:val="both"/>
              <w:rPr>
                <w:sz w:val="20"/>
                <w:lang w:val="fr-CA"/>
              </w:rPr>
            </w:pPr>
          </w:p>
        </w:tc>
        <w:tc>
          <w:tcPr>
            <w:tcW w:w="2340" w:type="pct"/>
          </w:tcPr>
          <w:p w:rsidR="00C032C5" w:rsidRPr="00BD251B" w:rsidRDefault="00C032C5" w:rsidP="00D27959">
            <w:pPr>
              <w:jc w:val="both"/>
              <w:rPr>
                <w:sz w:val="20"/>
                <w:lang w:val="fr-CA"/>
              </w:rPr>
            </w:pPr>
            <w:r w:rsidRPr="00BD251B">
              <w:rPr>
                <w:sz w:val="20"/>
                <w:lang w:val="fr-CA"/>
              </w:rPr>
              <w:t>Rejet de l’appel du demandeur.</w:t>
            </w:r>
          </w:p>
          <w:p w:rsidR="00C032C5" w:rsidRPr="00BD251B" w:rsidRDefault="00C032C5" w:rsidP="00D27959">
            <w:pPr>
              <w:jc w:val="both"/>
              <w:rPr>
                <w:sz w:val="20"/>
                <w:lang w:val="fr-CA"/>
              </w:rPr>
            </w:pPr>
          </w:p>
        </w:tc>
      </w:tr>
      <w:tr w:rsidR="00C032C5" w:rsidRPr="00A12C1D" w:rsidTr="00E25CEB">
        <w:tblPrEx>
          <w:tblCellMar>
            <w:bottom w:w="0" w:type="dxa"/>
          </w:tblCellMar>
        </w:tblPrEx>
        <w:trPr>
          <w:cantSplit/>
        </w:trPr>
        <w:tc>
          <w:tcPr>
            <w:tcW w:w="2390" w:type="pct"/>
          </w:tcPr>
          <w:p w:rsidR="00C032C5" w:rsidRPr="00BD251B" w:rsidRDefault="00C032C5" w:rsidP="00D27959">
            <w:pPr>
              <w:jc w:val="both"/>
              <w:rPr>
                <w:sz w:val="20"/>
                <w:lang w:val="fr-CA"/>
              </w:rPr>
            </w:pPr>
            <w:r w:rsidRPr="00BD251B">
              <w:rPr>
                <w:sz w:val="20"/>
                <w:lang w:val="fr-CA"/>
              </w:rPr>
              <w:t>10 mars 2015</w:t>
            </w:r>
          </w:p>
          <w:p w:rsidR="00C032C5" w:rsidRPr="00BD251B" w:rsidRDefault="00C032C5" w:rsidP="00D27959">
            <w:pPr>
              <w:jc w:val="both"/>
              <w:rPr>
                <w:sz w:val="20"/>
                <w:lang w:val="fr-CA"/>
              </w:rPr>
            </w:pPr>
            <w:r w:rsidRPr="00BD251B">
              <w:rPr>
                <w:sz w:val="20"/>
                <w:lang w:val="fr-CA"/>
              </w:rPr>
              <w:t>Cour suprême du Canada</w:t>
            </w:r>
          </w:p>
        </w:tc>
        <w:tc>
          <w:tcPr>
            <w:tcW w:w="270" w:type="pct"/>
          </w:tcPr>
          <w:p w:rsidR="00C032C5" w:rsidRPr="00BD251B" w:rsidRDefault="00C032C5" w:rsidP="00D27959">
            <w:pPr>
              <w:jc w:val="both"/>
              <w:rPr>
                <w:sz w:val="20"/>
                <w:lang w:val="fr-CA"/>
              </w:rPr>
            </w:pPr>
          </w:p>
        </w:tc>
        <w:tc>
          <w:tcPr>
            <w:tcW w:w="2340" w:type="pct"/>
          </w:tcPr>
          <w:p w:rsidR="00C032C5" w:rsidRPr="00BD251B" w:rsidRDefault="00C032C5" w:rsidP="00D27959">
            <w:pPr>
              <w:jc w:val="both"/>
              <w:rPr>
                <w:sz w:val="20"/>
                <w:lang w:val="fr-CA"/>
              </w:rPr>
            </w:pPr>
            <w:r w:rsidRPr="00BD251B">
              <w:rPr>
                <w:sz w:val="20"/>
                <w:lang w:val="fr-CA"/>
              </w:rPr>
              <w:t>Dépôt de la demande d’autorisation d’appel.</w:t>
            </w:r>
          </w:p>
          <w:p w:rsidR="00C032C5" w:rsidRPr="00BD251B" w:rsidRDefault="00C032C5" w:rsidP="00D27959">
            <w:pPr>
              <w:jc w:val="both"/>
              <w:rPr>
                <w:sz w:val="20"/>
                <w:lang w:val="fr-CA"/>
              </w:rPr>
            </w:pPr>
          </w:p>
        </w:tc>
      </w:tr>
    </w:tbl>
    <w:p w:rsidR="00E112BD" w:rsidRPr="00C032C5" w:rsidRDefault="00E112BD" w:rsidP="00E112BD">
      <w:pPr>
        <w:rPr>
          <w:sz w:val="20"/>
          <w:szCs w:val="20"/>
          <w:lang w:val="fr-CA"/>
        </w:rPr>
      </w:pPr>
    </w:p>
    <w:p w:rsidR="00E112BD" w:rsidRDefault="005B7E98" w:rsidP="00E112BD">
      <w:pPr>
        <w:rPr>
          <w:sz w:val="20"/>
          <w:szCs w:val="20"/>
        </w:rPr>
      </w:pPr>
      <w:r>
        <w:rPr>
          <w:sz w:val="20"/>
          <w:szCs w:val="20"/>
          <w:lang w:val="fr-CA"/>
        </w:rPr>
        <w:pict>
          <v:rect id="_x0000_i1059" style="width:2in;height:1pt" o:hrpct="0" o:hralign="center" o:hrstd="t" o:hrnoshade="t" o:hr="t" fillcolor="black [3213]" stroked="f"/>
        </w:pict>
      </w:r>
    </w:p>
    <w:p w:rsidR="00E112BD" w:rsidRDefault="00E112BD" w:rsidP="00E112B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958BC" w:rsidRPr="00392F0F" w:rsidTr="006205C5">
        <w:trPr>
          <w:cantSplit/>
        </w:trPr>
        <w:tc>
          <w:tcPr>
            <w:tcW w:w="1458" w:type="dxa"/>
          </w:tcPr>
          <w:p w:rsidR="00C958BC" w:rsidRPr="00392F0F" w:rsidRDefault="00C958BC" w:rsidP="006205C5">
            <w:pPr>
              <w:rPr>
                <w:sz w:val="20"/>
                <w:szCs w:val="20"/>
              </w:rPr>
            </w:pPr>
            <w:r w:rsidRPr="00392F0F">
              <w:rPr>
                <w:rStyle w:val="SCCFileNumberChar"/>
                <w:sz w:val="20"/>
                <w:szCs w:val="20"/>
              </w:rPr>
              <w:t>36358</w:t>
            </w:r>
          </w:p>
          <w:p w:rsidR="00C958BC" w:rsidRPr="00392F0F" w:rsidRDefault="00C958BC" w:rsidP="006205C5">
            <w:pPr>
              <w:rPr>
                <w:b/>
                <w:sz w:val="20"/>
                <w:szCs w:val="20"/>
                <w:lang w:val="fr-CA"/>
              </w:rPr>
            </w:pPr>
          </w:p>
        </w:tc>
        <w:tc>
          <w:tcPr>
            <w:tcW w:w="8118" w:type="dxa"/>
          </w:tcPr>
          <w:p w:rsidR="00C958BC" w:rsidRPr="00392F0F" w:rsidRDefault="00C958BC" w:rsidP="006205C5">
            <w:pPr>
              <w:rPr>
                <w:sz w:val="20"/>
                <w:szCs w:val="20"/>
              </w:rPr>
            </w:pPr>
            <w:r w:rsidRPr="00392F0F">
              <w:rPr>
                <w:rStyle w:val="SCCLsocChar"/>
                <w:sz w:val="20"/>
                <w:szCs w:val="20"/>
                <w:lang w:val="en-CA"/>
              </w:rPr>
              <w:t>T.M. v. Her Majesty the Queen</w:t>
            </w:r>
            <w:r w:rsidRPr="00392F0F">
              <w:rPr>
                <w:sz w:val="20"/>
                <w:szCs w:val="20"/>
              </w:rPr>
              <w:t xml:space="preserve"> (Ont.) (Criminal) (By Leave)</w:t>
            </w:r>
          </w:p>
          <w:p w:rsidR="00C958BC" w:rsidRPr="00392F0F" w:rsidRDefault="00C958BC" w:rsidP="006205C5">
            <w:pPr>
              <w:rPr>
                <w:sz w:val="20"/>
                <w:szCs w:val="20"/>
              </w:rPr>
            </w:pPr>
          </w:p>
        </w:tc>
      </w:tr>
      <w:tr w:rsidR="00C958BC" w:rsidRPr="00392F0F" w:rsidTr="006205C5">
        <w:trPr>
          <w:cantSplit/>
        </w:trPr>
        <w:tc>
          <w:tcPr>
            <w:tcW w:w="1458" w:type="dxa"/>
          </w:tcPr>
          <w:p w:rsidR="00C958BC" w:rsidRPr="00392F0F" w:rsidRDefault="00C958BC" w:rsidP="006205C5">
            <w:pPr>
              <w:rPr>
                <w:sz w:val="20"/>
                <w:szCs w:val="20"/>
              </w:rPr>
            </w:pPr>
            <w:r w:rsidRPr="00392F0F">
              <w:rPr>
                <w:sz w:val="20"/>
                <w:szCs w:val="20"/>
              </w:rPr>
              <w:t>Coram :</w:t>
            </w:r>
          </w:p>
        </w:tc>
        <w:tc>
          <w:tcPr>
            <w:tcW w:w="8118" w:type="dxa"/>
          </w:tcPr>
          <w:p w:rsidR="00C958BC" w:rsidRPr="00392F0F" w:rsidRDefault="00C958BC" w:rsidP="006205C5">
            <w:pPr>
              <w:rPr>
                <w:sz w:val="20"/>
                <w:szCs w:val="20"/>
              </w:rPr>
            </w:pPr>
            <w:r w:rsidRPr="00392F0F">
              <w:rPr>
                <w:rStyle w:val="SCCCoramChar"/>
                <w:sz w:val="20"/>
                <w:szCs w:val="20"/>
                <w:lang w:val="en-CA"/>
              </w:rPr>
              <w:t>Rothstein, Cromwell and Moldaver JJ.</w:t>
            </w:r>
          </w:p>
          <w:p w:rsidR="00C958BC" w:rsidRPr="00392F0F" w:rsidRDefault="00C958BC" w:rsidP="006205C5">
            <w:pPr>
              <w:rPr>
                <w:sz w:val="20"/>
                <w:szCs w:val="20"/>
                <w:u w:val="single"/>
              </w:rPr>
            </w:pPr>
          </w:p>
        </w:tc>
      </w:tr>
      <w:tr w:rsidR="00C958BC" w:rsidRPr="00A12C1D" w:rsidTr="006205C5">
        <w:trPr>
          <w:cantSplit/>
        </w:trPr>
        <w:tc>
          <w:tcPr>
            <w:tcW w:w="9576" w:type="dxa"/>
            <w:gridSpan w:val="2"/>
          </w:tcPr>
          <w:p w:rsidR="00C958BC" w:rsidRPr="00392F0F" w:rsidRDefault="00C958BC" w:rsidP="006205C5">
            <w:pPr>
              <w:pStyle w:val="SCCShortJudgment"/>
              <w:rPr>
                <w:szCs w:val="20"/>
              </w:rPr>
            </w:pPr>
            <w:r w:rsidRPr="00392F0F">
              <w:rPr>
                <w:szCs w:val="20"/>
              </w:rPr>
              <w:t>The motions for extensions of time to serve and file the application for leave to appeal and the reply are granted. The application for leave to appeal from the judgment of the Court of Appeal for Ontario, Number C55875, 2014 ONCA 854, dated December 1, 2014, is dismissed.</w:t>
            </w:r>
          </w:p>
          <w:p w:rsidR="00C958BC" w:rsidRPr="00392F0F" w:rsidRDefault="00C958BC" w:rsidP="006205C5">
            <w:pPr>
              <w:pStyle w:val="SCCShortJudgment"/>
              <w:ind w:firstLine="0"/>
              <w:rPr>
                <w:szCs w:val="20"/>
              </w:rPr>
            </w:pPr>
          </w:p>
          <w:p w:rsidR="00C958BC" w:rsidRPr="00392F0F" w:rsidRDefault="00C958BC" w:rsidP="006205C5">
            <w:pPr>
              <w:pStyle w:val="SCCShortJudgment"/>
              <w:rPr>
                <w:szCs w:val="20"/>
                <w:lang w:val="fr-CA"/>
              </w:rPr>
            </w:pPr>
            <w:r w:rsidRPr="00392F0F">
              <w:rPr>
                <w:szCs w:val="20"/>
                <w:lang w:val="fr-CA"/>
              </w:rPr>
              <w:t>Les requêtes en prorogation des délais de signification et de dépôt de la demande d’autorisation d’appel et de la réplique sont accueillies. La demande d’autorisation d’appel de l’arrêt de la Cour d’appel de l’Ontario, numéro C55875, 2014 ONCA 854, daté du 1 décembre 2014, est rejetée.</w:t>
            </w:r>
          </w:p>
        </w:tc>
      </w:tr>
    </w:tbl>
    <w:p w:rsidR="00E112BD" w:rsidRPr="00C958BC" w:rsidRDefault="00E112BD" w:rsidP="00E112BD">
      <w:pPr>
        <w:rPr>
          <w:sz w:val="20"/>
          <w:szCs w:val="20"/>
          <w:lang w:val="fr-CA"/>
        </w:rPr>
      </w:pPr>
    </w:p>
    <w:p w:rsidR="00E112BD" w:rsidRPr="001B157C" w:rsidRDefault="00E112BD" w:rsidP="00E112BD">
      <w:pPr>
        <w:rPr>
          <w:sz w:val="20"/>
          <w:szCs w:val="20"/>
          <w:u w:val="single"/>
        </w:rPr>
      </w:pPr>
      <w:r w:rsidRPr="001B157C">
        <w:rPr>
          <w:sz w:val="20"/>
          <w:szCs w:val="20"/>
          <w:u w:val="single"/>
        </w:rPr>
        <w:t>CASE SUMMARY</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32C5" w:rsidRPr="00BD251B" w:rsidTr="00D27959">
        <w:tc>
          <w:tcPr>
            <w:tcW w:w="5000" w:type="pct"/>
            <w:gridSpan w:val="3"/>
          </w:tcPr>
          <w:p w:rsidR="00C032C5" w:rsidRPr="00BD251B" w:rsidRDefault="00C032C5" w:rsidP="00D27959">
            <w:pPr>
              <w:jc w:val="both"/>
              <w:rPr>
                <w:smallCaps/>
                <w:sz w:val="20"/>
              </w:rPr>
            </w:pPr>
            <w:r>
              <w:rPr>
                <w:smallCaps/>
                <w:sz w:val="20"/>
              </w:rPr>
              <w:t>(Publication B</w:t>
            </w:r>
            <w:r w:rsidRPr="00BD251B">
              <w:rPr>
                <w:smallCaps/>
                <w:sz w:val="20"/>
              </w:rPr>
              <w:t xml:space="preserve">an in </w:t>
            </w:r>
            <w:r>
              <w:rPr>
                <w:smallCaps/>
                <w:sz w:val="20"/>
              </w:rPr>
              <w:t>C</w:t>
            </w:r>
            <w:r w:rsidRPr="00BD251B">
              <w:rPr>
                <w:smallCaps/>
                <w:sz w:val="20"/>
              </w:rPr>
              <w:t xml:space="preserve">ase) (Publication </w:t>
            </w:r>
            <w:r>
              <w:rPr>
                <w:smallCaps/>
                <w:sz w:val="20"/>
              </w:rPr>
              <w:t>B</w:t>
            </w:r>
            <w:r w:rsidRPr="00BD251B">
              <w:rPr>
                <w:smallCaps/>
                <w:sz w:val="20"/>
              </w:rPr>
              <w:t xml:space="preserve">an on </w:t>
            </w:r>
            <w:r>
              <w:rPr>
                <w:smallCaps/>
                <w:sz w:val="20"/>
              </w:rPr>
              <w:t>P</w:t>
            </w:r>
            <w:r w:rsidRPr="00BD251B">
              <w:rPr>
                <w:smallCaps/>
                <w:sz w:val="20"/>
              </w:rPr>
              <w:t>arty)</w:t>
            </w:r>
          </w:p>
          <w:p w:rsidR="00C032C5" w:rsidRPr="00BD251B" w:rsidRDefault="00C032C5" w:rsidP="00D27959">
            <w:pPr>
              <w:jc w:val="both"/>
              <w:rPr>
                <w:sz w:val="20"/>
              </w:rPr>
            </w:pPr>
          </w:p>
        </w:tc>
      </w:tr>
      <w:tr w:rsidR="00C032C5" w:rsidRPr="00BD251B" w:rsidTr="00D27959">
        <w:tc>
          <w:tcPr>
            <w:tcW w:w="5000" w:type="pct"/>
            <w:gridSpan w:val="3"/>
          </w:tcPr>
          <w:p w:rsidR="00C032C5" w:rsidRPr="00BD251B" w:rsidRDefault="00C032C5" w:rsidP="00D27959">
            <w:pPr>
              <w:jc w:val="both"/>
              <w:rPr>
                <w:sz w:val="20"/>
              </w:rPr>
            </w:pPr>
            <w:r w:rsidRPr="00BD251B">
              <w:rPr>
                <w:i/>
                <w:sz w:val="20"/>
              </w:rPr>
              <w:t>Charter of Rights</w:t>
            </w:r>
            <w:r w:rsidRPr="00BD251B">
              <w:rPr>
                <w:sz w:val="20"/>
              </w:rPr>
              <w:t xml:space="preserve"> – </w:t>
            </w:r>
            <w:r w:rsidRPr="00BD251B">
              <w:rPr>
                <w:i/>
                <w:sz w:val="20"/>
              </w:rPr>
              <w:t>Charter</w:t>
            </w:r>
            <w:r w:rsidRPr="00BD251B">
              <w:rPr>
                <w:sz w:val="20"/>
              </w:rPr>
              <w:t xml:space="preserve"> ss. 11(b), (c), (d), (e), (f), s. 12 and s. 15(1) – Criminal law – Evidence – Assessment of credibility of complainants and applicant – Whether the investigating officer violated the applicant’s s. 11(d) and s. 15 </w:t>
            </w:r>
            <w:r w:rsidRPr="00BD251B">
              <w:rPr>
                <w:i/>
                <w:sz w:val="20"/>
              </w:rPr>
              <w:t>Charter</w:t>
            </w:r>
            <w:r w:rsidRPr="00BD251B">
              <w:rPr>
                <w:sz w:val="20"/>
              </w:rPr>
              <w:t xml:space="preserve"> rights when he used the word “cult” on the warrant – Whether the violation of the applicant’s </w:t>
            </w:r>
            <w:r w:rsidRPr="00BD251B">
              <w:rPr>
                <w:i/>
                <w:sz w:val="20"/>
              </w:rPr>
              <w:t>Charter</w:t>
            </w:r>
            <w:r w:rsidRPr="00BD251B">
              <w:rPr>
                <w:sz w:val="20"/>
              </w:rPr>
              <w:t xml:space="preserve"> rights tainted the trial – Whether the applicant’s trial lawyer committed negligence and malfeasance thereby contributing to the violation of the applicant’s ss. 11(b), (c), (d), (e), (f), s. 12 and s. 15(1) </w:t>
            </w:r>
            <w:r w:rsidRPr="00BD251B">
              <w:rPr>
                <w:i/>
                <w:sz w:val="20"/>
              </w:rPr>
              <w:t xml:space="preserve">Charter </w:t>
            </w:r>
            <w:r w:rsidRPr="00BD251B">
              <w:rPr>
                <w:sz w:val="20"/>
              </w:rPr>
              <w:t xml:space="preserve">rights – Whether the trial judge committed a prejudicial error by making negative religious statements – Whether the applicant’s s. 15(1) </w:t>
            </w:r>
            <w:r w:rsidRPr="00BD251B">
              <w:rPr>
                <w:i/>
                <w:sz w:val="20"/>
              </w:rPr>
              <w:t xml:space="preserve">Charter </w:t>
            </w:r>
            <w:r w:rsidRPr="00BD251B">
              <w:rPr>
                <w:sz w:val="20"/>
              </w:rPr>
              <w:t xml:space="preserve">rights were violated – Whether a miscarriage of justice has occurred – ss. 11(b), (c), (d), (e), (f), s. 12 and s. 15(1) of the </w:t>
            </w:r>
            <w:r w:rsidRPr="00BD251B">
              <w:rPr>
                <w:i/>
                <w:sz w:val="20"/>
              </w:rPr>
              <w:t>Charter</w:t>
            </w:r>
            <w:r w:rsidRPr="00BD251B">
              <w:rPr>
                <w:sz w:val="20"/>
              </w:rPr>
              <w:t>.</w:t>
            </w:r>
          </w:p>
        </w:tc>
      </w:tr>
      <w:tr w:rsidR="00C032C5" w:rsidRPr="00BD251B" w:rsidTr="00D27959">
        <w:tc>
          <w:tcPr>
            <w:tcW w:w="5000" w:type="pct"/>
            <w:gridSpan w:val="3"/>
          </w:tcPr>
          <w:p w:rsidR="00C032C5" w:rsidRPr="00BD251B" w:rsidRDefault="00C032C5" w:rsidP="00D27959">
            <w:pPr>
              <w:jc w:val="both"/>
              <w:rPr>
                <w:sz w:val="20"/>
              </w:rPr>
            </w:pPr>
          </w:p>
          <w:p w:rsidR="00C032C5" w:rsidRPr="00BD251B" w:rsidRDefault="00C032C5" w:rsidP="00D27959">
            <w:pPr>
              <w:jc w:val="both"/>
              <w:rPr>
                <w:sz w:val="20"/>
              </w:rPr>
            </w:pPr>
            <w:r w:rsidRPr="00BD251B">
              <w:rPr>
                <w:sz w:val="20"/>
              </w:rPr>
              <w:t>The trial judge accepted the complainants’ evidence and gave reasons why he found each of them credible.  The trial judge concluded that he did not believe the applicant and that his evidence did not raise a reasonable doubt.  The applicant was convicted of sexual assault.  His conviction appeal was dismissed.</w:t>
            </w:r>
          </w:p>
          <w:p w:rsidR="00C032C5" w:rsidRPr="00BD251B" w:rsidRDefault="00C032C5" w:rsidP="00D27959">
            <w:pPr>
              <w:jc w:val="both"/>
              <w:rPr>
                <w:sz w:val="20"/>
              </w:rPr>
            </w:pPr>
          </w:p>
        </w:tc>
      </w:tr>
      <w:tr w:rsidR="00C032C5" w:rsidRPr="00BD251B" w:rsidTr="00D27959">
        <w:tc>
          <w:tcPr>
            <w:tcW w:w="2427" w:type="pct"/>
          </w:tcPr>
          <w:p w:rsidR="00C032C5" w:rsidRPr="00BD251B" w:rsidRDefault="00C032C5" w:rsidP="00D27959">
            <w:pPr>
              <w:jc w:val="both"/>
              <w:rPr>
                <w:sz w:val="20"/>
              </w:rPr>
            </w:pPr>
            <w:r w:rsidRPr="00BD251B">
              <w:rPr>
                <w:sz w:val="20"/>
              </w:rPr>
              <w:t>February 13, 2012</w:t>
            </w:r>
          </w:p>
          <w:p w:rsidR="00C032C5" w:rsidRPr="00BD251B" w:rsidRDefault="00C032C5" w:rsidP="00D27959">
            <w:pPr>
              <w:jc w:val="both"/>
              <w:rPr>
                <w:sz w:val="20"/>
              </w:rPr>
            </w:pPr>
            <w:r w:rsidRPr="00BD251B">
              <w:rPr>
                <w:sz w:val="20"/>
              </w:rPr>
              <w:t>Ontario Court of Justice</w:t>
            </w:r>
          </w:p>
          <w:p w:rsidR="00C032C5" w:rsidRPr="00BD251B" w:rsidRDefault="00C032C5" w:rsidP="00D27959">
            <w:pPr>
              <w:jc w:val="both"/>
              <w:rPr>
                <w:sz w:val="20"/>
              </w:rPr>
            </w:pPr>
            <w:r w:rsidRPr="00BD251B">
              <w:rPr>
                <w:sz w:val="20"/>
              </w:rPr>
              <w:t>(Lebel J.)</w:t>
            </w:r>
          </w:p>
          <w:p w:rsidR="00C032C5" w:rsidRPr="00BD251B" w:rsidRDefault="00C032C5" w:rsidP="00D27959">
            <w:pPr>
              <w:jc w:val="both"/>
              <w:rPr>
                <w:sz w:val="20"/>
              </w:rPr>
            </w:pPr>
          </w:p>
        </w:tc>
        <w:tc>
          <w:tcPr>
            <w:tcW w:w="243" w:type="pct"/>
          </w:tcPr>
          <w:p w:rsidR="00C032C5" w:rsidRPr="00BD251B" w:rsidRDefault="00C032C5" w:rsidP="00D27959">
            <w:pPr>
              <w:jc w:val="both"/>
              <w:rPr>
                <w:sz w:val="20"/>
              </w:rPr>
            </w:pPr>
          </w:p>
        </w:tc>
        <w:tc>
          <w:tcPr>
            <w:tcW w:w="2330" w:type="pct"/>
          </w:tcPr>
          <w:p w:rsidR="00C032C5" w:rsidRPr="00BD251B" w:rsidRDefault="00C032C5" w:rsidP="00D27959">
            <w:pPr>
              <w:jc w:val="both"/>
              <w:rPr>
                <w:sz w:val="20"/>
              </w:rPr>
            </w:pPr>
            <w:r w:rsidRPr="00BD251B">
              <w:rPr>
                <w:sz w:val="20"/>
              </w:rPr>
              <w:t>Conviction for six counts of sexual assault</w:t>
            </w:r>
          </w:p>
          <w:p w:rsidR="00C032C5" w:rsidRPr="00BD251B" w:rsidRDefault="00C032C5" w:rsidP="00D27959">
            <w:pPr>
              <w:jc w:val="both"/>
              <w:rPr>
                <w:sz w:val="20"/>
              </w:rPr>
            </w:pPr>
          </w:p>
        </w:tc>
      </w:tr>
      <w:tr w:rsidR="00C032C5" w:rsidRPr="00BD251B" w:rsidTr="00D27959">
        <w:tc>
          <w:tcPr>
            <w:tcW w:w="2427" w:type="pct"/>
          </w:tcPr>
          <w:p w:rsidR="00C032C5" w:rsidRPr="00BD251B" w:rsidRDefault="00C032C5" w:rsidP="00D27959">
            <w:pPr>
              <w:jc w:val="both"/>
              <w:rPr>
                <w:sz w:val="20"/>
              </w:rPr>
            </w:pPr>
            <w:r w:rsidRPr="00BD251B">
              <w:rPr>
                <w:sz w:val="20"/>
              </w:rPr>
              <w:t>December 1, 2014</w:t>
            </w:r>
          </w:p>
          <w:p w:rsidR="00C032C5" w:rsidRPr="00BD251B" w:rsidRDefault="00C032C5" w:rsidP="00D27959">
            <w:pPr>
              <w:jc w:val="both"/>
              <w:rPr>
                <w:sz w:val="20"/>
              </w:rPr>
            </w:pPr>
            <w:r w:rsidRPr="00BD251B">
              <w:rPr>
                <w:sz w:val="20"/>
              </w:rPr>
              <w:t>Court of Appeal for Ontario</w:t>
            </w:r>
          </w:p>
          <w:p w:rsidR="00C032C5" w:rsidRPr="00BD251B" w:rsidRDefault="00C032C5" w:rsidP="00D27959">
            <w:pPr>
              <w:jc w:val="both"/>
              <w:rPr>
                <w:sz w:val="20"/>
              </w:rPr>
            </w:pPr>
            <w:r w:rsidRPr="00BD251B">
              <w:rPr>
                <w:sz w:val="20"/>
              </w:rPr>
              <w:t>(Doherty, Laskin, Feldman JJ.A.)</w:t>
            </w:r>
          </w:p>
          <w:p w:rsidR="00C032C5" w:rsidRPr="00BD251B" w:rsidRDefault="00C032C5" w:rsidP="00D27959">
            <w:pPr>
              <w:jc w:val="both"/>
              <w:rPr>
                <w:sz w:val="20"/>
              </w:rPr>
            </w:pPr>
            <w:r w:rsidRPr="00BD251B">
              <w:rPr>
                <w:sz w:val="20"/>
              </w:rPr>
              <w:t>2014 ONCA 854, C55875</w:t>
            </w:r>
          </w:p>
          <w:p w:rsidR="00C032C5" w:rsidRPr="00BD251B" w:rsidRDefault="005B7E98" w:rsidP="00D27959">
            <w:pPr>
              <w:jc w:val="both"/>
              <w:rPr>
                <w:sz w:val="20"/>
              </w:rPr>
            </w:pPr>
            <w:hyperlink r:id="rId49" w:history="1">
              <w:r w:rsidR="00C032C5" w:rsidRPr="00BD251B">
                <w:rPr>
                  <w:color w:val="0000FF" w:themeColor="hyperlink"/>
                  <w:sz w:val="20"/>
                  <w:u w:val="single"/>
                </w:rPr>
                <w:t>http://canlii.ca/t/gfgd3</w:t>
              </w:r>
            </w:hyperlink>
          </w:p>
          <w:p w:rsidR="00C032C5" w:rsidRPr="00BD251B" w:rsidRDefault="00C032C5" w:rsidP="00D27959">
            <w:pPr>
              <w:jc w:val="both"/>
              <w:rPr>
                <w:sz w:val="20"/>
              </w:rPr>
            </w:pPr>
          </w:p>
        </w:tc>
        <w:tc>
          <w:tcPr>
            <w:tcW w:w="243" w:type="pct"/>
          </w:tcPr>
          <w:p w:rsidR="00C032C5" w:rsidRPr="00BD251B" w:rsidRDefault="00C032C5" w:rsidP="00D27959">
            <w:pPr>
              <w:jc w:val="both"/>
              <w:rPr>
                <w:sz w:val="20"/>
              </w:rPr>
            </w:pPr>
          </w:p>
        </w:tc>
        <w:tc>
          <w:tcPr>
            <w:tcW w:w="2330" w:type="pct"/>
          </w:tcPr>
          <w:p w:rsidR="00C032C5" w:rsidRPr="00BD251B" w:rsidRDefault="00C032C5" w:rsidP="00D27959">
            <w:pPr>
              <w:jc w:val="both"/>
              <w:rPr>
                <w:sz w:val="20"/>
              </w:rPr>
            </w:pPr>
            <w:r w:rsidRPr="00BD251B">
              <w:rPr>
                <w:sz w:val="20"/>
              </w:rPr>
              <w:t>Conviction appeal dismissed</w:t>
            </w:r>
          </w:p>
          <w:p w:rsidR="00C032C5" w:rsidRPr="00BD251B" w:rsidRDefault="00C032C5" w:rsidP="00D27959">
            <w:pPr>
              <w:jc w:val="both"/>
              <w:rPr>
                <w:sz w:val="20"/>
              </w:rPr>
            </w:pPr>
          </w:p>
          <w:p w:rsidR="00C032C5" w:rsidRPr="00BD251B" w:rsidRDefault="00C032C5" w:rsidP="00D27959">
            <w:pPr>
              <w:jc w:val="both"/>
              <w:rPr>
                <w:sz w:val="20"/>
              </w:rPr>
            </w:pPr>
          </w:p>
        </w:tc>
      </w:tr>
      <w:tr w:rsidR="00C032C5" w:rsidRPr="00BD251B" w:rsidTr="00E25CEB">
        <w:trPr>
          <w:cantSplit/>
        </w:trPr>
        <w:tc>
          <w:tcPr>
            <w:tcW w:w="2427" w:type="pct"/>
          </w:tcPr>
          <w:p w:rsidR="00C032C5" w:rsidRPr="00BD251B" w:rsidRDefault="00C032C5" w:rsidP="00D27959">
            <w:pPr>
              <w:jc w:val="both"/>
              <w:rPr>
                <w:sz w:val="20"/>
              </w:rPr>
            </w:pPr>
            <w:r w:rsidRPr="00BD251B">
              <w:rPr>
                <w:sz w:val="20"/>
              </w:rPr>
              <w:lastRenderedPageBreak/>
              <w:t>February 13, 2015</w:t>
            </w:r>
          </w:p>
          <w:p w:rsidR="00C032C5" w:rsidRPr="00BD251B" w:rsidRDefault="00C032C5" w:rsidP="00D27959">
            <w:pPr>
              <w:jc w:val="both"/>
              <w:rPr>
                <w:sz w:val="20"/>
              </w:rPr>
            </w:pPr>
            <w:r w:rsidRPr="00BD251B">
              <w:rPr>
                <w:sz w:val="20"/>
              </w:rPr>
              <w:t>Supreme Court of Canada</w:t>
            </w:r>
          </w:p>
          <w:p w:rsidR="00C032C5" w:rsidRPr="00BD251B" w:rsidRDefault="00C032C5" w:rsidP="00D27959">
            <w:pPr>
              <w:jc w:val="both"/>
              <w:rPr>
                <w:sz w:val="20"/>
              </w:rPr>
            </w:pPr>
          </w:p>
        </w:tc>
        <w:tc>
          <w:tcPr>
            <w:tcW w:w="243" w:type="pct"/>
          </w:tcPr>
          <w:p w:rsidR="00C032C5" w:rsidRPr="00BD251B" w:rsidRDefault="00C032C5" w:rsidP="00D27959">
            <w:pPr>
              <w:jc w:val="both"/>
              <w:rPr>
                <w:sz w:val="20"/>
              </w:rPr>
            </w:pPr>
          </w:p>
        </w:tc>
        <w:tc>
          <w:tcPr>
            <w:tcW w:w="2330" w:type="pct"/>
          </w:tcPr>
          <w:p w:rsidR="00C032C5" w:rsidRPr="00BD251B" w:rsidRDefault="00C032C5" w:rsidP="00D27959">
            <w:pPr>
              <w:jc w:val="both"/>
              <w:rPr>
                <w:sz w:val="20"/>
              </w:rPr>
            </w:pPr>
            <w:r w:rsidRPr="00BD251B">
              <w:rPr>
                <w:sz w:val="20"/>
              </w:rPr>
              <w:t>Motion for an extension of time to serve and file the application for leave to appeal and application for leave to appeal filed</w:t>
            </w:r>
          </w:p>
          <w:p w:rsidR="00C032C5" w:rsidRPr="00BD251B" w:rsidRDefault="00C032C5" w:rsidP="00D27959">
            <w:pPr>
              <w:jc w:val="both"/>
              <w:rPr>
                <w:sz w:val="20"/>
              </w:rPr>
            </w:pPr>
          </w:p>
        </w:tc>
      </w:tr>
      <w:tr w:rsidR="00C032C5" w:rsidRPr="00BD251B" w:rsidTr="00C958BC">
        <w:trPr>
          <w:cantSplit/>
        </w:trPr>
        <w:tc>
          <w:tcPr>
            <w:tcW w:w="2427" w:type="pct"/>
          </w:tcPr>
          <w:p w:rsidR="00C032C5" w:rsidRPr="00BD251B" w:rsidRDefault="00C032C5" w:rsidP="00D27959">
            <w:pPr>
              <w:jc w:val="both"/>
              <w:rPr>
                <w:sz w:val="20"/>
              </w:rPr>
            </w:pPr>
            <w:r w:rsidRPr="00BD251B">
              <w:rPr>
                <w:sz w:val="20"/>
              </w:rPr>
              <w:t>May 13, 2015</w:t>
            </w:r>
          </w:p>
          <w:p w:rsidR="00C032C5" w:rsidRPr="00BD251B" w:rsidRDefault="00C032C5" w:rsidP="00D27959">
            <w:pPr>
              <w:jc w:val="both"/>
              <w:rPr>
                <w:sz w:val="20"/>
              </w:rPr>
            </w:pPr>
            <w:r w:rsidRPr="00BD251B">
              <w:rPr>
                <w:sz w:val="20"/>
              </w:rPr>
              <w:t>Supreme Court of Canada</w:t>
            </w:r>
          </w:p>
        </w:tc>
        <w:tc>
          <w:tcPr>
            <w:tcW w:w="243" w:type="pct"/>
          </w:tcPr>
          <w:p w:rsidR="00C032C5" w:rsidRPr="00BD251B" w:rsidRDefault="00C032C5" w:rsidP="00D27959">
            <w:pPr>
              <w:jc w:val="both"/>
              <w:rPr>
                <w:sz w:val="20"/>
              </w:rPr>
            </w:pPr>
          </w:p>
        </w:tc>
        <w:tc>
          <w:tcPr>
            <w:tcW w:w="2330" w:type="pct"/>
          </w:tcPr>
          <w:p w:rsidR="00C032C5" w:rsidRPr="00BD251B" w:rsidRDefault="00C032C5" w:rsidP="00D27959">
            <w:pPr>
              <w:jc w:val="both"/>
              <w:rPr>
                <w:sz w:val="20"/>
              </w:rPr>
            </w:pPr>
            <w:r w:rsidRPr="00BD251B">
              <w:rPr>
                <w:sz w:val="20"/>
              </w:rPr>
              <w:t>Motion for an extension of time to serve and file the reply filed</w:t>
            </w:r>
          </w:p>
        </w:tc>
      </w:tr>
    </w:tbl>
    <w:p w:rsidR="00E112BD" w:rsidRPr="00C032C5" w:rsidRDefault="00E112BD" w:rsidP="00E112BD">
      <w:pPr>
        <w:rPr>
          <w:sz w:val="20"/>
          <w:szCs w:val="20"/>
        </w:rPr>
      </w:pPr>
    </w:p>
    <w:p w:rsidR="00E112BD" w:rsidRPr="00C50A5C" w:rsidRDefault="005B7E98" w:rsidP="00E112BD">
      <w:pPr>
        <w:rPr>
          <w:sz w:val="20"/>
          <w:szCs w:val="20"/>
        </w:rPr>
      </w:pPr>
      <w:r>
        <w:rPr>
          <w:sz w:val="20"/>
          <w:szCs w:val="20"/>
          <w:lang w:val="fr-CA"/>
        </w:rPr>
        <w:pict>
          <v:rect id="_x0000_i1060" style="width:2in;height:1pt" o:hrpct="0" o:hralign="center" o:hrstd="t" o:hrnoshade="t" o:hr="t" fillcolor="black [3213]" stroked="f"/>
        </w:pict>
      </w:r>
    </w:p>
    <w:p w:rsidR="00E112BD" w:rsidRDefault="00E112BD" w:rsidP="00E112BD">
      <w:pPr>
        <w:rPr>
          <w:sz w:val="20"/>
          <w:szCs w:val="20"/>
        </w:rPr>
      </w:pPr>
    </w:p>
    <w:p w:rsidR="00E112BD" w:rsidRPr="001B157C" w:rsidRDefault="00E112BD" w:rsidP="00E112BD">
      <w:pPr>
        <w:rPr>
          <w:sz w:val="20"/>
          <w:szCs w:val="20"/>
          <w:u w:val="single"/>
          <w:lang w:val="fr-CA"/>
        </w:rPr>
      </w:pPr>
      <w:r w:rsidRPr="001B157C">
        <w:rPr>
          <w:sz w:val="20"/>
          <w:szCs w:val="20"/>
          <w:u w:val="single"/>
          <w:lang w:val="fr-CA"/>
        </w:rPr>
        <w:t>RÉSUMÉ DE L’AFFAIRE</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32C5" w:rsidRPr="00A12C1D" w:rsidTr="00D27959">
        <w:tc>
          <w:tcPr>
            <w:tcW w:w="5000" w:type="pct"/>
            <w:gridSpan w:val="3"/>
          </w:tcPr>
          <w:p w:rsidR="00C032C5" w:rsidRPr="00BD251B" w:rsidRDefault="00C032C5" w:rsidP="00D27959">
            <w:pPr>
              <w:jc w:val="both"/>
              <w:rPr>
                <w:smallCaps/>
                <w:sz w:val="20"/>
                <w:lang w:val="fr-CA"/>
              </w:rPr>
            </w:pPr>
            <w:r w:rsidRPr="00BD251B">
              <w:rPr>
                <w:smallCaps/>
                <w:sz w:val="20"/>
                <w:lang w:val="fr-CA"/>
              </w:rPr>
              <w:t>(Ordonnance de non-publication dans le dossier) (Ordonnance de non-publication visant une partie)</w:t>
            </w:r>
          </w:p>
          <w:p w:rsidR="00C032C5" w:rsidRPr="00BD251B" w:rsidRDefault="00C032C5" w:rsidP="00D27959">
            <w:pPr>
              <w:jc w:val="both"/>
              <w:rPr>
                <w:sz w:val="20"/>
                <w:lang w:val="fr-CA"/>
              </w:rPr>
            </w:pPr>
          </w:p>
        </w:tc>
      </w:tr>
      <w:tr w:rsidR="00C032C5" w:rsidRPr="00A12C1D" w:rsidTr="00D27959">
        <w:tc>
          <w:tcPr>
            <w:tcW w:w="5000" w:type="pct"/>
            <w:gridSpan w:val="3"/>
          </w:tcPr>
          <w:p w:rsidR="00C032C5" w:rsidRPr="00BD251B" w:rsidRDefault="00C032C5" w:rsidP="00D27959">
            <w:pPr>
              <w:jc w:val="both"/>
              <w:rPr>
                <w:sz w:val="20"/>
                <w:lang w:val="fr-CA"/>
              </w:rPr>
            </w:pPr>
            <w:r w:rsidRPr="00BD251B">
              <w:rPr>
                <w:i/>
                <w:sz w:val="20"/>
                <w:lang w:val="fr-CA"/>
              </w:rPr>
              <w:t>Charte des droits</w:t>
            </w:r>
            <w:r w:rsidRPr="00BD251B">
              <w:rPr>
                <w:sz w:val="20"/>
                <w:lang w:val="fr-CA"/>
              </w:rPr>
              <w:t xml:space="preserve"> – Alinéas 11</w:t>
            </w:r>
            <w:r w:rsidRPr="00BD251B">
              <w:rPr>
                <w:i/>
                <w:sz w:val="20"/>
                <w:lang w:val="fr-CA"/>
              </w:rPr>
              <w:t>b</w:t>
            </w:r>
            <w:r w:rsidRPr="00BD251B">
              <w:rPr>
                <w:sz w:val="20"/>
                <w:lang w:val="fr-CA"/>
              </w:rPr>
              <w:t xml:space="preserve">), </w:t>
            </w:r>
            <w:r w:rsidRPr="00BD251B">
              <w:rPr>
                <w:i/>
                <w:sz w:val="20"/>
                <w:lang w:val="fr-CA"/>
              </w:rPr>
              <w:t>c</w:t>
            </w:r>
            <w:r w:rsidRPr="00BD251B">
              <w:rPr>
                <w:sz w:val="20"/>
                <w:lang w:val="fr-CA"/>
              </w:rPr>
              <w:t xml:space="preserve">), </w:t>
            </w:r>
            <w:r w:rsidRPr="00BD251B">
              <w:rPr>
                <w:i/>
                <w:sz w:val="20"/>
                <w:lang w:val="fr-CA"/>
              </w:rPr>
              <w:t>d</w:t>
            </w:r>
            <w:r w:rsidRPr="00BD251B">
              <w:rPr>
                <w:sz w:val="20"/>
                <w:lang w:val="fr-CA"/>
              </w:rPr>
              <w:t xml:space="preserve">), </w:t>
            </w:r>
            <w:r w:rsidRPr="00BD251B">
              <w:rPr>
                <w:i/>
                <w:sz w:val="20"/>
                <w:lang w:val="fr-CA"/>
              </w:rPr>
              <w:t>e</w:t>
            </w:r>
            <w:r w:rsidRPr="00BD251B">
              <w:rPr>
                <w:sz w:val="20"/>
                <w:lang w:val="fr-CA"/>
              </w:rPr>
              <w:t xml:space="preserve">), </w:t>
            </w:r>
            <w:r w:rsidRPr="00BD251B">
              <w:rPr>
                <w:i/>
                <w:sz w:val="20"/>
                <w:lang w:val="fr-CA"/>
              </w:rPr>
              <w:t>f</w:t>
            </w:r>
            <w:r w:rsidRPr="00BD251B">
              <w:rPr>
                <w:sz w:val="20"/>
                <w:lang w:val="fr-CA"/>
              </w:rPr>
              <w:t xml:space="preserve">), art. 12 et par. 15(1) de la </w:t>
            </w:r>
            <w:r w:rsidRPr="00BD251B">
              <w:rPr>
                <w:i/>
                <w:sz w:val="20"/>
                <w:lang w:val="fr-CA"/>
              </w:rPr>
              <w:t>Charte</w:t>
            </w:r>
            <w:r w:rsidRPr="00BD251B">
              <w:rPr>
                <w:sz w:val="20"/>
                <w:lang w:val="fr-CA"/>
              </w:rPr>
              <w:t xml:space="preserve"> – Droit criminel – Preuve – Appréciation de la crédibilité des plaignantes et du demandeur – L’agent-enquêteur a-t-il violé les droits que l’al. 11</w:t>
            </w:r>
            <w:r w:rsidRPr="00BD251B">
              <w:rPr>
                <w:i/>
                <w:sz w:val="20"/>
                <w:lang w:val="fr-CA"/>
              </w:rPr>
              <w:t>d</w:t>
            </w:r>
            <w:r w:rsidRPr="00BD251B">
              <w:rPr>
                <w:sz w:val="20"/>
                <w:lang w:val="fr-CA"/>
              </w:rPr>
              <w:t xml:space="preserve">) et l’art. 15 de la </w:t>
            </w:r>
            <w:r w:rsidRPr="00BD251B">
              <w:rPr>
                <w:i/>
                <w:sz w:val="20"/>
                <w:lang w:val="fr-CA"/>
              </w:rPr>
              <w:t>Charte</w:t>
            </w:r>
            <w:r w:rsidRPr="00BD251B">
              <w:rPr>
                <w:sz w:val="20"/>
                <w:lang w:val="fr-CA"/>
              </w:rPr>
              <w:t xml:space="preserve"> garantissent au demandeur lorsqu’il a utilisé le mot [</w:t>
            </w:r>
            <w:r w:rsidRPr="00BD251B">
              <w:rPr>
                <w:smallCaps/>
                <w:sz w:val="20"/>
                <w:lang w:val="fr-CA"/>
              </w:rPr>
              <w:t>traduction</w:t>
            </w:r>
            <w:r w:rsidRPr="00BD251B">
              <w:rPr>
                <w:sz w:val="20"/>
                <w:lang w:val="fr-CA"/>
              </w:rPr>
              <w:t xml:space="preserve">] « secte » dans le mandat? – La violation des droits que la  </w:t>
            </w:r>
            <w:r w:rsidRPr="00BD251B">
              <w:rPr>
                <w:i/>
                <w:sz w:val="20"/>
                <w:lang w:val="fr-CA"/>
              </w:rPr>
              <w:t>Charte</w:t>
            </w:r>
            <w:r w:rsidRPr="00BD251B">
              <w:rPr>
                <w:sz w:val="20"/>
                <w:lang w:val="fr-CA"/>
              </w:rPr>
              <w:t xml:space="preserve"> garantit au demandeur a-t-elle eu pour effet de vicier le procès? – L’avocat qui représentait le demandeur à son procès a-t-il fait preuve de négligence ou de malfaisance, contribuant ainsi à la violation des droits que les al. 11</w:t>
            </w:r>
            <w:r w:rsidRPr="00BD251B">
              <w:rPr>
                <w:i/>
                <w:sz w:val="20"/>
                <w:lang w:val="fr-CA"/>
              </w:rPr>
              <w:t>b</w:t>
            </w:r>
            <w:r w:rsidRPr="00BD251B">
              <w:rPr>
                <w:sz w:val="20"/>
                <w:lang w:val="fr-CA"/>
              </w:rPr>
              <w:t xml:space="preserve">), </w:t>
            </w:r>
            <w:r w:rsidRPr="00BD251B">
              <w:rPr>
                <w:i/>
                <w:sz w:val="20"/>
                <w:lang w:val="fr-CA"/>
              </w:rPr>
              <w:t>c</w:t>
            </w:r>
            <w:r w:rsidRPr="00BD251B">
              <w:rPr>
                <w:sz w:val="20"/>
                <w:lang w:val="fr-CA"/>
              </w:rPr>
              <w:t xml:space="preserve">), </w:t>
            </w:r>
            <w:r w:rsidRPr="00BD251B">
              <w:rPr>
                <w:i/>
                <w:sz w:val="20"/>
                <w:lang w:val="fr-CA"/>
              </w:rPr>
              <w:t>d</w:t>
            </w:r>
            <w:r w:rsidRPr="00BD251B">
              <w:rPr>
                <w:sz w:val="20"/>
                <w:lang w:val="fr-CA"/>
              </w:rPr>
              <w:t xml:space="preserve">), </w:t>
            </w:r>
            <w:r w:rsidRPr="00BD251B">
              <w:rPr>
                <w:i/>
                <w:sz w:val="20"/>
                <w:lang w:val="fr-CA"/>
              </w:rPr>
              <w:t>e</w:t>
            </w:r>
            <w:r w:rsidRPr="00BD251B">
              <w:rPr>
                <w:sz w:val="20"/>
                <w:lang w:val="fr-CA"/>
              </w:rPr>
              <w:t xml:space="preserve">), </w:t>
            </w:r>
            <w:r w:rsidRPr="00BD251B">
              <w:rPr>
                <w:i/>
                <w:sz w:val="20"/>
                <w:lang w:val="fr-CA"/>
              </w:rPr>
              <w:t>f</w:t>
            </w:r>
            <w:r w:rsidRPr="00BD251B">
              <w:rPr>
                <w:sz w:val="20"/>
                <w:lang w:val="fr-CA"/>
              </w:rPr>
              <w:t xml:space="preserve">), l’art. 12 et le par. 15(1) de la </w:t>
            </w:r>
            <w:r w:rsidRPr="00BD251B">
              <w:rPr>
                <w:i/>
                <w:sz w:val="20"/>
                <w:lang w:val="fr-CA"/>
              </w:rPr>
              <w:t xml:space="preserve">Charte </w:t>
            </w:r>
            <w:r w:rsidRPr="00BD251B">
              <w:rPr>
                <w:sz w:val="20"/>
                <w:lang w:val="fr-CA"/>
              </w:rPr>
              <w:t xml:space="preserve">garantissent au demandeur? – Le juge du procès a-t-il commis une erreur préjudiciable en faisant des déclarations négatives à l’égard de la religion? – Les droits que le par. 15(1) de la </w:t>
            </w:r>
            <w:r w:rsidRPr="00BD251B">
              <w:rPr>
                <w:i/>
                <w:sz w:val="20"/>
                <w:lang w:val="fr-CA"/>
              </w:rPr>
              <w:t xml:space="preserve">Charte </w:t>
            </w:r>
            <w:r w:rsidRPr="00BD251B">
              <w:rPr>
                <w:sz w:val="20"/>
                <w:lang w:val="fr-CA"/>
              </w:rPr>
              <w:t>ont-ils été violés? – Y a-t-il eu déni de justice? – Alinéas 11</w:t>
            </w:r>
            <w:r w:rsidRPr="00BD251B">
              <w:rPr>
                <w:i/>
                <w:sz w:val="20"/>
                <w:lang w:val="fr-CA"/>
              </w:rPr>
              <w:t>b</w:t>
            </w:r>
            <w:r w:rsidRPr="00BD251B">
              <w:rPr>
                <w:sz w:val="20"/>
                <w:lang w:val="fr-CA"/>
              </w:rPr>
              <w:t xml:space="preserve">), </w:t>
            </w:r>
            <w:r w:rsidRPr="00BD251B">
              <w:rPr>
                <w:i/>
                <w:sz w:val="20"/>
                <w:lang w:val="fr-CA"/>
              </w:rPr>
              <w:t>c</w:t>
            </w:r>
            <w:r w:rsidRPr="00BD251B">
              <w:rPr>
                <w:sz w:val="20"/>
                <w:lang w:val="fr-CA"/>
              </w:rPr>
              <w:t xml:space="preserve">), </w:t>
            </w:r>
            <w:r w:rsidRPr="00BD251B">
              <w:rPr>
                <w:i/>
                <w:sz w:val="20"/>
                <w:lang w:val="fr-CA"/>
              </w:rPr>
              <w:t>d</w:t>
            </w:r>
            <w:r w:rsidRPr="00BD251B">
              <w:rPr>
                <w:sz w:val="20"/>
                <w:lang w:val="fr-CA"/>
              </w:rPr>
              <w:t xml:space="preserve">), </w:t>
            </w:r>
            <w:r w:rsidRPr="00BD251B">
              <w:rPr>
                <w:i/>
                <w:sz w:val="20"/>
                <w:lang w:val="fr-CA"/>
              </w:rPr>
              <w:t>e</w:t>
            </w:r>
            <w:r w:rsidRPr="00BD251B">
              <w:rPr>
                <w:sz w:val="20"/>
                <w:lang w:val="fr-CA"/>
              </w:rPr>
              <w:t xml:space="preserve">), </w:t>
            </w:r>
            <w:r w:rsidRPr="00BD251B">
              <w:rPr>
                <w:i/>
                <w:sz w:val="20"/>
                <w:lang w:val="fr-CA"/>
              </w:rPr>
              <w:t>f</w:t>
            </w:r>
            <w:r w:rsidRPr="00BD251B">
              <w:rPr>
                <w:sz w:val="20"/>
                <w:lang w:val="fr-CA"/>
              </w:rPr>
              <w:t xml:space="preserve">), art. 12 et par. 15(1) de la </w:t>
            </w:r>
            <w:r w:rsidRPr="00BD251B">
              <w:rPr>
                <w:i/>
                <w:sz w:val="20"/>
                <w:lang w:val="fr-CA"/>
              </w:rPr>
              <w:t>Charte</w:t>
            </w:r>
            <w:r w:rsidRPr="00BD251B">
              <w:rPr>
                <w:sz w:val="20"/>
                <w:lang w:val="fr-CA"/>
              </w:rPr>
              <w:t>.</w:t>
            </w:r>
          </w:p>
        </w:tc>
      </w:tr>
      <w:tr w:rsidR="00C032C5" w:rsidRPr="00A12C1D" w:rsidTr="00D27959">
        <w:tc>
          <w:tcPr>
            <w:tcW w:w="5000" w:type="pct"/>
            <w:gridSpan w:val="3"/>
          </w:tcPr>
          <w:p w:rsidR="00C032C5" w:rsidRPr="00BD251B" w:rsidRDefault="00C032C5" w:rsidP="00D27959">
            <w:pPr>
              <w:jc w:val="both"/>
              <w:rPr>
                <w:sz w:val="20"/>
                <w:lang w:val="fr-CA"/>
              </w:rPr>
            </w:pPr>
          </w:p>
          <w:p w:rsidR="00C032C5" w:rsidRPr="00BD251B" w:rsidRDefault="00C032C5" w:rsidP="00D27959">
            <w:pPr>
              <w:jc w:val="both"/>
              <w:rPr>
                <w:sz w:val="20"/>
                <w:lang w:val="fr-CA"/>
              </w:rPr>
            </w:pPr>
            <w:r w:rsidRPr="00BD251B">
              <w:rPr>
                <w:sz w:val="20"/>
                <w:lang w:val="fr-CA"/>
              </w:rPr>
              <w:t>Le juge du procès a accepté la preuve des plaignantes et a précisé les motifs pour lesquels il a jugé chacune d’elles digne de foi.  Le juge de procès a conclu qu’il ne croyait pas le demandeur et que sa preuve ne soulevait pas le doute raisonnable.  Le demandeur a été déclaré coupable d’agression sexuelle.  L’appel de sa déclaration de culpabilité a été rejeté.</w:t>
            </w:r>
          </w:p>
          <w:p w:rsidR="00C032C5" w:rsidRPr="00BD251B" w:rsidRDefault="00C032C5" w:rsidP="00D27959">
            <w:pPr>
              <w:jc w:val="both"/>
              <w:rPr>
                <w:sz w:val="20"/>
                <w:lang w:val="fr-CA"/>
              </w:rPr>
            </w:pPr>
          </w:p>
        </w:tc>
      </w:tr>
      <w:tr w:rsidR="00C032C5" w:rsidRPr="00A12C1D" w:rsidTr="00D27959">
        <w:tc>
          <w:tcPr>
            <w:tcW w:w="2427" w:type="pct"/>
          </w:tcPr>
          <w:p w:rsidR="00C032C5" w:rsidRPr="00BD251B" w:rsidRDefault="00C032C5" w:rsidP="00D27959">
            <w:pPr>
              <w:jc w:val="both"/>
              <w:rPr>
                <w:sz w:val="20"/>
                <w:lang w:val="fr-CA"/>
              </w:rPr>
            </w:pPr>
            <w:r w:rsidRPr="00BD251B">
              <w:rPr>
                <w:sz w:val="20"/>
                <w:lang w:val="fr-CA"/>
              </w:rPr>
              <w:t>13 février 2012</w:t>
            </w:r>
          </w:p>
          <w:p w:rsidR="00C032C5" w:rsidRPr="00BD251B" w:rsidRDefault="00C032C5" w:rsidP="00D27959">
            <w:pPr>
              <w:jc w:val="both"/>
              <w:rPr>
                <w:sz w:val="20"/>
                <w:lang w:val="fr-CA"/>
              </w:rPr>
            </w:pPr>
            <w:r w:rsidRPr="00BD251B">
              <w:rPr>
                <w:sz w:val="20"/>
                <w:lang w:val="fr-CA"/>
              </w:rPr>
              <w:t>Cour de justice de l’Ontario</w:t>
            </w:r>
          </w:p>
          <w:p w:rsidR="00C032C5" w:rsidRPr="00BD251B" w:rsidRDefault="00C032C5" w:rsidP="00D27959">
            <w:pPr>
              <w:jc w:val="both"/>
              <w:rPr>
                <w:sz w:val="20"/>
                <w:lang w:val="fr-CA"/>
              </w:rPr>
            </w:pPr>
            <w:r w:rsidRPr="00BD251B">
              <w:rPr>
                <w:sz w:val="20"/>
                <w:lang w:val="fr-CA"/>
              </w:rPr>
              <w:t>(Juge Lebel)</w:t>
            </w:r>
          </w:p>
          <w:p w:rsidR="00C032C5" w:rsidRPr="00BD251B" w:rsidRDefault="00C032C5" w:rsidP="00D27959">
            <w:pPr>
              <w:jc w:val="both"/>
              <w:rPr>
                <w:sz w:val="20"/>
                <w:lang w:val="fr-CA"/>
              </w:rPr>
            </w:pPr>
          </w:p>
        </w:tc>
        <w:tc>
          <w:tcPr>
            <w:tcW w:w="243" w:type="pct"/>
          </w:tcPr>
          <w:p w:rsidR="00C032C5" w:rsidRPr="00BD251B" w:rsidRDefault="00C032C5" w:rsidP="00D27959">
            <w:pPr>
              <w:jc w:val="both"/>
              <w:rPr>
                <w:sz w:val="20"/>
                <w:lang w:val="fr-CA"/>
              </w:rPr>
            </w:pPr>
          </w:p>
        </w:tc>
        <w:tc>
          <w:tcPr>
            <w:tcW w:w="2330" w:type="pct"/>
          </w:tcPr>
          <w:p w:rsidR="00C032C5" w:rsidRPr="00BD251B" w:rsidRDefault="00C032C5" w:rsidP="00D27959">
            <w:pPr>
              <w:jc w:val="both"/>
              <w:rPr>
                <w:sz w:val="20"/>
                <w:lang w:val="fr-CA"/>
              </w:rPr>
            </w:pPr>
            <w:r w:rsidRPr="00BD251B">
              <w:rPr>
                <w:sz w:val="20"/>
                <w:lang w:val="fr-CA"/>
              </w:rPr>
              <w:t>Déclaration de culpabilité de six chefs d’agression sexuelle</w:t>
            </w:r>
          </w:p>
          <w:p w:rsidR="00C032C5" w:rsidRPr="00BD251B" w:rsidRDefault="00C032C5" w:rsidP="00D27959">
            <w:pPr>
              <w:jc w:val="both"/>
              <w:rPr>
                <w:sz w:val="20"/>
                <w:lang w:val="fr-CA"/>
              </w:rPr>
            </w:pPr>
          </w:p>
        </w:tc>
      </w:tr>
      <w:tr w:rsidR="00C032C5" w:rsidRPr="00A12C1D" w:rsidTr="00D27959">
        <w:tc>
          <w:tcPr>
            <w:tcW w:w="2427" w:type="pct"/>
          </w:tcPr>
          <w:p w:rsidR="00C032C5" w:rsidRPr="00BD251B" w:rsidRDefault="00C032C5" w:rsidP="00D27959">
            <w:pPr>
              <w:jc w:val="both"/>
              <w:rPr>
                <w:sz w:val="20"/>
                <w:lang w:val="fr-CA"/>
              </w:rPr>
            </w:pPr>
            <w:r w:rsidRPr="00BD251B">
              <w:rPr>
                <w:sz w:val="20"/>
                <w:lang w:val="fr-CA"/>
              </w:rPr>
              <w:t>1</w:t>
            </w:r>
            <w:r w:rsidRPr="00BD251B">
              <w:rPr>
                <w:sz w:val="20"/>
                <w:vertAlign w:val="superscript"/>
                <w:lang w:val="fr-CA"/>
              </w:rPr>
              <w:t>er</w:t>
            </w:r>
            <w:r w:rsidRPr="00BD251B">
              <w:rPr>
                <w:sz w:val="20"/>
                <w:lang w:val="fr-CA"/>
              </w:rPr>
              <w:t xml:space="preserve"> décembre 2014</w:t>
            </w:r>
          </w:p>
          <w:p w:rsidR="00C032C5" w:rsidRPr="00BD251B" w:rsidRDefault="00C032C5" w:rsidP="00D27959">
            <w:pPr>
              <w:jc w:val="both"/>
              <w:rPr>
                <w:sz w:val="20"/>
                <w:lang w:val="fr-CA"/>
              </w:rPr>
            </w:pPr>
            <w:r w:rsidRPr="00BD251B">
              <w:rPr>
                <w:sz w:val="20"/>
                <w:lang w:val="fr-CA"/>
              </w:rPr>
              <w:t>Cour d’appel de l’Ontario</w:t>
            </w:r>
          </w:p>
          <w:p w:rsidR="00C032C5" w:rsidRPr="00BD251B" w:rsidRDefault="00C032C5" w:rsidP="00D27959">
            <w:pPr>
              <w:jc w:val="both"/>
              <w:rPr>
                <w:sz w:val="20"/>
              </w:rPr>
            </w:pPr>
            <w:r w:rsidRPr="00BD251B">
              <w:rPr>
                <w:sz w:val="20"/>
              </w:rPr>
              <w:t>(Juges Doherty, Laskin et Feldman)</w:t>
            </w:r>
          </w:p>
          <w:p w:rsidR="00C032C5" w:rsidRPr="00BD251B" w:rsidRDefault="00C032C5" w:rsidP="00D27959">
            <w:pPr>
              <w:jc w:val="both"/>
              <w:rPr>
                <w:sz w:val="20"/>
              </w:rPr>
            </w:pPr>
            <w:r w:rsidRPr="00BD251B">
              <w:rPr>
                <w:sz w:val="20"/>
              </w:rPr>
              <w:t>2014 ONCA 854, C55875</w:t>
            </w:r>
          </w:p>
          <w:p w:rsidR="00C032C5" w:rsidRPr="00BD251B" w:rsidRDefault="005B7E98" w:rsidP="00D27959">
            <w:pPr>
              <w:jc w:val="both"/>
              <w:rPr>
                <w:sz w:val="20"/>
                <w:lang w:val="fr-CA"/>
              </w:rPr>
            </w:pPr>
            <w:hyperlink r:id="rId50" w:history="1">
              <w:r w:rsidR="00C032C5" w:rsidRPr="00BD251B">
                <w:rPr>
                  <w:color w:val="0000FF" w:themeColor="hyperlink"/>
                  <w:sz w:val="20"/>
                  <w:u w:val="single"/>
                  <w:lang w:val="fr-CA"/>
                </w:rPr>
                <w:t>http://canlii.ca/t/gfgd3</w:t>
              </w:r>
            </w:hyperlink>
          </w:p>
          <w:p w:rsidR="00C032C5" w:rsidRPr="00BD251B" w:rsidRDefault="00C032C5" w:rsidP="00D27959">
            <w:pPr>
              <w:jc w:val="both"/>
              <w:rPr>
                <w:sz w:val="20"/>
                <w:lang w:val="fr-CA"/>
              </w:rPr>
            </w:pPr>
          </w:p>
        </w:tc>
        <w:tc>
          <w:tcPr>
            <w:tcW w:w="243" w:type="pct"/>
          </w:tcPr>
          <w:p w:rsidR="00C032C5" w:rsidRPr="00BD251B" w:rsidRDefault="00C032C5" w:rsidP="00D27959">
            <w:pPr>
              <w:jc w:val="both"/>
              <w:rPr>
                <w:sz w:val="20"/>
                <w:lang w:val="fr-CA"/>
              </w:rPr>
            </w:pPr>
          </w:p>
        </w:tc>
        <w:tc>
          <w:tcPr>
            <w:tcW w:w="2330" w:type="pct"/>
          </w:tcPr>
          <w:p w:rsidR="00C032C5" w:rsidRPr="00BD251B" w:rsidRDefault="00C032C5" w:rsidP="00D27959">
            <w:pPr>
              <w:jc w:val="both"/>
              <w:rPr>
                <w:sz w:val="20"/>
                <w:lang w:val="fr-CA"/>
              </w:rPr>
            </w:pPr>
            <w:r w:rsidRPr="00BD251B">
              <w:rPr>
                <w:sz w:val="20"/>
                <w:lang w:val="fr-CA"/>
              </w:rPr>
              <w:t>Rejet de l’appel de la déclaration de culpabilité</w:t>
            </w:r>
          </w:p>
          <w:p w:rsidR="00C032C5" w:rsidRPr="00BD251B" w:rsidRDefault="00C032C5" w:rsidP="00D27959">
            <w:pPr>
              <w:jc w:val="both"/>
              <w:rPr>
                <w:sz w:val="20"/>
                <w:lang w:val="fr-CA"/>
              </w:rPr>
            </w:pPr>
          </w:p>
          <w:p w:rsidR="00C032C5" w:rsidRPr="00BD251B" w:rsidRDefault="00C032C5" w:rsidP="00D27959">
            <w:pPr>
              <w:jc w:val="both"/>
              <w:rPr>
                <w:sz w:val="20"/>
                <w:lang w:val="fr-CA"/>
              </w:rPr>
            </w:pPr>
          </w:p>
        </w:tc>
      </w:tr>
      <w:tr w:rsidR="00C032C5" w:rsidRPr="00A12C1D" w:rsidTr="00D27959">
        <w:tc>
          <w:tcPr>
            <w:tcW w:w="2427" w:type="pct"/>
          </w:tcPr>
          <w:p w:rsidR="00C032C5" w:rsidRPr="00BD251B" w:rsidRDefault="00C032C5" w:rsidP="00D27959">
            <w:pPr>
              <w:jc w:val="both"/>
              <w:rPr>
                <w:sz w:val="20"/>
                <w:lang w:val="fr-CA"/>
              </w:rPr>
            </w:pPr>
            <w:r w:rsidRPr="00BD251B">
              <w:rPr>
                <w:sz w:val="20"/>
                <w:lang w:val="fr-CA"/>
              </w:rPr>
              <w:t>13 février 2015</w:t>
            </w:r>
          </w:p>
          <w:p w:rsidR="00C032C5" w:rsidRPr="00BD251B" w:rsidRDefault="00C032C5" w:rsidP="00D27959">
            <w:pPr>
              <w:jc w:val="both"/>
              <w:rPr>
                <w:sz w:val="20"/>
                <w:lang w:val="fr-CA"/>
              </w:rPr>
            </w:pPr>
            <w:r w:rsidRPr="00BD251B">
              <w:rPr>
                <w:sz w:val="20"/>
                <w:lang w:val="fr-CA"/>
              </w:rPr>
              <w:t>Cour suprême du Canada</w:t>
            </w:r>
          </w:p>
          <w:p w:rsidR="00C032C5" w:rsidRPr="00BD251B" w:rsidRDefault="00C032C5" w:rsidP="00D27959">
            <w:pPr>
              <w:jc w:val="both"/>
              <w:rPr>
                <w:sz w:val="20"/>
                <w:lang w:val="fr-CA"/>
              </w:rPr>
            </w:pPr>
          </w:p>
        </w:tc>
        <w:tc>
          <w:tcPr>
            <w:tcW w:w="243" w:type="pct"/>
          </w:tcPr>
          <w:p w:rsidR="00C032C5" w:rsidRPr="00BD251B" w:rsidRDefault="00C032C5" w:rsidP="00D27959">
            <w:pPr>
              <w:jc w:val="both"/>
              <w:rPr>
                <w:sz w:val="20"/>
                <w:lang w:val="fr-CA"/>
              </w:rPr>
            </w:pPr>
          </w:p>
        </w:tc>
        <w:tc>
          <w:tcPr>
            <w:tcW w:w="2330" w:type="pct"/>
          </w:tcPr>
          <w:p w:rsidR="00C032C5" w:rsidRPr="00BD251B" w:rsidRDefault="00C032C5" w:rsidP="00D27959">
            <w:pPr>
              <w:jc w:val="both"/>
              <w:rPr>
                <w:sz w:val="20"/>
                <w:lang w:val="fr-CA"/>
              </w:rPr>
            </w:pPr>
            <w:r w:rsidRPr="00BD251B">
              <w:rPr>
                <w:sz w:val="20"/>
                <w:lang w:val="fr-CA"/>
              </w:rPr>
              <w:t>Dépôt de la requête en prorogation du délai de signification et de dépôt de la demande d’autorisation d’appel et de la demande d’autorisation d’appel</w:t>
            </w:r>
          </w:p>
          <w:p w:rsidR="00C032C5" w:rsidRPr="00BD251B" w:rsidRDefault="00C032C5" w:rsidP="00D27959">
            <w:pPr>
              <w:jc w:val="both"/>
              <w:rPr>
                <w:sz w:val="20"/>
                <w:lang w:val="fr-CA"/>
              </w:rPr>
            </w:pPr>
          </w:p>
        </w:tc>
      </w:tr>
      <w:tr w:rsidR="00C032C5" w:rsidRPr="00A12C1D" w:rsidTr="00D27959">
        <w:tc>
          <w:tcPr>
            <w:tcW w:w="2427" w:type="pct"/>
          </w:tcPr>
          <w:p w:rsidR="00C032C5" w:rsidRPr="00BD251B" w:rsidRDefault="00C032C5" w:rsidP="00D27959">
            <w:pPr>
              <w:jc w:val="both"/>
              <w:rPr>
                <w:sz w:val="20"/>
                <w:lang w:val="fr-CA"/>
              </w:rPr>
            </w:pPr>
            <w:r w:rsidRPr="00BD251B">
              <w:rPr>
                <w:sz w:val="20"/>
                <w:lang w:val="fr-CA"/>
              </w:rPr>
              <w:t>13 mai 2015</w:t>
            </w:r>
          </w:p>
          <w:p w:rsidR="00C032C5" w:rsidRPr="00BD251B" w:rsidRDefault="00C032C5" w:rsidP="00D27959">
            <w:pPr>
              <w:jc w:val="both"/>
              <w:rPr>
                <w:sz w:val="20"/>
                <w:lang w:val="fr-CA"/>
              </w:rPr>
            </w:pPr>
            <w:r w:rsidRPr="00BD251B">
              <w:rPr>
                <w:sz w:val="20"/>
                <w:lang w:val="fr-CA"/>
              </w:rPr>
              <w:t>Cour suprême du Canada</w:t>
            </w:r>
          </w:p>
        </w:tc>
        <w:tc>
          <w:tcPr>
            <w:tcW w:w="243" w:type="pct"/>
          </w:tcPr>
          <w:p w:rsidR="00C032C5" w:rsidRPr="00BD251B" w:rsidRDefault="00C032C5" w:rsidP="00D27959">
            <w:pPr>
              <w:jc w:val="both"/>
              <w:rPr>
                <w:sz w:val="20"/>
                <w:lang w:val="fr-CA"/>
              </w:rPr>
            </w:pPr>
          </w:p>
        </w:tc>
        <w:tc>
          <w:tcPr>
            <w:tcW w:w="2330" w:type="pct"/>
          </w:tcPr>
          <w:p w:rsidR="00C032C5" w:rsidRPr="00BD251B" w:rsidRDefault="00C032C5" w:rsidP="00D27959">
            <w:pPr>
              <w:jc w:val="both"/>
              <w:rPr>
                <w:sz w:val="20"/>
                <w:lang w:val="fr-CA"/>
              </w:rPr>
            </w:pPr>
            <w:r w:rsidRPr="00BD251B">
              <w:rPr>
                <w:sz w:val="20"/>
                <w:lang w:val="fr-CA"/>
              </w:rPr>
              <w:t>Dépôt de la requête en prorogation du délai de signification et de dépôt de la réplique</w:t>
            </w:r>
          </w:p>
        </w:tc>
      </w:tr>
    </w:tbl>
    <w:p w:rsidR="00E112BD" w:rsidRPr="00C032C5" w:rsidRDefault="00E112BD" w:rsidP="00E112BD">
      <w:pPr>
        <w:rPr>
          <w:sz w:val="20"/>
          <w:szCs w:val="20"/>
          <w:lang w:val="fr-CA"/>
        </w:rPr>
      </w:pPr>
    </w:p>
    <w:p w:rsidR="00E112BD" w:rsidRDefault="005B7E98" w:rsidP="00E112BD">
      <w:pPr>
        <w:rPr>
          <w:sz w:val="20"/>
          <w:szCs w:val="20"/>
        </w:rPr>
      </w:pPr>
      <w:r>
        <w:rPr>
          <w:sz w:val="20"/>
          <w:szCs w:val="20"/>
          <w:lang w:val="fr-CA"/>
        </w:rPr>
        <w:pict>
          <v:rect id="_x0000_i1061" style="width:2in;height:1pt" o:hrpct="0" o:hralign="center" o:hrstd="t" o:hrnoshade="t" o:hr="t" fillcolor="black [3213]" stroked="f"/>
        </w:pict>
      </w:r>
    </w:p>
    <w:p w:rsidR="00E25CEB" w:rsidRDefault="00E25CEB">
      <w:pPr>
        <w:rPr>
          <w:sz w:val="20"/>
          <w:szCs w:val="20"/>
        </w:rPr>
      </w:pPr>
    </w:p>
    <w:p w:rsidR="00E25CEB" w:rsidRDefault="00E25CEB">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958BC" w:rsidRPr="00392F0F" w:rsidTr="00C958BC">
        <w:tc>
          <w:tcPr>
            <w:tcW w:w="1458" w:type="dxa"/>
          </w:tcPr>
          <w:p w:rsidR="00C958BC" w:rsidRPr="00392F0F" w:rsidRDefault="00C958BC" w:rsidP="006205C5">
            <w:pPr>
              <w:rPr>
                <w:sz w:val="20"/>
                <w:szCs w:val="20"/>
              </w:rPr>
            </w:pPr>
            <w:r w:rsidRPr="00392F0F">
              <w:rPr>
                <w:rStyle w:val="SCCFileNumberChar"/>
                <w:sz w:val="20"/>
                <w:szCs w:val="20"/>
              </w:rPr>
              <w:lastRenderedPageBreak/>
              <w:t>36379</w:t>
            </w:r>
          </w:p>
          <w:p w:rsidR="00C958BC" w:rsidRPr="00392F0F" w:rsidRDefault="00C958BC" w:rsidP="006205C5">
            <w:pPr>
              <w:rPr>
                <w:b/>
                <w:sz w:val="20"/>
                <w:szCs w:val="20"/>
                <w:lang w:val="fr-CA"/>
              </w:rPr>
            </w:pPr>
          </w:p>
        </w:tc>
        <w:tc>
          <w:tcPr>
            <w:tcW w:w="8118" w:type="dxa"/>
          </w:tcPr>
          <w:p w:rsidR="00C958BC" w:rsidRPr="00392F0F" w:rsidRDefault="00C958BC" w:rsidP="006205C5">
            <w:pPr>
              <w:rPr>
                <w:sz w:val="20"/>
                <w:szCs w:val="20"/>
              </w:rPr>
            </w:pPr>
            <w:r w:rsidRPr="00392F0F">
              <w:rPr>
                <w:rStyle w:val="SCCLsocChar"/>
                <w:sz w:val="20"/>
                <w:szCs w:val="20"/>
                <w:lang w:val="en-CA"/>
              </w:rPr>
              <w:t>Larry Peter Klippenstein v. Manitoba Ombudsman</w:t>
            </w:r>
            <w:r w:rsidRPr="00392F0F">
              <w:rPr>
                <w:sz w:val="20"/>
                <w:szCs w:val="20"/>
              </w:rPr>
              <w:t xml:space="preserve"> (Man.) (Civil) (By Leave)</w:t>
            </w:r>
          </w:p>
          <w:p w:rsidR="00C958BC" w:rsidRPr="00392F0F" w:rsidRDefault="00C958BC" w:rsidP="006205C5">
            <w:pPr>
              <w:rPr>
                <w:sz w:val="20"/>
                <w:szCs w:val="20"/>
              </w:rPr>
            </w:pPr>
          </w:p>
        </w:tc>
      </w:tr>
      <w:tr w:rsidR="00C958BC" w:rsidRPr="00392F0F" w:rsidTr="00C958BC">
        <w:tc>
          <w:tcPr>
            <w:tcW w:w="1458" w:type="dxa"/>
          </w:tcPr>
          <w:p w:rsidR="00C958BC" w:rsidRPr="00392F0F" w:rsidRDefault="00C958BC" w:rsidP="006205C5">
            <w:pPr>
              <w:rPr>
                <w:sz w:val="20"/>
                <w:szCs w:val="20"/>
              </w:rPr>
            </w:pPr>
            <w:r w:rsidRPr="00392F0F">
              <w:rPr>
                <w:sz w:val="20"/>
                <w:szCs w:val="20"/>
              </w:rPr>
              <w:t>Coram :</w:t>
            </w:r>
          </w:p>
        </w:tc>
        <w:tc>
          <w:tcPr>
            <w:tcW w:w="8118" w:type="dxa"/>
          </w:tcPr>
          <w:p w:rsidR="00C958BC" w:rsidRPr="00392F0F" w:rsidRDefault="00C958BC" w:rsidP="006205C5">
            <w:pPr>
              <w:rPr>
                <w:sz w:val="20"/>
                <w:szCs w:val="20"/>
              </w:rPr>
            </w:pPr>
            <w:r w:rsidRPr="00392F0F">
              <w:rPr>
                <w:rStyle w:val="SCCCoramChar"/>
                <w:sz w:val="20"/>
                <w:szCs w:val="20"/>
                <w:lang w:val="en-CA"/>
              </w:rPr>
              <w:t>McLachlin C.J. and Wagner and Gascon JJ.</w:t>
            </w:r>
          </w:p>
          <w:p w:rsidR="00C958BC" w:rsidRPr="00392F0F" w:rsidRDefault="00C958BC" w:rsidP="006205C5">
            <w:pPr>
              <w:rPr>
                <w:sz w:val="20"/>
                <w:szCs w:val="20"/>
                <w:u w:val="single"/>
              </w:rPr>
            </w:pPr>
          </w:p>
        </w:tc>
      </w:tr>
      <w:tr w:rsidR="00C958BC" w:rsidRPr="00A12C1D" w:rsidTr="00C958BC">
        <w:tc>
          <w:tcPr>
            <w:tcW w:w="9576" w:type="dxa"/>
            <w:gridSpan w:val="2"/>
          </w:tcPr>
          <w:p w:rsidR="00C958BC" w:rsidRPr="00392F0F" w:rsidRDefault="00C958BC" w:rsidP="006205C5">
            <w:pPr>
              <w:pStyle w:val="SCCShortJudgment"/>
              <w:rPr>
                <w:szCs w:val="20"/>
              </w:rPr>
            </w:pPr>
            <w:r w:rsidRPr="00392F0F">
              <w:rPr>
                <w:szCs w:val="20"/>
              </w:rPr>
              <w:t>The application for leave to appeal from the judgment of the Court of Appeal of Manitoba, Numbers AI13-30-08075, AI13-30-08084 and AI14-30-08112, 2015 MBCA 15, dated February 4, 2015, is dismissed without costs.</w:t>
            </w:r>
          </w:p>
          <w:p w:rsidR="00C958BC" w:rsidRPr="00392F0F" w:rsidRDefault="00C958BC" w:rsidP="006205C5">
            <w:pPr>
              <w:pStyle w:val="SCCShortJudgment"/>
              <w:ind w:firstLine="0"/>
              <w:rPr>
                <w:szCs w:val="20"/>
              </w:rPr>
            </w:pPr>
          </w:p>
          <w:p w:rsidR="00C958BC" w:rsidRPr="00392F0F" w:rsidRDefault="00C958BC" w:rsidP="006205C5">
            <w:pPr>
              <w:pStyle w:val="SCCShortJudgment"/>
              <w:rPr>
                <w:szCs w:val="20"/>
                <w:lang w:val="fr-CA"/>
              </w:rPr>
            </w:pPr>
            <w:r w:rsidRPr="00392F0F">
              <w:rPr>
                <w:szCs w:val="20"/>
                <w:lang w:val="fr-CA"/>
              </w:rPr>
              <w:t>La demande d’autorisation d’appel de l’arrêt de la Cour d’appel du Manitoba, numéros AI13-30-08075, AI13-30-08084 et AI14-30-08112, 2015 MBCA 15, daté du 4 février 2015, est rejetée sans dépens.</w:t>
            </w:r>
          </w:p>
        </w:tc>
      </w:tr>
    </w:tbl>
    <w:p w:rsidR="00C032C5" w:rsidRPr="00C958BC" w:rsidRDefault="00C032C5" w:rsidP="00E112BD">
      <w:pPr>
        <w:rPr>
          <w:sz w:val="20"/>
          <w:szCs w:val="20"/>
          <w:lang w:val="fr-CA"/>
        </w:rPr>
      </w:pPr>
    </w:p>
    <w:p w:rsidR="00E112BD" w:rsidRPr="001B157C" w:rsidRDefault="00E112BD" w:rsidP="00E112BD">
      <w:pPr>
        <w:rPr>
          <w:sz w:val="20"/>
          <w:szCs w:val="20"/>
          <w:u w:val="single"/>
        </w:rPr>
      </w:pPr>
      <w:r w:rsidRPr="001B157C">
        <w:rPr>
          <w:sz w:val="20"/>
          <w:szCs w:val="20"/>
          <w:u w:val="single"/>
        </w:rPr>
        <w:t>CASE SUMMARY</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32C5" w:rsidRPr="00BD251B" w:rsidTr="00D27959">
        <w:tc>
          <w:tcPr>
            <w:tcW w:w="5000" w:type="pct"/>
            <w:gridSpan w:val="3"/>
          </w:tcPr>
          <w:p w:rsidR="00C032C5" w:rsidRPr="00BD251B" w:rsidRDefault="00C032C5" w:rsidP="00D27959">
            <w:pPr>
              <w:jc w:val="both"/>
              <w:rPr>
                <w:sz w:val="20"/>
              </w:rPr>
            </w:pPr>
            <w:r w:rsidRPr="00BD251B">
              <w:rPr>
                <w:i/>
                <w:sz w:val="20"/>
              </w:rPr>
              <w:t>Charter of Rights</w:t>
            </w:r>
            <w:r w:rsidRPr="00BD251B">
              <w:rPr>
                <w:sz w:val="20"/>
              </w:rPr>
              <w:t xml:space="preserve"> – Rights to fundamental justice and equality – Applicant’s appeals stayed pending receipt by court of a medical report indicating applicant competent to conduct legal proceedings or appointment of a litigation guardian – Whether lower court discriminated against  applicant on the basis of mental disability – Whether Mainella J.A. exceeded his jurisdiction by finally disposing of applicant’s claim and by deciding the merits of his claim against the Ombudsman – Whether applicant had his interests properly represented because he was a person under disability and he did not have the protections of a litigation guardian and lawyer – Whether applicant has right to sue Mainella J.A. and the Manitoba Court of Appeal for not properly protecting his rights as a person with a mental disability.</w:t>
            </w:r>
          </w:p>
        </w:tc>
      </w:tr>
      <w:tr w:rsidR="00C032C5" w:rsidRPr="00BD251B" w:rsidTr="00D27959">
        <w:tc>
          <w:tcPr>
            <w:tcW w:w="5000" w:type="pct"/>
            <w:gridSpan w:val="3"/>
          </w:tcPr>
          <w:p w:rsidR="00C032C5" w:rsidRPr="00BD251B" w:rsidRDefault="00C032C5" w:rsidP="00D27959">
            <w:pPr>
              <w:jc w:val="both"/>
              <w:rPr>
                <w:sz w:val="20"/>
              </w:rPr>
            </w:pPr>
          </w:p>
        </w:tc>
      </w:tr>
      <w:tr w:rsidR="00C032C5" w:rsidRPr="00BD251B" w:rsidTr="00D27959">
        <w:tc>
          <w:tcPr>
            <w:tcW w:w="5000" w:type="pct"/>
            <w:gridSpan w:val="3"/>
          </w:tcPr>
          <w:p w:rsidR="00C032C5" w:rsidRPr="00BD251B" w:rsidRDefault="00C032C5" w:rsidP="00D27959">
            <w:pPr>
              <w:jc w:val="both"/>
              <w:rPr>
                <w:sz w:val="20"/>
              </w:rPr>
            </w:pPr>
            <w:r w:rsidRPr="00BD251B">
              <w:rPr>
                <w:sz w:val="20"/>
              </w:rPr>
              <w:t xml:space="preserve">Mr. Klippenstein brought an action against the respondent in 2013, alleging that he had been a victim of a crime on two occasions while riding a transit bus.  He filed a complaint with the Ombudsman requesting information under </w:t>
            </w:r>
            <w:r w:rsidRPr="00BD251B">
              <w:rPr>
                <w:i/>
                <w:sz w:val="20"/>
              </w:rPr>
              <w:t>The Freedom of Information and Protection of Privacy Act</w:t>
            </w:r>
            <w:r w:rsidRPr="00BD251B">
              <w:rPr>
                <w:sz w:val="20"/>
              </w:rPr>
              <w:t>, C.C.S.M., c. F175 with respect to the two incidents.  He was not satisfied with the Ombudsman’s investigations because they did not lead to prosecutions.  In his action, Mr. Klippenstein alleged that the Ombudsman had acted in bad faith.  The Ombudsman moved to stay the action.</w:t>
            </w:r>
          </w:p>
          <w:p w:rsidR="00C032C5" w:rsidRPr="00BD251B" w:rsidRDefault="00C032C5" w:rsidP="00D27959">
            <w:pPr>
              <w:jc w:val="both"/>
              <w:rPr>
                <w:sz w:val="20"/>
              </w:rPr>
            </w:pPr>
          </w:p>
        </w:tc>
      </w:tr>
      <w:tr w:rsidR="00C032C5" w:rsidRPr="00BD251B" w:rsidTr="00D27959">
        <w:tc>
          <w:tcPr>
            <w:tcW w:w="2427" w:type="pct"/>
          </w:tcPr>
          <w:p w:rsidR="00C032C5" w:rsidRPr="00BD251B" w:rsidRDefault="00C032C5" w:rsidP="00D27959">
            <w:pPr>
              <w:jc w:val="both"/>
              <w:rPr>
                <w:sz w:val="20"/>
              </w:rPr>
            </w:pPr>
            <w:r w:rsidRPr="00BD251B">
              <w:rPr>
                <w:sz w:val="20"/>
              </w:rPr>
              <w:t>February 3, 2014</w:t>
            </w:r>
          </w:p>
          <w:p w:rsidR="00C032C5" w:rsidRPr="00BD251B" w:rsidRDefault="00C032C5" w:rsidP="00D27959">
            <w:pPr>
              <w:jc w:val="both"/>
              <w:rPr>
                <w:sz w:val="20"/>
              </w:rPr>
            </w:pPr>
            <w:r w:rsidRPr="00BD251B">
              <w:rPr>
                <w:sz w:val="20"/>
              </w:rPr>
              <w:t>Court of Queen’s Bench of Manitoba</w:t>
            </w:r>
          </w:p>
          <w:p w:rsidR="00C032C5" w:rsidRPr="00BD251B" w:rsidRDefault="00C032C5" w:rsidP="00D27959">
            <w:pPr>
              <w:jc w:val="both"/>
              <w:rPr>
                <w:sz w:val="20"/>
              </w:rPr>
            </w:pPr>
            <w:r w:rsidRPr="00BD251B">
              <w:rPr>
                <w:sz w:val="20"/>
              </w:rPr>
              <w:t>(Edmond J.)</w:t>
            </w:r>
          </w:p>
          <w:p w:rsidR="00C032C5" w:rsidRPr="00BD251B" w:rsidRDefault="005B7E98" w:rsidP="00D27959">
            <w:pPr>
              <w:jc w:val="both"/>
              <w:rPr>
                <w:sz w:val="20"/>
              </w:rPr>
            </w:pPr>
            <w:hyperlink r:id="rId51" w:history="1">
              <w:r w:rsidR="00C032C5" w:rsidRPr="00BD251B">
                <w:rPr>
                  <w:color w:val="0000FF" w:themeColor="hyperlink"/>
                  <w:sz w:val="20"/>
                  <w:u w:val="single"/>
                </w:rPr>
                <w:t>2014 MBQB 25</w:t>
              </w:r>
            </w:hyperlink>
          </w:p>
          <w:p w:rsidR="00C032C5" w:rsidRPr="00BD251B" w:rsidRDefault="00C032C5" w:rsidP="00D27959">
            <w:pPr>
              <w:jc w:val="both"/>
              <w:rPr>
                <w:sz w:val="20"/>
              </w:rPr>
            </w:pPr>
          </w:p>
        </w:tc>
        <w:tc>
          <w:tcPr>
            <w:tcW w:w="243" w:type="pct"/>
          </w:tcPr>
          <w:p w:rsidR="00C032C5" w:rsidRPr="00BD251B" w:rsidRDefault="00C032C5" w:rsidP="00D27959">
            <w:pPr>
              <w:jc w:val="both"/>
              <w:rPr>
                <w:sz w:val="20"/>
              </w:rPr>
            </w:pPr>
          </w:p>
        </w:tc>
        <w:tc>
          <w:tcPr>
            <w:tcW w:w="2330" w:type="pct"/>
          </w:tcPr>
          <w:p w:rsidR="00C032C5" w:rsidRPr="00BD251B" w:rsidRDefault="00C032C5" w:rsidP="00D27959">
            <w:pPr>
              <w:jc w:val="both"/>
              <w:rPr>
                <w:sz w:val="20"/>
              </w:rPr>
            </w:pPr>
            <w:r w:rsidRPr="00BD251B">
              <w:rPr>
                <w:sz w:val="20"/>
              </w:rPr>
              <w:t>Respondent’s motion for a stay of proceedings granted.</w:t>
            </w:r>
          </w:p>
        </w:tc>
      </w:tr>
      <w:tr w:rsidR="00C032C5" w:rsidRPr="00BD251B" w:rsidTr="00D27959">
        <w:tc>
          <w:tcPr>
            <w:tcW w:w="2427" w:type="pct"/>
          </w:tcPr>
          <w:p w:rsidR="00C032C5" w:rsidRPr="00BD251B" w:rsidRDefault="00C032C5" w:rsidP="00D27959">
            <w:pPr>
              <w:jc w:val="both"/>
              <w:rPr>
                <w:sz w:val="20"/>
              </w:rPr>
            </w:pPr>
            <w:r w:rsidRPr="00BD251B">
              <w:rPr>
                <w:sz w:val="20"/>
              </w:rPr>
              <w:t>February 4, 2015</w:t>
            </w:r>
          </w:p>
          <w:p w:rsidR="00C032C5" w:rsidRPr="00BD251B" w:rsidRDefault="00C032C5" w:rsidP="00D27959">
            <w:pPr>
              <w:jc w:val="both"/>
              <w:rPr>
                <w:sz w:val="20"/>
              </w:rPr>
            </w:pPr>
            <w:r w:rsidRPr="00BD251B">
              <w:rPr>
                <w:sz w:val="20"/>
              </w:rPr>
              <w:t>Court of Appeal of Manitoba</w:t>
            </w:r>
          </w:p>
          <w:p w:rsidR="00C032C5" w:rsidRPr="00BD251B" w:rsidRDefault="00C032C5" w:rsidP="00D27959">
            <w:pPr>
              <w:jc w:val="both"/>
              <w:rPr>
                <w:sz w:val="20"/>
              </w:rPr>
            </w:pPr>
            <w:r w:rsidRPr="00BD251B">
              <w:rPr>
                <w:sz w:val="20"/>
              </w:rPr>
              <w:t>(Mainella J.A.)</w:t>
            </w:r>
          </w:p>
          <w:p w:rsidR="00C032C5" w:rsidRPr="00BD251B" w:rsidRDefault="005B7E98" w:rsidP="00D27959">
            <w:pPr>
              <w:jc w:val="both"/>
              <w:rPr>
                <w:sz w:val="20"/>
              </w:rPr>
            </w:pPr>
            <w:hyperlink r:id="rId52" w:history="1">
              <w:r w:rsidR="00C032C5" w:rsidRPr="00BD251B">
                <w:rPr>
                  <w:color w:val="0000FF" w:themeColor="hyperlink"/>
                  <w:sz w:val="20"/>
                  <w:u w:val="single"/>
                </w:rPr>
                <w:t>2015 MBCA 15</w:t>
              </w:r>
            </w:hyperlink>
          </w:p>
          <w:p w:rsidR="00C032C5" w:rsidRPr="00BD251B" w:rsidRDefault="00C032C5" w:rsidP="00D27959">
            <w:pPr>
              <w:jc w:val="both"/>
              <w:rPr>
                <w:sz w:val="20"/>
              </w:rPr>
            </w:pPr>
          </w:p>
          <w:p w:rsidR="00C032C5" w:rsidRPr="00BD251B" w:rsidRDefault="00C032C5" w:rsidP="00D27959">
            <w:pPr>
              <w:jc w:val="both"/>
              <w:rPr>
                <w:sz w:val="20"/>
              </w:rPr>
            </w:pPr>
            <w:r w:rsidRPr="00BD251B">
              <w:rPr>
                <w:sz w:val="20"/>
              </w:rPr>
              <w:t xml:space="preserve">Dockets : A113-30-08075, A113-30-08084 </w:t>
            </w:r>
          </w:p>
          <w:p w:rsidR="00C032C5" w:rsidRPr="00BD251B" w:rsidRDefault="00C032C5" w:rsidP="00D27959">
            <w:pPr>
              <w:jc w:val="both"/>
              <w:rPr>
                <w:sz w:val="20"/>
              </w:rPr>
            </w:pPr>
            <w:r w:rsidRPr="00BD251B">
              <w:rPr>
                <w:sz w:val="20"/>
              </w:rPr>
              <w:t>and A114-30-08112</w:t>
            </w:r>
          </w:p>
          <w:p w:rsidR="00C032C5" w:rsidRPr="00BD251B" w:rsidRDefault="00C032C5" w:rsidP="00D27959">
            <w:pPr>
              <w:jc w:val="both"/>
              <w:rPr>
                <w:sz w:val="20"/>
              </w:rPr>
            </w:pPr>
          </w:p>
        </w:tc>
        <w:tc>
          <w:tcPr>
            <w:tcW w:w="243" w:type="pct"/>
          </w:tcPr>
          <w:p w:rsidR="00C032C5" w:rsidRPr="00BD251B" w:rsidRDefault="00C032C5" w:rsidP="00D27959">
            <w:pPr>
              <w:jc w:val="both"/>
              <w:rPr>
                <w:sz w:val="20"/>
              </w:rPr>
            </w:pPr>
          </w:p>
        </w:tc>
        <w:tc>
          <w:tcPr>
            <w:tcW w:w="2330" w:type="pct"/>
          </w:tcPr>
          <w:p w:rsidR="00C032C5" w:rsidRPr="00BD251B" w:rsidRDefault="00C032C5" w:rsidP="00D27959">
            <w:pPr>
              <w:jc w:val="both"/>
              <w:rPr>
                <w:sz w:val="20"/>
              </w:rPr>
            </w:pPr>
            <w:r w:rsidRPr="00BD251B">
              <w:rPr>
                <w:sz w:val="20"/>
              </w:rPr>
              <w:t>Applicant’s motion for recusal and motion to have litigation guardian appointed dismissed; applicant’s three appeals stayed until further order of the court.  Registry directed not to accept for filing any further documents by applicant until written proof provided that applicant is represented by legal counsel.</w:t>
            </w:r>
          </w:p>
          <w:p w:rsidR="00C032C5" w:rsidRPr="00BD251B" w:rsidRDefault="00C032C5" w:rsidP="00D27959">
            <w:pPr>
              <w:jc w:val="both"/>
              <w:rPr>
                <w:sz w:val="20"/>
              </w:rPr>
            </w:pPr>
          </w:p>
        </w:tc>
      </w:tr>
      <w:tr w:rsidR="00C032C5" w:rsidRPr="00BD251B" w:rsidTr="00D27959">
        <w:tc>
          <w:tcPr>
            <w:tcW w:w="2427" w:type="pct"/>
          </w:tcPr>
          <w:p w:rsidR="00C032C5" w:rsidRPr="00BD251B" w:rsidRDefault="00C032C5" w:rsidP="00D27959">
            <w:pPr>
              <w:jc w:val="both"/>
              <w:rPr>
                <w:sz w:val="20"/>
              </w:rPr>
            </w:pPr>
            <w:r w:rsidRPr="00BD251B">
              <w:rPr>
                <w:sz w:val="20"/>
              </w:rPr>
              <w:t>March 31, 2015</w:t>
            </w:r>
          </w:p>
          <w:p w:rsidR="00C032C5" w:rsidRPr="00BD251B" w:rsidRDefault="00C032C5" w:rsidP="00D27959">
            <w:pPr>
              <w:jc w:val="both"/>
              <w:rPr>
                <w:sz w:val="20"/>
              </w:rPr>
            </w:pPr>
            <w:r w:rsidRPr="00BD251B">
              <w:rPr>
                <w:sz w:val="20"/>
              </w:rPr>
              <w:t>Supreme Court of Canada</w:t>
            </w:r>
          </w:p>
        </w:tc>
        <w:tc>
          <w:tcPr>
            <w:tcW w:w="243" w:type="pct"/>
          </w:tcPr>
          <w:p w:rsidR="00C032C5" w:rsidRPr="00BD251B" w:rsidRDefault="00C032C5" w:rsidP="00D27959">
            <w:pPr>
              <w:jc w:val="both"/>
              <w:rPr>
                <w:sz w:val="20"/>
              </w:rPr>
            </w:pPr>
          </w:p>
        </w:tc>
        <w:tc>
          <w:tcPr>
            <w:tcW w:w="2330" w:type="pct"/>
          </w:tcPr>
          <w:p w:rsidR="00C032C5" w:rsidRPr="00BD251B" w:rsidRDefault="00C032C5" w:rsidP="00D27959">
            <w:pPr>
              <w:jc w:val="both"/>
              <w:rPr>
                <w:sz w:val="20"/>
              </w:rPr>
            </w:pPr>
            <w:r w:rsidRPr="00BD251B">
              <w:rPr>
                <w:sz w:val="20"/>
              </w:rPr>
              <w:t>Application for leave to appeal filed.</w:t>
            </w:r>
          </w:p>
          <w:p w:rsidR="00C032C5" w:rsidRPr="00BD251B" w:rsidRDefault="00C032C5" w:rsidP="00D27959">
            <w:pPr>
              <w:jc w:val="both"/>
              <w:rPr>
                <w:sz w:val="20"/>
              </w:rPr>
            </w:pPr>
          </w:p>
        </w:tc>
      </w:tr>
    </w:tbl>
    <w:p w:rsidR="00E112BD" w:rsidRPr="00C032C5" w:rsidRDefault="00E112BD" w:rsidP="00E112BD">
      <w:pPr>
        <w:rPr>
          <w:sz w:val="20"/>
          <w:szCs w:val="20"/>
        </w:rPr>
      </w:pPr>
    </w:p>
    <w:p w:rsidR="00E112BD" w:rsidRPr="00C50A5C" w:rsidRDefault="005B7E98" w:rsidP="00E112BD">
      <w:pPr>
        <w:rPr>
          <w:sz w:val="20"/>
          <w:szCs w:val="20"/>
        </w:rPr>
      </w:pPr>
      <w:r>
        <w:rPr>
          <w:sz w:val="20"/>
          <w:szCs w:val="20"/>
          <w:lang w:val="fr-CA"/>
        </w:rPr>
        <w:pict>
          <v:rect id="_x0000_i1062" style="width:2in;height:1pt" o:hrpct="0" o:hralign="center" o:hrstd="t" o:hrnoshade="t" o:hr="t" fillcolor="black [3213]" stroked="f"/>
        </w:pict>
      </w:r>
    </w:p>
    <w:p w:rsidR="00E112BD" w:rsidRDefault="00E112BD" w:rsidP="00E112BD">
      <w:pPr>
        <w:rPr>
          <w:sz w:val="20"/>
          <w:szCs w:val="20"/>
        </w:rPr>
      </w:pPr>
    </w:p>
    <w:p w:rsidR="00E112BD" w:rsidRPr="001B157C" w:rsidRDefault="00E112BD" w:rsidP="00E112BD">
      <w:pPr>
        <w:rPr>
          <w:sz w:val="20"/>
          <w:szCs w:val="20"/>
          <w:u w:val="single"/>
          <w:lang w:val="fr-CA"/>
        </w:rPr>
      </w:pPr>
      <w:r w:rsidRPr="001B157C">
        <w:rPr>
          <w:sz w:val="20"/>
          <w:szCs w:val="20"/>
          <w:u w:val="single"/>
          <w:lang w:val="fr-CA"/>
        </w:rPr>
        <w:t>RÉSUMÉ DE L’AFFAIRE</w:t>
      </w:r>
    </w:p>
    <w:p w:rsidR="00E112BD" w:rsidRDefault="00E112BD" w:rsidP="00E112B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32C5" w:rsidRPr="00A12C1D" w:rsidTr="00D27959">
        <w:tc>
          <w:tcPr>
            <w:tcW w:w="5000" w:type="pct"/>
            <w:gridSpan w:val="3"/>
          </w:tcPr>
          <w:p w:rsidR="00C032C5" w:rsidRPr="00BD251B" w:rsidRDefault="00C032C5" w:rsidP="00D27959">
            <w:pPr>
              <w:jc w:val="both"/>
              <w:rPr>
                <w:sz w:val="20"/>
                <w:lang w:val="fr-CA"/>
              </w:rPr>
            </w:pPr>
            <w:r w:rsidRPr="00BD251B">
              <w:rPr>
                <w:i/>
                <w:sz w:val="20"/>
                <w:lang w:val="fr-CA"/>
              </w:rPr>
              <w:t>Charte des droits</w:t>
            </w:r>
            <w:r w:rsidRPr="00BD251B">
              <w:rPr>
                <w:sz w:val="20"/>
                <w:lang w:val="fr-CA"/>
              </w:rPr>
              <w:t xml:space="preserve"> – Droits à la justice fondamentale et à l’égalité – Les appels du demandeur ont été suspendus en attendant que la cour reçoive un rapport médical indiquant que le demandeur est apte à ester en justice ou que l’on nomme un tuteur à l’instance – La juridiction inférieure a-t-elle fait preuve de discrimination à l’égard du demandeur sur le fondement de l’incapacité mentale? – Le juge Mainella a-t-il outrepassé sa compétence en tranchant </w:t>
            </w:r>
            <w:r w:rsidRPr="00BD251B">
              <w:rPr>
                <w:sz w:val="20"/>
                <w:lang w:val="fr-CA"/>
              </w:rPr>
              <w:lastRenderedPageBreak/>
              <w:t>définitivement la demande du demandeur et en statuant sur le bien-fondé de sa demande contre l’ombudsman? – Les intérêts du demandeur ont-ils été dûment représentés, vu qu’il était une personne ayant une incapacité et qu’il ne bénéficiait pas des protections d’un tuteur à l’instance et d’un avocat? – Le demandeur a-t-il le droit de poursuivre le juge Mainella et la Cour d’appel du Manitoba parce qu’ils n’auraient pas adéquatement protégé ses droits en tant que personne ayant une incapacité mentale?</w:t>
            </w:r>
          </w:p>
        </w:tc>
      </w:tr>
      <w:tr w:rsidR="00C032C5" w:rsidRPr="00A12C1D" w:rsidTr="00D27959">
        <w:tc>
          <w:tcPr>
            <w:tcW w:w="5000" w:type="pct"/>
            <w:gridSpan w:val="3"/>
          </w:tcPr>
          <w:p w:rsidR="00C032C5" w:rsidRPr="00BD251B" w:rsidRDefault="00C032C5" w:rsidP="00D27959">
            <w:pPr>
              <w:jc w:val="both"/>
              <w:rPr>
                <w:sz w:val="20"/>
                <w:lang w:val="fr-CA"/>
              </w:rPr>
            </w:pPr>
          </w:p>
        </w:tc>
      </w:tr>
      <w:tr w:rsidR="00C032C5" w:rsidRPr="00BD251B" w:rsidTr="00D27959">
        <w:tc>
          <w:tcPr>
            <w:tcW w:w="5000" w:type="pct"/>
            <w:gridSpan w:val="3"/>
          </w:tcPr>
          <w:p w:rsidR="00C032C5" w:rsidRPr="00BD251B" w:rsidRDefault="00C032C5" w:rsidP="00D27959">
            <w:pPr>
              <w:jc w:val="both"/>
              <w:rPr>
                <w:sz w:val="20"/>
                <w:lang w:val="fr-CA"/>
              </w:rPr>
            </w:pPr>
            <w:r w:rsidRPr="00BD251B">
              <w:rPr>
                <w:sz w:val="20"/>
                <w:lang w:val="fr-CA"/>
              </w:rPr>
              <w:t xml:space="preserve">Monsieur Klippenstein a intenté une action contre l’intimé en 2013, alléguant avoir été victime d’un crime à deux occasions alors qu’il voyageait à bord d’un autobus urbain.  Il a déposé une plainte à l’ombudsman, sollicitant de l’information en application de la </w:t>
            </w:r>
            <w:r w:rsidRPr="00BD251B">
              <w:rPr>
                <w:i/>
                <w:sz w:val="20"/>
                <w:lang w:val="fr-CA"/>
              </w:rPr>
              <w:t>Loi sur l’accès à l’information et la protection de la vie privée</w:t>
            </w:r>
            <w:r w:rsidRPr="00BD251B">
              <w:rPr>
                <w:sz w:val="20"/>
                <w:lang w:val="fr-CA"/>
              </w:rPr>
              <w:t>, C.P.L.M., ch. F175 relativement à ces deux incidents.  Il était insatisfait des enquêtes de l’ombudsman parce qu’elles n’avaient pas mené à des poursuites.  Dans son action, M. Klippenstein a allégué que l’ombudsman avait agi de mauvaise foi.  L’ombudsman a demandé par motion la suspension de l’action.</w:t>
            </w:r>
          </w:p>
          <w:p w:rsidR="00C032C5" w:rsidRPr="00BD251B" w:rsidRDefault="00C032C5" w:rsidP="00D27959">
            <w:pPr>
              <w:jc w:val="both"/>
              <w:rPr>
                <w:sz w:val="20"/>
                <w:lang w:val="fr-CA"/>
              </w:rPr>
            </w:pPr>
          </w:p>
        </w:tc>
      </w:tr>
      <w:tr w:rsidR="00C032C5" w:rsidRPr="00A12C1D" w:rsidTr="00D27959">
        <w:tc>
          <w:tcPr>
            <w:tcW w:w="2427" w:type="pct"/>
          </w:tcPr>
          <w:p w:rsidR="00C032C5" w:rsidRPr="00BD251B" w:rsidRDefault="00C032C5" w:rsidP="00D27959">
            <w:pPr>
              <w:jc w:val="both"/>
              <w:rPr>
                <w:sz w:val="20"/>
                <w:lang w:val="fr-CA"/>
              </w:rPr>
            </w:pPr>
            <w:r w:rsidRPr="00BD251B">
              <w:rPr>
                <w:sz w:val="20"/>
                <w:lang w:val="fr-CA"/>
              </w:rPr>
              <w:t>3 février 2014</w:t>
            </w:r>
          </w:p>
          <w:p w:rsidR="00C032C5" w:rsidRPr="00BD251B" w:rsidRDefault="00C032C5" w:rsidP="00D27959">
            <w:pPr>
              <w:jc w:val="both"/>
              <w:rPr>
                <w:sz w:val="20"/>
                <w:lang w:val="fr-CA"/>
              </w:rPr>
            </w:pPr>
            <w:r w:rsidRPr="00BD251B">
              <w:rPr>
                <w:sz w:val="20"/>
                <w:lang w:val="fr-CA"/>
              </w:rPr>
              <w:t>Cour du Banc de la Reine du Manitoba</w:t>
            </w:r>
          </w:p>
          <w:p w:rsidR="00C032C5" w:rsidRPr="00BD251B" w:rsidRDefault="00C032C5" w:rsidP="00D27959">
            <w:pPr>
              <w:jc w:val="both"/>
              <w:rPr>
                <w:sz w:val="20"/>
                <w:lang w:val="fr-CA"/>
              </w:rPr>
            </w:pPr>
            <w:r w:rsidRPr="00BD251B">
              <w:rPr>
                <w:sz w:val="20"/>
                <w:lang w:val="fr-CA"/>
              </w:rPr>
              <w:t>(Juge Edmond)</w:t>
            </w:r>
          </w:p>
          <w:p w:rsidR="00C032C5" w:rsidRPr="00BD251B" w:rsidRDefault="005B7E98" w:rsidP="00D27959">
            <w:pPr>
              <w:jc w:val="both"/>
              <w:rPr>
                <w:sz w:val="20"/>
                <w:lang w:val="fr-CA"/>
              </w:rPr>
            </w:pPr>
            <w:hyperlink r:id="rId53" w:history="1">
              <w:r w:rsidR="00C032C5" w:rsidRPr="00BD251B">
                <w:rPr>
                  <w:color w:val="0000FF" w:themeColor="hyperlink"/>
                  <w:sz w:val="20"/>
                  <w:u w:val="single"/>
                  <w:lang w:val="fr-CA"/>
                </w:rPr>
                <w:t>2014 MBQB 25</w:t>
              </w:r>
            </w:hyperlink>
          </w:p>
          <w:p w:rsidR="00C032C5" w:rsidRPr="00BD251B" w:rsidRDefault="00C032C5" w:rsidP="00D27959">
            <w:pPr>
              <w:jc w:val="both"/>
              <w:rPr>
                <w:sz w:val="20"/>
                <w:lang w:val="fr-CA"/>
              </w:rPr>
            </w:pPr>
          </w:p>
        </w:tc>
        <w:tc>
          <w:tcPr>
            <w:tcW w:w="243" w:type="pct"/>
          </w:tcPr>
          <w:p w:rsidR="00C032C5" w:rsidRPr="00BD251B" w:rsidRDefault="00C032C5" w:rsidP="00D27959">
            <w:pPr>
              <w:jc w:val="both"/>
              <w:rPr>
                <w:sz w:val="20"/>
                <w:lang w:val="fr-CA"/>
              </w:rPr>
            </w:pPr>
          </w:p>
        </w:tc>
        <w:tc>
          <w:tcPr>
            <w:tcW w:w="2330" w:type="pct"/>
          </w:tcPr>
          <w:p w:rsidR="00C032C5" w:rsidRPr="00BD251B" w:rsidRDefault="00C032C5" w:rsidP="00D27959">
            <w:pPr>
              <w:jc w:val="both"/>
              <w:rPr>
                <w:sz w:val="20"/>
                <w:lang w:val="fr-CA"/>
              </w:rPr>
            </w:pPr>
            <w:r w:rsidRPr="00BD251B">
              <w:rPr>
                <w:sz w:val="20"/>
                <w:lang w:val="fr-CA"/>
              </w:rPr>
              <w:t>Suspension de l’instance à la demande de l’intimé par motion.</w:t>
            </w:r>
          </w:p>
        </w:tc>
      </w:tr>
      <w:tr w:rsidR="00C032C5" w:rsidRPr="00A12C1D" w:rsidTr="00D27959">
        <w:tc>
          <w:tcPr>
            <w:tcW w:w="2427" w:type="pct"/>
          </w:tcPr>
          <w:p w:rsidR="00C032C5" w:rsidRPr="00BD251B" w:rsidRDefault="00C032C5" w:rsidP="00D27959">
            <w:pPr>
              <w:jc w:val="both"/>
              <w:rPr>
                <w:sz w:val="20"/>
                <w:lang w:val="fr-CA"/>
              </w:rPr>
            </w:pPr>
            <w:r w:rsidRPr="00BD251B">
              <w:rPr>
                <w:sz w:val="20"/>
                <w:lang w:val="fr-CA"/>
              </w:rPr>
              <w:t>4 février 2015</w:t>
            </w:r>
          </w:p>
          <w:p w:rsidR="00C032C5" w:rsidRPr="00BD251B" w:rsidRDefault="00C032C5" w:rsidP="00D27959">
            <w:pPr>
              <w:jc w:val="both"/>
              <w:rPr>
                <w:sz w:val="20"/>
                <w:lang w:val="fr-CA"/>
              </w:rPr>
            </w:pPr>
            <w:r w:rsidRPr="00BD251B">
              <w:rPr>
                <w:sz w:val="20"/>
                <w:lang w:val="fr-CA"/>
              </w:rPr>
              <w:t>Cour d’appel du Manitoba</w:t>
            </w:r>
          </w:p>
          <w:p w:rsidR="00C032C5" w:rsidRPr="00BD251B" w:rsidRDefault="00C032C5" w:rsidP="00D27959">
            <w:pPr>
              <w:jc w:val="both"/>
              <w:rPr>
                <w:sz w:val="20"/>
                <w:lang w:val="fr-CA"/>
              </w:rPr>
            </w:pPr>
            <w:r w:rsidRPr="00BD251B">
              <w:rPr>
                <w:sz w:val="20"/>
                <w:lang w:val="fr-CA"/>
              </w:rPr>
              <w:t>(Juge Mainella)</w:t>
            </w:r>
          </w:p>
          <w:p w:rsidR="00C032C5" w:rsidRPr="00BD251B" w:rsidRDefault="005B7E98" w:rsidP="00D27959">
            <w:pPr>
              <w:jc w:val="both"/>
              <w:rPr>
                <w:sz w:val="20"/>
                <w:lang w:val="fr-CA"/>
              </w:rPr>
            </w:pPr>
            <w:hyperlink r:id="rId54" w:history="1">
              <w:r w:rsidR="00C032C5" w:rsidRPr="00BD251B">
                <w:rPr>
                  <w:color w:val="0000FF" w:themeColor="hyperlink"/>
                  <w:sz w:val="20"/>
                  <w:u w:val="single"/>
                  <w:lang w:val="fr-CA"/>
                </w:rPr>
                <w:t>2015 MBCA 15</w:t>
              </w:r>
            </w:hyperlink>
          </w:p>
          <w:p w:rsidR="00C032C5" w:rsidRPr="00BD251B" w:rsidRDefault="00C032C5" w:rsidP="00D27959">
            <w:pPr>
              <w:jc w:val="both"/>
              <w:rPr>
                <w:sz w:val="20"/>
                <w:lang w:val="fr-CA"/>
              </w:rPr>
            </w:pPr>
          </w:p>
          <w:p w:rsidR="00C032C5" w:rsidRPr="00BD251B" w:rsidRDefault="00C032C5" w:rsidP="00D27959">
            <w:pPr>
              <w:jc w:val="both"/>
              <w:rPr>
                <w:sz w:val="20"/>
                <w:lang w:val="fr-CA"/>
              </w:rPr>
            </w:pPr>
            <w:r w:rsidRPr="00BD251B">
              <w:rPr>
                <w:sz w:val="20"/>
                <w:lang w:val="fr-CA"/>
              </w:rPr>
              <w:t>N</w:t>
            </w:r>
            <w:r w:rsidRPr="00BD251B">
              <w:rPr>
                <w:sz w:val="20"/>
                <w:vertAlign w:val="superscript"/>
                <w:lang w:val="fr-CA"/>
              </w:rPr>
              <w:t>os</w:t>
            </w:r>
            <w:r w:rsidRPr="00BD251B">
              <w:rPr>
                <w:sz w:val="20"/>
                <w:lang w:val="fr-CA"/>
              </w:rPr>
              <w:t xml:space="preserve"> du greffe : A113-30-08075, A113-30-08084 et A114-30-08112</w:t>
            </w:r>
          </w:p>
          <w:p w:rsidR="00C032C5" w:rsidRPr="00BD251B" w:rsidRDefault="00C032C5" w:rsidP="00D27959">
            <w:pPr>
              <w:jc w:val="both"/>
              <w:rPr>
                <w:sz w:val="20"/>
                <w:lang w:val="fr-CA"/>
              </w:rPr>
            </w:pPr>
          </w:p>
        </w:tc>
        <w:tc>
          <w:tcPr>
            <w:tcW w:w="243" w:type="pct"/>
          </w:tcPr>
          <w:p w:rsidR="00C032C5" w:rsidRPr="00BD251B" w:rsidRDefault="00C032C5" w:rsidP="00D27959">
            <w:pPr>
              <w:jc w:val="both"/>
              <w:rPr>
                <w:sz w:val="20"/>
                <w:lang w:val="fr-CA"/>
              </w:rPr>
            </w:pPr>
          </w:p>
        </w:tc>
        <w:tc>
          <w:tcPr>
            <w:tcW w:w="2330" w:type="pct"/>
          </w:tcPr>
          <w:p w:rsidR="00C032C5" w:rsidRPr="00BD251B" w:rsidRDefault="00C032C5" w:rsidP="00D27959">
            <w:pPr>
              <w:jc w:val="both"/>
              <w:rPr>
                <w:sz w:val="20"/>
                <w:lang w:val="fr-CA"/>
              </w:rPr>
            </w:pPr>
            <w:r w:rsidRPr="00BD251B">
              <w:rPr>
                <w:sz w:val="20"/>
                <w:lang w:val="fr-CA"/>
              </w:rPr>
              <w:t>Rejet de la motion du demandeur en récusation et de la motion du demandeur en nomination d’un tuteur à l’instance; suspension des trois appels du demandeur jusqu’à nouvel ordre de la cour; directive au greffe de ne pas accepter d’autres documents du demandeur pour dépôt jusqu’à ce que le demandeur fournisse par écrit une preuve comme quoi il est représenté par un avocat.</w:t>
            </w:r>
          </w:p>
          <w:p w:rsidR="00C032C5" w:rsidRPr="00BD251B" w:rsidRDefault="00C032C5" w:rsidP="00D27959">
            <w:pPr>
              <w:jc w:val="both"/>
              <w:rPr>
                <w:sz w:val="20"/>
                <w:lang w:val="fr-CA"/>
              </w:rPr>
            </w:pPr>
          </w:p>
        </w:tc>
      </w:tr>
      <w:tr w:rsidR="00C032C5" w:rsidRPr="00A12C1D" w:rsidTr="00D27959">
        <w:tc>
          <w:tcPr>
            <w:tcW w:w="2427" w:type="pct"/>
          </w:tcPr>
          <w:p w:rsidR="00C032C5" w:rsidRPr="00BD251B" w:rsidRDefault="00C032C5" w:rsidP="00D27959">
            <w:pPr>
              <w:jc w:val="both"/>
              <w:rPr>
                <w:sz w:val="20"/>
                <w:lang w:val="fr-CA"/>
              </w:rPr>
            </w:pPr>
            <w:r w:rsidRPr="00BD251B">
              <w:rPr>
                <w:sz w:val="20"/>
                <w:lang w:val="fr-CA"/>
              </w:rPr>
              <w:t>31 mars 2015</w:t>
            </w:r>
          </w:p>
          <w:p w:rsidR="00C032C5" w:rsidRPr="00BD251B" w:rsidRDefault="00C032C5" w:rsidP="00D27959">
            <w:pPr>
              <w:jc w:val="both"/>
              <w:rPr>
                <w:sz w:val="20"/>
                <w:lang w:val="fr-CA"/>
              </w:rPr>
            </w:pPr>
            <w:r w:rsidRPr="00BD251B">
              <w:rPr>
                <w:sz w:val="20"/>
                <w:lang w:val="fr-CA"/>
              </w:rPr>
              <w:t>Cour suprême du Canada</w:t>
            </w:r>
          </w:p>
        </w:tc>
        <w:tc>
          <w:tcPr>
            <w:tcW w:w="243" w:type="pct"/>
          </w:tcPr>
          <w:p w:rsidR="00C032C5" w:rsidRPr="00BD251B" w:rsidRDefault="00C032C5" w:rsidP="00D27959">
            <w:pPr>
              <w:jc w:val="both"/>
              <w:rPr>
                <w:sz w:val="20"/>
                <w:lang w:val="fr-CA"/>
              </w:rPr>
            </w:pPr>
          </w:p>
        </w:tc>
        <w:tc>
          <w:tcPr>
            <w:tcW w:w="2330" w:type="pct"/>
          </w:tcPr>
          <w:p w:rsidR="00C032C5" w:rsidRPr="00BD251B" w:rsidRDefault="00C032C5" w:rsidP="00D27959">
            <w:pPr>
              <w:jc w:val="both"/>
              <w:rPr>
                <w:sz w:val="20"/>
                <w:lang w:val="fr-CA"/>
              </w:rPr>
            </w:pPr>
            <w:r w:rsidRPr="00BD251B">
              <w:rPr>
                <w:sz w:val="20"/>
                <w:lang w:val="fr-CA"/>
              </w:rPr>
              <w:t>Dépôt de la demande d’autorisation d’appel.</w:t>
            </w:r>
          </w:p>
          <w:p w:rsidR="00C032C5" w:rsidRPr="00BD251B" w:rsidRDefault="00C032C5" w:rsidP="00D27959">
            <w:pPr>
              <w:jc w:val="both"/>
              <w:rPr>
                <w:sz w:val="20"/>
                <w:lang w:val="fr-CA"/>
              </w:rPr>
            </w:pPr>
          </w:p>
        </w:tc>
      </w:tr>
    </w:tbl>
    <w:p w:rsidR="00E112BD" w:rsidRPr="00C032C5" w:rsidRDefault="00E112BD" w:rsidP="00E112BD">
      <w:pPr>
        <w:rPr>
          <w:sz w:val="20"/>
          <w:szCs w:val="20"/>
          <w:lang w:val="fr-CA"/>
        </w:rPr>
      </w:pPr>
    </w:p>
    <w:p w:rsidR="00E112BD" w:rsidRDefault="005B7E98" w:rsidP="00E112BD">
      <w:pPr>
        <w:rPr>
          <w:sz w:val="20"/>
          <w:szCs w:val="20"/>
        </w:rPr>
      </w:pPr>
      <w:r>
        <w:rPr>
          <w:sz w:val="20"/>
          <w:szCs w:val="20"/>
          <w:lang w:val="fr-CA"/>
        </w:rPr>
        <w:pict>
          <v:rect id="_x0000_i1063" style="width:2in;height:1pt" o:hrpct="0" o:hralign="center" o:hrstd="t" o:hrnoshade="t" o:hr="t" fillcolor="black [3213]" stroked="f"/>
        </w:pict>
      </w:r>
    </w:p>
    <w:p w:rsidR="00E112BD" w:rsidRDefault="00E112BD" w:rsidP="00E112BD">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00A98" w:rsidRPr="00100A98" w:rsidRDefault="00100A98" w:rsidP="00100A98">
      <w:pPr>
        <w:tabs>
          <w:tab w:val="left" w:pos="-1440"/>
          <w:tab w:val="left" w:pos="-720"/>
        </w:tabs>
        <w:jc w:val="both"/>
        <w:rPr>
          <w:sz w:val="20"/>
          <w:szCs w:val="20"/>
          <w:lang w:val="fr-CA"/>
        </w:rPr>
      </w:pPr>
      <w:r w:rsidRPr="00100A98">
        <w:rPr>
          <w:sz w:val="20"/>
          <w:szCs w:val="20"/>
          <w:lang w:val="fr-CA"/>
        </w:rPr>
        <w:t>05.06.2015</w:t>
      </w:r>
    </w:p>
    <w:p w:rsidR="00100A98" w:rsidRPr="00100A98" w:rsidRDefault="00100A98" w:rsidP="00100A98">
      <w:pPr>
        <w:tabs>
          <w:tab w:val="left" w:pos="-1440"/>
          <w:tab w:val="left" w:pos="-720"/>
        </w:tabs>
        <w:jc w:val="both"/>
        <w:rPr>
          <w:sz w:val="20"/>
          <w:szCs w:val="20"/>
          <w:lang w:val="fr-CA"/>
        </w:rPr>
      </w:pPr>
    </w:p>
    <w:p w:rsidR="00100A98" w:rsidRPr="00100A98" w:rsidRDefault="00100A98" w:rsidP="00100A98">
      <w:pPr>
        <w:tabs>
          <w:tab w:val="left" w:pos="-1440"/>
          <w:tab w:val="left" w:pos="-720"/>
        </w:tabs>
        <w:jc w:val="both"/>
        <w:rPr>
          <w:sz w:val="20"/>
          <w:szCs w:val="20"/>
          <w:lang w:val="fr-CA"/>
        </w:rPr>
      </w:pPr>
      <w:r w:rsidRPr="00100A98">
        <w:rPr>
          <w:sz w:val="20"/>
          <w:szCs w:val="20"/>
          <w:lang w:val="fr-CA"/>
        </w:rPr>
        <w:t>Before / Devant :   GASCON J. / LE JUGE GASCON</w:t>
      </w:r>
    </w:p>
    <w:p w:rsidR="00100A98" w:rsidRPr="00100A98" w:rsidRDefault="00100A98" w:rsidP="00100A9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100A98" w:rsidRPr="00A12C1D" w:rsidTr="004D7613">
        <w:tc>
          <w:tcPr>
            <w:tcW w:w="4338" w:type="dxa"/>
          </w:tcPr>
          <w:p w:rsidR="00100A98" w:rsidRPr="00100A98" w:rsidRDefault="00E85246" w:rsidP="004D7613">
            <w:pPr>
              <w:tabs>
                <w:tab w:val="left" w:pos="-1440"/>
                <w:tab w:val="left" w:pos="-720"/>
              </w:tabs>
              <w:jc w:val="both"/>
              <w:rPr>
                <w:b/>
                <w:sz w:val="20"/>
                <w:szCs w:val="20"/>
              </w:rPr>
            </w:pPr>
            <w:r w:rsidRPr="00100A98">
              <w:rPr>
                <w:sz w:val="20"/>
                <w:szCs w:val="20"/>
              </w:rPr>
              <w:fldChar w:fldCharType="begin"/>
            </w:r>
            <w:r w:rsidR="00100A98" w:rsidRPr="00100A98">
              <w:rPr>
                <w:sz w:val="20"/>
                <w:szCs w:val="20"/>
              </w:rPr>
              <w:instrText xml:space="preserve"> SEQ CHAPTER \h \r 1</w:instrText>
            </w:r>
            <w:r w:rsidRPr="00100A98">
              <w:rPr>
                <w:sz w:val="20"/>
                <w:szCs w:val="20"/>
              </w:rPr>
              <w:fldChar w:fldCharType="end"/>
            </w:r>
            <w:r w:rsidR="00100A98" w:rsidRPr="00100A98">
              <w:rPr>
                <w:b/>
                <w:bCs/>
                <w:sz w:val="20"/>
                <w:szCs w:val="20"/>
              </w:rPr>
              <w:t>Motion to extend time</w:t>
            </w:r>
          </w:p>
        </w:tc>
        <w:tc>
          <w:tcPr>
            <w:tcW w:w="1170" w:type="dxa"/>
          </w:tcPr>
          <w:p w:rsidR="00100A98" w:rsidRPr="00100A98" w:rsidRDefault="00100A98" w:rsidP="004D7613">
            <w:pPr>
              <w:tabs>
                <w:tab w:val="left" w:pos="-1440"/>
                <w:tab w:val="left" w:pos="-720"/>
              </w:tabs>
              <w:jc w:val="both"/>
              <w:rPr>
                <w:sz w:val="20"/>
                <w:szCs w:val="20"/>
              </w:rPr>
            </w:pPr>
          </w:p>
          <w:p w:rsidR="00100A98" w:rsidRPr="00100A98" w:rsidRDefault="00100A98" w:rsidP="004D7613">
            <w:pPr>
              <w:tabs>
                <w:tab w:val="left" w:pos="-1440"/>
                <w:tab w:val="left" w:pos="-720"/>
              </w:tabs>
              <w:jc w:val="both"/>
              <w:rPr>
                <w:sz w:val="20"/>
                <w:szCs w:val="20"/>
              </w:rPr>
            </w:pPr>
          </w:p>
        </w:tc>
        <w:tc>
          <w:tcPr>
            <w:tcW w:w="4327" w:type="dxa"/>
          </w:tcPr>
          <w:p w:rsidR="00100A98" w:rsidRPr="00100A98" w:rsidRDefault="00100A98" w:rsidP="004D7613">
            <w:pPr>
              <w:tabs>
                <w:tab w:val="left" w:pos="-1440"/>
                <w:tab w:val="left" w:pos="-720"/>
              </w:tabs>
              <w:jc w:val="both"/>
              <w:rPr>
                <w:sz w:val="20"/>
                <w:szCs w:val="20"/>
                <w:lang w:val="fr-CA"/>
              </w:rPr>
            </w:pPr>
            <w:r w:rsidRPr="00100A98">
              <w:rPr>
                <w:b/>
                <w:bCs/>
                <w:color w:val="000000"/>
                <w:sz w:val="20"/>
                <w:szCs w:val="20"/>
                <w:lang w:val="fr-CA"/>
              </w:rPr>
              <w:t>Requête en prorogation de délai</w:t>
            </w:r>
            <w:r w:rsidRPr="00100A98">
              <w:rPr>
                <w:sz w:val="20"/>
                <w:szCs w:val="20"/>
                <w:lang w:val="fr-CA"/>
              </w:rPr>
              <w:t xml:space="preserve"> </w:t>
            </w:r>
            <w:r w:rsidR="00E85246" w:rsidRPr="00100A98">
              <w:rPr>
                <w:sz w:val="20"/>
                <w:szCs w:val="20"/>
              </w:rPr>
              <w:fldChar w:fldCharType="begin"/>
            </w:r>
            <w:r w:rsidRPr="00100A98">
              <w:rPr>
                <w:sz w:val="20"/>
                <w:szCs w:val="20"/>
                <w:lang w:val="fr-CA"/>
              </w:rPr>
              <w:instrText xml:space="preserve"> SEQ CHAPTER \h \r 1</w:instrText>
            </w:r>
            <w:r w:rsidR="00E85246" w:rsidRPr="00100A98">
              <w:rPr>
                <w:sz w:val="20"/>
                <w:szCs w:val="20"/>
              </w:rPr>
              <w:fldChar w:fldCharType="end"/>
            </w:r>
            <w:r w:rsidR="00E85246" w:rsidRPr="00100A98">
              <w:rPr>
                <w:sz w:val="20"/>
                <w:szCs w:val="20"/>
              </w:rPr>
              <w:fldChar w:fldCharType="begin"/>
            </w:r>
            <w:r w:rsidRPr="00100A98">
              <w:rPr>
                <w:sz w:val="20"/>
                <w:szCs w:val="20"/>
                <w:lang w:val="fr-CA"/>
              </w:rPr>
              <w:instrText xml:space="preserve"> SEQ CHAPTER \h \r 1</w:instrText>
            </w:r>
            <w:r w:rsidR="00E85246" w:rsidRPr="00100A98">
              <w:rPr>
                <w:sz w:val="20"/>
                <w:szCs w:val="20"/>
              </w:rPr>
              <w:fldChar w:fldCharType="end"/>
            </w:r>
          </w:p>
        </w:tc>
      </w:tr>
      <w:tr w:rsidR="00100A98" w:rsidRPr="00100A98" w:rsidTr="004D7613">
        <w:tc>
          <w:tcPr>
            <w:tcW w:w="4338" w:type="dxa"/>
          </w:tcPr>
          <w:p w:rsidR="00100A98" w:rsidRPr="00100A98" w:rsidRDefault="00100A98" w:rsidP="004D7613">
            <w:pPr>
              <w:tabs>
                <w:tab w:val="left" w:pos="-1440"/>
                <w:tab w:val="left" w:pos="-720"/>
              </w:tabs>
              <w:jc w:val="both"/>
              <w:rPr>
                <w:sz w:val="20"/>
                <w:szCs w:val="20"/>
              </w:rPr>
            </w:pPr>
            <w:r w:rsidRPr="00100A98">
              <w:rPr>
                <w:sz w:val="20"/>
                <w:szCs w:val="20"/>
              </w:rPr>
              <w:t>Jonathan David Meer</w:t>
            </w:r>
          </w:p>
          <w:p w:rsidR="00100A98" w:rsidRPr="00100A98" w:rsidRDefault="00100A98" w:rsidP="004D7613">
            <w:pPr>
              <w:tabs>
                <w:tab w:val="left" w:pos="-1440"/>
                <w:tab w:val="left" w:pos="-720"/>
              </w:tabs>
              <w:jc w:val="both"/>
              <w:rPr>
                <w:sz w:val="20"/>
                <w:szCs w:val="20"/>
              </w:rPr>
            </w:pPr>
          </w:p>
          <w:p w:rsidR="00100A98" w:rsidRPr="00100A98" w:rsidRDefault="00100A98" w:rsidP="004D7613">
            <w:pPr>
              <w:tabs>
                <w:tab w:val="left" w:pos="-1440"/>
                <w:tab w:val="left" w:pos="-720"/>
              </w:tabs>
              <w:jc w:val="both"/>
              <w:rPr>
                <w:sz w:val="20"/>
                <w:szCs w:val="20"/>
              </w:rPr>
            </w:pPr>
            <w:r w:rsidRPr="00100A98">
              <w:rPr>
                <w:sz w:val="20"/>
                <w:szCs w:val="20"/>
              </w:rPr>
              <w:tab/>
              <w:t>v. (36448)</w:t>
            </w:r>
          </w:p>
          <w:p w:rsidR="00100A98" w:rsidRPr="00100A98" w:rsidRDefault="00100A98" w:rsidP="004D7613">
            <w:pPr>
              <w:tabs>
                <w:tab w:val="left" w:pos="-1440"/>
                <w:tab w:val="left" w:pos="-720"/>
              </w:tabs>
              <w:jc w:val="both"/>
              <w:rPr>
                <w:sz w:val="20"/>
                <w:szCs w:val="20"/>
              </w:rPr>
            </w:pPr>
          </w:p>
          <w:p w:rsidR="00100A98" w:rsidRPr="00100A98" w:rsidRDefault="00100A98" w:rsidP="004D7613">
            <w:pPr>
              <w:tabs>
                <w:tab w:val="left" w:pos="-1440"/>
                <w:tab w:val="left" w:pos="-720"/>
              </w:tabs>
              <w:jc w:val="both"/>
              <w:rPr>
                <w:sz w:val="20"/>
                <w:szCs w:val="20"/>
                <w:lang w:val="fr-CA"/>
              </w:rPr>
            </w:pPr>
            <w:r w:rsidRPr="00100A98">
              <w:rPr>
                <w:sz w:val="20"/>
                <w:szCs w:val="20"/>
              </w:rPr>
              <w:t xml:space="preserve">Her Majesty the Queen (Crim.) </w:t>
            </w:r>
            <w:r w:rsidRPr="00100A98">
              <w:rPr>
                <w:sz w:val="20"/>
                <w:szCs w:val="20"/>
                <w:lang w:val="fr-CA"/>
              </w:rPr>
              <w:t>(Alta.)</w:t>
            </w:r>
          </w:p>
        </w:tc>
        <w:tc>
          <w:tcPr>
            <w:tcW w:w="1170" w:type="dxa"/>
          </w:tcPr>
          <w:p w:rsidR="00100A98" w:rsidRPr="00100A98" w:rsidRDefault="00100A98" w:rsidP="004D7613">
            <w:pPr>
              <w:tabs>
                <w:tab w:val="left" w:pos="-1440"/>
                <w:tab w:val="left" w:pos="-720"/>
              </w:tabs>
              <w:jc w:val="both"/>
              <w:rPr>
                <w:sz w:val="20"/>
                <w:szCs w:val="20"/>
                <w:lang w:val="fr-CA"/>
              </w:rPr>
            </w:pPr>
          </w:p>
        </w:tc>
        <w:tc>
          <w:tcPr>
            <w:tcW w:w="4327" w:type="dxa"/>
          </w:tcPr>
          <w:p w:rsidR="00100A98" w:rsidRPr="00100A98" w:rsidRDefault="00100A98" w:rsidP="004D7613">
            <w:pPr>
              <w:tabs>
                <w:tab w:val="left" w:pos="-1440"/>
                <w:tab w:val="left" w:pos="-720"/>
              </w:tabs>
              <w:jc w:val="both"/>
              <w:rPr>
                <w:sz w:val="20"/>
                <w:szCs w:val="20"/>
                <w:lang w:val="fr-CA"/>
              </w:rPr>
            </w:pPr>
          </w:p>
        </w:tc>
      </w:tr>
    </w:tbl>
    <w:p w:rsidR="00100A98" w:rsidRPr="00100A98" w:rsidRDefault="00100A98" w:rsidP="00100A98">
      <w:pPr>
        <w:tabs>
          <w:tab w:val="left" w:pos="-1440"/>
          <w:tab w:val="left" w:pos="-720"/>
        </w:tabs>
        <w:jc w:val="both"/>
        <w:rPr>
          <w:sz w:val="20"/>
          <w:szCs w:val="20"/>
          <w:lang w:val="fr-CA"/>
        </w:rPr>
      </w:pPr>
    </w:p>
    <w:p w:rsidR="00100A98" w:rsidRPr="00100A98" w:rsidRDefault="00100A98" w:rsidP="00100A98">
      <w:pPr>
        <w:tabs>
          <w:tab w:val="left" w:pos="-1440"/>
          <w:tab w:val="left" w:pos="-720"/>
        </w:tabs>
        <w:jc w:val="both"/>
        <w:rPr>
          <w:b/>
          <w:sz w:val="20"/>
          <w:szCs w:val="20"/>
        </w:rPr>
      </w:pPr>
      <w:r w:rsidRPr="00100A98">
        <w:rPr>
          <w:b/>
          <w:sz w:val="20"/>
          <w:szCs w:val="20"/>
        </w:rPr>
        <w:t>GRANTED / ACCORDÉE</w:t>
      </w:r>
    </w:p>
    <w:p w:rsidR="00100A98" w:rsidRPr="00100A98" w:rsidRDefault="00100A98" w:rsidP="00100A98">
      <w:pPr>
        <w:tabs>
          <w:tab w:val="left" w:pos="-1440"/>
          <w:tab w:val="left" w:pos="-720"/>
        </w:tabs>
        <w:jc w:val="both"/>
        <w:rPr>
          <w:sz w:val="20"/>
          <w:szCs w:val="20"/>
        </w:rPr>
      </w:pPr>
    </w:p>
    <w:p w:rsidR="00100A98" w:rsidRPr="00100A98" w:rsidRDefault="00100A98" w:rsidP="00100A98">
      <w:pPr>
        <w:jc w:val="both"/>
        <w:rPr>
          <w:sz w:val="20"/>
          <w:szCs w:val="20"/>
        </w:rPr>
      </w:pPr>
      <w:r w:rsidRPr="00100A98">
        <w:rPr>
          <w:b/>
          <w:bCs/>
          <w:sz w:val="20"/>
          <w:szCs w:val="20"/>
        </w:rPr>
        <w:t>UPON APPLICATION</w:t>
      </w:r>
      <w:r w:rsidRPr="00100A98">
        <w:rPr>
          <w:sz w:val="20"/>
          <w:szCs w:val="20"/>
        </w:rPr>
        <w:t xml:space="preserve"> by the appellant for an order extending the time to serve and file its notice of appeal as of right to May 21, 2015;</w:t>
      </w:r>
    </w:p>
    <w:p w:rsidR="00100A98" w:rsidRPr="00100A98" w:rsidRDefault="00100A98" w:rsidP="00100A98">
      <w:pPr>
        <w:jc w:val="both"/>
        <w:rPr>
          <w:sz w:val="20"/>
          <w:szCs w:val="20"/>
        </w:rPr>
      </w:pPr>
    </w:p>
    <w:p w:rsidR="00100A98" w:rsidRPr="00100A98" w:rsidRDefault="00100A98" w:rsidP="00100A98">
      <w:pPr>
        <w:jc w:val="both"/>
        <w:rPr>
          <w:sz w:val="20"/>
          <w:szCs w:val="20"/>
        </w:rPr>
      </w:pPr>
      <w:r w:rsidRPr="00100A98">
        <w:rPr>
          <w:b/>
          <w:bCs/>
          <w:sz w:val="20"/>
          <w:szCs w:val="20"/>
        </w:rPr>
        <w:t>AND THE MATERIAL FILED</w:t>
      </w:r>
      <w:r w:rsidRPr="00100A98">
        <w:rPr>
          <w:sz w:val="20"/>
          <w:szCs w:val="20"/>
        </w:rPr>
        <w:t xml:space="preserve"> having been read;</w:t>
      </w:r>
    </w:p>
    <w:p w:rsidR="00100A98" w:rsidRPr="00100A98" w:rsidRDefault="00100A98" w:rsidP="00100A98">
      <w:pPr>
        <w:jc w:val="both"/>
        <w:rPr>
          <w:sz w:val="20"/>
          <w:szCs w:val="20"/>
        </w:rPr>
      </w:pPr>
    </w:p>
    <w:p w:rsidR="00100A98" w:rsidRPr="00100A98" w:rsidRDefault="00100A98" w:rsidP="00100A98">
      <w:pPr>
        <w:jc w:val="both"/>
        <w:rPr>
          <w:sz w:val="20"/>
          <w:szCs w:val="20"/>
        </w:rPr>
      </w:pPr>
      <w:r w:rsidRPr="00100A98">
        <w:rPr>
          <w:b/>
          <w:bCs/>
          <w:sz w:val="20"/>
          <w:szCs w:val="20"/>
        </w:rPr>
        <w:t>IT IS HEREBY ORDERED THAT:</w:t>
      </w:r>
    </w:p>
    <w:p w:rsidR="00100A98" w:rsidRPr="00100A98" w:rsidRDefault="00100A98" w:rsidP="00100A98">
      <w:pPr>
        <w:jc w:val="both"/>
        <w:rPr>
          <w:sz w:val="20"/>
          <w:szCs w:val="20"/>
        </w:rPr>
      </w:pPr>
    </w:p>
    <w:p w:rsidR="00100A98" w:rsidRPr="00100A98" w:rsidRDefault="00100A98" w:rsidP="00100A9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100A98">
        <w:rPr>
          <w:sz w:val="20"/>
          <w:szCs w:val="20"/>
          <w:lang w:val="fr-CA"/>
        </w:rPr>
        <w:t>The motion is granted.</w:t>
      </w:r>
    </w:p>
    <w:p w:rsidR="00100A98" w:rsidRPr="00100A98" w:rsidRDefault="00100A98" w:rsidP="00100A98">
      <w:pPr>
        <w:jc w:val="both"/>
        <w:rPr>
          <w:sz w:val="20"/>
          <w:szCs w:val="20"/>
          <w:lang w:val="fr-CA"/>
        </w:rPr>
      </w:pPr>
    </w:p>
    <w:p w:rsidR="00100A98" w:rsidRPr="00100A98" w:rsidRDefault="00100A98" w:rsidP="00100A98">
      <w:pPr>
        <w:jc w:val="both"/>
        <w:rPr>
          <w:sz w:val="20"/>
          <w:szCs w:val="20"/>
          <w:lang w:val="fr-CA"/>
        </w:rPr>
      </w:pPr>
    </w:p>
    <w:p w:rsidR="00100A98" w:rsidRPr="00100A98" w:rsidRDefault="00100A98" w:rsidP="00100A98">
      <w:pPr>
        <w:jc w:val="both"/>
        <w:rPr>
          <w:sz w:val="20"/>
          <w:szCs w:val="20"/>
          <w:lang w:val="fr-CA"/>
        </w:rPr>
      </w:pPr>
    </w:p>
    <w:p w:rsidR="00100A98" w:rsidRPr="00100A98" w:rsidRDefault="00100A98" w:rsidP="00100A9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100A98">
        <w:rPr>
          <w:b/>
          <w:sz w:val="20"/>
          <w:szCs w:val="20"/>
          <w:lang w:val="fr-CA"/>
        </w:rPr>
        <w:t>À LA SUITE D’UNE DEMANDE</w:t>
      </w:r>
      <w:r w:rsidRPr="00100A98">
        <w:rPr>
          <w:sz w:val="20"/>
          <w:szCs w:val="20"/>
          <w:lang w:val="fr-CA"/>
        </w:rPr>
        <w:t xml:space="preserve"> de l’appelant visant à obtenir une prorogation de délai pour signifier et déposer son avis d’appel de plein droit au 21 mai 2015; </w:t>
      </w:r>
    </w:p>
    <w:p w:rsidR="00100A98" w:rsidRPr="00100A98" w:rsidRDefault="00100A98" w:rsidP="00100A9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100A98" w:rsidRPr="00100A98" w:rsidRDefault="00100A98" w:rsidP="00100A9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100A98">
        <w:rPr>
          <w:b/>
          <w:sz w:val="20"/>
          <w:szCs w:val="20"/>
          <w:lang w:val="fr-CA"/>
        </w:rPr>
        <w:t>ET APRÈS EXAMEN</w:t>
      </w:r>
      <w:r w:rsidRPr="00100A98">
        <w:rPr>
          <w:sz w:val="20"/>
          <w:szCs w:val="20"/>
          <w:lang w:val="fr-CA"/>
        </w:rPr>
        <w:t xml:space="preserve"> des documents déposés;</w:t>
      </w:r>
    </w:p>
    <w:p w:rsidR="00100A98" w:rsidRPr="00100A98" w:rsidRDefault="00100A98" w:rsidP="00100A9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p>
    <w:p w:rsidR="00100A98" w:rsidRPr="00100A98" w:rsidRDefault="00100A98" w:rsidP="00100A9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lang w:val="fr-CA"/>
        </w:rPr>
      </w:pPr>
      <w:r w:rsidRPr="00100A98">
        <w:rPr>
          <w:b/>
          <w:sz w:val="20"/>
          <w:szCs w:val="20"/>
          <w:lang w:val="fr-CA"/>
        </w:rPr>
        <w:t>IL EST ORDONNÉ CE QUI SUIT :</w:t>
      </w:r>
    </w:p>
    <w:p w:rsidR="00100A98" w:rsidRPr="00100A98" w:rsidRDefault="00100A98" w:rsidP="00100A9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lang w:val="fr-CA"/>
        </w:rPr>
      </w:pPr>
    </w:p>
    <w:p w:rsidR="00100A98" w:rsidRPr="00100A98" w:rsidRDefault="00100A98" w:rsidP="00100A9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100A98">
        <w:rPr>
          <w:sz w:val="20"/>
          <w:szCs w:val="20"/>
          <w:lang w:val="fr-CA"/>
        </w:rPr>
        <w:t>La requête est accueillie.</w:t>
      </w:r>
    </w:p>
    <w:p w:rsidR="00100A98" w:rsidRPr="00100A98" w:rsidRDefault="00100A98" w:rsidP="00100A98">
      <w:pPr>
        <w:tabs>
          <w:tab w:val="left" w:pos="-1440"/>
          <w:tab w:val="left" w:pos="-720"/>
        </w:tabs>
        <w:jc w:val="both"/>
        <w:rPr>
          <w:sz w:val="20"/>
          <w:szCs w:val="20"/>
          <w:lang w:val="fr-CA"/>
        </w:rPr>
      </w:pPr>
    </w:p>
    <w:p w:rsidR="00100A98" w:rsidRPr="00100A98" w:rsidRDefault="005B7E98" w:rsidP="00100A98">
      <w:pPr>
        <w:tabs>
          <w:tab w:val="left" w:pos="-1440"/>
          <w:tab w:val="left" w:pos="-720"/>
        </w:tabs>
        <w:jc w:val="both"/>
        <w:rPr>
          <w:sz w:val="20"/>
          <w:szCs w:val="20"/>
        </w:rPr>
      </w:pPr>
      <w:r>
        <w:rPr>
          <w:sz w:val="20"/>
          <w:szCs w:val="20"/>
          <w:lang w:val="fr-CA"/>
        </w:rPr>
        <w:pict>
          <v:rect id="_x0000_i1066" style="width:2in;height:1pt" o:hrpct="0" o:hralign="center" o:hrstd="t" o:hrnoshade="t" o:hr="t" fillcolor="black [3213]" stroked="f"/>
        </w:pict>
      </w:r>
    </w:p>
    <w:p w:rsidR="00100A98" w:rsidRPr="00100A98" w:rsidRDefault="00100A98" w:rsidP="00100A98">
      <w:pPr>
        <w:tabs>
          <w:tab w:val="left" w:pos="-1440"/>
          <w:tab w:val="left" w:pos="-720"/>
        </w:tabs>
        <w:jc w:val="both"/>
        <w:rPr>
          <w:sz w:val="20"/>
          <w:szCs w:val="20"/>
        </w:rPr>
      </w:pPr>
    </w:p>
    <w:p w:rsidR="00100A98" w:rsidRPr="00100A98" w:rsidRDefault="00100A98" w:rsidP="00100A98">
      <w:pPr>
        <w:tabs>
          <w:tab w:val="left" w:pos="-1440"/>
          <w:tab w:val="left" w:pos="-720"/>
        </w:tabs>
        <w:jc w:val="both"/>
        <w:rPr>
          <w:sz w:val="20"/>
          <w:szCs w:val="20"/>
          <w:lang w:val="fr-CA"/>
        </w:rPr>
      </w:pPr>
      <w:r w:rsidRPr="00100A98">
        <w:rPr>
          <w:sz w:val="20"/>
          <w:szCs w:val="20"/>
          <w:lang w:val="fr-CA"/>
        </w:rPr>
        <w:t>09.06.2015</w:t>
      </w:r>
    </w:p>
    <w:p w:rsidR="00100A98" w:rsidRPr="00100A98" w:rsidRDefault="00100A98" w:rsidP="00100A98">
      <w:pPr>
        <w:tabs>
          <w:tab w:val="left" w:pos="-1440"/>
          <w:tab w:val="left" w:pos="-720"/>
        </w:tabs>
        <w:jc w:val="both"/>
        <w:rPr>
          <w:sz w:val="20"/>
          <w:szCs w:val="20"/>
          <w:lang w:val="fr-CA"/>
        </w:rPr>
      </w:pPr>
    </w:p>
    <w:p w:rsidR="00100A98" w:rsidRPr="00100A98" w:rsidRDefault="00100A98" w:rsidP="00100A98">
      <w:pPr>
        <w:tabs>
          <w:tab w:val="left" w:pos="-1440"/>
          <w:tab w:val="left" w:pos="-720"/>
        </w:tabs>
        <w:jc w:val="both"/>
        <w:rPr>
          <w:sz w:val="20"/>
          <w:szCs w:val="20"/>
          <w:lang w:val="fr-CA"/>
        </w:rPr>
      </w:pPr>
      <w:r w:rsidRPr="00100A98">
        <w:rPr>
          <w:sz w:val="20"/>
          <w:szCs w:val="20"/>
          <w:lang w:val="fr-CA"/>
        </w:rPr>
        <w:t>Before / Devant :   GASCON J. / LE JUGE GASCON</w:t>
      </w:r>
    </w:p>
    <w:p w:rsidR="00100A98" w:rsidRPr="00100A98" w:rsidRDefault="00100A98" w:rsidP="00100A9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100A98" w:rsidRPr="00100A98" w:rsidTr="004D7613">
        <w:tc>
          <w:tcPr>
            <w:tcW w:w="4338" w:type="dxa"/>
            <w:gridSpan w:val="2"/>
          </w:tcPr>
          <w:p w:rsidR="00100A98" w:rsidRPr="00100A98" w:rsidRDefault="00100A98" w:rsidP="004D7613">
            <w:pPr>
              <w:rPr>
                <w:b/>
                <w:sz w:val="20"/>
                <w:szCs w:val="20"/>
              </w:rPr>
            </w:pPr>
            <w:r w:rsidRPr="00100A98">
              <w:rPr>
                <w:b/>
                <w:sz w:val="20"/>
                <w:szCs w:val="20"/>
              </w:rPr>
              <w:t>Motions for leave to intervene</w:t>
            </w:r>
            <w:r w:rsidRPr="00100A98">
              <w:rPr>
                <w:sz w:val="20"/>
                <w:szCs w:val="20"/>
              </w:rPr>
              <w:t xml:space="preserve"> </w:t>
            </w:r>
            <w:r w:rsidR="00E85246" w:rsidRPr="00100A98">
              <w:rPr>
                <w:sz w:val="20"/>
                <w:szCs w:val="20"/>
              </w:rPr>
              <w:fldChar w:fldCharType="begin"/>
            </w:r>
            <w:r w:rsidRPr="00100A98">
              <w:rPr>
                <w:sz w:val="20"/>
                <w:szCs w:val="20"/>
              </w:rPr>
              <w:instrText xml:space="preserve"> SEQ CHAPTER \h \r 1</w:instrText>
            </w:r>
            <w:r w:rsidR="00E85246" w:rsidRPr="00100A98">
              <w:rPr>
                <w:sz w:val="20"/>
                <w:szCs w:val="20"/>
              </w:rPr>
              <w:fldChar w:fldCharType="end"/>
            </w:r>
          </w:p>
        </w:tc>
        <w:tc>
          <w:tcPr>
            <w:tcW w:w="1170" w:type="dxa"/>
          </w:tcPr>
          <w:p w:rsidR="00100A98" w:rsidRPr="00100A98" w:rsidRDefault="00100A98" w:rsidP="004D7613">
            <w:pPr>
              <w:rPr>
                <w:sz w:val="20"/>
                <w:szCs w:val="20"/>
              </w:rPr>
            </w:pPr>
          </w:p>
          <w:p w:rsidR="00100A98" w:rsidRPr="00100A98" w:rsidRDefault="00100A98" w:rsidP="004D7613">
            <w:pPr>
              <w:rPr>
                <w:sz w:val="20"/>
                <w:szCs w:val="20"/>
              </w:rPr>
            </w:pPr>
          </w:p>
        </w:tc>
        <w:tc>
          <w:tcPr>
            <w:tcW w:w="4327" w:type="dxa"/>
          </w:tcPr>
          <w:p w:rsidR="00100A98" w:rsidRPr="00100A98" w:rsidRDefault="00100A98" w:rsidP="004D7613">
            <w:pPr>
              <w:rPr>
                <w:b/>
                <w:sz w:val="20"/>
                <w:szCs w:val="20"/>
              </w:rPr>
            </w:pPr>
            <w:r w:rsidRPr="00100A98">
              <w:rPr>
                <w:b/>
                <w:bCs/>
                <w:sz w:val="20"/>
                <w:szCs w:val="20"/>
                <w:lang w:val="fr-CA"/>
              </w:rPr>
              <w:t>Requêtes en autorisation d’intervenir</w:t>
            </w:r>
            <w:r w:rsidRPr="00100A98">
              <w:rPr>
                <w:sz w:val="20"/>
                <w:szCs w:val="20"/>
              </w:rPr>
              <w:t xml:space="preserve"> </w:t>
            </w:r>
            <w:r w:rsidR="00E85246" w:rsidRPr="00100A98">
              <w:rPr>
                <w:sz w:val="20"/>
                <w:szCs w:val="20"/>
              </w:rPr>
              <w:fldChar w:fldCharType="begin"/>
            </w:r>
            <w:r w:rsidRPr="00100A98">
              <w:rPr>
                <w:sz w:val="20"/>
                <w:szCs w:val="20"/>
              </w:rPr>
              <w:instrText xml:space="preserve"> SEQ CHAPTER \h \r 1</w:instrText>
            </w:r>
            <w:r w:rsidR="00E85246" w:rsidRPr="00100A98">
              <w:rPr>
                <w:sz w:val="20"/>
                <w:szCs w:val="20"/>
              </w:rPr>
              <w:fldChar w:fldCharType="end"/>
            </w:r>
          </w:p>
        </w:tc>
      </w:tr>
      <w:tr w:rsidR="00100A98" w:rsidRPr="00100A98" w:rsidTr="004D7613">
        <w:trPr>
          <w:trHeight w:hRule="exact" w:val="576"/>
        </w:trPr>
        <w:tc>
          <w:tcPr>
            <w:tcW w:w="1458" w:type="dxa"/>
          </w:tcPr>
          <w:p w:rsidR="00100A98" w:rsidRPr="00100A98" w:rsidRDefault="00100A98" w:rsidP="004D7613">
            <w:pPr>
              <w:rPr>
                <w:sz w:val="20"/>
                <w:szCs w:val="20"/>
              </w:rPr>
            </w:pPr>
            <w:r w:rsidRPr="00100A98">
              <w:rPr>
                <w:sz w:val="20"/>
                <w:szCs w:val="20"/>
              </w:rPr>
              <w:t>BY / PAR</w:t>
            </w:r>
          </w:p>
        </w:tc>
        <w:tc>
          <w:tcPr>
            <w:tcW w:w="2880" w:type="dxa"/>
          </w:tcPr>
          <w:p w:rsidR="00100A98" w:rsidRPr="00100A98" w:rsidRDefault="00100A98" w:rsidP="004D7613">
            <w:pPr>
              <w:rPr>
                <w:sz w:val="20"/>
                <w:szCs w:val="20"/>
              </w:rPr>
            </w:pPr>
            <w:r w:rsidRPr="00100A98">
              <w:rPr>
                <w:bCs/>
                <w:sz w:val="20"/>
                <w:szCs w:val="20"/>
              </w:rPr>
              <w:t>British Columbia Civil Liberties Association</w:t>
            </w:r>
            <w:r w:rsidRPr="00100A98">
              <w:rPr>
                <w:sz w:val="20"/>
                <w:szCs w:val="20"/>
              </w:rPr>
              <w:t>;</w:t>
            </w:r>
          </w:p>
        </w:tc>
        <w:tc>
          <w:tcPr>
            <w:tcW w:w="1170" w:type="dxa"/>
          </w:tcPr>
          <w:p w:rsidR="00100A98" w:rsidRPr="00100A98" w:rsidRDefault="00100A98" w:rsidP="004D7613">
            <w:pPr>
              <w:rPr>
                <w:sz w:val="20"/>
                <w:szCs w:val="20"/>
              </w:rPr>
            </w:pPr>
          </w:p>
        </w:tc>
        <w:tc>
          <w:tcPr>
            <w:tcW w:w="4327" w:type="dxa"/>
          </w:tcPr>
          <w:p w:rsidR="00100A98" w:rsidRPr="00100A98" w:rsidRDefault="00100A98" w:rsidP="004D7613">
            <w:pPr>
              <w:rPr>
                <w:sz w:val="20"/>
                <w:szCs w:val="20"/>
              </w:rPr>
            </w:pPr>
          </w:p>
        </w:tc>
      </w:tr>
      <w:tr w:rsidR="00100A98" w:rsidRPr="00100A98" w:rsidTr="004D7613">
        <w:trPr>
          <w:trHeight w:hRule="exact" w:val="360"/>
        </w:trPr>
        <w:tc>
          <w:tcPr>
            <w:tcW w:w="1458" w:type="dxa"/>
          </w:tcPr>
          <w:p w:rsidR="00100A98" w:rsidRPr="00100A98" w:rsidRDefault="00100A98" w:rsidP="004D7613">
            <w:pPr>
              <w:rPr>
                <w:sz w:val="20"/>
                <w:szCs w:val="20"/>
              </w:rPr>
            </w:pPr>
          </w:p>
        </w:tc>
        <w:tc>
          <w:tcPr>
            <w:tcW w:w="2880" w:type="dxa"/>
          </w:tcPr>
          <w:p w:rsidR="00100A98" w:rsidRPr="00100A98" w:rsidRDefault="00100A98" w:rsidP="004D7613">
            <w:pPr>
              <w:rPr>
                <w:bCs/>
                <w:sz w:val="20"/>
                <w:szCs w:val="20"/>
              </w:rPr>
            </w:pPr>
            <w:r w:rsidRPr="00100A98">
              <w:rPr>
                <w:bCs/>
                <w:sz w:val="20"/>
                <w:szCs w:val="20"/>
              </w:rPr>
              <w:t>Attorney General of Alberta;</w:t>
            </w:r>
          </w:p>
        </w:tc>
        <w:tc>
          <w:tcPr>
            <w:tcW w:w="1170" w:type="dxa"/>
          </w:tcPr>
          <w:p w:rsidR="00100A98" w:rsidRPr="00100A98" w:rsidRDefault="00100A98" w:rsidP="004D7613">
            <w:pPr>
              <w:rPr>
                <w:sz w:val="20"/>
                <w:szCs w:val="20"/>
              </w:rPr>
            </w:pPr>
          </w:p>
        </w:tc>
        <w:tc>
          <w:tcPr>
            <w:tcW w:w="4327" w:type="dxa"/>
          </w:tcPr>
          <w:p w:rsidR="00100A98" w:rsidRPr="00100A98" w:rsidRDefault="00100A98" w:rsidP="004D7613">
            <w:pPr>
              <w:rPr>
                <w:sz w:val="20"/>
                <w:szCs w:val="20"/>
              </w:rPr>
            </w:pPr>
          </w:p>
        </w:tc>
      </w:tr>
      <w:tr w:rsidR="00100A98" w:rsidRPr="00100A98" w:rsidTr="004D7613">
        <w:trPr>
          <w:trHeight w:hRule="exact" w:val="576"/>
        </w:trPr>
        <w:tc>
          <w:tcPr>
            <w:tcW w:w="1458" w:type="dxa"/>
          </w:tcPr>
          <w:p w:rsidR="00100A98" w:rsidRPr="00100A98" w:rsidRDefault="00100A98" w:rsidP="004D7613">
            <w:pPr>
              <w:rPr>
                <w:sz w:val="20"/>
                <w:szCs w:val="20"/>
              </w:rPr>
            </w:pPr>
          </w:p>
        </w:tc>
        <w:tc>
          <w:tcPr>
            <w:tcW w:w="2880" w:type="dxa"/>
          </w:tcPr>
          <w:p w:rsidR="00100A98" w:rsidRPr="00100A98" w:rsidRDefault="00100A98" w:rsidP="004D7613">
            <w:pPr>
              <w:rPr>
                <w:sz w:val="20"/>
                <w:szCs w:val="20"/>
              </w:rPr>
            </w:pPr>
            <w:r w:rsidRPr="00100A98">
              <w:rPr>
                <w:sz w:val="20"/>
                <w:szCs w:val="20"/>
              </w:rPr>
              <w:t>Criminal Lawyers’ Association (Ontario)</w:t>
            </w:r>
          </w:p>
        </w:tc>
        <w:tc>
          <w:tcPr>
            <w:tcW w:w="1170" w:type="dxa"/>
          </w:tcPr>
          <w:p w:rsidR="00100A98" w:rsidRPr="00100A98" w:rsidRDefault="00100A98" w:rsidP="004D7613">
            <w:pPr>
              <w:rPr>
                <w:sz w:val="20"/>
                <w:szCs w:val="20"/>
              </w:rPr>
            </w:pPr>
          </w:p>
        </w:tc>
        <w:tc>
          <w:tcPr>
            <w:tcW w:w="4327" w:type="dxa"/>
          </w:tcPr>
          <w:p w:rsidR="00100A98" w:rsidRPr="00100A98" w:rsidRDefault="00100A98" w:rsidP="004D7613">
            <w:pPr>
              <w:rPr>
                <w:sz w:val="20"/>
                <w:szCs w:val="20"/>
              </w:rPr>
            </w:pPr>
          </w:p>
        </w:tc>
      </w:tr>
      <w:tr w:rsidR="00100A98" w:rsidRPr="00100A98" w:rsidTr="004D7613">
        <w:tc>
          <w:tcPr>
            <w:tcW w:w="1458" w:type="dxa"/>
          </w:tcPr>
          <w:p w:rsidR="00100A98" w:rsidRPr="00100A98" w:rsidRDefault="00100A98" w:rsidP="004D7613">
            <w:pPr>
              <w:rPr>
                <w:sz w:val="20"/>
                <w:szCs w:val="20"/>
              </w:rPr>
            </w:pPr>
          </w:p>
        </w:tc>
        <w:tc>
          <w:tcPr>
            <w:tcW w:w="2880" w:type="dxa"/>
          </w:tcPr>
          <w:p w:rsidR="00100A98" w:rsidRPr="00100A98" w:rsidRDefault="00100A98" w:rsidP="004D7613">
            <w:pPr>
              <w:rPr>
                <w:sz w:val="20"/>
                <w:szCs w:val="20"/>
              </w:rPr>
            </w:pPr>
          </w:p>
        </w:tc>
        <w:tc>
          <w:tcPr>
            <w:tcW w:w="1170" w:type="dxa"/>
          </w:tcPr>
          <w:p w:rsidR="00100A98" w:rsidRPr="00100A98" w:rsidRDefault="00100A98" w:rsidP="004D7613">
            <w:pPr>
              <w:rPr>
                <w:sz w:val="20"/>
                <w:szCs w:val="20"/>
              </w:rPr>
            </w:pPr>
          </w:p>
        </w:tc>
        <w:tc>
          <w:tcPr>
            <w:tcW w:w="4327" w:type="dxa"/>
          </w:tcPr>
          <w:p w:rsidR="00100A98" w:rsidRPr="00100A98" w:rsidRDefault="00100A98" w:rsidP="004D7613">
            <w:pPr>
              <w:rPr>
                <w:sz w:val="20"/>
                <w:szCs w:val="20"/>
              </w:rPr>
            </w:pPr>
          </w:p>
        </w:tc>
      </w:tr>
      <w:tr w:rsidR="00100A98" w:rsidRPr="00100A98" w:rsidTr="004D7613">
        <w:tc>
          <w:tcPr>
            <w:tcW w:w="1458" w:type="dxa"/>
          </w:tcPr>
          <w:p w:rsidR="00100A98" w:rsidRPr="00100A98" w:rsidRDefault="00100A98" w:rsidP="004D7613">
            <w:pPr>
              <w:rPr>
                <w:sz w:val="20"/>
                <w:szCs w:val="20"/>
              </w:rPr>
            </w:pPr>
            <w:r w:rsidRPr="00100A98">
              <w:rPr>
                <w:sz w:val="20"/>
                <w:szCs w:val="20"/>
              </w:rPr>
              <w:t>IN / DANS :</w:t>
            </w:r>
          </w:p>
        </w:tc>
        <w:tc>
          <w:tcPr>
            <w:tcW w:w="2880" w:type="dxa"/>
          </w:tcPr>
          <w:p w:rsidR="00100A98" w:rsidRPr="00100A98" w:rsidRDefault="00100A98" w:rsidP="004D7613">
            <w:pPr>
              <w:rPr>
                <w:sz w:val="20"/>
                <w:szCs w:val="20"/>
              </w:rPr>
            </w:pPr>
            <w:r w:rsidRPr="00100A98">
              <w:rPr>
                <w:sz w:val="20"/>
                <w:szCs w:val="20"/>
              </w:rPr>
              <w:t>Barrett Richard Jordan</w:t>
            </w:r>
          </w:p>
          <w:p w:rsidR="00100A98" w:rsidRPr="00100A98" w:rsidRDefault="00100A98" w:rsidP="004D7613">
            <w:pPr>
              <w:rPr>
                <w:sz w:val="20"/>
                <w:szCs w:val="20"/>
              </w:rPr>
            </w:pPr>
          </w:p>
          <w:p w:rsidR="00100A98" w:rsidRPr="00100A98" w:rsidRDefault="00100A98" w:rsidP="004D7613">
            <w:pPr>
              <w:rPr>
                <w:sz w:val="20"/>
                <w:szCs w:val="20"/>
              </w:rPr>
            </w:pPr>
            <w:r w:rsidRPr="00100A98">
              <w:rPr>
                <w:sz w:val="20"/>
                <w:szCs w:val="20"/>
              </w:rPr>
              <w:tab/>
              <w:t>v. (36068)</w:t>
            </w:r>
          </w:p>
          <w:p w:rsidR="00100A98" w:rsidRPr="00100A98" w:rsidRDefault="00100A98" w:rsidP="004D7613">
            <w:pPr>
              <w:rPr>
                <w:sz w:val="20"/>
                <w:szCs w:val="20"/>
              </w:rPr>
            </w:pPr>
          </w:p>
          <w:p w:rsidR="00100A98" w:rsidRPr="00100A98" w:rsidRDefault="00100A98" w:rsidP="004D7613">
            <w:pPr>
              <w:rPr>
                <w:sz w:val="20"/>
                <w:szCs w:val="20"/>
              </w:rPr>
            </w:pPr>
            <w:r w:rsidRPr="00100A98">
              <w:rPr>
                <w:sz w:val="20"/>
                <w:szCs w:val="20"/>
              </w:rPr>
              <w:lastRenderedPageBreak/>
              <w:t>Her Majesty the Queen (Crim.) (B.C.)</w:t>
            </w:r>
          </w:p>
          <w:p w:rsidR="00100A98" w:rsidRPr="00100A98" w:rsidRDefault="00100A98" w:rsidP="004D7613">
            <w:pPr>
              <w:rPr>
                <w:sz w:val="20"/>
                <w:szCs w:val="20"/>
              </w:rPr>
            </w:pPr>
          </w:p>
        </w:tc>
        <w:tc>
          <w:tcPr>
            <w:tcW w:w="1170" w:type="dxa"/>
          </w:tcPr>
          <w:p w:rsidR="00100A98" w:rsidRPr="00100A98" w:rsidRDefault="00100A98" w:rsidP="004D7613">
            <w:pPr>
              <w:rPr>
                <w:sz w:val="20"/>
                <w:szCs w:val="20"/>
              </w:rPr>
            </w:pPr>
          </w:p>
        </w:tc>
        <w:tc>
          <w:tcPr>
            <w:tcW w:w="4327" w:type="dxa"/>
          </w:tcPr>
          <w:p w:rsidR="00100A98" w:rsidRPr="00100A98" w:rsidRDefault="00100A98" w:rsidP="004D7613">
            <w:pPr>
              <w:rPr>
                <w:sz w:val="20"/>
                <w:szCs w:val="20"/>
              </w:rPr>
            </w:pPr>
          </w:p>
        </w:tc>
      </w:tr>
      <w:tr w:rsidR="00100A98" w:rsidRPr="00100A98" w:rsidTr="004D7613">
        <w:tc>
          <w:tcPr>
            <w:tcW w:w="1458" w:type="dxa"/>
          </w:tcPr>
          <w:p w:rsidR="00100A98" w:rsidRPr="00100A98" w:rsidRDefault="00100A98" w:rsidP="004D7613">
            <w:pPr>
              <w:rPr>
                <w:sz w:val="20"/>
                <w:szCs w:val="20"/>
              </w:rPr>
            </w:pPr>
            <w:r w:rsidRPr="00100A98">
              <w:rPr>
                <w:sz w:val="20"/>
                <w:szCs w:val="20"/>
              </w:rPr>
              <w:lastRenderedPageBreak/>
              <w:t>- and between -</w:t>
            </w:r>
          </w:p>
          <w:p w:rsidR="00100A98" w:rsidRPr="00100A98" w:rsidRDefault="00100A98" w:rsidP="004D7613">
            <w:pPr>
              <w:rPr>
                <w:sz w:val="20"/>
                <w:szCs w:val="20"/>
              </w:rPr>
            </w:pPr>
          </w:p>
        </w:tc>
        <w:tc>
          <w:tcPr>
            <w:tcW w:w="2880" w:type="dxa"/>
          </w:tcPr>
          <w:p w:rsidR="00100A98" w:rsidRPr="00100A98" w:rsidRDefault="00100A98" w:rsidP="004D7613">
            <w:pPr>
              <w:jc w:val="both"/>
              <w:rPr>
                <w:sz w:val="20"/>
                <w:szCs w:val="20"/>
              </w:rPr>
            </w:pPr>
          </w:p>
        </w:tc>
        <w:tc>
          <w:tcPr>
            <w:tcW w:w="1170" w:type="dxa"/>
          </w:tcPr>
          <w:p w:rsidR="00100A98" w:rsidRPr="00100A98" w:rsidRDefault="00100A98" w:rsidP="004D7613">
            <w:pPr>
              <w:rPr>
                <w:sz w:val="20"/>
                <w:szCs w:val="20"/>
              </w:rPr>
            </w:pPr>
          </w:p>
        </w:tc>
        <w:tc>
          <w:tcPr>
            <w:tcW w:w="4327" w:type="dxa"/>
          </w:tcPr>
          <w:p w:rsidR="00100A98" w:rsidRPr="00100A98" w:rsidRDefault="00100A98" w:rsidP="004D7613">
            <w:pPr>
              <w:rPr>
                <w:sz w:val="20"/>
                <w:szCs w:val="20"/>
              </w:rPr>
            </w:pPr>
          </w:p>
        </w:tc>
      </w:tr>
      <w:tr w:rsidR="00100A98" w:rsidRPr="00100A98" w:rsidTr="004D7613">
        <w:tc>
          <w:tcPr>
            <w:tcW w:w="1458" w:type="dxa"/>
          </w:tcPr>
          <w:p w:rsidR="00100A98" w:rsidRPr="00100A98" w:rsidRDefault="00100A98" w:rsidP="004D7613">
            <w:pPr>
              <w:rPr>
                <w:sz w:val="20"/>
                <w:szCs w:val="20"/>
              </w:rPr>
            </w:pPr>
          </w:p>
        </w:tc>
        <w:tc>
          <w:tcPr>
            <w:tcW w:w="2880" w:type="dxa"/>
          </w:tcPr>
          <w:p w:rsidR="00100A98" w:rsidRPr="00100A98" w:rsidRDefault="00100A98" w:rsidP="004D7613">
            <w:pPr>
              <w:rPr>
                <w:sz w:val="20"/>
                <w:szCs w:val="20"/>
              </w:rPr>
            </w:pPr>
            <w:r w:rsidRPr="00100A98">
              <w:rPr>
                <w:sz w:val="20"/>
                <w:szCs w:val="20"/>
              </w:rPr>
              <w:t>Her Majesty the Queen</w:t>
            </w:r>
          </w:p>
          <w:p w:rsidR="00100A98" w:rsidRPr="00100A98" w:rsidRDefault="00100A98" w:rsidP="004D7613">
            <w:pPr>
              <w:jc w:val="both"/>
              <w:rPr>
                <w:sz w:val="20"/>
                <w:szCs w:val="20"/>
              </w:rPr>
            </w:pPr>
          </w:p>
          <w:p w:rsidR="00100A98" w:rsidRPr="00100A98" w:rsidRDefault="00100A98" w:rsidP="004D7613">
            <w:pPr>
              <w:jc w:val="both"/>
              <w:rPr>
                <w:sz w:val="20"/>
                <w:szCs w:val="20"/>
              </w:rPr>
            </w:pPr>
            <w:r w:rsidRPr="00100A98">
              <w:rPr>
                <w:sz w:val="20"/>
                <w:szCs w:val="20"/>
              </w:rPr>
              <w:tab/>
              <w:t>v. (36112)</w:t>
            </w:r>
          </w:p>
          <w:p w:rsidR="00100A98" w:rsidRPr="00100A98" w:rsidRDefault="00100A98" w:rsidP="004D7613">
            <w:pPr>
              <w:jc w:val="both"/>
              <w:rPr>
                <w:sz w:val="20"/>
                <w:szCs w:val="20"/>
              </w:rPr>
            </w:pPr>
          </w:p>
          <w:p w:rsidR="00100A98" w:rsidRPr="00100A98" w:rsidRDefault="00100A98" w:rsidP="004D7613">
            <w:pPr>
              <w:jc w:val="both"/>
              <w:rPr>
                <w:sz w:val="20"/>
                <w:szCs w:val="20"/>
              </w:rPr>
            </w:pPr>
            <w:r w:rsidRPr="00100A98">
              <w:rPr>
                <w:sz w:val="20"/>
                <w:szCs w:val="20"/>
              </w:rPr>
              <w:t>Kenneth Gavin Williamson</w:t>
            </w:r>
          </w:p>
          <w:p w:rsidR="00100A98" w:rsidRPr="00100A98" w:rsidRDefault="00100A98" w:rsidP="004D7613">
            <w:pPr>
              <w:jc w:val="both"/>
              <w:rPr>
                <w:sz w:val="20"/>
                <w:szCs w:val="20"/>
              </w:rPr>
            </w:pPr>
            <w:r w:rsidRPr="00100A98">
              <w:rPr>
                <w:sz w:val="20"/>
                <w:szCs w:val="20"/>
              </w:rPr>
              <w:t>(Crim.) (Ont.)</w:t>
            </w:r>
          </w:p>
        </w:tc>
        <w:tc>
          <w:tcPr>
            <w:tcW w:w="1170" w:type="dxa"/>
          </w:tcPr>
          <w:p w:rsidR="00100A98" w:rsidRPr="00100A98" w:rsidRDefault="00100A98" w:rsidP="004D7613">
            <w:pPr>
              <w:rPr>
                <w:sz w:val="20"/>
                <w:szCs w:val="20"/>
              </w:rPr>
            </w:pPr>
          </w:p>
        </w:tc>
        <w:tc>
          <w:tcPr>
            <w:tcW w:w="4327" w:type="dxa"/>
          </w:tcPr>
          <w:p w:rsidR="00100A98" w:rsidRPr="00100A98" w:rsidRDefault="00100A98" w:rsidP="004D7613">
            <w:pPr>
              <w:rPr>
                <w:sz w:val="20"/>
                <w:szCs w:val="20"/>
              </w:rPr>
            </w:pPr>
          </w:p>
        </w:tc>
      </w:tr>
    </w:tbl>
    <w:p w:rsidR="00100A98" w:rsidRPr="00100A98" w:rsidRDefault="00100A98" w:rsidP="00100A98">
      <w:pPr>
        <w:tabs>
          <w:tab w:val="left" w:pos="-1440"/>
          <w:tab w:val="left" w:pos="-720"/>
        </w:tabs>
        <w:jc w:val="both"/>
        <w:rPr>
          <w:sz w:val="20"/>
          <w:szCs w:val="20"/>
        </w:rPr>
      </w:pPr>
    </w:p>
    <w:p w:rsidR="00100A98" w:rsidRPr="00100A98" w:rsidRDefault="00100A98" w:rsidP="00100A98">
      <w:pPr>
        <w:tabs>
          <w:tab w:val="left" w:pos="-1440"/>
          <w:tab w:val="left" w:pos="-720"/>
        </w:tabs>
        <w:jc w:val="both"/>
        <w:rPr>
          <w:b/>
          <w:sz w:val="20"/>
          <w:szCs w:val="20"/>
        </w:rPr>
      </w:pPr>
      <w:r w:rsidRPr="00100A98">
        <w:rPr>
          <w:b/>
          <w:sz w:val="20"/>
          <w:szCs w:val="20"/>
        </w:rPr>
        <w:t>GRANTED / ACCORDÉES</w:t>
      </w:r>
    </w:p>
    <w:p w:rsidR="00100A98" w:rsidRPr="00100A98" w:rsidRDefault="00100A98" w:rsidP="00100A98">
      <w:pPr>
        <w:tabs>
          <w:tab w:val="left" w:pos="-1440"/>
          <w:tab w:val="left" w:pos="-720"/>
        </w:tabs>
        <w:jc w:val="both"/>
        <w:rPr>
          <w:sz w:val="20"/>
          <w:szCs w:val="20"/>
        </w:rPr>
      </w:pPr>
    </w:p>
    <w:p w:rsidR="00100A98" w:rsidRPr="00100A98" w:rsidRDefault="00100A98" w:rsidP="00100A98">
      <w:pPr>
        <w:spacing w:line="233" w:lineRule="auto"/>
        <w:jc w:val="both"/>
        <w:rPr>
          <w:rFonts w:cs="Times New Roman"/>
          <w:bCs/>
          <w:sz w:val="20"/>
          <w:szCs w:val="20"/>
        </w:rPr>
      </w:pPr>
      <w:r w:rsidRPr="00100A98">
        <w:rPr>
          <w:rFonts w:cs="Times New Roman"/>
          <w:b/>
          <w:bCs/>
          <w:sz w:val="20"/>
          <w:szCs w:val="20"/>
        </w:rPr>
        <w:t xml:space="preserve">UPON APPLICATIONS </w:t>
      </w:r>
      <w:r w:rsidRPr="00100A98">
        <w:rPr>
          <w:rFonts w:cs="Times New Roman"/>
          <w:bCs/>
          <w:sz w:val="20"/>
          <w:szCs w:val="20"/>
        </w:rPr>
        <w:t xml:space="preserve">by the British Columbia Civil Liberties Association and the Attorney General of Alberta </w:t>
      </w:r>
      <w:r w:rsidRPr="00100A98">
        <w:rPr>
          <w:rFonts w:cs="Times New Roman"/>
          <w:sz w:val="20"/>
          <w:szCs w:val="20"/>
        </w:rPr>
        <w:t>for leave to intervene in the above appeals;</w:t>
      </w:r>
    </w:p>
    <w:p w:rsidR="00100A98" w:rsidRPr="00100A98" w:rsidRDefault="00100A98" w:rsidP="00100A98">
      <w:pPr>
        <w:spacing w:line="233" w:lineRule="auto"/>
        <w:jc w:val="both"/>
        <w:rPr>
          <w:rFonts w:cs="Times New Roman"/>
          <w:b/>
          <w:bCs/>
          <w:sz w:val="20"/>
          <w:szCs w:val="20"/>
        </w:rPr>
      </w:pPr>
    </w:p>
    <w:p w:rsidR="00100A98" w:rsidRPr="00100A98" w:rsidRDefault="00100A98" w:rsidP="00100A98">
      <w:pPr>
        <w:spacing w:line="233" w:lineRule="auto"/>
        <w:jc w:val="both"/>
        <w:rPr>
          <w:rFonts w:cs="Times New Roman"/>
          <w:sz w:val="20"/>
          <w:szCs w:val="20"/>
        </w:rPr>
      </w:pPr>
      <w:r w:rsidRPr="00100A98">
        <w:rPr>
          <w:rFonts w:cs="Times New Roman"/>
          <w:b/>
          <w:bCs/>
          <w:sz w:val="20"/>
          <w:szCs w:val="20"/>
        </w:rPr>
        <w:t xml:space="preserve">AND UPON APPLICATION </w:t>
      </w:r>
      <w:r w:rsidRPr="00100A98">
        <w:rPr>
          <w:rFonts w:cs="Times New Roman"/>
          <w:sz w:val="20"/>
          <w:szCs w:val="20"/>
        </w:rPr>
        <w:t xml:space="preserve">by the Criminal Lawyers’ Association (Ontario) for leave to intervene in the appeal </w:t>
      </w:r>
      <w:r w:rsidRPr="00100A98">
        <w:rPr>
          <w:rFonts w:cs="Times New Roman"/>
          <w:i/>
          <w:sz w:val="20"/>
          <w:szCs w:val="20"/>
        </w:rPr>
        <w:t>Barrett Richard Jordan v. Her Majesty the Queen (36068)</w:t>
      </w:r>
      <w:r w:rsidRPr="00100A98">
        <w:rPr>
          <w:rFonts w:cs="Times New Roman"/>
          <w:sz w:val="20"/>
          <w:szCs w:val="20"/>
        </w:rPr>
        <w:t>;</w:t>
      </w:r>
    </w:p>
    <w:p w:rsidR="00100A98" w:rsidRPr="00100A98" w:rsidRDefault="00100A98" w:rsidP="00100A98">
      <w:pPr>
        <w:spacing w:line="233" w:lineRule="auto"/>
        <w:jc w:val="both"/>
        <w:rPr>
          <w:rFonts w:cs="Times New Roman"/>
          <w:sz w:val="20"/>
          <w:szCs w:val="20"/>
        </w:rPr>
      </w:pPr>
    </w:p>
    <w:p w:rsidR="00100A98" w:rsidRPr="00100A98" w:rsidRDefault="00100A98" w:rsidP="00100A98">
      <w:pPr>
        <w:spacing w:line="233" w:lineRule="auto"/>
        <w:jc w:val="both"/>
        <w:rPr>
          <w:rFonts w:cs="Times New Roman"/>
          <w:sz w:val="20"/>
          <w:szCs w:val="20"/>
        </w:rPr>
      </w:pPr>
      <w:r w:rsidRPr="00100A98">
        <w:rPr>
          <w:rFonts w:cs="Times New Roman"/>
          <w:b/>
          <w:bCs/>
          <w:sz w:val="20"/>
          <w:szCs w:val="20"/>
        </w:rPr>
        <w:t>AND THE MATERIAL FILED</w:t>
      </w:r>
      <w:r w:rsidRPr="00100A98">
        <w:rPr>
          <w:rFonts w:cs="Times New Roman"/>
          <w:sz w:val="20"/>
          <w:szCs w:val="20"/>
        </w:rPr>
        <w:t xml:space="preserve"> having been read;</w:t>
      </w:r>
    </w:p>
    <w:p w:rsidR="00100A98" w:rsidRPr="00100A98" w:rsidRDefault="00100A98" w:rsidP="00100A98">
      <w:pPr>
        <w:spacing w:line="233" w:lineRule="auto"/>
        <w:jc w:val="both"/>
        <w:rPr>
          <w:rFonts w:cs="Times New Roman"/>
          <w:b/>
          <w:bCs/>
          <w:sz w:val="20"/>
          <w:szCs w:val="20"/>
        </w:rPr>
      </w:pPr>
    </w:p>
    <w:p w:rsidR="00100A98" w:rsidRPr="00100A98" w:rsidRDefault="00100A98" w:rsidP="00100A98">
      <w:pPr>
        <w:spacing w:line="233" w:lineRule="auto"/>
        <w:jc w:val="both"/>
        <w:rPr>
          <w:rFonts w:cs="Times New Roman"/>
          <w:b/>
          <w:bCs/>
          <w:sz w:val="20"/>
          <w:szCs w:val="20"/>
        </w:rPr>
      </w:pPr>
      <w:r w:rsidRPr="00100A98">
        <w:rPr>
          <w:rFonts w:cs="Times New Roman"/>
          <w:b/>
          <w:bCs/>
          <w:sz w:val="20"/>
          <w:szCs w:val="20"/>
        </w:rPr>
        <w:t>IT IS HEREBY ORDERED THAT:</w:t>
      </w:r>
    </w:p>
    <w:p w:rsidR="00100A98" w:rsidRPr="00100A98" w:rsidRDefault="00100A98" w:rsidP="00100A98">
      <w:pPr>
        <w:spacing w:line="233" w:lineRule="auto"/>
        <w:jc w:val="both"/>
        <w:rPr>
          <w:rFonts w:cs="Times New Roman"/>
          <w:sz w:val="20"/>
          <w:szCs w:val="20"/>
        </w:rPr>
      </w:pPr>
    </w:p>
    <w:p w:rsidR="00100A98" w:rsidRPr="00100A98" w:rsidRDefault="00100A98" w:rsidP="00100A98">
      <w:pPr>
        <w:spacing w:line="233" w:lineRule="auto"/>
        <w:jc w:val="both"/>
        <w:rPr>
          <w:rFonts w:cs="Times New Roman"/>
          <w:sz w:val="20"/>
          <w:szCs w:val="20"/>
        </w:rPr>
      </w:pPr>
      <w:r w:rsidRPr="00100A98">
        <w:rPr>
          <w:rFonts w:cs="Times New Roman"/>
          <w:sz w:val="20"/>
          <w:szCs w:val="20"/>
        </w:rPr>
        <w:t xml:space="preserve">The motions for leave to intervene of the </w:t>
      </w:r>
      <w:r w:rsidRPr="00100A98">
        <w:rPr>
          <w:rFonts w:cs="Times New Roman"/>
          <w:bCs/>
          <w:sz w:val="20"/>
          <w:szCs w:val="20"/>
        </w:rPr>
        <w:t xml:space="preserve">British Columbia Civil Liberties Association and the Attorney General of Alberta </w:t>
      </w:r>
      <w:r w:rsidRPr="00100A98">
        <w:rPr>
          <w:rFonts w:cs="Times New Roman"/>
          <w:sz w:val="20"/>
          <w:szCs w:val="20"/>
        </w:rPr>
        <w:t>are granted and the said interveners shall be entitled to each serve and file a single factum common to both appeals not to exceed ten (10) pages in length, on or before August 5, 2015.</w:t>
      </w:r>
    </w:p>
    <w:p w:rsidR="00100A98" w:rsidRPr="00100A98" w:rsidRDefault="00100A98" w:rsidP="00100A98">
      <w:pPr>
        <w:spacing w:line="233" w:lineRule="auto"/>
        <w:jc w:val="both"/>
        <w:rPr>
          <w:rFonts w:cs="Times New Roman"/>
          <w:sz w:val="20"/>
          <w:szCs w:val="20"/>
        </w:rPr>
      </w:pPr>
    </w:p>
    <w:p w:rsidR="00100A98" w:rsidRPr="00100A98" w:rsidRDefault="00100A98" w:rsidP="00100A98">
      <w:pPr>
        <w:spacing w:line="233" w:lineRule="auto"/>
        <w:jc w:val="both"/>
        <w:rPr>
          <w:rFonts w:cs="Times New Roman"/>
          <w:sz w:val="20"/>
          <w:szCs w:val="20"/>
        </w:rPr>
      </w:pPr>
      <w:r w:rsidRPr="00100A98">
        <w:rPr>
          <w:rFonts w:cs="Times New Roman"/>
          <w:sz w:val="20"/>
          <w:szCs w:val="20"/>
        </w:rPr>
        <w:t xml:space="preserve">The motion for leave to intervene of the Criminal Lawyers’ Association (Ontario) is granted and the said intervener shall be entitled to serve and file a single factum, not to exceed ten (10) pages in length, on or before August 5, 2015, in the appeal </w:t>
      </w:r>
      <w:r w:rsidRPr="00100A98">
        <w:rPr>
          <w:rFonts w:cs="Times New Roman"/>
          <w:i/>
          <w:sz w:val="20"/>
          <w:szCs w:val="20"/>
        </w:rPr>
        <w:t>Barrett Richard Jordan v. Her Majesty the Queen (36068)</w:t>
      </w:r>
      <w:r w:rsidRPr="00100A98">
        <w:rPr>
          <w:rFonts w:cs="Times New Roman"/>
          <w:sz w:val="20"/>
          <w:szCs w:val="20"/>
        </w:rPr>
        <w:t>.</w:t>
      </w:r>
    </w:p>
    <w:p w:rsidR="00100A98" w:rsidRPr="00100A98" w:rsidRDefault="00100A98" w:rsidP="00100A98">
      <w:pPr>
        <w:spacing w:line="233" w:lineRule="auto"/>
        <w:jc w:val="both"/>
        <w:rPr>
          <w:rFonts w:cs="Times New Roman"/>
          <w:sz w:val="20"/>
          <w:szCs w:val="20"/>
        </w:rPr>
      </w:pPr>
    </w:p>
    <w:p w:rsidR="00100A98" w:rsidRPr="00100A98" w:rsidRDefault="00100A98" w:rsidP="00100A98">
      <w:pPr>
        <w:spacing w:line="233" w:lineRule="auto"/>
        <w:jc w:val="both"/>
        <w:rPr>
          <w:rFonts w:cs="Times New Roman"/>
          <w:sz w:val="20"/>
          <w:szCs w:val="20"/>
        </w:rPr>
      </w:pPr>
      <w:r w:rsidRPr="00100A98">
        <w:rPr>
          <w:rFonts w:cs="Times New Roman"/>
          <w:sz w:val="20"/>
          <w:szCs w:val="20"/>
        </w:rPr>
        <w:t>The requests to present oral argument are deferred to a date following receipt and consideration of the written arguments of the parties and the interveners.</w:t>
      </w:r>
    </w:p>
    <w:p w:rsidR="00100A98" w:rsidRPr="00100A98" w:rsidRDefault="00100A98" w:rsidP="00100A98">
      <w:pPr>
        <w:spacing w:line="233" w:lineRule="auto"/>
        <w:jc w:val="both"/>
        <w:rPr>
          <w:rFonts w:cs="Times New Roman"/>
          <w:sz w:val="20"/>
          <w:szCs w:val="20"/>
        </w:rPr>
      </w:pPr>
    </w:p>
    <w:p w:rsidR="00100A98" w:rsidRPr="00100A98" w:rsidRDefault="00E85246" w:rsidP="00100A98">
      <w:pPr>
        <w:spacing w:line="233" w:lineRule="auto"/>
        <w:jc w:val="both"/>
        <w:rPr>
          <w:rFonts w:cs="Times New Roman"/>
          <w:sz w:val="20"/>
          <w:szCs w:val="20"/>
        </w:rPr>
      </w:pPr>
      <w:r w:rsidRPr="00100A98">
        <w:rPr>
          <w:rFonts w:cs="Times New Roman"/>
          <w:sz w:val="20"/>
          <w:szCs w:val="20"/>
        </w:rPr>
        <w:fldChar w:fldCharType="begin"/>
      </w:r>
      <w:r w:rsidR="00100A98" w:rsidRPr="00100A98">
        <w:rPr>
          <w:rFonts w:cs="Times New Roman"/>
          <w:sz w:val="20"/>
          <w:szCs w:val="20"/>
        </w:rPr>
        <w:instrText xml:space="preserve"> SEQ CHAPTER \h \r 1</w:instrText>
      </w:r>
      <w:r w:rsidRPr="00100A98">
        <w:rPr>
          <w:rFonts w:cs="Times New Roman"/>
          <w:sz w:val="20"/>
          <w:szCs w:val="20"/>
        </w:rPr>
        <w:fldChar w:fldCharType="end"/>
      </w:r>
      <w:r w:rsidR="00100A98" w:rsidRPr="00100A98">
        <w:rPr>
          <w:rFonts w:cs="Times New Roman"/>
          <w:bCs/>
          <w:sz w:val="20"/>
          <w:szCs w:val="20"/>
        </w:rPr>
        <w:t>The interveners are not entitled to raise new issues or to adduce further evidence or otherwise to supplement the record of the parties.</w:t>
      </w:r>
    </w:p>
    <w:p w:rsidR="00100A98" w:rsidRPr="00100A98" w:rsidRDefault="00100A98" w:rsidP="00100A98">
      <w:pPr>
        <w:spacing w:line="233" w:lineRule="auto"/>
        <w:jc w:val="both"/>
        <w:rPr>
          <w:rFonts w:cs="Times New Roman"/>
          <w:sz w:val="20"/>
          <w:szCs w:val="20"/>
        </w:rPr>
      </w:pPr>
    </w:p>
    <w:p w:rsidR="00100A98" w:rsidRPr="00100A98" w:rsidRDefault="00100A98" w:rsidP="00100A98">
      <w:pPr>
        <w:spacing w:line="233" w:lineRule="auto"/>
        <w:jc w:val="both"/>
        <w:rPr>
          <w:rFonts w:cs="Times New Roman"/>
          <w:sz w:val="20"/>
          <w:szCs w:val="20"/>
        </w:rPr>
      </w:pPr>
      <w:r w:rsidRPr="00100A98">
        <w:rPr>
          <w:rFonts w:cs="Times New Roman"/>
          <w:sz w:val="20"/>
          <w:szCs w:val="20"/>
        </w:rPr>
        <w:t>Pursuant to Rule 59(1)(</w:t>
      </w:r>
      <w:r w:rsidRPr="00100A98">
        <w:rPr>
          <w:rFonts w:cs="Times New Roman"/>
          <w:i/>
          <w:iCs/>
          <w:sz w:val="20"/>
          <w:szCs w:val="20"/>
        </w:rPr>
        <w:t>a</w:t>
      </w:r>
      <w:r w:rsidRPr="00100A98">
        <w:rPr>
          <w:rFonts w:cs="Times New Roman"/>
          <w:sz w:val="20"/>
          <w:szCs w:val="20"/>
        </w:rPr>
        <w:t xml:space="preserve">) of the </w:t>
      </w:r>
      <w:r w:rsidRPr="00100A98">
        <w:rPr>
          <w:rFonts w:cs="Times New Roman"/>
          <w:i/>
          <w:iCs/>
          <w:sz w:val="20"/>
          <w:szCs w:val="20"/>
        </w:rPr>
        <w:t>Rules of the Supreme Court of Canada</w:t>
      </w:r>
      <w:r w:rsidRPr="00100A98">
        <w:rPr>
          <w:rFonts w:cs="Times New Roman"/>
          <w:sz w:val="20"/>
          <w:szCs w:val="20"/>
        </w:rPr>
        <w:t>, the interveners shall pay to the appellants and respondents any additional disbursements occasioned to the appellants and respondents by their interventions.</w:t>
      </w:r>
    </w:p>
    <w:p w:rsidR="00100A98" w:rsidRPr="00100A98" w:rsidRDefault="00100A98" w:rsidP="00100A98">
      <w:pPr>
        <w:spacing w:line="233" w:lineRule="auto"/>
        <w:jc w:val="both"/>
        <w:rPr>
          <w:rFonts w:cs="Times New Roman"/>
          <w:sz w:val="20"/>
          <w:szCs w:val="20"/>
        </w:rPr>
      </w:pPr>
    </w:p>
    <w:p w:rsidR="00100A98" w:rsidRPr="00100A98" w:rsidRDefault="00100A98" w:rsidP="00100A98">
      <w:pPr>
        <w:spacing w:line="233" w:lineRule="auto"/>
        <w:jc w:val="both"/>
        <w:rPr>
          <w:rFonts w:cs="Times New Roman"/>
          <w:sz w:val="20"/>
          <w:szCs w:val="20"/>
        </w:rPr>
      </w:pPr>
    </w:p>
    <w:p w:rsidR="00100A98" w:rsidRPr="00100A98" w:rsidRDefault="00100A98" w:rsidP="00100A98">
      <w:pPr>
        <w:spacing w:line="233" w:lineRule="auto"/>
        <w:jc w:val="both"/>
        <w:rPr>
          <w:rFonts w:cs="Times New Roman"/>
          <w:sz w:val="20"/>
          <w:szCs w:val="20"/>
        </w:rPr>
      </w:pPr>
    </w:p>
    <w:p w:rsidR="00100A98" w:rsidRPr="00100A98" w:rsidRDefault="00100A98" w:rsidP="00100A98">
      <w:pPr>
        <w:spacing w:line="233" w:lineRule="auto"/>
        <w:jc w:val="both"/>
        <w:rPr>
          <w:rFonts w:cs="Times New Roman"/>
          <w:sz w:val="20"/>
          <w:szCs w:val="20"/>
          <w:lang w:val="fr-CA"/>
        </w:rPr>
      </w:pPr>
      <w:r w:rsidRPr="00100A98">
        <w:rPr>
          <w:rFonts w:cs="Times New Roman"/>
          <w:b/>
          <w:sz w:val="20"/>
          <w:szCs w:val="20"/>
          <w:lang w:val="fr-CA"/>
        </w:rPr>
        <w:t>À LA SUITE DES DEMANDES</w:t>
      </w:r>
      <w:r w:rsidRPr="00100A98">
        <w:rPr>
          <w:rFonts w:cs="Times New Roman"/>
          <w:sz w:val="20"/>
          <w:szCs w:val="20"/>
          <w:lang w:val="fr-CA"/>
        </w:rPr>
        <w:t xml:space="preserve"> présentées par l’Association des libertés civiles de la Colombie</w:t>
      </w:r>
      <w:r w:rsidRPr="00100A98">
        <w:rPr>
          <w:rFonts w:ascii="MS Mincho" w:eastAsia="MS Mincho" w:hAnsi="MS Mincho" w:cs="MS Mincho" w:hint="eastAsia"/>
          <w:sz w:val="20"/>
          <w:szCs w:val="20"/>
          <w:lang w:val="fr-CA"/>
        </w:rPr>
        <w:t>‑</w:t>
      </w:r>
      <w:r w:rsidRPr="00100A98">
        <w:rPr>
          <w:rFonts w:cs="Times New Roman"/>
          <w:sz w:val="20"/>
          <w:szCs w:val="20"/>
          <w:lang w:val="fr-CA"/>
        </w:rPr>
        <w:t>Britannique et par le procureur général de l’Alberta en autorisation d’intervenir dans les appels;</w:t>
      </w:r>
    </w:p>
    <w:p w:rsidR="00100A98" w:rsidRPr="00100A98" w:rsidRDefault="00100A98" w:rsidP="00100A98">
      <w:pPr>
        <w:spacing w:line="233" w:lineRule="auto"/>
        <w:jc w:val="both"/>
        <w:rPr>
          <w:rFonts w:cs="Times New Roman"/>
          <w:sz w:val="20"/>
          <w:szCs w:val="20"/>
          <w:lang w:val="fr-CA"/>
        </w:rPr>
      </w:pPr>
    </w:p>
    <w:p w:rsidR="00100A98" w:rsidRPr="00100A98" w:rsidRDefault="00100A98" w:rsidP="00100A98">
      <w:pPr>
        <w:spacing w:line="233" w:lineRule="auto"/>
        <w:jc w:val="both"/>
        <w:rPr>
          <w:rFonts w:cs="Times New Roman"/>
          <w:sz w:val="20"/>
          <w:szCs w:val="20"/>
          <w:lang w:val="fr-CA"/>
        </w:rPr>
      </w:pPr>
      <w:r w:rsidRPr="00100A98">
        <w:rPr>
          <w:rFonts w:cs="Times New Roman"/>
          <w:b/>
          <w:sz w:val="20"/>
          <w:szCs w:val="20"/>
          <w:lang w:val="fr-CA"/>
        </w:rPr>
        <w:t>ET À LA SUITE DE LA DEMANDE</w:t>
      </w:r>
      <w:r w:rsidRPr="00100A98">
        <w:rPr>
          <w:rFonts w:cs="Times New Roman"/>
          <w:sz w:val="20"/>
          <w:szCs w:val="20"/>
          <w:lang w:val="fr-CA"/>
        </w:rPr>
        <w:t xml:space="preserve"> présentée par la Criminal Lawyers’ Association (Ontario) en autorisation d’intervenir dans l’appel </w:t>
      </w:r>
      <w:r w:rsidRPr="00100A98">
        <w:rPr>
          <w:rFonts w:cs="Times New Roman"/>
          <w:i/>
          <w:sz w:val="20"/>
          <w:szCs w:val="20"/>
          <w:lang w:val="fr-CA"/>
        </w:rPr>
        <w:t>Barrett Richard Jordan c. Sa Majesté la Reine (36068)</w:t>
      </w:r>
      <w:r w:rsidRPr="00100A98">
        <w:rPr>
          <w:rFonts w:cs="Times New Roman"/>
          <w:sz w:val="20"/>
          <w:szCs w:val="20"/>
          <w:lang w:val="fr-CA"/>
        </w:rPr>
        <w:t>.</w:t>
      </w:r>
    </w:p>
    <w:p w:rsidR="00100A98" w:rsidRPr="00100A98" w:rsidRDefault="00100A98" w:rsidP="00100A98">
      <w:pPr>
        <w:spacing w:line="233" w:lineRule="auto"/>
        <w:jc w:val="both"/>
        <w:rPr>
          <w:rFonts w:cs="Times New Roman"/>
          <w:sz w:val="20"/>
          <w:szCs w:val="20"/>
          <w:lang w:val="fr-CA"/>
        </w:rPr>
      </w:pPr>
    </w:p>
    <w:p w:rsidR="00100A98" w:rsidRPr="00100A98" w:rsidRDefault="00100A98" w:rsidP="00100A98">
      <w:pPr>
        <w:spacing w:line="233" w:lineRule="auto"/>
        <w:jc w:val="both"/>
        <w:rPr>
          <w:rFonts w:cs="Times New Roman"/>
          <w:sz w:val="20"/>
          <w:szCs w:val="20"/>
          <w:lang w:val="fr-CA"/>
        </w:rPr>
      </w:pPr>
      <w:r w:rsidRPr="00100A98">
        <w:rPr>
          <w:rFonts w:cs="Times New Roman"/>
          <w:b/>
          <w:sz w:val="20"/>
          <w:szCs w:val="20"/>
          <w:lang w:val="fr-CA"/>
        </w:rPr>
        <w:t>ET APRÈS EXAMEN</w:t>
      </w:r>
      <w:r w:rsidRPr="00100A98">
        <w:rPr>
          <w:rFonts w:cs="Times New Roman"/>
          <w:sz w:val="20"/>
          <w:szCs w:val="20"/>
          <w:lang w:val="fr-CA"/>
        </w:rPr>
        <w:t xml:space="preserve"> des documents déposés; </w:t>
      </w:r>
    </w:p>
    <w:p w:rsidR="00100A98" w:rsidRPr="00100A98" w:rsidRDefault="00100A98" w:rsidP="00100A98">
      <w:pPr>
        <w:spacing w:line="233" w:lineRule="auto"/>
        <w:jc w:val="both"/>
        <w:rPr>
          <w:rFonts w:cs="Times New Roman"/>
          <w:sz w:val="20"/>
          <w:szCs w:val="20"/>
          <w:lang w:val="fr-CA"/>
        </w:rPr>
      </w:pPr>
    </w:p>
    <w:p w:rsidR="00100A98" w:rsidRPr="00100A98" w:rsidRDefault="00100A98" w:rsidP="00100A98">
      <w:pPr>
        <w:spacing w:line="233" w:lineRule="auto"/>
        <w:jc w:val="both"/>
        <w:rPr>
          <w:rFonts w:cs="Times New Roman"/>
          <w:b/>
          <w:sz w:val="20"/>
          <w:szCs w:val="20"/>
          <w:lang w:val="fr-CA"/>
        </w:rPr>
      </w:pPr>
      <w:r w:rsidRPr="00100A98">
        <w:rPr>
          <w:rFonts w:cs="Times New Roman"/>
          <w:b/>
          <w:sz w:val="20"/>
          <w:szCs w:val="20"/>
          <w:lang w:val="fr-CA"/>
        </w:rPr>
        <w:t xml:space="preserve">IL EST ORDONNÉ CE QUI SUIT : </w:t>
      </w:r>
    </w:p>
    <w:p w:rsidR="00100A98" w:rsidRPr="00100A98" w:rsidRDefault="00100A98" w:rsidP="00100A98">
      <w:pPr>
        <w:spacing w:line="233" w:lineRule="auto"/>
        <w:jc w:val="both"/>
        <w:rPr>
          <w:rFonts w:cs="Times New Roman"/>
          <w:sz w:val="20"/>
          <w:szCs w:val="20"/>
          <w:lang w:val="fr-CA"/>
        </w:rPr>
      </w:pPr>
    </w:p>
    <w:p w:rsidR="00100A98" w:rsidRPr="00100A98" w:rsidRDefault="00100A98" w:rsidP="00100A98">
      <w:pPr>
        <w:spacing w:line="233" w:lineRule="auto"/>
        <w:jc w:val="both"/>
        <w:rPr>
          <w:rFonts w:cs="Times New Roman"/>
          <w:sz w:val="20"/>
          <w:szCs w:val="20"/>
          <w:lang w:val="fr-CA"/>
        </w:rPr>
      </w:pPr>
      <w:r w:rsidRPr="00100A98">
        <w:rPr>
          <w:rFonts w:cs="Times New Roman"/>
          <w:sz w:val="20"/>
          <w:szCs w:val="20"/>
          <w:lang w:val="fr-CA"/>
        </w:rPr>
        <w:t>Les requêtes en autorisation d’intervenir présentées par l’Association des libertés civiles de la Colombie</w:t>
      </w:r>
      <w:r w:rsidRPr="00100A98">
        <w:rPr>
          <w:rFonts w:ascii="MS Mincho" w:eastAsia="MS Mincho" w:hAnsi="MS Mincho" w:cs="MS Mincho" w:hint="eastAsia"/>
          <w:sz w:val="20"/>
          <w:szCs w:val="20"/>
          <w:lang w:val="fr-CA"/>
        </w:rPr>
        <w:t>‑</w:t>
      </w:r>
      <w:r w:rsidRPr="00100A98">
        <w:rPr>
          <w:rFonts w:cs="Times New Roman"/>
          <w:sz w:val="20"/>
          <w:szCs w:val="20"/>
          <w:lang w:val="fr-CA"/>
        </w:rPr>
        <w:t xml:space="preserve">Britannique et par le procureur général de l’Alberta sont accordées et les intervenants en question pourront signifier et déposer chacun un mémoire conjoint pour les deux appels d’au plus dix (10) pages au plus tard le 5 août 2015. </w:t>
      </w:r>
    </w:p>
    <w:p w:rsidR="00100A98" w:rsidRPr="00100A98" w:rsidRDefault="00100A98" w:rsidP="00100A98">
      <w:pPr>
        <w:spacing w:line="233" w:lineRule="auto"/>
        <w:jc w:val="both"/>
        <w:rPr>
          <w:rFonts w:cs="Times New Roman"/>
          <w:sz w:val="20"/>
          <w:szCs w:val="20"/>
          <w:lang w:val="fr-CA"/>
        </w:rPr>
      </w:pPr>
    </w:p>
    <w:p w:rsidR="00100A98" w:rsidRPr="00100A98" w:rsidRDefault="00100A98" w:rsidP="00100A98">
      <w:pPr>
        <w:spacing w:line="233" w:lineRule="auto"/>
        <w:jc w:val="both"/>
        <w:rPr>
          <w:rFonts w:cs="Times New Roman"/>
          <w:sz w:val="20"/>
          <w:szCs w:val="20"/>
          <w:lang w:val="fr-CA"/>
        </w:rPr>
      </w:pPr>
      <w:r w:rsidRPr="00100A98">
        <w:rPr>
          <w:rFonts w:cs="Times New Roman"/>
          <w:sz w:val="20"/>
          <w:szCs w:val="20"/>
          <w:lang w:val="fr-CA"/>
        </w:rPr>
        <w:t xml:space="preserve">La requête en autorisation d’intervenir présentée par la Criminal Lawyers’ Association (Ontario) est accordée et l’intervenante en question pourra signifier et déposer un seul mémoire d’au plus dix (10) pages au plus tard le 5 août 2015 dans l’appel </w:t>
      </w:r>
      <w:r w:rsidRPr="00100A98">
        <w:rPr>
          <w:rFonts w:cs="Times New Roman"/>
          <w:i/>
          <w:sz w:val="20"/>
          <w:szCs w:val="20"/>
          <w:lang w:val="fr-CA"/>
        </w:rPr>
        <w:t>Barrett Richard Jordan c. Sa Majesté la Reine (36068)</w:t>
      </w:r>
    </w:p>
    <w:p w:rsidR="00100A98" w:rsidRPr="00100A98" w:rsidRDefault="00100A98" w:rsidP="00100A98">
      <w:pPr>
        <w:spacing w:line="233" w:lineRule="auto"/>
        <w:jc w:val="both"/>
        <w:rPr>
          <w:rFonts w:cs="Times New Roman"/>
          <w:sz w:val="20"/>
          <w:szCs w:val="20"/>
          <w:lang w:val="fr-CA"/>
        </w:rPr>
      </w:pPr>
    </w:p>
    <w:p w:rsidR="00100A98" w:rsidRPr="00100A98" w:rsidRDefault="00100A98" w:rsidP="00100A98">
      <w:pPr>
        <w:spacing w:line="233" w:lineRule="auto"/>
        <w:jc w:val="both"/>
        <w:rPr>
          <w:rFonts w:cs="Times New Roman"/>
          <w:sz w:val="20"/>
          <w:szCs w:val="20"/>
          <w:lang w:val="fr-CA"/>
        </w:rPr>
      </w:pPr>
      <w:r w:rsidRPr="00100A98">
        <w:rPr>
          <w:rFonts w:cs="Times New Roman"/>
          <w:sz w:val="20"/>
          <w:szCs w:val="20"/>
          <w:lang w:val="fr-CA"/>
        </w:rPr>
        <w:t xml:space="preserve">La décision sur les demandes en vue de présenter des plaidoiries orales sera rendue après réception et examen des arguments écrits des parties et des intervenants. </w:t>
      </w:r>
    </w:p>
    <w:p w:rsidR="00100A98" w:rsidRPr="00100A98" w:rsidRDefault="00100A98" w:rsidP="00100A98">
      <w:pPr>
        <w:spacing w:line="233" w:lineRule="auto"/>
        <w:jc w:val="both"/>
        <w:rPr>
          <w:rFonts w:cs="Times New Roman"/>
          <w:sz w:val="20"/>
          <w:szCs w:val="20"/>
          <w:lang w:val="fr-CA"/>
        </w:rPr>
      </w:pPr>
    </w:p>
    <w:p w:rsidR="00100A98" w:rsidRPr="00100A98" w:rsidRDefault="00100A98" w:rsidP="00100A98">
      <w:pPr>
        <w:spacing w:line="233" w:lineRule="auto"/>
        <w:jc w:val="both"/>
        <w:rPr>
          <w:rFonts w:cs="Times New Roman"/>
          <w:sz w:val="20"/>
          <w:szCs w:val="20"/>
          <w:lang w:val="fr-CA"/>
        </w:rPr>
      </w:pPr>
      <w:r w:rsidRPr="00100A98">
        <w:rPr>
          <w:rFonts w:cs="Times New Roman"/>
          <w:sz w:val="20"/>
          <w:szCs w:val="20"/>
          <w:lang w:val="fr-CA"/>
        </w:rPr>
        <w:t>Les intervenants n’ont pas le droit de soulever de nouvelles questions, de produire d’autres éléments de preuve ni de compléter de quelque autre façon le dossier des parties.</w:t>
      </w:r>
    </w:p>
    <w:p w:rsidR="00100A98" w:rsidRPr="00100A98" w:rsidRDefault="00100A98" w:rsidP="00100A98">
      <w:pPr>
        <w:spacing w:line="233" w:lineRule="auto"/>
        <w:jc w:val="both"/>
        <w:rPr>
          <w:rFonts w:cs="Times New Roman"/>
          <w:b/>
          <w:sz w:val="20"/>
          <w:szCs w:val="20"/>
          <w:lang w:val="fr-CA"/>
        </w:rPr>
      </w:pPr>
    </w:p>
    <w:p w:rsidR="00100A98" w:rsidRPr="00100A98" w:rsidRDefault="00100A98" w:rsidP="00100A98">
      <w:pPr>
        <w:spacing w:line="233" w:lineRule="auto"/>
        <w:jc w:val="both"/>
        <w:rPr>
          <w:rFonts w:cs="Times New Roman"/>
          <w:sz w:val="20"/>
          <w:szCs w:val="20"/>
          <w:lang w:val="fr-CA"/>
        </w:rPr>
      </w:pPr>
      <w:r w:rsidRPr="00100A98">
        <w:rPr>
          <w:rFonts w:cs="Times New Roman"/>
          <w:sz w:val="20"/>
          <w:szCs w:val="20"/>
          <w:lang w:val="fr-CA"/>
        </w:rPr>
        <w:t>Conformément à l’alinéa 59(1)</w:t>
      </w:r>
      <w:r w:rsidRPr="00100A98">
        <w:rPr>
          <w:rFonts w:cs="Times New Roman"/>
          <w:i/>
          <w:sz w:val="20"/>
          <w:szCs w:val="20"/>
          <w:lang w:val="fr-CA"/>
        </w:rPr>
        <w:t>a</w:t>
      </w:r>
      <w:r w:rsidRPr="00100A98">
        <w:rPr>
          <w:rFonts w:cs="Times New Roman"/>
          <w:sz w:val="20"/>
          <w:szCs w:val="20"/>
          <w:lang w:val="fr-CA"/>
        </w:rPr>
        <w:t xml:space="preserve">) des </w:t>
      </w:r>
      <w:r w:rsidRPr="00100A98">
        <w:rPr>
          <w:rFonts w:cs="Times New Roman"/>
          <w:i/>
          <w:sz w:val="20"/>
          <w:szCs w:val="20"/>
          <w:lang w:val="fr-CA"/>
        </w:rPr>
        <w:t>Règles de la Cour suprême du Canada</w:t>
      </w:r>
      <w:r w:rsidRPr="00100A98">
        <w:rPr>
          <w:rFonts w:cs="Times New Roman"/>
          <w:sz w:val="20"/>
          <w:szCs w:val="20"/>
          <w:lang w:val="fr-CA"/>
        </w:rPr>
        <w:t>, les intervenants paieront aux appelants et aux intimés tous débours supplémentaires résultant de leur intervention.</w:t>
      </w:r>
    </w:p>
    <w:p w:rsidR="00100A98" w:rsidRPr="00100A98" w:rsidRDefault="00100A98" w:rsidP="00100A98">
      <w:pPr>
        <w:tabs>
          <w:tab w:val="left" w:pos="-1440"/>
          <w:tab w:val="left" w:pos="-720"/>
        </w:tabs>
        <w:jc w:val="both"/>
        <w:rPr>
          <w:sz w:val="20"/>
          <w:szCs w:val="20"/>
          <w:lang w:val="fr-CA"/>
        </w:rPr>
      </w:pPr>
    </w:p>
    <w:p w:rsidR="00100A98" w:rsidRPr="00100A98" w:rsidRDefault="005B7E98" w:rsidP="00100A98">
      <w:pPr>
        <w:tabs>
          <w:tab w:val="left" w:pos="-1440"/>
          <w:tab w:val="left" w:pos="-720"/>
        </w:tabs>
        <w:jc w:val="both"/>
        <w:rPr>
          <w:sz w:val="20"/>
          <w:szCs w:val="20"/>
          <w:lang w:val="fr-CA"/>
        </w:rPr>
      </w:pPr>
      <w:r>
        <w:rPr>
          <w:sz w:val="20"/>
          <w:szCs w:val="20"/>
          <w:lang w:val="fr-CA"/>
        </w:rPr>
        <w:pict>
          <v:rect id="_x0000_i1067" style="width:2in;height:1pt" o:hrpct="0" o:hralign="center" o:hrstd="t" o:hrnoshade="t" o:hr="t" fillcolor="black [3213]" stroked="f"/>
        </w:pict>
      </w:r>
    </w:p>
    <w:p w:rsidR="00100A98" w:rsidRPr="00100A98" w:rsidRDefault="00100A98" w:rsidP="00100A98">
      <w:pPr>
        <w:tabs>
          <w:tab w:val="left" w:pos="-1440"/>
          <w:tab w:val="left" w:pos="-720"/>
        </w:tabs>
        <w:jc w:val="both"/>
        <w:rPr>
          <w:sz w:val="20"/>
          <w:szCs w:val="20"/>
          <w:lang w:val="fr-CA"/>
        </w:rPr>
      </w:pPr>
    </w:p>
    <w:p w:rsidR="00100A98" w:rsidRPr="00100A98" w:rsidRDefault="00100A98" w:rsidP="00100A98">
      <w:pPr>
        <w:tabs>
          <w:tab w:val="left" w:pos="-1440"/>
          <w:tab w:val="left" w:pos="-720"/>
        </w:tabs>
        <w:jc w:val="both"/>
        <w:rPr>
          <w:sz w:val="20"/>
          <w:szCs w:val="20"/>
          <w:lang w:val="fr-CA"/>
        </w:rPr>
      </w:pPr>
      <w:r w:rsidRPr="00100A98">
        <w:rPr>
          <w:sz w:val="20"/>
          <w:szCs w:val="20"/>
          <w:lang w:val="fr-CA"/>
        </w:rPr>
        <w:t>10.06.2015</w:t>
      </w:r>
    </w:p>
    <w:p w:rsidR="00100A98" w:rsidRPr="00100A98" w:rsidRDefault="00100A98" w:rsidP="00100A98">
      <w:pPr>
        <w:tabs>
          <w:tab w:val="left" w:pos="-1440"/>
          <w:tab w:val="left" w:pos="-720"/>
        </w:tabs>
        <w:jc w:val="both"/>
        <w:rPr>
          <w:sz w:val="20"/>
          <w:szCs w:val="20"/>
          <w:lang w:val="fr-CA"/>
        </w:rPr>
      </w:pPr>
    </w:p>
    <w:p w:rsidR="00100A98" w:rsidRPr="00100A98" w:rsidRDefault="00100A98" w:rsidP="00100A98">
      <w:pPr>
        <w:tabs>
          <w:tab w:val="left" w:pos="-1440"/>
          <w:tab w:val="left" w:pos="-720"/>
        </w:tabs>
        <w:jc w:val="both"/>
        <w:rPr>
          <w:sz w:val="20"/>
          <w:szCs w:val="20"/>
          <w:lang w:val="fr-CA"/>
        </w:rPr>
      </w:pPr>
      <w:r w:rsidRPr="00100A98">
        <w:rPr>
          <w:sz w:val="20"/>
          <w:szCs w:val="20"/>
          <w:lang w:val="fr-CA"/>
        </w:rPr>
        <w:t>Before / Devant :   GASCON J. / LE JUGE GASCON</w:t>
      </w:r>
    </w:p>
    <w:p w:rsidR="00100A98" w:rsidRPr="00100A98" w:rsidRDefault="00100A98" w:rsidP="00100A98">
      <w:pPr>
        <w:tabs>
          <w:tab w:val="left" w:pos="-1440"/>
          <w:tab w:val="left" w:pos="-720"/>
        </w:tabs>
        <w:jc w:val="both"/>
        <w:rPr>
          <w:sz w:val="20"/>
          <w:szCs w:val="20"/>
          <w:lang w:val="fr-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100A98" w:rsidRPr="00A12C1D" w:rsidTr="004D7613">
        <w:trPr>
          <w:trHeight w:val="151"/>
        </w:trPr>
        <w:tc>
          <w:tcPr>
            <w:tcW w:w="4338" w:type="dxa"/>
          </w:tcPr>
          <w:p w:rsidR="00100A98" w:rsidRPr="00100A98" w:rsidRDefault="00100A98" w:rsidP="004D7613">
            <w:pPr>
              <w:tabs>
                <w:tab w:val="left" w:pos="-1440"/>
                <w:tab w:val="left" w:pos="-720"/>
              </w:tabs>
              <w:jc w:val="both"/>
              <w:rPr>
                <w:lang w:val="fr-CA"/>
              </w:rPr>
            </w:pPr>
            <w:r w:rsidRPr="00100A98">
              <w:rPr>
                <w:b/>
                <w:bCs/>
              </w:rPr>
              <w:t>Motion to extend time</w:t>
            </w:r>
            <w:r w:rsidRPr="00100A98">
              <w:t xml:space="preserve"> </w:t>
            </w:r>
            <w:r w:rsidR="00E85246" w:rsidRPr="00100A98">
              <w:fldChar w:fldCharType="begin"/>
            </w:r>
            <w:r w:rsidRPr="00100A98">
              <w:rPr>
                <w:lang w:val="fr-CA"/>
              </w:rPr>
              <w:instrText xml:space="preserve"> SEQ CHAPTER \h \r 1</w:instrText>
            </w:r>
            <w:r w:rsidR="00E85246" w:rsidRPr="00100A98">
              <w:fldChar w:fldCharType="end"/>
            </w:r>
          </w:p>
        </w:tc>
        <w:tc>
          <w:tcPr>
            <w:tcW w:w="1170" w:type="dxa"/>
          </w:tcPr>
          <w:p w:rsidR="00100A98" w:rsidRPr="00100A98" w:rsidRDefault="00100A98" w:rsidP="004D7613">
            <w:pPr>
              <w:jc w:val="both"/>
              <w:rPr>
                <w:lang w:val="fr-CA"/>
              </w:rPr>
            </w:pPr>
          </w:p>
          <w:p w:rsidR="00100A98" w:rsidRPr="00100A98" w:rsidRDefault="00100A98" w:rsidP="004D7613">
            <w:pPr>
              <w:jc w:val="both"/>
              <w:rPr>
                <w:lang w:val="fr-CA"/>
              </w:rPr>
            </w:pPr>
          </w:p>
        </w:tc>
        <w:tc>
          <w:tcPr>
            <w:tcW w:w="4327" w:type="dxa"/>
          </w:tcPr>
          <w:p w:rsidR="00100A98" w:rsidRPr="00100A98" w:rsidRDefault="00100A98" w:rsidP="004D7613">
            <w:pPr>
              <w:jc w:val="both"/>
              <w:rPr>
                <w:b/>
                <w:lang w:val="fr-CA"/>
              </w:rPr>
            </w:pPr>
            <w:r w:rsidRPr="00100A98">
              <w:rPr>
                <w:b/>
                <w:bCs/>
                <w:color w:val="000000"/>
                <w:lang w:val="fr-CA"/>
              </w:rPr>
              <w:t>Requête en prorogation de délai</w:t>
            </w:r>
            <w:r w:rsidRPr="00100A98">
              <w:rPr>
                <w:lang w:val="fr-CA"/>
              </w:rPr>
              <w:t xml:space="preserve"> </w:t>
            </w:r>
            <w:r w:rsidR="00E85246" w:rsidRPr="00100A98">
              <w:rPr>
                <w:b/>
              </w:rPr>
              <w:fldChar w:fldCharType="begin"/>
            </w:r>
            <w:r w:rsidRPr="00100A98">
              <w:rPr>
                <w:b/>
                <w:lang w:val="fr-CA"/>
              </w:rPr>
              <w:instrText xml:space="preserve"> SEQ CHAPTER \h \r 1</w:instrText>
            </w:r>
            <w:r w:rsidR="00E85246" w:rsidRPr="00100A98">
              <w:rPr>
                <w:b/>
              </w:rPr>
              <w:fldChar w:fldCharType="end"/>
            </w:r>
            <w:r w:rsidR="00E85246" w:rsidRPr="00100A98">
              <w:rPr>
                <w:b/>
              </w:rPr>
              <w:fldChar w:fldCharType="begin"/>
            </w:r>
            <w:r w:rsidRPr="00100A98">
              <w:rPr>
                <w:b/>
                <w:lang w:val="fr-CA"/>
              </w:rPr>
              <w:instrText xml:space="preserve"> SEQ CHAPTER \h \r 1</w:instrText>
            </w:r>
            <w:r w:rsidR="00E85246" w:rsidRPr="00100A98">
              <w:rPr>
                <w:b/>
              </w:rPr>
              <w:fldChar w:fldCharType="end"/>
            </w:r>
          </w:p>
        </w:tc>
      </w:tr>
      <w:tr w:rsidR="00100A98" w:rsidRPr="00100A98" w:rsidTr="004D7613">
        <w:trPr>
          <w:trHeight w:val="150"/>
        </w:trPr>
        <w:tc>
          <w:tcPr>
            <w:tcW w:w="4338" w:type="dxa"/>
          </w:tcPr>
          <w:p w:rsidR="00100A98" w:rsidRPr="00100A98" w:rsidRDefault="00100A98" w:rsidP="004D7613">
            <w:pPr>
              <w:jc w:val="both"/>
              <w:rPr>
                <w:lang w:val="fr-CA"/>
              </w:rPr>
            </w:pPr>
            <w:r w:rsidRPr="00100A98">
              <w:t>In the Matter of an Application for Warrants Pursuant to Sections 12 and 21 of the Canadian Security Intelligence Service Act, R.S.C. 1985, c. C-23 (F.C.) (36107)</w:t>
            </w:r>
          </w:p>
        </w:tc>
        <w:tc>
          <w:tcPr>
            <w:tcW w:w="1170" w:type="dxa"/>
          </w:tcPr>
          <w:p w:rsidR="00100A98" w:rsidRPr="00100A98" w:rsidRDefault="00100A98" w:rsidP="004D7613">
            <w:pPr>
              <w:jc w:val="both"/>
              <w:rPr>
                <w:lang w:val="fr-CA"/>
              </w:rPr>
            </w:pPr>
          </w:p>
        </w:tc>
        <w:tc>
          <w:tcPr>
            <w:tcW w:w="4327" w:type="dxa"/>
          </w:tcPr>
          <w:p w:rsidR="00100A98" w:rsidRPr="00100A98" w:rsidRDefault="00100A98" w:rsidP="004D7613">
            <w:pPr>
              <w:jc w:val="both"/>
              <w:rPr>
                <w:lang w:val="fr-CA"/>
              </w:rPr>
            </w:pPr>
          </w:p>
        </w:tc>
      </w:tr>
    </w:tbl>
    <w:p w:rsidR="00100A98" w:rsidRPr="00100A98" w:rsidRDefault="00100A98" w:rsidP="00100A98">
      <w:pPr>
        <w:tabs>
          <w:tab w:val="left" w:pos="-1440"/>
          <w:tab w:val="left" w:pos="-720"/>
        </w:tabs>
        <w:jc w:val="both"/>
        <w:rPr>
          <w:sz w:val="20"/>
          <w:szCs w:val="20"/>
          <w:lang w:val="fr-CA"/>
        </w:rPr>
      </w:pPr>
    </w:p>
    <w:p w:rsidR="00100A98" w:rsidRPr="00100A98" w:rsidRDefault="00100A98" w:rsidP="00100A98">
      <w:pPr>
        <w:tabs>
          <w:tab w:val="left" w:pos="-1440"/>
          <w:tab w:val="left" w:pos="-720"/>
        </w:tabs>
        <w:jc w:val="both"/>
        <w:rPr>
          <w:sz w:val="20"/>
          <w:szCs w:val="20"/>
          <w:lang w:val="fr-CA"/>
        </w:rPr>
      </w:pPr>
      <w:r w:rsidRPr="00100A98">
        <w:rPr>
          <w:b/>
          <w:sz w:val="20"/>
          <w:szCs w:val="20"/>
          <w:lang w:val="fr-CA"/>
        </w:rPr>
        <w:t>GRANTED IN PART / ACCORDÉE EN PARTIE</w:t>
      </w:r>
    </w:p>
    <w:p w:rsidR="00100A98" w:rsidRPr="00100A98" w:rsidRDefault="00100A98" w:rsidP="00100A98">
      <w:pPr>
        <w:tabs>
          <w:tab w:val="left" w:pos="-1440"/>
          <w:tab w:val="left" w:pos="-720"/>
        </w:tabs>
        <w:jc w:val="both"/>
        <w:rPr>
          <w:sz w:val="20"/>
          <w:szCs w:val="20"/>
          <w:lang w:val="fr-CA"/>
        </w:rPr>
      </w:pPr>
    </w:p>
    <w:p w:rsidR="00100A98" w:rsidRPr="00100A98" w:rsidRDefault="00100A98" w:rsidP="00100A98">
      <w:pPr>
        <w:jc w:val="both"/>
        <w:rPr>
          <w:rFonts w:cs="Times New Roman"/>
          <w:sz w:val="20"/>
          <w:szCs w:val="20"/>
        </w:rPr>
      </w:pPr>
      <w:r w:rsidRPr="00100A98">
        <w:rPr>
          <w:rFonts w:cs="Times New Roman"/>
          <w:b/>
          <w:sz w:val="20"/>
          <w:szCs w:val="20"/>
        </w:rPr>
        <w:t>UPON APPLICATION</w:t>
      </w:r>
      <w:r w:rsidRPr="00100A98">
        <w:rPr>
          <w:rFonts w:cs="Times New Roman"/>
          <w:sz w:val="20"/>
          <w:szCs w:val="20"/>
        </w:rPr>
        <w:t xml:space="preserve"> by the appellant for 1) an extension of time to file his factums, records and books of authorities to June 19, 2015, 2) permitting the appellant to file ten (10) redacted copies of the record and two (2) unredacted copies of the record, 3) permitting the appellant and the </w:t>
      </w:r>
      <w:r w:rsidRPr="00100A98">
        <w:rPr>
          <w:rFonts w:cs="Times New Roman"/>
          <w:i/>
          <w:sz w:val="20"/>
          <w:szCs w:val="20"/>
        </w:rPr>
        <w:t>amicus curiae</w:t>
      </w:r>
      <w:r w:rsidRPr="00100A98">
        <w:rPr>
          <w:rFonts w:cs="Times New Roman"/>
          <w:sz w:val="20"/>
          <w:szCs w:val="20"/>
        </w:rPr>
        <w:t xml:space="preserve"> to file twenty-four (24) redacted copies and ten (10) unredacted copies of their factums and 4) prohibiting public access to the unredacted factums and records;</w:t>
      </w:r>
    </w:p>
    <w:p w:rsidR="00100A98" w:rsidRPr="00100A98" w:rsidRDefault="00100A98" w:rsidP="00100A98">
      <w:pPr>
        <w:jc w:val="both"/>
        <w:rPr>
          <w:rFonts w:cs="Times New Roman"/>
          <w:sz w:val="20"/>
          <w:szCs w:val="20"/>
        </w:rPr>
      </w:pPr>
    </w:p>
    <w:p w:rsidR="00100A98" w:rsidRPr="00100A98" w:rsidRDefault="00100A98" w:rsidP="00100A98">
      <w:pPr>
        <w:jc w:val="both"/>
        <w:rPr>
          <w:rFonts w:cs="Times New Roman"/>
          <w:sz w:val="20"/>
          <w:szCs w:val="20"/>
        </w:rPr>
      </w:pPr>
      <w:r w:rsidRPr="00100A98">
        <w:rPr>
          <w:rFonts w:cs="Times New Roman"/>
          <w:b/>
          <w:sz w:val="20"/>
          <w:szCs w:val="20"/>
        </w:rPr>
        <w:t>AND THE MATERIAL FILED</w:t>
      </w:r>
      <w:r w:rsidRPr="00100A98">
        <w:rPr>
          <w:rFonts w:cs="Times New Roman"/>
          <w:sz w:val="20"/>
          <w:szCs w:val="20"/>
        </w:rPr>
        <w:t xml:space="preserve"> having been read;</w:t>
      </w:r>
    </w:p>
    <w:p w:rsidR="00100A98" w:rsidRPr="00100A98" w:rsidRDefault="00100A98" w:rsidP="00100A98">
      <w:pPr>
        <w:jc w:val="both"/>
        <w:rPr>
          <w:rFonts w:cs="Times New Roman"/>
          <w:sz w:val="20"/>
          <w:szCs w:val="20"/>
        </w:rPr>
      </w:pPr>
    </w:p>
    <w:p w:rsidR="00100A98" w:rsidRPr="00100A98" w:rsidRDefault="00100A98" w:rsidP="00100A98">
      <w:pPr>
        <w:jc w:val="both"/>
        <w:rPr>
          <w:rFonts w:cs="Times New Roman"/>
          <w:b/>
          <w:sz w:val="20"/>
          <w:szCs w:val="20"/>
        </w:rPr>
      </w:pPr>
      <w:r w:rsidRPr="00100A98">
        <w:rPr>
          <w:rFonts w:cs="Times New Roman"/>
          <w:b/>
          <w:sz w:val="20"/>
          <w:szCs w:val="20"/>
        </w:rPr>
        <w:t xml:space="preserve">IT IS HEREBY ORDERED THAT: </w:t>
      </w:r>
    </w:p>
    <w:p w:rsidR="00100A98" w:rsidRPr="00100A98" w:rsidRDefault="00100A98" w:rsidP="00100A98">
      <w:pPr>
        <w:jc w:val="both"/>
        <w:rPr>
          <w:rFonts w:cs="Times New Roman"/>
          <w:sz w:val="20"/>
          <w:szCs w:val="20"/>
        </w:rPr>
      </w:pPr>
    </w:p>
    <w:p w:rsidR="00100A98" w:rsidRPr="00100A98" w:rsidRDefault="00100A98" w:rsidP="00100A98">
      <w:pPr>
        <w:pStyle w:val="ListParagraph"/>
        <w:widowControl w:val="0"/>
        <w:numPr>
          <w:ilvl w:val="0"/>
          <w:numId w:val="7"/>
        </w:numPr>
        <w:autoSpaceDE w:val="0"/>
        <w:autoSpaceDN w:val="0"/>
        <w:adjustRightInd w:val="0"/>
        <w:jc w:val="both"/>
        <w:rPr>
          <w:rFonts w:cs="Times New Roman"/>
          <w:sz w:val="20"/>
          <w:szCs w:val="20"/>
        </w:rPr>
      </w:pPr>
      <w:r w:rsidRPr="00100A98">
        <w:rPr>
          <w:rFonts w:cs="Times New Roman"/>
          <w:sz w:val="20"/>
          <w:szCs w:val="20"/>
        </w:rPr>
        <w:t>The motion is granted in part.</w:t>
      </w:r>
    </w:p>
    <w:p w:rsidR="00100A98" w:rsidRPr="00100A98" w:rsidRDefault="00100A98" w:rsidP="00100A98">
      <w:pPr>
        <w:jc w:val="both"/>
        <w:rPr>
          <w:rFonts w:cs="Times New Roman"/>
          <w:sz w:val="20"/>
          <w:szCs w:val="20"/>
        </w:rPr>
      </w:pPr>
    </w:p>
    <w:p w:rsidR="00100A98" w:rsidRPr="00100A98" w:rsidRDefault="00100A98" w:rsidP="00100A98">
      <w:pPr>
        <w:pStyle w:val="ListParagraph"/>
        <w:widowControl w:val="0"/>
        <w:numPr>
          <w:ilvl w:val="0"/>
          <w:numId w:val="7"/>
        </w:numPr>
        <w:autoSpaceDE w:val="0"/>
        <w:autoSpaceDN w:val="0"/>
        <w:adjustRightInd w:val="0"/>
        <w:jc w:val="both"/>
        <w:rPr>
          <w:rFonts w:cs="Times New Roman"/>
          <w:sz w:val="20"/>
          <w:szCs w:val="20"/>
        </w:rPr>
      </w:pPr>
      <w:r w:rsidRPr="00100A98">
        <w:rPr>
          <w:rFonts w:cs="Times New Roman"/>
          <w:sz w:val="20"/>
          <w:szCs w:val="20"/>
        </w:rPr>
        <w:t>The appellant shall serve and file his factums, records and books of authorities on or before June 19, 2015;</w:t>
      </w:r>
    </w:p>
    <w:p w:rsidR="00100A98" w:rsidRPr="00100A98" w:rsidRDefault="00100A98" w:rsidP="00100A98">
      <w:pPr>
        <w:jc w:val="both"/>
        <w:rPr>
          <w:rFonts w:cs="Times New Roman"/>
          <w:sz w:val="20"/>
          <w:szCs w:val="20"/>
        </w:rPr>
      </w:pPr>
    </w:p>
    <w:p w:rsidR="00100A98" w:rsidRPr="00100A98" w:rsidRDefault="00100A98" w:rsidP="00100A98">
      <w:pPr>
        <w:pStyle w:val="ListParagraph"/>
        <w:widowControl w:val="0"/>
        <w:numPr>
          <w:ilvl w:val="0"/>
          <w:numId w:val="7"/>
        </w:numPr>
        <w:autoSpaceDE w:val="0"/>
        <w:autoSpaceDN w:val="0"/>
        <w:adjustRightInd w:val="0"/>
        <w:jc w:val="both"/>
        <w:rPr>
          <w:rFonts w:cs="Times New Roman"/>
          <w:sz w:val="20"/>
          <w:szCs w:val="20"/>
        </w:rPr>
      </w:pPr>
      <w:r w:rsidRPr="00100A98">
        <w:rPr>
          <w:rFonts w:cs="Times New Roman"/>
          <w:sz w:val="20"/>
          <w:szCs w:val="20"/>
        </w:rPr>
        <w:t>The appellant shall comply with Rule 35(1)(</w:t>
      </w:r>
      <w:r w:rsidRPr="00100A98">
        <w:rPr>
          <w:rFonts w:cs="Times New Roman"/>
          <w:i/>
          <w:sz w:val="20"/>
          <w:szCs w:val="20"/>
        </w:rPr>
        <w:t>c</w:t>
      </w:r>
      <w:r w:rsidRPr="00100A98">
        <w:rPr>
          <w:rFonts w:cs="Times New Roman"/>
          <w:sz w:val="20"/>
          <w:szCs w:val="20"/>
        </w:rPr>
        <w:t xml:space="preserve">) of the </w:t>
      </w:r>
      <w:r w:rsidRPr="00100A98">
        <w:rPr>
          <w:rFonts w:cs="Times New Roman"/>
          <w:i/>
          <w:sz w:val="20"/>
          <w:szCs w:val="20"/>
        </w:rPr>
        <w:t>Rules of the Supreme Court of Canada</w:t>
      </w:r>
      <w:r w:rsidRPr="00100A98">
        <w:rPr>
          <w:rFonts w:cs="Times New Roman"/>
          <w:sz w:val="20"/>
          <w:szCs w:val="20"/>
        </w:rPr>
        <w:t xml:space="preserve"> in respect of the amount of redacted copies of the record to be filed;</w:t>
      </w:r>
    </w:p>
    <w:p w:rsidR="00100A98" w:rsidRPr="00100A98" w:rsidRDefault="00100A98" w:rsidP="00100A98">
      <w:pPr>
        <w:jc w:val="both"/>
        <w:rPr>
          <w:rFonts w:cs="Times New Roman"/>
          <w:sz w:val="20"/>
          <w:szCs w:val="20"/>
        </w:rPr>
      </w:pPr>
    </w:p>
    <w:p w:rsidR="00100A98" w:rsidRPr="00100A98" w:rsidRDefault="00100A98" w:rsidP="00100A98">
      <w:pPr>
        <w:pStyle w:val="ListParagraph"/>
        <w:widowControl w:val="0"/>
        <w:numPr>
          <w:ilvl w:val="0"/>
          <w:numId w:val="7"/>
        </w:numPr>
        <w:autoSpaceDE w:val="0"/>
        <w:autoSpaceDN w:val="0"/>
        <w:adjustRightInd w:val="0"/>
        <w:jc w:val="both"/>
        <w:rPr>
          <w:rFonts w:cs="Times New Roman"/>
          <w:sz w:val="20"/>
          <w:szCs w:val="20"/>
        </w:rPr>
      </w:pPr>
      <w:r w:rsidRPr="00100A98">
        <w:rPr>
          <w:rFonts w:cs="Times New Roman"/>
          <w:sz w:val="20"/>
          <w:szCs w:val="20"/>
        </w:rPr>
        <w:t>The appellant shall file eleven (11) unredacted copies of the record;</w:t>
      </w:r>
    </w:p>
    <w:p w:rsidR="00100A98" w:rsidRPr="00100A98" w:rsidRDefault="00100A98" w:rsidP="00100A98">
      <w:pPr>
        <w:jc w:val="both"/>
        <w:rPr>
          <w:rFonts w:cs="Times New Roman"/>
          <w:sz w:val="20"/>
          <w:szCs w:val="20"/>
        </w:rPr>
      </w:pPr>
    </w:p>
    <w:p w:rsidR="00100A98" w:rsidRPr="00100A98" w:rsidRDefault="00100A98" w:rsidP="00100A98">
      <w:pPr>
        <w:pStyle w:val="ListParagraph"/>
        <w:widowControl w:val="0"/>
        <w:numPr>
          <w:ilvl w:val="0"/>
          <w:numId w:val="7"/>
        </w:numPr>
        <w:autoSpaceDE w:val="0"/>
        <w:autoSpaceDN w:val="0"/>
        <w:adjustRightInd w:val="0"/>
        <w:jc w:val="both"/>
        <w:rPr>
          <w:rFonts w:cs="Times New Roman"/>
          <w:sz w:val="20"/>
          <w:szCs w:val="20"/>
        </w:rPr>
      </w:pPr>
      <w:r w:rsidRPr="00100A98">
        <w:rPr>
          <w:rFonts w:cs="Times New Roman"/>
          <w:sz w:val="20"/>
          <w:szCs w:val="20"/>
        </w:rPr>
        <w:t xml:space="preserve">The appellant and the </w:t>
      </w:r>
      <w:r w:rsidRPr="00100A98">
        <w:rPr>
          <w:rFonts w:cs="Times New Roman"/>
          <w:i/>
          <w:sz w:val="20"/>
          <w:szCs w:val="20"/>
        </w:rPr>
        <w:t>amicus curiae</w:t>
      </w:r>
      <w:r w:rsidRPr="00100A98">
        <w:rPr>
          <w:rFonts w:cs="Times New Roman"/>
          <w:sz w:val="20"/>
          <w:szCs w:val="20"/>
        </w:rPr>
        <w:t xml:space="preserve"> shall comply with Rule 35(1)(</w:t>
      </w:r>
      <w:r w:rsidRPr="00100A98">
        <w:rPr>
          <w:rFonts w:cs="Times New Roman"/>
          <w:i/>
          <w:sz w:val="20"/>
          <w:szCs w:val="20"/>
        </w:rPr>
        <w:t>c</w:t>
      </w:r>
      <w:r w:rsidRPr="00100A98">
        <w:rPr>
          <w:rFonts w:cs="Times New Roman"/>
          <w:sz w:val="20"/>
          <w:szCs w:val="20"/>
        </w:rPr>
        <w:t>) of the</w:t>
      </w:r>
      <w:r w:rsidRPr="00100A98">
        <w:rPr>
          <w:rFonts w:cs="Times New Roman"/>
          <w:i/>
          <w:sz w:val="20"/>
          <w:szCs w:val="20"/>
        </w:rPr>
        <w:t xml:space="preserve"> Rules of the Supreme Court of Canada</w:t>
      </w:r>
      <w:r w:rsidRPr="00100A98">
        <w:rPr>
          <w:rFonts w:cs="Times New Roman"/>
          <w:sz w:val="20"/>
          <w:szCs w:val="20"/>
        </w:rPr>
        <w:t xml:space="preserve"> in respect of the amount of redacted copies of their factums to be filed; </w:t>
      </w:r>
    </w:p>
    <w:p w:rsidR="00100A98" w:rsidRPr="00100A98" w:rsidRDefault="00100A98" w:rsidP="00100A98">
      <w:pPr>
        <w:pStyle w:val="ListParagraph"/>
        <w:ind w:left="0"/>
        <w:rPr>
          <w:rFonts w:cs="Times New Roman"/>
          <w:sz w:val="20"/>
          <w:szCs w:val="20"/>
        </w:rPr>
      </w:pPr>
    </w:p>
    <w:p w:rsidR="00100A98" w:rsidRPr="00100A98" w:rsidRDefault="00100A98" w:rsidP="00100A98">
      <w:pPr>
        <w:pStyle w:val="ListParagraph"/>
        <w:widowControl w:val="0"/>
        <w:numPr>
          <w:ilvl w:val="0"/>
          <w:numId w:val="7"/>
        </w:numPr>
        <w:autoSpaceDE w:val="0"/>
        <w:autoSpaceDN w:val="0"/>
        <w:adjustRightInd w:val="0"/>
        <w:jc w:val="both"/>
        <w:rPr>
          <w:rFonts w:cs="Times New Roman"/>
          <w:sz w:val="20"/>
          <w:szCs w:val="20"/>
        </w:rPr>
      </w:pPr>
      <w:r w:rsidRPr="00100A98">
        <w:rPr>
          <w:rFonts w:cs="Times New Roman"/>
          <w:sz w:val="20"/>
          <w:szCs w:val="20"/>
        </w:rPr>
        <w:t xml:space="preserve">The appellant and the </w:t>
      </w:r>
      <w:r w:rsidRPr="00100A98">
        <w:rPr>
          <w:rFonts w:cs="Times New Roman"/>
          <w:i/>
          <w:sz w:val="20"/>
          <w:szCs w:val="20"/>
        </w:rPr>
        <w:t>amicus curiae</w:t>
      </w:r>
      <w:r w:rsidRPr="00100A98">
        <w:rPr>
          <w:rFonts w:cs="Times New Roman"/>
          <w:sz w:val="20"/>
          <w:szCs w:val="20"/>
        </w:rPr>
        <w:t xml:space="preserve"> shall file eleven (11) unredacted copies of their factums; and</w:t>
      </w:r>
    </w:p>
    <w:p w:rsidR="00100A98" w:rsidRPr="00100A98" w:rsidRDefault="00100A98" w:rsidP="00100A98">
      <w:pPr>
        <w:pStyle w:val="ListParagraph"/>
        <w:ind w:left="0"/>
        <w:rPr>
          <w:rFonts w:cs="Times New Roman"/>
          <w:sz w:val="20"/>
          <w:szCs w:val="20"/>
        </w:rPr>
      </w:pPr>
    </w:p>
    <w:p w:rsidR="00100A98" w:rsidRPr="00100A98" w:rsidRDefault="00100A98" w:rsidP="00100A98">
      <w:pPr>
        <w:pStyle w:val="ListParagraph"/>
        <w:widowControl w:val="0"/>
        <w:numPr>
          <w:ilvl w:val="0"/>
          <w:numId w:val="7"/>
        </w:numPr>
        <w:autoSpaceDE w:val="0"/>
        <w:autoSpaceDN w:val="0"/>
        <w:adjustRightInd w:val="0"/>
        <w:jc w:val="both"/>
        <w:rPr>
          <w:rFonts w:cs="Times New Roman"/>
          <w:sz w:val="20"/>
          <w:szCs w:val="20"/>
        </w:rPr>
      </w:pPr>
      <w:r w:rsidRPr="00100A98">
        <w:rPr>
          <w:rFonts w:cs="Times New Roman"/>
          <w:sz w:val="20"/>
          <w:szCs w:val="20"/>
          <w:lang w:val="en-GB"/>
        </w:rPr>
        <w:t>The unredacted documents will only be made available to members of this Court and authorized Court staff.</w:t>
      </w:r>
    </w:p>
    <w:p w:rsidR="00100A98" w:rsidRPr="00100A98" w:rsidRDefault="00100A98" w:rsidP="00100A98">
      <w:pPr>
        <w:jc w:val="both"/>
        <w:rPr>
          <w:rFonts w:cs="Times New Roman"/>
          <w:sz w:val="20"/>
          <w:szCs w:val="20"/>
        </w:rPr>
      </w:pPr>
    </w:p>
    <w:p w:rsidR="00100A98" w:rsidRPr="00100A98" w:rsidRDefault="00100A98" w:rsidP="00100A98">
      <w:pPr>
        <w:jc w:val="both"/>
        <w:rPr>
          <w:rFonts w:cs="Times New Roman"/>
          <w:sz w:val="20"/>
          <w:szCs w:val="20"/>
        </w:rPr>
      </w:pPr>
    </w:p>
    <w:p w:rsidR="00100A98" w:rsidRPr="00100A98" w:rsidRDefault="00100A98" w:rsidP="00100A98">
      <w:pPr>
        <w:spacing w:line="233" w:lineRule="auto"/>
        <w:jc w:val="both"/>
        <w:rPr>
          <w:rFonts w:cs="Times New Roman"/>
          <w:bCs/>
          <w:sz w:val="20"/>
          <w:szCs w:val="20"/>
        </w:rPr>
      </w:pPr>
    </w:p>
    <w:p w:rsidR="00100A98" w:rsidRPr="00100A98" w:rsidRDefault="00100A98" w:rsidP="00100A98">
      <w:pPr>
        <w:jc w:val="both"/>
        <w:rPr>
          <w:rFonts w:cs="Times New Roman"/>
          <w:sz w:val="20"/>
          <w:szCs w:val="20"/>
          <w:lang w:val="fr-CA"/>
        </w:rPr>
      </w:pPr>
      <w:r w:rsidRPr="00100A98">
        <w:rPr>
          <w:rFonts w:cs="Times New Roman"/>
          <w:b/>
          <w:sz w:val="20"/>
          <w:szCs w:val="20"/>
          <w:lang w:val="fr-CA"/>
        </w:rPr>
        <w:t>À LA SUITE DE LA DEMANDE</w:t>
      </w:r>
      <w:r w:rsidRPr="00100A98">
        <w:rPr>
          <w:rFonts w:cs="Times New Roman"/>
          <w:sz w:val="20"/>
          <w:szCs w:val="20"/>
          <w:lang w:val="fr-CA"/>
        </w:rPr>
        <w:t xml:space="preserve"> de l’appelant visant 1) à faire proroger le délai pour déposer ses mémoire, dossier et recueil de sources au 19 juin 2015, 2) à obtenir l’autorisation de déposer dix (10) copies caviardées et deux (2) copies non caviardées du dossier, 3) à obtenir l’autorisation pour lui-même ainsi que pour l’</w:t>
      </w:r>
      <w:r w:rsidRPr="00100A98">
        <w:rPr>
          <w:rFonts w:cs="Times New Roman"/>
          <w:i/>
          <w:sz w:val="20"/>
          <w:szCs w:val="20"/>
          <w:lang w:val="fr-CA"/>
        </w:rPr>
        <w:t>amicus curiae</w:t>
      </w:r>
      <w:r w:rsidRPr="00100A98">
        <w:rPr>
          <w:rFonts w:cs="Times New Roman"/>
          <w:sz w:val="20"/>
          <w:szCs w:val="20"/>
          <w:lang w:val="fr-CA"/>
        </w:rPr>
        <w:t xml:space="preserve"> de déposer vingt-quatre (24) copies caviardées et dix (10) copies non caviardées de leur mémoire et 4) à faire interdir l’accès pour le public aux mémoires et aux dossiers non caviardés;</w:t>
      </w:r>
    </w:p>
    <w:p w:rsidR="00100A98" w:rsidRPr="00100A98" w:rsidRDefault="00100A98" w:rsidP="00100A98">
      <w:pPr>
        <w:jc w:val="both"/>
        <w:rPr>
          <w:rFonts w:cs="Times New Roman"/>
          <w:sz w:val="20"/>
          <w:szCs w:val="20"/>
          <w:lang w:val="fr-CA"/>
        </w:rPr>
      </w:pPr>
    </w:p>
    <w:p w:rsidR="00100A98" w:rsidRPr="00100A98" w:rsidRDefault="00100A98" w:rsidP="00100A98">
      <w:pPr>
        <w:jc w:val="both"/>
        <w:rPr>
          <w:rFonts w:cs="Times New Roman"/>
          <w:sz w:val="20"/>
          <w:szCs w:val="20"/>
          <w:lang w:val="fr-CA"/>
        </w:rPr>
      </w:pPr>
      <w:r w:rsidRPr="00100A98">
        <w:rPr>
          <w:rFonts w:cs="Times New Roman"/>
          <w:b/>
          <w:sz w:val="20"/>
          <w:szCs w:val="20"/>
          <w:lang w:val="fr-CA"/>
        </w:rPr>
        <w:t>ET APRÈS EXAMEN</w:t>
      </w:r>
      <w:r w:rsidRPr="00100A98">
        <w:rPr>
          <w:rFonts w:cs="Times New Roman"/>
          <w:sz w:val="20"/>
          <w:szCs w:val="20"/>
          <w:lang w:val="fr-CA"/>
        </w:rPr>
        <w:t xml:space="preserve"> des documents déposés;</w:t>
      </w:r>
    </w:p>
    <w:p w:rsidR="00100A98" w:rsidRPr="00100A98" w:rsidRDefault="00100A98" w:rsidP="00100A98">
      <w:pPr>
        <w:jc w:val="both"/>
        <w:rPr>
          <w:rFonts w:cs="Times New Roman"/>
          <w:sz w:val="20"/>
          <w:szCs w:val="20"/>
          <w:lang w:val="fr-CA"/>
        </w:rPr>
      </w:pPr>
    </w:p>
    <w:p w:rsidR="00100A98" w:rsidRPr="00100A98" w:rsidRDefault="00100A98" w:rsidP="00100A98">
      <w:pPr>
        <w:jc w:val="both"/>
        <w:rPr>
          <w:rFonts w:cs="Times New Roman"/>
          <w:b/>
          <w:sz w:val="20"/>
          <w:szCs w:val="20"/>
          <w:lang w:val="fr-CA"/>
        </w:rPr>
      </w:pPr>
      <w:r w:rsidRPr="00100A98">
        <w:rPr>
          <w:rFonts w:cs="Times New Roman"/>
          <w:b/>
          <w:sz w:val="20"/>
          <w:szCs w:val="20"/>
          <w:lang w:val="fr-CA"/>
        </w:rPr>
        <w:t>IL EST ORDONNÉ CE QUI SUIT :</w:t>
      </w:r>
    </w:p>
    <w:p w:rsidR="00100A98" w:rsidRPr="00100A98" w:rsidRDefault="00100A98" w:rsidP="00100A98">
      <w:pPr>
        <w:jc w:val="both"/>
        <w:rPr>
          <w:rFonts w:cs="Times New Roman"/>
          <w:b/>
          <w:sz w:val="20"/>
          <w:szCs w:val="20"/>
          <w:lang w:val="fr-CA"/>
        </w:rPr>
      </w:pPr>
    </w:p>
    <w:p w:rsidR="00100A98" w:rsidRPr="00100A98" w:rsidRDefault="00100A98" w:rsidP="00100A98">
      <w:pPr>
        <w:pStyle w:val="ListParagraph"/>
        <w:widowControl w:val="0"/>
        <w:numPr>
          <w:ilvl w:val="0"/>
          <w:numId w:val="8"/>
        </w:numPr>
        <w:autoSpaceDE w:val="0"/>
        <w:autoSpaceDN w:val="0"/>
        <w:adjustRightInd w:val="0"/>
        <w:jc w:val="both"/>
        <w:rPr>
          <w:rFonts w:cs="Times New Roman"/>
          <w:sz w:val="20"/>
          <w:szCs w:val="20"/>
          <w:lang w:val="fr-CA"/>
        </w:rPr>
      </w:pPr>
      <w:r w:rsidRPr="00100A98">
        <w:rPr>
          <w:rFonts w:cs="Times New Roman"/>
          <w:sz w:val="20"/>
          <w:szCs w:val="20"/>
          <w:lang w:val="fr-CA"/>
        </w:rPr>
        <w:t>La requête est accueillie en partie.</w:t>
      </w:r>
    </w:p>
    <w:p w:rsidR="00100A98" w:rsidRPr="00100A98" w:rsidRDefault="00100A98" w:rsidP="00100A98">
      <w:pPr>
        <w:jc w:val="both"/>
        <w:rPr>
          <w:rFonts w:cs="Times New Roman"/>
          <w:b/>
          <w:sz w:val="20"/>
          <w:szCs w:val="20"/>
          <w:lang w:val="fr-CA"/>
        </w:rPr>
      </w:pPr>
    </w:p>
    <w:p w:rsidR="00100A98" w:rsidRPr="00100A98" w:rsidRDefault="00100A98" w:rsidP="00100A98">
      <w:pPr>
        <w:pStyle w:val="ListParagraph"/>
        <w:widowControl w:val="0"/>
        <w:numPr>
          <w:ilvl w:val="0"/>
          <w:numId w:val="8"/>
        </w:numPr>
        <w:autoSpaceDE w:val="0"/>
        <w:autoSpaceDN w:val="0"/>
        <w:adjustRightInd w:val="0"/>
        <w:jc w:val="both"/>
        <w:rPr>
          <w:rFonts w:cs="Times New Roman"/>
          <w:sz w:val="20"/>
          <w:szCs w:val="20"/>
          <w:lang w:val="fr-CA"/>
        </w:rPr>
      </w:pPr>
      <w:r w:rsidRPr="00100A98">
        <w:rPr>
          <w:rFonts w:cs="Times New Roman"/>
          <w:sz w:val="20"/>
          <w:szCs w:val="20"/>
          <w:lang w:val="fr-CA"/>
        </w:rPr>
        <w:t>L’appelant signifiera et déposera ses mémoire, dossier et recueil de sources au plus tard le 19 juin 2015;</w:t>
      </w:r>
    </w:p>
    <w:p w:rsidR="00100A98" w:rsidRPr="00100A98" w:rsidRDefault="00100A98" w:rsidP="00100A98">
      <w:pPr>
        <w:jc w:val="both"/>
        <w:rPr>
          <w:rFonts w:cs="Times New Roman"/>
          <w:sz w:val="20"/>
          <w:szCs w:val="20"/>
          <w:lang w:val="fr-CA"/>
        </w:rPr>
      </w:pPr>
    </w:p>
    <w:p w:rsidR="00100A98" w:rsidRPr="00100A98" w:rsidRDefault="00100A98" w:rsidP="00100A98">
      <w:pPr>
        <w:pStyle w:val="ListParagraph"/>
        <w:widowControl w:val="0"/>
        <w:numPr>
          <w:ilvl w:val="0"/>
          <w:numId w:val="8"/>
        </w:numPr>
        <w:autoSpaceDE w:val="0"/>
        <w:autoSpaceDN w:val="0"/>
        <w:adjustRightInd w:val="0"/>
        <w:jc w:val="both"/>
        <w:rPr>
          <w:rFonts w:cs="Times New Roman"/>
          <w:sz w:val="20"/>
          <w:szCs w:val="20"/>
          <w:lang w:val="fr-CA"/>
        </w:rPr>
      </w:pPr>
      <w:r w:rsidRPr="00100A98">
        <w:rPr>
          <w:rFonts w:cs="Times New Roman"/>
          <w:sz w:val="20"/>
          <w:szCs w:val="20"/>
          <w:lang w:val="fr-CA"/>
        </w:rPr>
        <w:t>L’appelant se conformera à l’al. 35(1)</w:t>
      </w:r>
      <w:r w:rsidRPr="00100A98">
        <w:rPr>
          <w:rFonts w:cs="Times New Roman"/>
          <w:i/>
          <w:sz w:val="20"/>
          <w:szCs w:val="20"/>
          <w:lang w:val="fr-CA"/>
        </w:rPr>
        <w:t>c</w:t>
      </w:r>
      <w:r w:rsidRPr="00100A98">
        <w:rPr>
          <w:rFonts w:cs="Times New Roman"/>
          <w:sz w:val="20"/>
          <w:szCs w:val="20"/>
          <w:lang w:val="fr-CA"/>
        </w:rPr>
        <w:t xml:space="preserve">) des </w:t>
      </w:r>
      <w:r w:rsidRPr="00100A98">
        <w:rPr>
          <w:rFonts w:cs="Times New Roman"/>
          <w:i/>
          <w:sz w:val="20"/>
          <w:szCs w:val="20"/>
          <w:lang w:val="fr-CA"/>
        </w:rPr>
        <w:t>Règles de la Cour suprême du Canada</w:t>
      </w:r>
      <w:r w:rsidRPr="00100A98">
        <w:rPr>
          <w:rFonts w:cs="Times New Roman"/>
          <w:sz w:val="20"/>
          <w:szCs w:val="20"/>
          <w:lang w:val="fr-CA"/>
        </w:rPr>
        <w:t xml:space="preserve"> quant au nombre de copies caviardées du dossier à déposer; </w:t>
      </w:r>
    </w:p>
    <w:p w:rsidR="00100A98" w:rsidRPr="00100A98" w:rsidRDefault="00100A98" w:rsidP="00100A98">
      <w:pPr>
        <w:jc w:val="both"/>
        <w:rPr>
          <w:rFonts w:cs="Times New Roman"/>
          <w:sz w:val="20"/>
          <w:szCs w:val="20"/>
          <w:lang w:val="fr-CA"/>
        </w:rPr>
      </w:pPr>
    </w:p>
    <w:p w:rsidR="00100A98" w:rsidRPr="00100A98" w:rsidRDefault="00100A98" w:rsidP="00100A98">
      <w:pPr>
        <w:pStyle w:val="ListParagraph"/>
        <w:widowControl w:val="0"/>
        <w:numPr>
          <w:ilvl w:val="0"/>
          <w:numId w:val="8"/>
        </w:numPr>
        <w:autoSpaceDE w:val="0"/>
        <w:autoSpaceDN w:val="0"/>
        <w:adjustRightInd w:val="0"/>
        <w:jc w:val="both"/>
        <w:rPr>
          <w:rFonts w:cs="Times New Roman"/>
          <w:sz w:val="20"/>
          <w:szCs w:val="20"/>
          <w:lang w:val="fr-CA"/>
        </w:rPr>
      </w:pPr>
      <w:r w:rsidRPr="00100A98">
        <w:rPr>
          <w:rFonts w:cs="Times New Roman"/>
          <w:sz w:val="20"/>
          <w:szCs w:val="20"/>
          <w:lang w:val="fr-CA"/>
        </w:rPr>
        <w:t>L’appelant déposera onze (11) copies non caviardées du dossier;</w:t>
      </w:r>
    </w:p>
    <w:p w:rsidR="00100A98" w:rsidRPr="00100A98" w:rsidRDefault="00100A98" w:rsidP="00100A98">
      <w:pPr>
        <w:jc w:val="both"/>
        <w:rPr>
          <w:rFonts w:cs="Times New Roman"/>
          <w:sz w:val="20"/>
          <w:szCs w:val="20"/>
          <w:lang w:val="fr-CA"/>
        </w:rPr>
      </w:pPr>
    </w:p>
    <w:p w:rsidR="00100A98" w:rsidRPr="00100A98" w:rsidRDefault="00100A98" w:rsidP="00100A98">
      <w:pPr>
        <w:pStyle w:val="ListParagraph"/>
        <w:widowControl w:val="0"/>
        <w:numPr>
          <w:ilvl w:val="0"/>
          <w:numId w:val="8"/>
        </w:numPr>
        <w:autoSpaceDE w:val="0"/>
        <w:autoSpaceDN w:val="0"/>
        <w:adjustRightInd w:val="0"/>
        <w:jc w:val="both"/>
        <w:rPr>
          <w:rFonts w:cs="Times New Roman"/>
          <w:sz w:val="20"/>
          <w:szCs w:val="20"/>
          <w:lang w:val="fr-CA"/>
        </w:rPr>
      </w:pPr>
      <w:r w:rsidRPr="00100A98">
        <w:rPr>
          <w:rFonts w:cs="Times New Roman"/>
          <w:sz w:val="20"/>
          <w:szCs w:val="20"/>
          <w:lang w:val="fr-CA"/>
        </w:rPr>
        <w:t>L’appelant et l’</w:t>
      </w:r>
      <w:r w:rsidRPr="00100A98">
        <w:rPr>
          <w:rFonts w:cs="Times New Roman"/>
          <w:i/>
          <w:sz w:val="20"/>
          <w:szCs w:val="20"/>
          <w:lang w:val="fr-CA"/>
        </w:rPr>
        <w:t>amicus curiae</w:t>
      </w:r>
      <w:r w:rsidRPr="00100A98">
        <w:rPr>
          <w:rFonts w:cs="Times New Roman"/>
          <w:sz w:val="20"/>
          <w:szCs w:val="20"/>
          <w:lang w:val="fr-CA"/>
        </w:rPr>
        <w:t xml:space="preserve"> se conformeront à l’al. 35(1)</w:t>
      </w:r>
      <w:r w:rsidRPr="00100A98">
        <w:rPr>
          <w:rFonts w:cs="Times New Roman"/>
          <w:i/>
          <w:sz w:val="20"/>
          <w:szCs w:val="20"/>
          <w:lang w:val="fr-CA"/>
        </w:rPr>
        <w:t>c</w:t>
      </w:r>
      <w:r w:rsidRPr="00100A98">
        <w:rPr>
          <w:rFonts w:cs="Times New Roman"/>
          <w:sz w:val="20"/>
          <w:szCs w:val="20"/>
          <w:lang w:val="fr-CA"/>
        </w:rPr>
        <w:t xml:space="preserve">) des </w:t>
      </w:r>
      <w:r w:rsidRPr="00100A98">
        <w:rPr>
          <w:rFonts w:cs="Times New Roman"/>
          <w:i/>
          <w:sz w:val="20"/>
          <w:szCs w:val="20"/>
          <w:lang w:val="fr-CA"/>
        </w:rPr>
        <w:t>Règles de la Cour suprême du Canada</w:t>
      </w:r>
      <w:r w:rsidRPr="00100A98">
        <w:rPr>
          <w:rFonts w:cs="Times New Roman"/>
          <w:sz w:val="20"/>
          <w:szCs w:val="20"/>
          <w:lang w:val="fr-CA"/>
        </w:rPr>
        <w:t xml:space="preserve"> quant au nombre de copies caviardées de leur mémoire à déposer; </w:t>
      </w:r>
    </w:p>
    <w:p w:rsidR="00100A98" w:rsidRPr="00100A98" w:rsidRDefault="00100A98" w:rsidP="00100A98">
      <w:pPr>
        <w:pStyle w:val="ListParagraph"/>
        <w:rPr>
          <w:rFonts w:cs="Times New Roman"/>
          <w:sz w:val="20"/>
          <w:szCs w:val="20"/>
          <w:lang w:val="fr-CA"/>
        </w:rPr>
      </w:pPr>
    </w:p>
    <w:p w:rsidR="00100A98" w:rsidRPr="00100A98" w:rsidRDefault="00100A98" w:rsidP="00100A98">
      <w:pPr>
        <w:pStyle w:val="ListParagraph"/>
        <w:widowControl w:val="0"/>
        <w:numPr>
          <w:ilvl w:val="0"/>
          <w:numId w:val="8"/>
        </w:numPr>
        <w:autoSpaceDE w:val="0"/>
        <w:autoSpaceDN w:val="0"/>
        <w:adjustRightInd w:val="0"/>
        <w:jc w:val="both"/>
        <w:rPr>
          <w:rFonts w:cs="Times New Roman"/>
          <w:sz w:val="20"/>
          <w:szCs w:val="20"/>
          <w:lang w:val="fr-CA"/>
        </w:rPr>
      </w:pPr>
      <w:r w:rsidRPr="00100A98">
        <w:rPr>
          <w:rFonts w:cs="Times New Roman"/>
          <w:sz w:val="20"/>
          <w:szCs w:val="20"/>
          <w:lang w:val="fr-CA"/>
        </w:rPr>
        <w:t>L’appelant et l’</w:t>
      </w:r>
      <w:r w:rsidRPr="00100A98">
        <w:rPr>
          <w:rFonts w:cs="Times New Roman"/>
          <w:i/>
          <w:sz w:val="20"/>
          <w:szCs w:val="20"/>
          <w:lang w:val="fr-CA"/>
        </w:rPr>
        <w:t>amicus curiae</w:t>
      </w:r>
      <w:r w:rsidRPr="00100A98">
        <w:rPr>
          <w:rFonts w:cs="Times New Roman"/>
          <w:sz w:val="20"/>
          <w:szCs w:val="20"/>
          <w:lang w:val="fr-CA"/>
        </w:rPr>
        <w:t xml:space="preserve"> déposeront onze (11) copies non caviardées de leur mémoire; </w:t>
      </w:r>
    </w:p>
    <w:p w:rsidR="00100A98" w:rsidRPr="00100A98" w:rsidRDefault="00100A98" w:rsidP="00100A98">
      <w:pPr>
        <w:jc w:val="both"/>
        <w:rPr>
          <w:rFonts w:cs="Times New Roman"/>
          <w:sz w:val="20"/>
          <w:szCs w:val="20"/>
          <w:lang w:val="fr-CA"/>
        </w:rPr>
      </w:pPr>
    </w:p>
    <w:p w:rsidR="00100A98" w:rsidRPr="00100A98" w:rsidRDefault="00100A98" w:rsidP="00100A98">
      <w:pPr>
        <w:pStyle w:val="ListParagraph"/>
        <w:widowControl w:val="0"/>
        <w:numPr>
          <w:ilvl w:val="0"/>
          <w:numId w:val="8"/>
        </w:numPr>
        <w:autoSpaceDE w:val="0"/>
        <w:autoSpaceDN w:val="0"/>
        <w:adjustRightInd w:val="0"/>
        <w:jc w:val="both"/>
        <w:rPr>
          <w:rFonts w:cs="Times New Roman"/>
          <w:sz w:val="20"/>
          <w:szCs w:val="20"/>
          <w:lang w:val="fr-CA"/>
        </w:rPr>
      </w:pPr>
      <w:r w:rsidRPr="00100A98">
        <w:rPr>
          <w:rFonts w:cs="Times New Roman"/>
          <w:sz w:val="20"/>
          <w:szCs w:val="20"/>
          <w:lang w:val="fr-CA"/>
        </w:rPr>
        <w:t>Les documents non caviardés ne pourront être consultés que par les membres de la Cour et par le personnel autorisé de cette dernière.</w:t>
      </w:r>
    </w:p>
    <w:p w:rsidR="00100A98" w:rsidRPr="00100A98" w:rsidRDefault="00100A98" w:rsidP="00100A98">
      <w:pPr>
        <w:tabs>
          <w:tab w:val="left" w:pos="-1440"/>
          <w:tab w:val="left" w:pos="-720"/>
        </w:tabs>
        <w:jc w:val="both"/>
        <w:rPr>
          <w:sz w:val="20"/>
          <w:szCs w:val="20"/>
          <w:lang w:val="fr-CA"/>
        </w:rPr>
      </w:pPr>
    </w:p>
    <w:p w:rsidR="00100A98" w:rsidRPr="00100A98" w:rsidRDefault="005B7E98" w:rsidP="00100A98">
      <w:pPr>
        <w:tabs>
          <w:tab w:val="left" w:pos="-1440"/>
          <w:tab w:val="left" w:pos="-720"/>
        </w:tabs>
        <w:jc w:val="both"/>
        <w:rPr>
          <w:sz w:val="20"/>
          <w:szCs w:val="20"/>
          <w:lang w:val="fr-CA"/>
        </w:rPr>
      </w:pPr>
      <w:r>
        <w:rPr>
          <w:sz w:val="20"/>
          <w:szCs w:val="20"/>
          <w:lang w:val="fr-CA"/>
        </w:rPr>
        <w:pict>
          <v:rect id="_x0000_i1068" style="width:2in;height:1pt" o:hrpct="0" o:hralign="center" o:hrstd="t" o:hrnoshade="t" o:hr="t" fillcolor="black [3213]" stroked="f"/>
        </w:pict>
      </w:r>
    </w:p>
    <w:p w:rsidR="00100A98" w:rsidRPr="00100A98" w:rsidRDefault="00100A98" w:rsidP="00100A98">
      <w:pPr>
        <w:tabs>
          <w:tab w:val="left" w:pos="-1440"/>
          <w:tab w:val="left" w:pos="-720"/>
        </w:tabs>
        <w:jc w:val="both"/>
        <w:rPr>
          <w:sz w:val="20"/>
          <w:szCs w:val="20"/>
          <w:lang w:val="fr-CA"/>
        </w:rPr>
      </w:pPr>
    </w:p>
    <w:p w:rsidR="00100A98" w:rsidRPr="00100A98" w:rsidRDefault="00100A98" w:rsidP="00100A98">
      <w:pPr>
        <w:tabs>
          <w:tab w:val="left" w:pos="-1440"/>
          <w:tab w:val="left" w:pos="-720"/>
        </w:tabs>
        <w:jc w:val="both"/>
        <w:rPr>
          <w:sz w:val="20"/>
          <w:szCs w:val="20"/>
          <w:lang w:val="fr-CA"/>
        </w:rPr>
      </w:pPr>
      <w:r w:rsidRPr="00100A98">
        <w:rPr>
          <w:sz w:val="20"/>
          <w:szCs w:val="20"/>
          <w:lang w:val="fr-CA"/>
        </w:rPr>
        <w:t>11.06.2015</w:t>
      </w:r>
    </w:p>
    <w:p w:rsidR="00100A98" w:rsidRPr="00100A98" w:rsidRDefault="00100A98" w:rsidP="00100A98">
      <w:pPr>
        <w:tabs>
          <w:tab w:val="left" w:pos="-1440"/>
          <w:tab w:val="left" w:pos="-720"/>
        </w:tabs>
        <w:jc w:val="both"/>
        <w:rPr>
          <w:sz w:val="20"/>
          <w:szCs w:val="20"/>
          <w:lang w:val="fr-CA"/>
        </w:rPr>
      </w:pPr>
    </w:p>
    <w:p w:rsidR="00100A98" w:rsidRPr="00100A98" w:rsidRDefault="00100A98" w:rsidP="00100A98">
      <w:pPr>
        <w:tabs>
          <w:tab w:val="left" w:pos="-1440"/>
          <w:tab w:val="left" w:pos="-720"/>
        </w:tabs>
        <w:jc w:val="both"/>
        <w:rPr>
          <w:sz w:val="20"/>
          <w:szCs w:val="20"/>
          <w:lang w:val="fr-CA"/>
        </w:rPr>
      </w:pPr>
      <w:r w:rsidRPr="00100A98">
        <w:rPr>
          <w:sz w:val="20"/>
          <w:szCs w:val="20"/>
          <w:lang w:val="fr-CA"/>
        </w:rPr>
        <w:t>Before / Devant :   GASCON J. / LE JUGE GASCON</w:t>
      </w:r>
    </w:p>
    <w:p w:rsidR="00100A98" w:rsidRPr="00100A98" w:rsidRDefault="00100A98" w:rsidP="00100A9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100A98" w:rsidRPr="00100A98" w:rsidTr="004D7613">
        <w:trPr>
          <w:trHeight w:val="151"/>
        </w:trPr>
        <w:tc>
          <w:tcPr>
            <w:tcW w:w="4338" w:type="dxa"/>
          </w:tcPr>
          <w:p w:rsidR="00100A98" w:rsidRPr="00100A98" w:rsidRDefault="00E85246" w:rsidP="004D7613">
            <w:pPr>
              <w:tabs>
                <w:tab w:val="left" w:pos="-1440"/>
                <w:tab w:val="left" w:pos="-720"/>
              </w:tabs>
              <w:jc w:val="both"/>
              <w:rPr>
                <w:sz w:val="20"/>
                <w:szCs w:val="20"/>
                <w:lang w:val="fr-CA"/>
              </w:rPr>
            </w:pPr>
            <w:r w:rsidRPr="00100A98">
              <w:rPr>
                <w:sz w:val="20"/>
                <w:szCs w:val="20"/>
              </w:rPr>
              <w:fldChar w:fldCharType="begin"/>
            </w:r>
            <w:r w:rsidR="00100A98" w:rsidRPr="00100A98">
              <w:rPr>
                <w:sz w:val="20"/>
                <w:szCs w:val="20"/>
                <w:lang w:val="fr-CA"/>
              </w:rPr>
              <w:instrText xml:space="preserve"> SEQ CHAPTER \h \r 1</w:instrText>
            </w:r>
            <w:r w:rsidRPr="00100A98">
              <w:rPr>
                <w:sz w:val="20"/>
                <w:szCs w:val="20"/>
              </w:rPr>
              <w:fldChar w:fldCharType="end"/>
            </w:r>
            <w:r w:rsidR="00100A98" w:rsidRPr="00100A98">
              <w:rPr>
                <w:b/>
                <w:bCs/>
                <w:sz w:val="20"/>
                <w:szCs w:val="20"/>
                <w:lang w:val="fr-CA"/>
              </w:rPr>
              <w:t>Miscellaneous motion</w:t>
            </w:r>
          </w:p>
          <w:p w:rsidR="00100A98" w:rsidRPr="00100A98" w:rsidRDefault="00E85246" w:rsidP="004D7613">
            <w:pPr>
              <w:tabs>
                <w:tab w:val="left" w:pos="-1440"/>
                <w:tab w:val="left" w:pos="-720"/>
              </w:tabs>
              <w:jc w:val="both"/>
              <w:rPr>
                <w:sz w:val="20"/>
                <w:szCs w:val="20"/>
                <w:lang w:val="fr-CA"/>
              </w:rPr>
            </w:pPr>
            <w:r w:rsidRPr="00100A98">
              <w:rPr>
                <w:sz w:val="20"/>
                <w:szCs w:val="20"/>
              </w:rPr>
              <w:fldChar w:fldCharType="begin"/>
            </w:r>
            <w:r w:rsidR="00100A98" w:rsidRPr="00100A98">
              <w:rPr>
                <w:sz w:val="20"/>
                <w:szCs w:val="20"/>
                <w:lang w:val="fr-CA"/>
              </w:rPr>
              <w:instrText xml:space="preserve"> SEQ CHAPTER \h \r 1</w:instrText>
            </w:r>
            <w:r w:rsidRPr="00100A98">
              <w:rPr>
                <w:sz w:val="20"/>
                <w:szCs w:val="20"/>
              </w:rPr>
              <w:fldChar w:fldCharType="end"/>
            </w:r>
          </w:p>
        </w:tc>
        <w:tc>
          <w:tcPr>
            <w:tcW w:w="1170" w:type="dxa"/>
          </w:tcPr>
          <w:p w:rsidR="00100A98" w:rsidRPr="00100A98" w:rsidRDefault="00100A98" w:rsidP="004D7613">
            <w:pPr>
              <w:jc w:val="both"/>
              <w:rPr>
                <w:sz w:val="20"/>
                <w:szCs w:val="20"/>
                <w:lang w:val="fr-CA"/>
              </w:rPr>
            </w:pPr>
          </w:p>
          <w:p w:rsidR="00100A98" w:rsidRPr="00100A98" w:rsidRDefault="00100A98" w:rsidP="004D7613">
            <w:pPr>
              <w:jc w:val="both"/>
              <w:rPr>
                <w:sz w:val="20"/>
                <w:szCs w:val="20"/>
                <w:lang w:val="fr-CA"/>
              </w:rPr>
            </w:pPr>
          </w:p>
        </w:tc>
        <w:tc>
          <w:tcPr>
            <w:tcW w:w="4327" w:type="dxa"/>
          </w:tcPr>
          <w:p w:rsidR="00100A98" w:rsidRPr="00100A98" w:rsidRDefault="00E85246" w:rsidP="004D7613">
            <w:pPr>
              <w:jc w:val="both"/>
              <w:rPr>
                <w:b/>
                <w:sz w:val="20"/>
                <w:szCs w:val="20"/>
                <w:lang w:val="fr-CA"/>
              </w:rPr>
            </w:pPr>
            <w:r w:rsidRPr="00100A98">
              <w:rPr>
                <w:sz w:val="20"/>
                <w:szCs w:val="20"/>
              </w:rPr>
              <w:fldChar w:fldCharType="begin"/>
            </w:r>
            <w:r w:rsidR="00100A98" w:rsidRPr="00100A98">
              <w:rPr>
                <w:sz w:val="20"/>
                <w:szCs w:val="20"/>
                <w:lang w:val="fr-CA"/>
              </w:rPr>
              <w:instrText xml:space="preserve"> SEQ CHAPTER \h \r 1</w:instrText>
            </w:r>
            <w:r w:rsidRPr="00100A98">
              <w:rPr>
                <w:sz w:val="20"/>
                <w:szCs w:val="20"/>
              </w:rPr>
              <w:fldChar w:fldCharType="end"/>
            </w:r>
            <w:r w:rsidR="00100A98" w:rsidRPr="00100A98">
              <w:rPr>
                <w:b/>
                <w:bCs/>
                <w:sz w:val="20"/>
                <w:szCs w:val="20"/>
                <w:lang w:val="fr-CA"/>
              </w:rPr>
              <w:t>Requête diverse</w:t>
            </w:r>
          </w:p>
          <w:p w:rsidR="00100A98" w:rsidRPr="00100A98" w:rsidRDefault="00E85246" w:rsidP="004D7613">
            <w:pPr>
              <w:jc w:val="both"/>
              <w:rPr>
                <w:b/>
                <w:sz w:val="20"/>
                <w:szCs w:val="20"/>
                <w:lang w:val="fr-CA"/>
              </w:rPr>
            </w:pPr>
            <w:r w:rsidRPr="00100A98">
              <w:rPr>
                <w:b/>
                <w:sz w:val="20"/>
                <w:szCs w:val="20"/>
              </w:rPr>
              <w:fldChar w:fldCharType="begin"/>
            </w:r>
            <w:r w:rsidR="00100A98" w:rsidRPr="00100A98">
              <w:rPr>
                <w:b/>
                <w:sz w:val="20"/>
                <w:szCs w:val="20"/>
                <w:lang w:val="fr-CA"/>
              </w:rPr>
              <w:instrText xml:space="preserve"> SEQ CHAPTER \h \r 1</w:instrText>
            </w:r>
            <w:r w:rsidRPr="00100A98">
              <w:rPr>
                <w:b/>
                <w:sz w:val="20"/>
                <w:szCs w:val="20"/>
              </w:rPr>
              <w:fldChar w:fldCharType="end"/>
            </w:r>
            <w:r w:rsidRPr="00100A98">
              <w:rPr>
                <w:b/>
                <w:sz w:val="20"/>
                <w:szCs w:val="20"/>
              </w:rPr>
              <w:fldChar w:fldCharType="begin"/>
            </w:r>
            <w:r w:rsidR="00100A98" w:rsidRPr="00100A98">
              <w:rPr>
                <w:b/>
                <w:sz w:val="20"/>
                <w:szCs w:val="20"/>
                <w:lang w:val="fr-CA"/>
              </w:rPr>
              <w:instrText xml:space="preserve"> SEQ CHAPTER \h \r 1</w:instrText>
            </w:r>
            <w:r w:rsidRPr="00100A98">
              <w:rPr>
                <w:b/>
                <w:sz w:val="20"/>
                <w:szCs w:val="20"/>
              </w:rPr>
              <w:fldChar w:fldCharType="end"/>
            </w:r>
          </w:p>
        </w:tc>
      </w:tr>
      <w:tr w:rsidR="00100A98" w:rsidRPr="00100A98" w:rsidTr="004D7613">
        <w:trPr>
          <w:trHeight w:val="150"/>
        </w:trPr>
        <w:tc>
          <w:tcPr>
            <w:tcW w:w="4338" w:type="dxa"/>
          </w:tcPr>
          <w:p w:rsidR="00100A98" w:rsidRPr="00100A98" w:rsidRDefault="00100A98" w:rsidP="004D7613">
            <w:pPr>
              <w:tabs>
                <w:tab w:val="left" w:pos="-1440"/>
                <w:tab w:val="left" w:pos="-720"/>
              </w:tabs>
              <w:jc w:val="both"/>
              <w:rPr>
                <w:sz w:val="20"/>
                <w:szCs w:val="20"/>
              </w:rPr>
            </w:pPr>
            <w:r w:rsidRPr="00100A98">
              <w:rPr>
                <w:sz w:val="20"/>
                <w:szCs w:val="20"/>
              </w:rPr>
              <w:t>Aset Magomadova</w:t>
            </w:r>
          </w:p>
          <w:p w:rsidR="00100A98" w:rsidRPr="00100A98" w:rsidRDefault="00100A98" w:rsidP="004D7613">
            <w:pPr>
              <w:tabs>
                <w:tab w:val="left" w:pos="-1440"/>
                <w:tab w:val="left" w:pos="-720"/>
              </w:tabs>
              <w:jc w:val="both"/>
              <w:rPr>
                <w:sz w:val="20"/>
                <w:szCs w:val="20"/>
              </w:rPr>
            </w:pPr>
          </w:p>
          <w:p w:rsidR="00100A98" w:rsidRPr="00100A98" w:rsidRDefault="00100A98" w:rsidP="004D7613">
            <w:pPr>
              <w:tabs>
                <w:tab w:val="left" w:pos="-1440"/>
                <w:tab w:val="left" w:pos="-720"/>
              </w:tabs>
              <w:jc w:val="both"/>
              <w:rPr>
                <w:sz w:val="20"/>
                <w:szCs w:val="20"/>
              </w:rPr>
            </w:pPr>
            <w:r w:rsidRPr="00100A98">
              <w:rPr>
                <w:sz w:val="20"/>
                <w:szCs w:val="20"/>
              </w:rPr>
              <w:tab/>
              <w:t>v. (36312)</w:t>
            </w:r>
          </w:p>
          <w:p w:rsidR="00100A98" w:rsidRPr="00100A98" w:rsidRDefault="00100A98" w:rsidP="004D7613">
            <w:pPr>
              <w:tabs>
                <w:tab w:val="left" w:pos="-1440"/>
                <w:tab w:val="left" w:pos="-720"/>
              </w:tabs>
              <w:jc w:val="both"/>
              <w:rPr>
                <w:sz w:val="20"/>
                <w:szCs w:val="20"/>
              </w:rPr>
            </w:pPr>
          </w:p>
          <w:p w:rsidR="00100A98" w:rsidRPr="00100A98" w:rsidRDefault="00100A98" w:rsidP="004D7613">
            <w:pPr>
              <w:tabs>
                <w:tab w:val="left" w:pos="-1440"/>
                <w:tab w:val="left" w:pos="-720"/>
              </w:tabs>
              <w:jc w:val="both"/>
              <w:rPr>
                <w:sz w:val="20"/>
                <w:szCs w:val="20"/>
              </w:rPr>
            </w:pPr>
            <w:r w:rsidRPr="00100A98">
              <w:rPr>
                <w:sz w:val="20"/>
                <w:szCs w:val="20"/>
              </w:rPr>
              <w:t>Her Majesty the Queen (Crim.) (Alta.)</w:t>
            </w:r>
          </w:p>
        </w:tc>
        <w:tc>
          <w:tcPr>
            <w:tcW w:w="1170" w:type="dxa"/>
          </w:tcPr>
          <w:p w:rsidR="00100A98" w:rsidRPr="00100A98" w:rsidRDefault="00100A98" w:rsidP="004D7613">
            <w:pPr>
              <w:jc w:val="both"/>
              <w:rPr>
                <w:sz w:val="20"/>
                <w:szCs w:val="20"/>
              </w:rPr>
            </w:pPr>
          </w:p>
        </w:tc>
        <w:tc>
          <w:tcPr>
            <w:tcW w:w="4327" w:type="dxa"/>
          </w:tcPr>
          <w:p w:rsidR="00100A98" w:rsidRPr="00100A98" w:rsidRDefault="00100A98" w:rsidP="004D7613">
            <w:pPr>
              <w:jc w:val="both"/>
              <w:rPr>
                <w:sz w:val="20"/>
                <w:szCs w:val="20"/>
              </w:rPr>
            </w:pPr>
          </w:p>
        </w:tc>
      </w:tr>
    </w:tbl>
    <w:p w:rsidR="00100A98" w:rsidRPr="00100A98" w:rsidRDefault="00100A98" w:rsidP="00100A98">
      <w:pPr>
        <w:tabs>
          <w:tab w:val="left" w:pos="-1440"/>
          <w:tab w:val="left" w:pos="-720"/>
        </w:tabs>
        <w:jc w:val="both"/>
        <w:rPr>
          <w:sz w:val="20"/>
          <w:szCs w:val="20"/>
        </w:rPr>
      </w:pPr>
    </w:p>
    <w:p w:rsidR="00100A98" w:rsidRPr="00100A98" w:rsidRDefault="00100A98" w:rsidP="00100A98">
      <w:pPr>
        <w:tabs>
          <w:tab w:val="left" w:pos="-1440"/>
          <w:tab w:val="left" w:pos="-720"/>
        </w:tabs>
        <w:jc w:val="both"/>
        <w:rPr>
          <w:sz w:val="20"/>
          <w:szCs w:val="20"/>
          <w:lang w:val="fr-CA"/>
        </w:rPr>
      </w:pPr>
      <w:r w:rsidRPr="00100A98">
        <w:rPr>
          <w:b/>
          <w:sz w:val="20"/>
          <w:szCs w:val="20"/>
          <w:lang w:val="fr-CA"/>
        </w:rPr>
        <w:t>GRANTED IN PART / ACCORDÉE EN PARTIE</w:t>
      </w:r>
    </w:p>
    <w:p w:rsidR="00100A98" w:rsidRPr="00100A98" w:rsidRDefault="00100A98" w:rsidP="00100A98">
      <w:pPr>
        <w:tabs>
          <w:tab w:val="left" w:pos="-1440"/>
          <w:tab w:val="left" w:pos="-720"/>
        </w:tabs>
        <w:jc w:val="both"/>
        <w:rPr>
          <w:sz w:val="20"/>
          <w:szCs w:val="20"/>
          <w:lang w:val="fr-CA"/>
        </w:rPr>
      </w:pPr>
    </w:p>
    <w:p w:rsidR="00100A98" w:rsidRPr="00100A98" w:rsidRDefault="00100A98" w:rsidP="00100A98">
      <w:pPr>
        <w:jc w:val="both"/>
        <w:rPr>
          <w:sz w:val="20"/>
          <w:szCs w:val="20"/>
        </w:rPr>
      </w:pPr>
      <w:r w:rsidRPr="00100A98">
        <w:rPr>
          <w:b/>
          <w:sz w:val="20"/>
          <w:szCs w:val="20"/>
        </w:rPr>
        <w:t>UPON APPLICATION</w:t>
      </w:r>
      <w:r w:rsidRPr="00100A98">
        <w:rPr>
          <w:sz w:val="20"/>
          <w:szCs w:val="20"/>
        </w:rPr>
        <w:t xml:space="preserve"> </w:t>
      </w:r>
      <w:r w:rsidR="00E85246" w:rsidRPr="00100A98">
        <w:rPr>
          <w:sz w:val="20"/>
          <w:szCs w:val="20"/>
        </w:rPr>
        <w:fldChar w:fldCharType="begin"/>
      </w:r>
      <w:r w:rsidRPr="00100A98">
        <w:rPr>
          <w:sz w:val="20"/>
          <w:szCs w:val="20"/>
        </w:rPr>
        <w:instrText xml:space="preserve"> SEQ CHAPTER \h \r 1</w:instrText>
      </w:r>
      <w:r w:rsidR="00E85246" w:rsidRPr="00100A98">
        <w:rPr>
          <w:sz w:val="20"/>
          <w:szCs w:val="20"/>
        </w:rPr>
        <w:fldChar w:fldCharType="end"/>
      </w:r>
      <w:r w:rsidRPr="00100A98">
        <w:rPr>
          <w:sz w:val="20"/>
          <w:szCs w:val="20"/>
        </w:rPr>
        <w:t>by the appellant’s sister, Ms. Layla Magomadova, for an order following the appellant’s death that her appeal may be continued at the suit of and against her legal representative;</w:t>
      </w:r>
    </w:p>
    <w:p w:rsidR="00100A98" w:rsidRPr="00100A98" w:rsidRDefault="00100A98" w:rsidP="00100A98">
      <w:pPr>
        <w:jc w:val="both"/>
        <w:rPr>
          <w:sz w:val="20"/>
          <w:szCs w:val="20"/>
        </w:rPr>
      </w:pPr>
    </w:p>
    <w:p w:rsidR="00100A98" w:rsidRPr="00100A98" w:rsidRDefault="00100A98" w:rsidP="00100A98">
      <w:pPr>
        <w:jc w:val="both"/>
        <w:rPr>
          <w:rFonts w:cs="Times New Roman"/>
          <w:sz w:val="20"/>
          <w:szCs w:val="20"/>
        </w:rPr>
      </w:pPr>
      <w:r w:rsidRPr="00100A98">
        <w:rPr>
          <w:b/>
          <w:sz w:val="20"/>
          <w:szCs w:val="20"/>
        </w:rPr>
        <w:t>AND UPON APPLICATION</w:t>
      </w:r>
      <w:r w:rsidRPr="00100A98">
        <w:rPr>
          <w:sz w:val="20"/>
          <w:szCs w:val="20"/>
        </w:rPr>
        <w:t xml:space="preserve"> by the respondent for an extension of time to serve and file a response to the above mentioned motion;</w:t>
      </w:r>
    </w:p>
    <w:p w:rsidR="00100A98" w:rsidRPr="00100A98" w:rsidRDefault="00100A98" w:rsidP="00100A98">
      <w:pPr>
        <w:autoSpaceDE w:val="0"/>
        <w:autoSpaceDN w:val="0"/>
        <w:adjustRightInd w:val="0"/>
        <w:jc w:val="both"/>
        <w:rPr>
          <w:rFonts w:cs="Times New Roman"/>
          <w:sz w:val="20"/>
          <w:szCs w:val="20"/>
        </w:rPr>
      </w:pPr>
    </w:p>
    <w:p w:rsidR="00100A98" w:rsidRDefault="00E85246" w:rsidP="00100A98">
      <w:pPr>
        <w:jc w:val="both"/>
        <w:rPr>
          <w:sz w:val="20"/>
          <w:szCs w:val="20"/>
          <w:lang w:val="en-US"/>
        </w:rPr>
      </w:pPr>
      <w:r w:rsidRPr="00100A98">
        <w:rPr>
          <w:sz w:val="20"/>
          <w:szCs w:val="20"/>
        </w:rPr>
        <w:fldChar w:fldCharType="begin"/>
      </w:r>
      <w:r w:rsidR="00100A98" w:rsidRPr="00100A98">
        <w:rPr>
          <w:sz w:val="20"/>
          <w:szCs w:val="20"/>
        </w:rPr>
        <w:instrText xml:space="preserve"> SEQ CHAPTER \h \r 1</w:instrText>
      </w:r>
      <w:r w:rsidRPr="00100A98">
        <w:rPr>
          <w:sz w:val="20"/>
          <w:szCs w:val="20"/>
        </w:rPr>
        <w:fldChar w:fldCharType="end"/>
      </w:r>
      <w:r w:rsidR="00100A98" w:rsidRPr="00100A98">
        <w:rPr>
          <w:b/>
          <w:bCs/>
          <w:sz w:val="20"/>
          <w:szCs w:val="20"/>
          <w:lang w:val="en-US"/>
        </w:rPr>
        <w:t xml:space="preserve">AND THE MATERIAL FILED </w:t>
      </w:r>
      <w:r w:rsidR="00100A98" w:rsidRPr="00100A98">
        <w:rPr>
          <w:bCs/>
          <w:sz w:val="20"/>
          <w:szCs w:val="20"/>
          <w:lang w:val="en-US"/>
        </w:rPr>
        <w:t>having been read</w:t>
      </w:r>
      <w:r w:rsidR="00100A98" w:rsidRPr="00100A98">
        <w:rPr>
          <w:sz w:val="20"/>
          <w:szCs w:val="20"/>
          <w:lang w:val="en-US"/>
        </w:rPr>
        <w:t>;</w:t>
      </w:r>
    </w:p>
    <w:p w:rsidR="00100A98" w:rsidRPr="00100A98" w:rsidRDefault="00100A98" w:rsidP="00100A98">
      <w:pPr>
        <w:jc w:val="both"/>
        <w:rPr>
          <w:sz w:val="20"/>
          <w:szCs w:val="20"/>
          <w:lang w:val="en-US"/>
        </w:rPr>
      </w:pPr>
    </w:p>
    <w:p w:rsidR="00100A98" w:rsidRDefault="00100A98">
      <w:pPr>
        <w:rPr>
          <w:sz w:val="20"/>
          <w:szCs w:val="20"/>
        </w:rPr>
      </w:pPr>
      <w:r>
        <w:rPr>
          <w:sz w:val="20"/>
          <w:szCs w:val="20"/>
        </w:rPr>
        <w:br w:type="page"/>
      </w:r>
    </w:p>
    <w:p w:rsidR="00100A98" w:rsidRPr="00100A98" w:rsidRDefault="00100A98" w:rsidP="00100A98">
      <w:pPr>
        <w:jc w:val="both"/>
        <w:rPr>
          <w:b/>
          <w:sz w:val="20"/>
          <w:szCs w:val="20"/>
        </w:rPr>
      </w:pPr>
      <w:r w:rsidRPr="00100A98">
        <w:rPr>
          <w:b/>
          <w:sz w:val="20"/>
          <w:szCs w:val="20"/>
        </w:rPr>
        <w:lastRenderedPageBreak/>
        <w:t>IT IS HEREBY ORDERED THAT:</w:t>
      </w:r>
    </w:p>
    <w:p w:rsidR="00100A98" w:rsidRPr="00100A98" w:rsidRDefault="00100A98" w:rsidP="00100A98">
      <w:pPr>
        <w:jc w:val="both"/>
        <w:rPr>
          <w:sz w:val="20"/>
          <w:szCs w:val="20"/>
        </w:rPr>
      </w:pPr>
    </w:p>
    <w:p w:rsidR="00100A98" w:rsidRPr="00100A98" w:rsidRDefault="00100A98" w:rsidP="00100A98">
      <w:pPr>
        <w:jc w:val="both"/>
        <w:rPr>
          <w:sz w:val="20"/>
          <w:szCs w:val="20"/>
        </w:rPr>
      </w:pPr>
      <w:r w:rsidRPr="00100A98">
        <w:rPr>
          <w:sz w:val="20"/>
          <w:szCs w:val="20"/>
        </w:rPr>
        <w:t>The motion for an extension of time is granted.</w:t>
      </w:r>
    </w:p>
    <w:p w:rsidR="00100A98" w:rsidRPr="00100A98" w:rsidRDefault="00100A98" w:rsidP="00100A98">
      <w:pPr>
        <w:pStyle w:val="ListParagraph"/>
        <w:ind w:left="0"/>
        <w:jc w:val="both"/>
        <w:rPr>
          <w:sz w:val="20"/>
          <w:szCs w:val="20"/>
        </w:rPr>
      </w:pPr>
    </w:p>
    <w:p w:rsidR="00100A98" w:rsidRPr="00100A98" w:rsidRDefault="00100A98" w:rsidP="00100A98">
      <w:pPr>
        <w:jc w:val="both"/>
        <w:rPr>
          <w:sz w:val="20"/>
          <w:szCs w:val="20"/>
        </w:rPr>
      </w:pPr>
      <w:r w:rsidRPr="00100A98">
        <w:rPr>
          <w:sz w:val="20"/>
          <w:szCs w:val="20"/>
        </w:rPr>
        <w:t xml:space="preserve">The motion to continue the appeal is dismissed without costs.  </w:t>
      </w:r>
    </w:p>
    <w:p w:rsidR="00100A98" w:rsidRPr="00100A98" w:rsidRDefault="00100A98" w:rsidP="00100A98">
      <w:pPr>
        <w:jc w:val="both"/>
        <w:rPr>
          <w:sz w:val="20"/>
          <w:szCs w:val="20"/>
        </w:rPr>
      </w:pPr>
    </w:p>
    <w:p w:rsidR="00100A98" w:rsidRPr="00100A98" w:rsidRDefault="00100A98" w:rsidP="00100A98">
      <w:pPr>
        <w:jc w:val="both"/>
        <w:rPr>
          <w:sz w:val="20"/>
          <w:szCs w:val="20"/>
        </w:rPr>
      </w:pPr>
    </w:p>
    <w:p w:rsidR="00100A98" w:rsidRPr="00100A98" w:rsidRDefault="00100A98" w:rsidP="00100A98">
      <w:pPr>
        <w:jc w:val="both"/>
        <w:rPr>
          <w:sz w:val="20"/>
          <w:szCs w:val="20"/>
        </w:rPr>
      </w:pPr>
    </w:p>
    <w:p w:rsidR="00100A98" w:rsidRPr="00100A98" w:rsidRDefault="00100A98" w:rsidP="00100A98">
      <w:pPr>
        <w:jc w:val="both"/>
        <w:rPr>
          <w:rFonts w:cs="Times New Roman"/>
          <w:sz w:val="20"/>
          <w:szCs w:val="20"/>
          <w:lang w:val="fr-CA"/>
        </w:rPr>
      </w:pPr>
      <w:r w:rsidRPr="00100A98">
        <w:rPr>
          <w:b/>
          <w:sz w:val="20"/>
          <w:szCs w:val="20"/>
          <w:lang w:val="fr-CA"/>
        </w:rPr>
        <w:t>À LA SUITE DE LA DEMANDE</w:t>
      </w:r>
      <w:r w:rsidRPr="00100A98">
        <w:rPr>
          <w:sz w:val="20"/>
          <w:szCs w:val="20"/>
          <w:lang w:val="fr-CA"/>
        </w:rPr>
        <w:t xml:space="preserve"> présentée par Mme Layla Magonadova, la sœur de l’appelante, à la suite du décès de celle-ci, pour que le pourvoi </w:t>
      </w:r>
      <w:r w:rsidRPr="00100A98">
        <w:rPr>
          <w:rFonts w:cs="Times New Roman"/>
          <w:sz w:val="20"/>
          <w:szCs w:val="20"/>
          <w:lang w:val="fr-FR"/>
        </w:rPr>
        <w:t>suive son cours contre le représentant légal agissant comme appelant</w:t>
      </w:r>
      <w:r w:rsidRPr="00100A98">
        <w:rPr>
          <w:rFonts w:cs="Times New Roman"/>
          <w:sz w:val="20"/>
          <w:szCs w:val="20"/>
          <w:lang w:val="fr-CA"/>
        </w:rPr>
        <w:t>;</w:t>
      </w:r>
    </w:p>
    <w:p w:rsidR="00100A98" w:rsidRPr="00100A98" w:rsidRDefault="00100A98" w:rsidP="00100A98">
      <w:pPr>
        <w:jc w:val="both"/>
        <w:rPr>
          <w:sz w:val="20"/>
          <w:szCs w:val="20"/>
          <w:lang w:val="fr-CA"/>
        </w:rPr>
      </w:pPr>
    </w:p>
    <w:p w:rsidR="00100A98" w:rsidRPr="00100A98" w:rsidRDefault="00100A98" w:rsidP="00100A98">
      <w:pPr>
        <w:jc w:val="both"/>
        <w:rPr>
          <w:sz w:val="20"/>
          <w:szCs w:val="20"/>
          <w:lang w:val="fr-CA"/>
        </w:rPr>
      </w:pPr>
      <w:r w:rsidRPr="00100A98">
        <w:rPr>
          <w:b/>
          <w:sz w:val="20"/>
          <w:szCs w:val="20"/>
          <w:lang w:val="fr-CA"/>
        </w:rPr>
        <w:t xml:space="preserve">ET À LA SUITE DE LA DEMANDE </w:t>
      </w:r>
      <w:r w:rsidRPr="00100A98">
        <w:rPr>
          <w:sz w:val="20"/>
          <w:szCs w:val="20"/>
          <w:lang w:val="fr-CA"/>
        </w:rPr>
        <w:t xml:space="preserve">de l’intimée en prorogation du délai pour signifier et déposer une réponse à la requête susmentionnée; </w:t>
      </w:r>
    </w:p>
    <w:p w:rsidR="00100A98" w:rsidRPr="00100A98" w:rsidRDefault="00100A98" w:rsidP="00100A98">
      <w:pPr>
        <w:jc w:val="both"/>
        <w:rPr>
          <w:sz w:val="20"/>
          <w:szCs w:val="20"/>
          <w:lang w:val="fr-CA"/>
        </w:rPr>
      </w:pPr>
    </w:p>
    <w:p w:rsidR="00100A98" w:rsidRPr="00100A98" w:rsidRDefault="00100A98" w:rsidP="00100A98">
      <w:pPr>
        <w:jc w:val="both"/>
        <w:rPr>
          <w:sz w:val="20"/>
          <w:szCs w:val="20"/>
          <w:lang w:val="fr-CA"/>
        </w:rPr>
      </w:pPr>
      <w:r w:rsidRPr="00100A98">
        <w:rPr>
          <w:b/>
          <w:sz w:val="20"/>
          <w:szCs w:val="20"/>
          <w:lang w:val="fr-CA"/>
        </w:rPr>
        <w:t xml:space="preserve">ET APRÈS EXAMEN </w:t>
      </w:r>
      <w:r w:rsidRPr="00100A98">
        <w:rPr>
          <w:sz w:val="20"/>
          <w:szCs w:val="20"/>
          <w:lang w:val="fr-CA"/>
        </w:rPr>
        <w:t>des documents déposés;</w:t>
      </w:r>
    </w:p>
    <w:p w:rsidR="00100A98" w:rsidRPr="00100A98" w:rsidRDefault="00100A98" w:rsidP="00100A98">
      <w:pPr>
        <w:jc w:val="both"/>
        <w:rPr>
          <w:sz w:val="20"/>
          <w:szCs w:val="20"/>
          <w:lang w:val="fr-CA"/>
        </w:rPr>
      </w:pPr>
    </w:p>
    <w:p w:rsidR="00100A98" w:rsidRPr="00100A98" w:rsidRDefault="00100A98" w:rsidP="00100A98">
      <w:pPr>
        <w:jc w:val="both"/>
        <w:rPr>
          <w:b/>
          <w:sz w:val="20"/>
          <w:szCs w:val="20"/>
          <w:lang w:val="fr-CA"/>
        </w:rPr>
      </w:pPr>
      <w:r w:rsidRPr="00100A98">
        <w:rPr>
          <w:b/>
          <w:sz w:val="20"/>
          <w:szCs w:val="20"/>
          <w:lang w:val="fr-CA"/>
        </w:rPr>
        <w:t>IL EST PAR LA PRÉSENTE ORDONNÉ CE QUI SUIT :</w:t>
      </w:r>
    </w:p>
    <w:p w:rsidR="00100A98" w:rsidRPr="00100A98" w:rsidRDefault="00100A98" w:rsidP="00100A98">
      <w:pPr>
        <w:jc w:val="both"/>
        <w:rPr>
          <w:sz w:val="20"/>
          <w:szCs w:val="20"/>
          <w:lang w:val="fr-CA"/>
        </w:rPr>
      </w:pPr>
    </w:p>
    <w:p w:rsidR="00100A98" w:rsidRPr="00100A98" w:rsidRDefault="00100A98" w:rsidP="00100A98">
      <w:pPr>
        <w:jc w:val="both"/>
        <w:rPr>
          <w:sz w:val="20"/>
          <w:szCs w:val="20"/>
          <w:lang w:val="fr-CA"/>
        </w:rPr>
      </w:pPr>
      <w:r w:rsidRPr="00100A98">
        <w:rPr>
          <w:sz w:val="20"/>
          <w:szCs w:val="20"/>
          <w:lang w:val="fr-CA"/>
        </w:rPr>
        <w:t>La requête en prorogation de délai est accordée.</w:t>
      </w:r>
    </w:p>
    <w:p w:rsidR="00100A98" w:rsidRPr="00100A98" w:rsidRDefault="00100A98" w:rsidP="00100A98">
      <w:pPr>
        <w:jc w:val="both"/>
        <w:rPr>
          <w:sz w:val="20"/>
          <w:szCs w:val="20"/>
          <w:lang w:val="fr-CA"/>
        </w:rPr>
      </w:pPr>
    </w:p>
    <w:p w:rsidR="00100A98" w:rsidRPr="00100A98" w:rsidRDefault="00100A98" w:rsidP="00100A98">
      <w:pPr>
        <w:jc w:val="both"/>
        <w:rPr>
          <w:sz w:val="20"/>
          <w:szCs w:val="20"/>
          <w:lang w:val="fr-CA"/>
        </w:rPr>
      </w:pPr>
      <w:r w:rsidRPr="00100A98">
        <w:rPr>
          <w:sz w:val="20"/>
          <w:szCs w:val="20"/>
          <w:lang w:val="fr-CA"/>
        </w:rPr>
        <w:t>La requête pour que le pourvoi suive son cours est rejetée sans dépens.</w:t>
      </w:r>
    </w:p>
    <w:p w:rsidR="00100A98" w:rsidRPr="00100A98" w:rsidRDefault="00100A98" w:rsidP="00100A98">
      <w:pPr>
        <w:tabs>
          <w:tab w:val="left" w:pos="-1440"/>
          <w:tab w:val="left" w:pos="-720"/>
        </w:tabs>
        <w:jc w:val="both"/>
        <w:rPr>
          <w:sz w:val="20"/>
          <w:szCs w:val="20"/>
          <w:lang w:val="fr-CA"/>
        </w:rPr>
      </w:pPr>
    </w:p>
    <w:p w:rsidR="00100A98" w:rsidRPr="00100A98" w:rsidRDefault="005B7E98" w:rsidP="00100A98">
      <w:pPr>
        <w:tabs>
          <w:tab w:val="left" w:pos="-1440"/>
          <w:tab w:val="left" w:pos="-720"/>
        </w:tabs>
        <w:jc w:val="both"/>
        <w:rPr>
          <w:sz w:val="20"/>
          <w:szCs w:val="20"/>
        </w:rPr>
      </w:pPr>
      <w:r>
        <w:rPr>
          <w:sz w:val="20"/>
          <w:szCs w:val="20"/>
          <w:lang w:val="fr-CA"/>
        </w:rPr>
        <w:pict>
          <v:rect id="_x0000_i1069" style="width:2in;height:1pt" o:hrpct="0" o:hralign="center" o:hrstd="t" o:hrnoshade="t" o:hr="t" fillcolor="black [3213]" stroked="f"/>
        </w:pict>
      </w:r>
    </w:p>
    <w:p w:rsidR="00100A98" w:rsidRPr="00100A98" w:rsidRDefault="00100A98" w:rsidP="00100A98">
      <w:pPr>
        <w:tabs>
          <w:tab w:val="left" w:pos="-1440"/>
          <w:tab w:val="left" w:pos="-720"/>
        </w:tabs>
        <w:jc w:val="both"/>
        <w:rPr>
          <w:sz w:val="20"/>
          <w:szCs w:val="20"/>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A12C1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96F14" w:rsidP="005F1ED8">
            <w:pPr>
              <w:rPr>
                <w:sz w:val="20"/>
                <w:szCs w:val="20"/>
              </w:rPr>
            </w:pPr>
            <w:r>
              <w:rPr>
                <w:sz w:val="20"/>
                <w:szCs w:val="20"/>
              </w:rPr>
              <w:t>04</w:t>
            </w:r>
            <w:r w:rsidR="0086340B" w:rsidRPr="003B3977">
              <w:rPr>
                <w:sz w:val="20"/>
                <w:szCs w:val="20"/>
              </w:rPr>
              <w:t>.</w:t>
            </w:r>
            <w:r>
              <w:rPr>
                <w:sz w:val="20"/>
                <w:szCs w:val="20"/>
              </w:rPr>
              <w:t>06</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896F14" w:rsidP="005F1ED8">
            <w:pPr>
              <w:rPr>
                <w:b/>
                <w:sz w:val="20"/>
                <w:szCs w:val="20"/>
              </w:rPr>
            </w:pPr>
            <w:r>
              <w:rPr>
                <w:b/>
                <w:sz w:val="20"/>
                <w:szCs w:val="20"/>
              </w:rPr>
              <w:t xml:space="preserve">Her Majesty </w:t>
            </w:r>
            <w:r w:rsidR="0086340B">
              <w:rPr>
                <w:b/>
                <w:sz w:val="20"/>
                <w:szCs w:val="20"/>
              </w:rPr>
              <w:t>t</w:t>
            </w:r>
            <w:r>
              <w:rPr>
                <w:b/>
                <w:sz w:val="20"/>
                <w:szCs w:val="20"/>
              </w:rPr>
              <w:t>h</w:t>
            </w:r>
            <w:r w:rsidR="0086340B" w:rsidRPr="003B3977">
              <w:rPr>
                <w:b/>
                <w:sz w:val="20"/>
                <w:szCs w:val="20"/>
              </w:rPr>
              <w:t>e</w:t>
            </w:r>
            <w:r w:rsidR="0086340B">
              <w:rPr>
                <w:b/>
                <w:sz w:val="20"/>
                <w:szCs w:val="20"/>
              </w:rPr>
              <w:t xml:space="preserve"> </w:t>
            </w:r>
            <w:r>
              <w:rPr>
                <w:b/>
                <w:sz w:val="20"/>
                <w:szCs w:val="20"/>
              </w:rPr>
              <w:t>Q</w:t>
            </w:r>
            <w:r w:rsidR="0086340B">
              <w:rPr>
                <w:b/>
                <w:sz w:val="20"/>
                <w:szCs w:val="20"/>
              </w:rPr>
              <w:t>u</w:t>
            </w:r>
            <w:r w:rsidR="0086340B" w:rsidRPr="003B3977">
              <w:rPr>
                <w:b/>
                <w:sz w:val="20"/>
                <w:szCs w:val="20"/>
              </w:rPr>
              <w:t>e</w:t>
            </w:r>
            <w:r w:rsidR="0086340B">
              <w:rPr>
                <w:b/>
                <w:sz w:val="20"/>
                <w:szCs w:val="20"/>
              </w:rPr>
              <w:t>en</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896F14">
              <w:rPr>
                <w:b/>
                <w:sz w:val="20"/>
                <w:szCs w:val="20"/>
              </w:rPr>
              <w:t>6</w:t>
            </w:r>
            <w:r>
              <w:rPr>
                <w:b/>
                <w:sz w:val="20"/>
                <w:szCs w:val="20"/>
              </w:rPr>
              <w:t>4</w:t>
            </w:r>
            <w:r w:rsidR="00896F14">
              <w:rPr>
                <w:b/>
                <w:sz w:val="20"/>
                <w:szCs w:val="20"/>
              </w:rPr>
              <w:t>66</w:t>
            </w:r>
            <w:r w:rsidRPr="003B3977">
              <w:rPr>
                <w:b/>
                <w:sz w:val="20"/>
                <w:szCs w:val="20"/>
              </w:rPr>
              <w:t>)</w:t>
            </w:r>
          </w:p>
          <w:p w:rsidR="0086340B" w:rsidRPr="003B3977" w:rsidRDefault="0086340B" w:rsidP="005F1ED8">
            <w:pPr>
              <w:rPr>
                <w:b/>
                <w:sz w:val="20"/>
                <w:szCs w:val="20"/>
              </w:rPr>
            </w:pPr>
          </w:p>
          <w:p w:rsidR="0086340B" w:rsidRPr="003B3977" w:rsidRDefault="00896F14" w:rsidP="005F1ED8">
            <w:pPr>
              <w:rPr>
                <w:b/>
                <w:sz w:val="20"/>
                <w:szCs w:val="20"/>
              </w:rPr>
            </w:pPr>
            <w:r>
              <w:rPr>
                <w:b/>
                <w:sz w:val="20"/>
                <w:szCs w:val="20"/>
              </w:rPr>
              <w:t>O</w:t>
            </w:r>
            <w:r w:rsidR="0086340B">
              <w:rPr>
                <w:b/>
                <w:sz w:val="20"/>
                <w:szCs w:val="20"/>
              </w:rPr>
              <w:t>r</w:t>
            </w:r>
            <w:r>
              <w:rPr>
                <w:b/>
                <w:sz w:val="20"/>
                <w:szCs w:val="20"/>
              </w:rPr>
              <w:t>di</w:t>
            </w:r>
            <w:r w:rsidR="0086340B">
              <w:rPr>
                <w:b/>
                <w:sz w:val="20"/>
                <w:szCs w:val="20"/>
              </w:rPr>
              <w:t>na</w:t>
            </w:r>
            <w:r>
              <w:rPr>
                <w:b/>
                <w:sz w:val="20"/>
                <w:szCs w:val="20"/>
              </w:rPr>
              <w:t>r</w:t>
            </w:r>
            <w:r w:rsidR="0086340B">
              <w:rPr>
                <w:b/>
                <w:sz w:val="20"/>
                <w:szCs w:val="20"/>
              </w:rPr>
              <w:t xml:space="preserve">y </w:t>
            </w:r>
            <w:r>
              <w:rPr>
                <w:b/>
                <w:sz w:val="20"/>
                <w:szCs w:val="20"/>
              </w:rPr>
              <w:t>S</w:t>
            </w:r>
            <w:r w:rsidR="0086340B">
              <w:rPr>
                <w:b/>
                <w:sz w:val="20"/>
                <w:szCs w:val="20"/>
              </w:rPr>
              <w:t>e</w:t>
            </w:r>
            <w:r>
              <w:rPr>
                <w:b/>
                <w:sz w:val="20"/>
                <w:szCs w:val="20"/>
              </w:rPr>
              <w:t>aman Cawthorn</w:t>
            </w:r>
            <w:r w:rsidR="0086340B" w:rsidRPr="003B3977">
              <w:rPr>
                <w:b/>
                <w:sz w:val="20"/>
                <w:szCs w:val="20"/>
              </w:rPr>
              <w:t>e (</w:t>
            </w:r>
            <w:r>
              <w:rPr>
                <w:b/>
                <w:sz w:val="20"/>
                <w:szCs w:val="20"/>
              </w:rPr>
              <w:t>F</w:t>
            </w:r>
            <w:r w:rsidR="0086340B">
              <w:rPr>
                <w:b/>
                <w:sz w:val="20"/>
                <w:szCs w:val="20"/>
              </w:rPr>
              <w:t>.</w:t>
            </w:r>
            <w:r>
              <w:rPr>
                <w:b/>
                <w:sz w:val="20"/>
                <w:szCs w:val="20"/>
              </w:rPr>
              <w:t>C</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896F14">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5B7E98" w:rsidP="005F1ED8">
            <w:pPr>
              <w:rPr>
                <w:sz w:val="20"/>
                <w:szCs w:val="20"/>
                <w:lang w:val="fr-CA"/>
              </w:rPr>
            </w:pPr>
            <w:r>
              <w:rPr>
                <w:sz w:val="20"/>
                <w:szCs w:val="20"/>
                <w:lang w:val="fr-CA"/>
              </w:rPr>
              <w:pict>
                <v:rect id="_x0000_i1072"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A12C1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52229C" w:rsidP="0052229C">
      <w:pPr>
        <w:rPr>
          <w:b/>
          <w:sz w:val="20"/>
          <w:szCs w:val="20"/>
          <w:lang w:val="fr-CA"/>
        </w:rPr>
      </w:pPr>
      <w:r w:rsidRPr="00C42C54">
        <w:rPr>
          <w:b/>
          <w:sz w:val="20"/>
          <w:szCs w:val="20"/>
          <w:lang w:val="fr-CA"/>
        </w:rPr>
        <w:t>J</w:t>
      </w:r>
      <w:r w:rsidR="008E0651">
        <w:rPr>
          <w:b/>
          <w:sz w:val="20"/>
          <w:szCs w:val="20"/>
          <w:lang w:val="fr-CA"/>
        </w:rPr>
        <w:t>UNE</w:t>
      </w:r>
      <w:r w:rsidRPr="00C42C54">
        <w:rPr>
          <w:b/>
          <w:sz w:val="20"/>
          <w:szCs w:val="20"/>
          <w:lang w:val="fr-CA"/>
        </w:rPr>
        <w:t xml:space="preserve"> 1</w:t>
      </w:r>
      <w:r w:rsidR="008E0651">
        <w:rPr>
          <w:b/>
          <w:sz w:val="20"/>
          <w:szCs w:val="20"/>
          <w:lang w:val="fr-CA"/>
        </w:rPr>
        <w:t>9</w:t>
      </w:r>
      <w:r w:rsidRPr="00C42C54">
        <w:rPr>
          <w:b/>
          <w:sz w:val="20"/>
          <w:szCs w:val="20"/>
          <w:lang w:val="fr-CA"/>
        </w:rPr>
        <w:t>, 201</w:t>
      </w:r>
      <w:r w:rsidR="008E0651">
        <w:rPr>
          <w:b/>
          <w:sz w:val="20"/>
          <w:szCs w:val="20"/>
          <w:lang w:val="fr-CA"/>
        </w:rPr>
        <w:t>5</w:t>
      </w:r>
      <w:r w:rsidRPr="00C42C54">
        <w:rPr>
          <w:b/>
          <w:sz w:val="20"/>
          <w:szCs w:val="20"/>
          <w:lang w:val="fr-CA"/>
        </w:rPr>
        <w:t xml:space="preserve"> / LE 1</w:t>
      </w:r>
      <w:r w:rsidR="008E0651">
        <w:rPr>
          <w:b/>
          <w:sz w:val="20"/>
          <w:szCs w:val="20"/>
          <w:lang w:val="fr-CA"/>
        </w:rPr>
        <w:t>9</w:t>
      </w:r>
      <w:r w:rsidRPr="00C42C54">
        <w:rPr>
          <w:b/>
          <w:sz w:val="20"/>
          <w:szCs w:val="20"/>
          <w:lang w:val="fr-CA"/>
        </w:rPr>
        <w:t xml:space="preserve"> J</w:t>
      </w:r>
      <w:r w:rsidR="008E0651">
        <w:rPr>
          <w:b/>
          <w:sz w:val="20"/>
          <w:szCs w:val="20"/>
          <w:lang w:val="fr-CA"/>
        </w:rPr>
        <w:t>UI</w:t>
      </w:r>
      <w:r w:rsidRPr="00C42C54">
        <w:rPr>
          <w:b/>
          <w:sz w:val="20"/>
          <w:szCs w:val="20"/>
          <w:lang w:val="fr-CA"/>
        </w:rPr>
        <w:t>N 201</w:t>
      </w:r>
      <w:r w:rsidR="008E0651">
        <w:rPr>
          <w:b/>
          <w:sz w:val="20"/>
          <w:szCs w:val="20"/>
          <w:lang w:val="fr-CA"/>
        </w:rPr>
        <w:t>5</w:t>
      </w:r>
    </w:p>
    <w:p w:rsidR="0052229C" w:rsidRPr="00C42C54" w:rsidRDefault="0052229C" w:rsidP="0052229C">
      <w:pPr>
        <w:rPr>
          <w:sz w:val="20"/>
          <w:szCs w:val="20"/>
          <w:lang w:val="fr-CA"/>
        </w:rPr>
      </w:pPr>
    </w:p>
    <w:p w:rsidR="00D6770C" w:rsidRPr="004F32A5" w:rsidRDefault="00E85246" w:rsidP="00D6770C">
      <w:pPr>
        <w:ind w:left="1440" w:hanging="1440"/>
        <w:jc w:val="both"/>
        <w:rPr>
          <w:rFonts w:eastAsia="Calibri"/>
          <w:sz w:val="20"/>
          <w:szCs w:val="20"/>
          <w:lang w:val="fr-CA"/>
        </w:rPr>
      </w:pPr>
      <w:r w:rsidRPr="004F32A5">
        <w:rPr>
          <w:rFonts w:eastAsia="Calibri"/>
          <w:b/>
          <w:sz w:val="20"/>
          <w:szCs w:val="20"/>
        </w:rPr>
        <w:fldChar w:fldCharType="begin"/>
      </w:r>
      <w:r w:rsidR="00D6770C" w:rsidRPr="004F32A5">
        <w:rPr>
          <w:rFonts w:eastAsia="Calibri"/>
          <w:b/>
          <w:sz w:val="20"/>
          <w:szCs w:val="20"/>
          <w:lang w:val="fr-CA"/>
        </w:rPr>
        <w:instrText xml:space="preserve"> SEQ CHAPTER \h \r 1</w:instrText>
      </w:r>
      <w:r w:rsidRPr="004F32A5">
        <w:rPr>
          <w:rFonts w:eastAsia="Calibri"/>
          <w:b/>
          <w:sz w:val="20"/>
          <w:szCs w:val="20"/>
        </w:rPr>
        <w:fldChar w:fldCharType="end"/>
      </w:r>
      <w:r w:rsidR="00D6770C" w:rsidRPr="004F32A5">
        <w:rPr>
          <w:rFonts w:eastAsia="Calibri"/>
          <w:b/>
          <w:sz w:val="20"/>
          <w:szCs w:val="20"/>
          <w:lang w:val="fr-CA"/>
        </w:rPr>
        <w:t>35613</w:t>
      </w:r>
      <w:r w:rsidR="00D6770C" w:rsidRPr="004F32A5">
        <w:rPr>
          <w:rFonts w:eastAsia="Calibri"/>
          <w:sz w:val="20"/>
          <w:szCs w:val="20"/>
          <w:lang w:val="fr-CA"/>
        </w:rPr>
        <w:tab/>
      </w:r>
      <w:r w:rsidR="00D6770C" w:rsidRPr="004F32A5">
        <w:rPr>
          <w:rFonts w:eastAsia="Calibri"/>
          <w:b/>
          <w:sz w:val="20"/>
          <w:szCs w:val="20"/>
          <w:u w:val="single"/>
          <w:lang w:val="fr-CA"/>
        </w:rPr>
        <w:t>Réjean Hinse c. Procureur général du Canada – et – Association in Defence of the Wrongly Convicted, Centre Pro Bono Québec et Pro Bono Law Ontario</w:t>
      </w:r>
      <w:r w:rsidR="00D6770C" w:rsidRPr="004F32A5">
        <w:rPr>
          <w:rFonts w:eastAsia="Calibri"/>
          <w:b/>
          <w:sz w:val="20"/>
          <w:szCs w:val="20"/>
          <w:lang w:val="fr-CA"/>
        </w:rPr>
        <w:t xml:space="preserve"> </w:t>
      </w:r>
      <w:r w:rsidR="00D6770C" w:rsidRPr="004F32A5">
        <w:rPr>
          <w:rFonts w:eastAsia="Calibri"/>
          <w:iCs/>
          <w:sz w:val="20"/>
          <w:szCs w:val="20"/>
          <w:lang w:val="fr-CA"/>
        </w:rPr>
        <w:t>(Qc)</w:t>
      </w:r>
    </w:p>
    <w:p w:rsidR="00D6770C" w:rsidRPr="004F32A5" w:rsidRDefault="00D6770C" w:rsidP="00D6770C">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lang w:val="fr-CA"/>
        </w:rPr>
      </w:pPr>
      <w:r w:rsidRPr="004F32A5">
        <w:rPr>
          <w:rFonts w:eastAsia="Calibri"/>
          <w:b/>
          <w:sz w:val="20"/>
          <w:szCs w:val="20"/>
          <w:lang w:val="fr-CA"/>
        </w:rPr>
        <w:t>2015 SCC 35 / 2015 CSC 35</w:t>
      </w:r>
    </w:p>
    <w:p w:rsidR="00D6770C" w:rsidRPr="004F32A5" w:rsidRDefault="00D6770C" w:rsidP="00D6770C">
      <w:pPr>
        <w:jc w:val="both"/>
        <w:rPr>
          <w:rFonts w:eastAsia="Calibri"/>
          <w:sz w:val="20"/>
          <w:szCs w:val="20"/>
          <w:lang w:val="fr-CA"/>
        </w:rPr>
      </w:pPr>
    </w:p>
    <w:p w:rsidR="00D6770C" w:rsidRPr="004F32A5" w:rsidRDefault="00D6770C" w:rsidP="00D6770C">
      <w:pPr>
        <w:ind w:left="1440" w:hanging="1440"/>
        <w:jc w:val="both"/>
        <w:rPr>
          <w:rFonts w:eastAsia="Calibri"/>
          <w:sz w:val="20"/>
          <w:szCs w:val="20"/>
          <w:u w:val="single"/>
          <w:lang w:val="fr-CA"/>
        </w:rPr>
      </w:pPr>
      <w:r w:rsidRPr="004F32A5">
        <w:rPr>
          <w:rFonts w:eastAsia="Calibri"/>
          <w:sz w:val="20"/>
          <w:szCs w:val="20"/>
          <w:lang w:val="fr-CA"/>
        </w:rPr>
        <w:t>Coram:</w:t>
      </w:r>
      <w:r w:rsidRPr="004F32A5">
        <w:rPr>
          <w:rFonts w:eastAsia="Calibri"/>
          <w:sz w:val="20"/>
          <w:szCs w:val="20"/>
          <w:lang w:val="fr-CA"/>
        </w:rPr>
        <w:tab/>
      </w:r>
      <w:r w:rsidRPr="004F32A5">
        <w:rPr>
          <w:rFonts w:eastAsia="Calibri"/>
          <w:sz w:val="20"/>
          <w:szCs w:val="20"/>
          <w:u w:val="single"/>
          <w:lang w:val="fr-CA"/>
        </w:rPr>
        <w:t>La juge en chef McLachlin et les juges LeBel*, Abella, Rothstein, Cromwell, Moldaver, Karakatsanis, Wagner et Gascon</w:t>
      </w:r>
    </w:p>
    <w:p w:rsidR="00D6770C" w:rsidRPr="004F32A5" w:rsidRDefault="00D6770C" w:rsidP="00D6770C">
      <w:pPr>
        <w:ind w:left="1440" w:hanging="1440"/>
        <w:jc w:val="both"/>
        <w:rPr>
          <w:rFonts w:eastAsia="Calibri"/>
          <w:sz w:val="20"/>
          <w:szCs w:val="20"/>
          <w:u w:val="single"/>
          <w:lang w:val="fr-CA"/>
        </w:rPr>
      </w:pPr>
    </w:p>
    <w:p w:rsidR="00D6770C" w:rsidRPr="004F32A5" w:rsidRDefault="00D6770C" w:rsidP="00D6770C">
      <w:pPr>
        <w:jc w:val="both"/>
        <w:rPr>
          <w:sz w:val="20"/>
          <w:szCs w:val="20"/>
          <w:lang w:val="fr-CA"/>
        </w:rPr>
      </w:pPr>
      <w:r w:rsidRPr="004F32A5">
        <w:rPr>
          <w:sz w:val="20"/>
          <w:szCs w:val="20"/>
          <w:lang w:val="fr-CA"/>
        </w:rPr>
        <w:t>(</w:t>
      </w:r>
      <w:r w:rsidRPr="004F32A5">
        <w:rPr>
          <w:sz w:val="20"/>
          <w:szCs w:val="20"/>
          <w:vertAlign w:val="superscript"/>
          <w:lang w:val="fr-CA"/>
        </w:rPr>
        <w:t>*</w:t>
      </w:r>
      <w:r w:rsidRPr="004F32A5">
        <w:rPr>
          <w:sz w:val="20"/>
          <w:szCs w:val="20"/>
          <w:lang w:val="fr-CA"/>
        </w:rPr>
        <w:t xml:space="preserve"> LeBel J. took no part in the judgment. / </w:t>
      </w:r>
      <w:r w:rsidRPr="004F32A5">
        <w:rPr>
          <w:sz w:val="20"/>
          <w:szCs w:val="20"/>
          <w:vertAlign w:val="superscript"/>
          <w:lang w:val="fr-CA"/>
        </w:rPr>
        <w:t>*</w:t>
      </w:r>
      <w:r w:rsidRPr="004F32A5">
        <w:rPr>
          <w:sz w:val="20"/>
          <w:szCs w:val="20"/>
          <w:lang w:val="fr-CA"/>
        </w:rPr>
        <w:t xml:space="preserve"> Le juge LeBel n’a pas participé au jugement.)</w:t>
      </w:r>
    </w:p>
    <w:p w:rsidR="00D6770C" w:rsidRPr="004F32A5" w:rsidRDefault="00D6770C" w:rsidP="00D6770C">
      <w:pPr>
        <w:ind w:left="1440" w:hanging="1440"/>
        <w:jc w:val="both"/>
        <w:rPr>
          <w:rFonts w:eastAsia="Calibri"/>
          <w:sz w:val="20"/>
          <w:szCs w:val="20"/>
          <w:u w:val="single"/>
          <w:lang w:val="fr-CA"/>
        </w:rPr>
      </w:pPr>
    </w:p>
    <w:p w:rsidR="00D6770C" w:rsidRPr="004F32A5" w:rsidRDefault="00D6770C" w:rsidP="00D6770C">
      <w:pPr>
        <w:jc w:val="both"/>
        <w:rPr>
          <w:sz w:val="20"/>
          <w:szCs w:val="20"/>
          <w:lang w:val="fr-CA"/>
        </w:rPr>
      </w:pPr>
      <w:r w:rsidRPr="004F32A5">
        <w:rPr>
          <w:sz w:val="20"/>
          <w:szCs w:val="20"/>
          <w:lang w:val="fr-CA"/>
        </w:rPr>
        <w:t>L’appel interjeté contre l’arrêt de la Cour d’appel du Québec (Montréal), numéro 500-09-021656-111, 2013 QCCA 1513, en date du 11 septembre 2013, entendu le 10 novembre 2014, est rejeté sans dépens.</w:t>
      </w:r>
    </w:p>
    <w:p w:rsidR="00D6770C" w:rsidRPr="004F32A5" w:rsidRDefault="00D6770C" w:rsidP="00D6770C">
      <w:pPr>
        <w:jc w:val="both"/>
        <w:rPr>
          <w:sz w:val="20"/>
          <w:szCs w:val="20"/>
          <w:lang w:val="fr-CA"/>
        </w:rPr>
      </w:pPr>
    </w:p>
    <w:p w:rsidR="00D6770C" w:rsidRPr="004F32A5" w:rsidRDefault="00D6770C" w:rsidP="00D6770C">
      <w:pPr>
        <w:jc w:val="both"/>
        <w:rPr>
          <w:sz w:val="20"/>
          <w:szCs w:val="20"/>
        </w:rPr>
      </w:pPr>
      <w:r w:rsidRPr="004F32A5">
        <w:rPr>
          <w:sz w:val="20"/>
          <w:szCs w:val="20"/>
        </w:rPr>
        <w:t xml:space="preserve">The appeal from the judgment </w:t>
      </w:r>
      <w:bookmarkStart w:id="2" w:name="BM_1_"/>
      <w:bookmarkEnd w:id="2"/>
      <w:r w:rsidRPr="004F32A5">
        <w:rPr>
          <w:sz w:val="20"/>
          <w:szCs w:val="20"/>
        </w:rPr>
        <w:t>of the Court of Appeal of Quebec (Montréal), Number 500-09-021656-111, 2013 QCCA 1513, dated September 11, 2013, heard on November 10, 2014, is dismissed without costs.</w:t>
      </w:r>
    </w:p>
    <w:p w:rsidR="0052229C" w:rsidRDefault="0052229C" w:rsidP="0052229C">
      <w:pPr>
        <w:rPr>
          <w:sz w:val="20"/>
          <w:szCs w:val="20"/>
        </w:rPr>
      </w:pPr>
    </w:p>
    <w:p w:rsidR="008E0651" w:rsidRDefault="008E0651" w:rsidP="0052229C">
      <w:pPr>
        <w:rPr>
          <w:sz w:val="20"/>
          <w:szCs w:val="20"/>
        </w:rPr>
      </w:pPr>
    </w:p>
    <w:p w:rsidR="0052229C" w:rsidRPr="003B3977" w:rsidRDefault="005B7E98" w:rsidP="0052229C">
      <w:pPr>
        <w:spacing w:line="0" w:lineRule="atLeast"/>
        <w:rPr>
          <w:sz w:val="20"/>
          <w:szCs w:val="20"/>
        </w:rPr>
      </w:pPr>
      <w:r>
        <w:rPr>
          <w:b/>
          <w:sz w:val="20"/>
          <w:szCs w:val="20"/>
        </w:rPr>
        <w:pict>
          <v:rect id="_x0000_i1075"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14D11" w:rsidRPr="00C56269" w:rsidRDefault="00B14D11" w:rsidP="00B14D11">
      <w:pPr>
        <w:jc w:val="both"/>
        <w:rPr>
          <w:b/>
          <w:i/>
          <w:sz w:val="20"/>
          <w:szCs w:val="20"/>
          <w:lang w:val="fr-CA"/>
        </w:rPr>
      </w:pPr>
      <w:r w:rsidRPr="00C56269">
        <w:rPr>
          <w:i/>
          <w:sz w:val="20"/>
          <w:szCs w:val="20"/>
          <w:lang w:val="fr-CA"/>
        </w:rPr>
        <w:t xml:space="preserve">Réjean Hinse c. Procureur général du Canada </w:t>
      </w:r>
      <w:r w:rsidRPr="00C56269">
        <w:rPr>
          <w:sz w:val="20"/>
          <w:szCs w:val="20"/>
          <w:lang w:val="fr-CA"/>
        </w:rPr>
        <w:t>(Qc) (</w:t>
      </w:r>
      <w:hyperlink r:id="rId79" w:history="1">
        <w:r w:rsidRPr="00C56269">
          <w:rPr>
            <w:rStyle w:val="Hyperlink"/>
            <w:sz w:val="20"/>
            <w:szCs w:val="20"/>
            <w:lang w:val="fr-CA"/>
          </w:rPr>
          <w:t>35613</w:t>
        </w:r>
      </w:hyperlink>
      <w:r w:rsidRPr="00C56269">
        <w:rPr>
          <w:sz w:val="20"/>
          <w:szCs w:val="20"/>
          <w:lang w:val="fr-CA"/>
        </w:rPr>
        <w:t>)</w:t>
      </w:r>
    </w:p>
    <w:p w:rsidR="00511F7A" w:rsidRPr="00511F7A" w:rsidRDefault="00511F7A" w:rsidP="00511F7A">
      <w:pPr>
        <w:jc w:val="both"/>
        <w:outlineLvl w:val="0"/>
        <w:rPr>
          <w:b/>
          <w:sz w:val="20"/>
          <w:szCs w:val="20"/>
        </w:rPr>
      </w:pPr>
      <w:r w:rsidRPr="0097456F">
        <w:rPr>
          <w:b/>
          <w:sz w:val="20"/>
          <w:szCs w:val="20"/>
        </w:rPr>
        <w:t xml:space="preserve">Indexed as: Hinse </w:t>
      </w:r>
      <w:r w:rsidRPr="0097456F">
        <w:rPr>
          <w:b/>
          <w:i/>
          <w:sz w:val="20"/>
          <w:szCs w:val="20"/>
        </w:rPr>
        <w:t>v.</w:t>
      </w:r>
      <w:r w:rsidRPr="0097456F">
        <w:rPr>
          <w:b/>
          <w:sz w:val="20"/>
          <w:szCs w:val="20"/>
        </w:rPr>
        <w:t xml:space="preserve"> Canada (Attorney General)</w:t>
      </w:r>
      <w:r>
        <w:rPr>
          <w:b/>
          <w:sz w:val="20"/>
          <w:szCs w:val="20"/>
        </w:rPr>
        <w:t xml:space="preserve"> / </w:t>
      </w:r>
      <w:r w:rsidRPr="00511F7A">
        <w:rPr>
          <w:b/>
          <w:sz w:val="20"/>
          <w:szCs w:val="20"/>
        </w:rPr>
        <w:t xml:space="preserve">Répertorié : Hinse </w:t>
      </w:r>
      <w:r w:rsidRPr="00511F7A">
        <w:rPr>
          <w:b/>
          <w:i/>
          <w:sz w:val="20"/>
          <w:szCs w:val="20"/>
        </w:rPr>
        <w:t>c.</w:t>
      </w:r>
      <w:r w:rsidRPr="00511F7A">
        <w:rPr>
          <w:b/>
          <w:sz w:val="20"/>
          <w:szCs w:val="20"/>
        </w:rPr>
        <w:t xml:space="preserve"> Canada (Procureur général)</w:t>
      </w:r>
    </w:p>
    <w:p w:rsidR="0052229C" w:rsidRPr="00511F7A" w:rsidRDefault="0052229C" w:rsidP="00511F7A">
      <w:pPr>
        <w:jc w:val="both"/>
        <w:outlineLvl w:val="0"/>
        <w:rPr>
          <w:sz w:val="20"/>
          <w:lang w:val="fr-CA"/>
        </w:rPr>
      </w:pPr>
      <w:r w:rsidRPr="00511F7A">
        <w:rPr>
          <w:sz w:val="20"/>
          <w:lang w:val="fr-CA"/>
        </w:rPr>
        <w:t>Neutral citation:  201</w:t>
      </w:r>
      <w:r w:rsidR="00020DC3" w:rsidRPr="00511F7A">
        <w:rPr>
          <w:sz w:val="20"/>
          <w:lang w:val="fr-CA"/>
        </w:rPr>
        <w:t>5</w:t>
      </w:r>
      <w:r w:rsidRPr="00511F7A">
        <w:rPr>
          <w:sz w:val="20"/>
          <w:lang w:val="fr-CA"/>
        </w:rPr>
        <w:t xml:space="preserve"> SCC </w:t>
      </w:r>
      <w:r w:rsidR="0051346A" w:rsidRPr="00511F7A">
        <w:rPr>
          <w:sz w:val="20"/>
          <w:lang w:val="fr-CA"/>
        </w:rPr>
        <w:t>35</w:t>
      </w:r>
      <w:r w:rsidRPr="00511F7A">
        <w:rPr>
          <w:sz w:val="20"/>
          <w:lang w:val="fr-CA"/>
        </w:rPr>
        <w:t xml:space="preserve"> / Référence neutre : 201</w:t>
      </w:r>
      <w:r w:rsidR="00020DC3" w:rsidRPr="00511F7A">
        <w:rPr>
          <w:sz w:val="20"/>
          <w:lang w:val="fr-CA"/>
        </w:rPr>
        <w:t>5</w:t>
      </w:r>
      <w:r w:rsidRPr="00511F7A">
        <w:rPr>
          <w:sz w:val="20"/>
          <w:lang w:val="fr-CA"/>
        </w:rPr>
        <w:t xml:space="preserve"> CSC </w:t>
      </w:r>
      <w:r w:rsidR="0051346A" w:rsidRPr="00511F7A">
        <w:rPr>
          <w:sz w:val="20"/>
          <w:lang w:val="fr-CA"/>
        </w:rPr>
        <w:t>35</w:t>
      </w:r>
    </w:p>
    <w:p w:rsidR="0052229C" w:rsidRPr="0051346A" w:rsidRDefault="0052229C" w:rsidP="0052229C">
      <w:pPr>
        <w:rPr>
          <w:rFonts w:cs="Times New Roman"/>
          <w:sz w:val="20"/>
          <w:szCs w:val="20"/>
          <w:lang w:val="fr-CA"/>
        </w:rPr>
      </w:pPr>
      <w:r w:rsidRPr="0051346A">
        <w:rPr>
          <w:rFonts w:cs="Times New Roman"/>
          <w:sz w:val="20"/>
          <w:szCs w:val="20"/>
          <w:lang w:val="fr-CA"/>
        </w:rPr>
        <w:t xml:space="preserve">Hearing:  </w:t>
      </w:r>
      <w:r w:rsidR="00D27959">
        <w:rPr>
          <w:rFonts w:cs="Times New Roman"/>
          <w:sz w:val="20"/>
          <w:szCs w:val="20"/>
          <w:lang w:val="fr-CA"/>
        </w:rPr>
        <w:t>November 10</w:t>
      </w:r>
      <w:r w:rsidRPr="0051346A">
        <w:rPr>
          <w:rFonts w:cs="Times New Roman"/>
          <w:sz w:val="20"/>
          <w:szCs w:val="20"/>
          <w:lang w:val="fr-CA"/>
        </w:rPr>
        <w:t>, 201</w:t>
      </w:r>
      <w:r w:rsidR="00020DC3" w:rsidRPr="0051346A">
        <w:rPr>
          <w:rFonts w:cs="Times New Roman"/>
          <w:sz w:val="20"/>
          <w:szCs w:val="20"/>
          <w:lang w:val="fr-CA"/>
        </w:rPr>
        <w:t>4</w:t>
      </w:r>
      <w:r w:rsidRPr="0051346A">
        <w:rPr>
          <w:rFonts w:cs="Times New Roman"/>
          <w:sz w:val="20"/>
          <w:szCs w:val="20"/>
          <w:lang w:val="fr-CA"/>
        </w:rPr>
        <w:t xml:space="preserve"> / Judgment:  J</w:t>
      </w:r>
      <w:r w:rsidR="0051346A" w:rsidRPr="0051346A">
        <w:rPr>
          <w:rFonts w:cs="Times New Roman"/>
          <w:sz w:val="20"/>
          <w:szCs w:val="20"/>
          <w:lang w:val="fr-CA"/>
        </w:rPr>
        <w:t>u</w:t>
      </w:r>
      <w:r w:rsidRPr="0051346A">
        <w:rPr>
          <w:rFonts w:cs="Times New Roman"/>
          <w:sz w:val="20"/>
          <w:szCs w:val="20"/>
          <w:lang w:val="fr-CA"/>
        </w:rPr>
        <w:t>n</w:t>
      </w:r>
      <w:r w:rsidR="0051346A" w:rsidRPr="0051346A">
        <w:rPr>
          <w:rFonts w:cs="Times New Roman"/>
          <w:sz w:val="20"/>
          <w:szCs w:val="20"/>
          <w:lang w:val="fr-CA"/>
        </w:rPr>
        <w:t>e</w:t>
      </w:r>
      <w:r w:rsidRPr="0051346A">
        <w:rPr>
          <w:rFonts w:cs="Times New Roman"/>
          <w:sz w:val="20"/>
          <w:szCs w:val="20"/>
          <w:lang w:val="fr-CA"/>
        </w:rPr>
        <w:t xml:space="preserve"> 1</w:t>
      </w:r>
      <w:r w:rsidR="0051346A" w:rsidRPr="0051346A">
        <w:rPr>
          <w:rFonts w:cs="Times New Roman"/>
          <w:sz w:val="20"/>
          <w:szCs w:val="20"/>
          <w:lang w:val="fr-CA"/>
        </w:rPr>
        <w:t>9</w:t>
      </w:r>
      <w:r w:rsidRPr="0051346A">
        <w:rPr>
          <w:rFonts w:cs="Times New Roman"/>
          <w:sz w:val="20"/>
          <w:szCs w:val="20"/>
          <w:lang w:val="fr-CA"/>
        </w:rPr>
        <w:t>, 201</w:t>
      </w:r>
      <w:r w:rsidR="00020DC3" w:rsidRPr="0051346A">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D27959">
        <w:rPr>
          <w:rFonts w:cs="Times New Roman"/>
          <w:sz w:val="20"/>
          <w:szCs w:val="20"/>
          <w:lang w:val="fr-CA"/>
        </w:rPr>
        <w:t>10</w:t>
      </w:r>
      <w:r w:rsidRPr="003B3977">
        <w:rPr>
          <w:rFonts w:cs="Times New Roman"/>
          <w:sz w:val="20"/>
          <w:szCs w:val="20"/>
          <w:lang w:val="fr-CA"/>
        </w:rPr>
        <w:t xml:space="preserve"> </w:t>
      </w:r>
      <w:r w:rsidR="00D27959">
        <w:rPr>
          <w:rFonts w:cs="Times New Roman"/>
          <w:sz w:val="20"/>
          <w:szCs w:val="20"/>
          <w:lang w:val="fr-CA"/>
        </w:rPr>
        <w:t>no</w:t>
      </w:r>
      <w:r>
        <w:rPr>
          <w:rFonts w:cs="Times New Roman"/>
          <w:sz w:val="20"/>
          <w:szCs w:val="20"/>
          <w:lang w:val="fr-CA"/>
        </w:rPr>
        <w:t>v</w:t>
      </w:r>
      <w:r w:rsidR="00D27959">
        <w:rPr>
          <w:rFonts w:cs="Times New Roman"/>
          <w:sz w:val="20"/>
          <w:szCs w:val="20"/>
          <w:lang w:val="fr-CA"/>
        </w:rPr>
        <w:t>emb</w:t>
      </w:r>
      <w:r w:rsidRPr="003B3977">
        <w:rPr>
          <w:rFonts w:cs="Times New Roman"/>
          <w:sz w:val="20"/>
          <w:szCs w:val="20"/>
          <w:lang w:val="fr-CA"/>
        </w:rPr>
        <w:t>r</w:t>
      </w:r>
      <w:r w:rsidR="00D27959">
        <w:rPr>
          <w:rFonts w:cs="Times New Roman"/>
          <w:sz w:val="20"/>
          <w:szCs w:val="20"/>
          <w:lang w:val="fr-CA"/>
        </w:rPr>
        <w:t>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51346A">
        <w:rPr>
          <w:rFonts w:cs="Times New Roman"/>
          <w:sz w:val="20"/>
          <w:szCs w:val="20"/>
          <w:lang w:val="fr-CA"/>
        </w:rPr>
        <w:t>9</w:t>
      </w:r>
      <w:r>
        <w:rPr>
          <w:rFonts w:cs="Times New Roman"/>
          <w:sz w:val="20"/>
          <w:szCs w:val="20"/>
          <w:lang w:val="fr-CA"/>
        </w:rPr>
        <w:t xml:space="preserve"> j</w:t>
      </w:r>
      <w:r w:rsidR="0051346A">
        <w:rPr>
          <w:rFonts w:cs="Times New Roman"/>
          <w:sz w:val="20"/>
          <w:szCs w:val="20"/>
          <w:lang w:val="fr-CA"/>
        </w:rPr>
        <w:t>ui</w:t>
      </w:r>
      <w:r>
        <w:rPr>
          <w:rFonts w:cs="Times New Roman"/>
          <w:sz w:val="20"/>
          <w:szCs w:val="20"/>
          <w:lang w:val="fr-CA"/>
        </w:rPr>
        <w:t>n</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5B7E98" w:rsidP="005C6840">
      <w:pPr>
        <w:rPr>
          <w:rFonts w:cs="Times New Roman"/>
          <w:sz w:val="20"/>
          <w:szCs w:val="20"/>
          <w:lang w:val="fr-CA"/>
        </w:rPr>
      </w:pPr>
      <w:r>
        <w:rPr>
          <w:rFonts w:cs="Times New Roman"/>
          <w:i/>
          <w:sz w:val="20"/>
          <w:szCs w:val="20"/>
        </w:rPr>
        <w:pict>
          <v:rect id="_x0000_i1078" style="width:480.95pt;height:1pt" o:hralign="center" o:hrstd="t" o:hrnoshade="t" o:hr="t" fillcolor="black [3213]" stroked="f"/>
        </w:pict>
      </w:r>
    </w:p>
    <w:p w:rsidR="005C6840" w:rsidRDefault="005C6840" w:rsidP="005C6840">
      <w:pPr>
        <w:rPr>
          <w:rFonts w:cs="Times New Roman"/>
          <w:sz w:val="20"/>
          <w:szCs w:val="20"/>
          <w:lang w:val="fr-CA"/>
        </w:rPr>
      </w:pPr>
    </w:p>
    <w:p w:rsidR="00D27959" w:rsidRPr="00781D37" w:rsidRDefault="00D27959" w:rsidP="00D27959">
      <w:pPr>
        <w:jc w:val="both"/>
        <w:rPr>
          <w:sz w:val="20"/>
          <w:szCs w:val="20"/>
          <w:lang w:val="fr-CA"/>
        </w:rPr>
      </w:pPr>
      <w:r w:rsidRPr="00781D37">
        <w:rPr>
          <w:sz w:val="20"/>
          <w:szCs w:val="20"/>
          <w:lang w:val="fr-CA"/>
        </w:rPr>
        <w:t>Présents : La juge en chef McLachlin et les juges LeBel</w:t>
      </w:r>
      <w:r w:rsidR="00467704" w:rsidRPr="00D6770C">
        <w:rPr>
          <w:sz w:val="20"/>
          <w:szCs w:val="20"/>
          <w:vertAlign w:val="superscript"/>
          <w:lang w:val="fr-CA"/>
        </w:rPr>
        <w:t>*</w:t>
      </w:r>
      <w:r w:rsidR="00467704">
        <w:rPr>
          <w:sz w:val="20"/>
          <w:szCs w:val="20"/>
          <w:lang w:val="fr-CA"/>
        </w:rPr>
        <w:t xml:space="preserve"> </w:t>
      </w:r>
      <w:r w:rsidRPr="00781D37">
        <w:rPr>
          <w:sz w:val="20"/>
          <w:szCs w:val="20"/>
          <w:lang w:val="fr-CA"/>
        </w:rPr>
        <w:t>, Abella, Rothstein, Cromwell, Moldaver, Karakatsanis, Wagner et Gascon.</w:t>
      </w:r>
    </w:p>
    <w:p w:rsidR="00D27959" w:rsidRDefault="00D27959" w:rsidP="00D27959">
      <w:pPr>
        <w:jc w:val="both"/>
        <w:outlineLvl w:val="0"/>
        <w:rPr>
          <w:smallCaps/>
          <w:sz w:val="20"/>
          <w:lang w:val="fr-CA"/>
        </w:rPr>
      </w:pPr>
    </w:p>
    <w:p w:rsidR="00D27959" w:rsidRPr="00D27959" w:rsidRDefault="00467704" w:rsidP="00D27959">
      <w:pPr>
        <w:jc w:val="both"/>
        <w:outlineLvl w:val="0"/>
        <w:rPr>
          <w:smallCaps/>
          <w:sz w:val="20"/>
          <w:szCs w:val="20"/>
          <w:lang w:val="fr-CA"/>
        </w:rPr>
      </w:pPr>
      <w:r>
        <w:rPr>
          <w:sz w:val="20"/>
          <w:szCs w:val="20"/>
          <w:lang w:val="fr-CA"/>
        </w:rPr>
        <w:t>(</w:t>
      </w:r>
      <w:r w:rsidRPr="00D6770C">
        <w:rPr>
          <w:sz w:val="20"/>
          <w:szCs w:val="20"/>
          <w:vertAlign w:val="superscript"/>
          <w:lang w:val="fr-CA"/>
        </w:rPr>
        <w:t>*</w:t>
      </w:r>
      <w:r>
        <w:rPr>
          <w:sz w:val="20"/>
          <w:szCs w:val="20"/>
          <w:lang w:val="fr-CA"/>
        </w:rPr>
        <w:t xml:space="preserve"> </w:t>
      </w:r>
      <w:r w:rsidR="00D27959" w:rsidRPr="00D27959">
        <w:rPr>
          <w:sz w:val="20"/>
          <w:szCs w:val="20"/>
          <w:lang w:val="fr-CA"/>
        </w:rPr>
        <w:t>Le juge LeBel n’a pas participé au jugement.</w:t>
      </w:r>
      <w:r>
        <w:rPr>
          <w:sz w:val="20"/>
          <w:szCs w:val="20"/>
          <w:lang w:val="fr-CA"/>
        </w:rPr>
        <w:t>)</w:t>
      </w:r>
    </w:p>
    <w:p w:rsidR="00D27959" w:rsidRDefault="00D27959" w:rsidP="00D27959">
      <w:pPr>
        <w:jc w:val="both"/>
        <w:outlineLvl w:val="0"/>
        <w:rPr>
          <w:smallCaps/>
          <w:sz w:val="20"/>
          <w:lang w:val="fr-CA"/>
        </w:rPr>
      </w:pPr>
    </w:p>
    <w:p w:rsidR="00511F7A" w:rsidRPr="009115E7" w:rsidRDefault="00511F7A" w:rsidP="00511F7A">
      <w:pPr>
        <w:pStyle w:val="SCCNormalDoubleSpacing"/>
        <w:spacing w:line="240" w:lineRule="auto"/>
        <w:rPr>
          <w:i/>
          <w:sz w:val="20"/>
          <w:lang w:val="fr-CA"/>
        </w:rPr>
      </w:pPr>
      <w:r w:rsidRPr="009115E7">
        <w:rPr>
          <w:i/>
          <w:sz w:val="20"/>
          <w:lang w:val="fr-CA"/>
        </w:rPr>
        <w:tab/>
        <w:t>Droit de la Couronne — Responsabilité de l’État — Prérogatives — Immunité de droit public — Pouvoir de clémence de la Couronne dévolu au ministre fédéral de la Justice par le Code criminel, L.R.C. 1985, c. C</w:t>
      </w:r>
      <w:r w:rsidRPr="009115E7">
        <w:rPr>
          <w:i/>
          <w:sz w:val="20"/>
          <w:lang w:val="fr-CA"/>
        </w:rPr>
        <w:noBreakHyphen/>
        <w:t>46 — Qualification de la nature du pouvoir ministériel — Dans quelles circonstances l’exercice du pouvoir de clémence peut</w:t>
      </w:r>
      <w:r w:rsidRPr="009115E7">
        <w:rPr>
          <w:i/>
          <w:sz w:val="20"/>
          <w:lang w:val="fr-CA"/>
        </w:rPr>
        <w:noBreakHyphen/>
        <w:t>il engager la responsabilité de l’État? — Loi sur la responsabilité de l’État et le contentieux administratif, L.R.C. 1985, c. C</w:t>
      </w:r>
      <w:r w:rsidRPr="009115E7">
        <w:rPr>
          <w:i/>
          <w:sz w:val="20"/>
          <w:lang w:val="fr-CA"/>
        </w:rPr>
        <w:noBreakHyphen/>
        <w:t>50, art. 2 « responsabilité », 3a)(i); Code civil du Québec, art. 1376, 1457.</w:t>
      </w:r>
    </w:p>
    <w:p w:rsidR="00511F7A" w:rsidRDefault="00511F7A" w:rsidP="00511F7A">
      <w:pPr>
        <w:pStyle w:val="SCCNormalDoubleSpacing"/>
        <w:spacing w:line="240" w:lineRule="auto"/>
        <w:rPr>
          <w:i/>
          <w:sz w:val="20"/>
          <w:lang w:val="fr-CA"/>
        </w:rPr>
      </w:pPr>
    </w:p>
    <w:p w:rsidR="00511F7A" w:rsidRPr="009115E7" w:rsidRDefault="00511F7A" w:rsidP="00511F7A">
      <w:pPr>
        <w:pStyle w:val="SCCNormalDoubleSpacing"/>
        <w:spacing w:line="240" w:lineRule="auto"/>
        <w:rPr>
          <w:i/>
          <w:sz w:val="20"/>
          <w:lang w:val="fr-CA"/>
        </w:rPr>
      </w:pPr>
      <w:r w:rsidRPr="009115E7">
        <w:rPr>
          <w:i/>
          <w:sz w:val="20"/>
          <w:lang w:val="fr-CA"/>
        </w:rPr>
        <w:tab/>
        <w:t>Responsabilité civile — Responsabilité de l’État — Faute — Immunité relative — Justiciable injustement condamné pour vol à main armée — Ministre fédéral de la Justice refusant d’exercer le pouvoir de clémence de la Couronne qui lui est dévolu par le Code criminel — Norme de faute applicable à la conduite du ministre — Le justiciable a</w:t>
      </w:r>
      <w:r w:rsidRPr="009115E7">
        <w:rPr>
          <w:i/>
          <w:sz w:val="20"/>
          <w:lang w:val="fr-CA"/>
        </w:rPr>
        <w:noBreakHyphen/>
        <w:t>t</w:t>
      </w:r>
      <w:r w:rsidRPr="009115E7">
        <w:rPr>
          <w:i/>
          <w:sz w:val="20"/>
          <w:lang w:val="fr-CA"/>
        </w:rPr>
        <w:noBreakHyphen/>
        <w:t>il démontré de façon prépondérante que le ministre a fait preuve de mauvaise foi ou d’insouciance grave dans l’examen des demandes de clémence? — Code civil du Bas</w:t>
      </w:r>
      <w:r w:rsidRPr="009115E7">
        <w:rPr>
          <w:i/>
          <w:sz w:val="20"/>
          <w:lang w:val="fr-CA"/>
        </w:rPr>
        <w:noBreakHyphen/>
        <w:t>Canada, art. 1053; Code civil du Québec, art. 1457.</w:t>
      </w:r>
    </w:p>
    <w:p w:rsidR="00511F7A" w:rsidRDefault="00511F7A" w:rsidP="00511F7A">
      <w:pPr>
        <w:pStyle w:val="SCCNormalDoubleSpacing"/>
        <w:spacing w:line="240" w:lineRule="auto"/>
        <w:rPr>
          <w:i/>
          <w:sz w:val="20"/>
          <w:lang w:val="fr-CA"/>
        </w:rPr>
      </w:pPr>
    </w:p>
    <w:p w:rsidR="00511F7A" w:rsidRPr="009115E7" w:rsidRDefault="00511F7A" w:rsidP="00511F7A">
      <w:pPr>
        <w:pStyle w:val="SCCNormalDoubleSpacing"/>
        <w:spacing w:line="240" w:lineRule="auto"/>
        <w:rPr>
          <w:i/>
          <w:sz w:val="20"/>
          <w:lang w:val="fr-CA"/>
        </w:rPr>
      </w:pPr>
      <w:r w:rsidRPr="009115E7">
        <w:rPr>
          <w:i/>
          <w:sz w:val="20"/>
          <w:lang w:val="fr-CA"/>
        </w:rPr>
        <w:tab/>
        <w:t>Dommages</w:t>
      </w:r>
      <w:r w:rsidRPr="009115E7">
        <w:rPr>
          <w:i/>
          <w:sz w:val="20"/>
          <w:lang w:val="fr-CA"/>
        </w:rPr>
        <w:noBreakHyphen/>
        <w:t>intérêts — Dommages</w:t>
      </w:r>
      <w:r w:rsidRPr="009115E7">
        <w:rPr>
          <w:i/>
          <w:sz w:val="20"/>
          <w:lang w:val="fr-CA"/>
        </w:rPr>
        <w:noBreakHyphen/>
        <w:t>intérêts punitifs — Honoraires extrajudiciaires — Représentation pro bono — Le justiciable est</w:t>
      </w:r>
      <w:r w:rsidRPr="009115E7">
        <w:rPr>
          <w:i/>
          <w:sz w:val="20"/>
          <w:lang w:val="fr-CA"/>
        </w:rPr>
        <w:noBreakHyphen/>
        <w:t>il en droit de recevoir des dommages</w:t>
      </w:r>
      <w:r w:rsidRPr="009115E7">
        <w:rPr>
          <w:i/>
          <w:sz w:val="20"/>
          <w:lang w:val="fr-CA"/>
        </w:rPr>
        <w:noBreakHyphen/>
        <w:t>intérêts compensatoires ou punitifs? — En cas d’abus de procédure et en présence d’une entente pro bono, des dommages</w:t>
      </w:r>
      <w:r w:rsidRPr="009115E7">
        <w:rPr>
          <w:i/>
          <w:sz w:val="20"/>
          <w:lang w:val="fr-CA"/>
        </w:rPr>
        <w:noBreakHyphen/>
        <w:t>intérêts peuvent</w:t>
      </w:r>
      <w:r w:rsidRPr="009115E7">
        <w:rPr>
          <w:i/>
          <w:sz w:val="20"/>
          <w:lang w:val="fr-CA"/>
        </w:rPr>
        <w:noBreakHyphen/>
        <w:t>ils être accordés au Québec au titre des honoraires extrajudiciaires, dans le but d’indemniser la partie qui subit un préjudice résultant de la faute de l’autre partie? — Code civil du Québec, art. 1608.</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9115E7">
        <w:rPr>
          <w:sz w:val="20"/>
          <w:lang w:val="fr-CA"/>
        </w:rPr>
        <w:tab/>
        <w:t xml:space="preserve">En 1964 H est injustement condamné à 15 ans d’emprisonnement pour vol à main armée. Il bénéficiera d’une libération conditionnelle après avoir purgé le tiers de sa peine. En 1966, il convainc trois des cinq auteurs du vol de signer des déclarations sous serment l’innocentant. De 1967 à 1981, H présente en vertu du </w:t>
      </w:r>
      <w:r w:rsidRPr="009115E7">
        <w:rPr>
          <w:i/>
          <w:sz w:val="20"/>
          <w:lang w:val="fr-CA"/>
        </w:rPr>
        <w:t>Code criminel</w:t>
      </w:r>
      <w:r w:rsidRPr="009115E7">
        <w:rPr>
          <w:sz w:val="20"/>
          <w:lang w:val="fr-CA"/>
        </w:rPr>
        <w:t xml:space="preserve"> trois demandes de clémence au ministre fédéral de la Justice (« Ministre ») et une demande de pardon au gouverneur général en conseil. Toutes se soldent par des échecs. En 1988, il s’adresse à la Commission de police du Québec. Au terme d’une enquête, cette dernière exprime le souhait que le procureur général du Québec (« PGQ ») intervienne auprès du Solliciteur général du Canada afin que justice soit rendue. En 1990, H présente une quatrième demande de clémence, mais la Ministre lui répond de s’adresser à la Cour d’appel du Québec, ce qu’il fait. La Cour d’appel accueille l’appel, mais au lieu de prononcer un verdict d’acquittement ou d’ordonner un nouveau procès, elle ordonne l’arrêt des procédures. Le 21 janvier 1997, la Cour suprême du Canada acquitte H unanimement, séance tenante, étant d’avis que la preuve ne pourrait permettre à un jury raisonnable correctement instruit de conclure hors de tout doute raisonnable à la culpabilité de H. H entreprend alors un recours en responsabilité civile pour faire condamner solidairement le PGQ, le procureur général du Canada (« PGC ») et la ville de Mont</w:t>
      </w:r>
      <w:r w:rsidRPr="009115E7">
        <w:rPr>
          <w:sz w:val="20"/>
          <w:lang w:val="fr-CA"/>
        </w:rPr>
        <w:noBreakHyphen/>
        <w:t>Laurier. À la suite d’ententes conclues à l’amiable, la ville et le PGQ lui versent une indemnité totale de 5 500 000 $. Après ce règlement, H continue de réclamer du PGC 1 079 871 $ pour ses pertes pécuniaires et 1 900 000 $ pour ses pertes non pécuniaires, ainsi que 10 000 000 $ en dommages</w:t>
      </w:r>
      <w:r w:rsidRPr="009115E7">
        <w:rPr>
          <w:sz w:val="20"/>
          <w:lang w:val="fr-CA"/>
        </w:rPr>
        <w:noBreakHyphen/>
        <w:t xml:space="preserve">intérêts punitifs. </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9115E7">
        <w:rPr>
          <w:sz w:val="20"/>
          <w:lang w:val="fr-CA"/>
        </w:rPr>
        <w:tab/>
        <w:t xml:space="preserve">La Cour supérieure accueille l’action et condamne le PGC à payer à H une somme de près de 5,8 millions de dollars. Elle estime qu’en application de la </w:t>
      </w:r>
      <w:r w:rsidRPr="009115E7">
        <w:rPr>
          <w:i/>
          <w:sz w:val="20"/>
          <w:lang w:val="fr-CA"/>
        </w:rPr>
        <w:t>Loi sur la responsabilité de l’État et le contentieux administratif</w:t>
      </w:r>
      <w:r w:rsidRPr="009115E7">
        <w:rPr>
          <w:sz w:val="20"/>
          <w:lang w:val="fr-CA"/>
        </w:rPr>
        <w:t>, le Ministre est soumis aux règles québécoises de la responsabilité civile, qu’il ne bénéficie d’aucune immunité, qu’il a commis une faute d’« inertie » ou d’« indifférence institutionnelle » et qu’une étude nourrie, concertée et fouillée aurait fait découvrir la méprise. Elle condamne le PGC à verser à H plus de 850 000 $ au titre des dommages pécuniaires, 1 900 000 $ au titre des dommages non pécuniaires et 2 500 000 $ à titre de dommages</w:t>
      </w:r>
      <w:r w:rsidRPr="009115E7">
        <w:rPr>
          <w:sz w:val="20"/>
          <w:lang w:val="fr-CA"/>
        </w:rPr>
        <w:noBreakHyphen/>
        <w:t xml:space="preserve">intérêts punitifs. Elle estime </w:t>
      </w:r>
      <w:r w:rsidRPr="009115E7">
        <w:rPr>
          <w:sz w:val="20"/>
          <w:lang w:val="fr-CA"/>
        </w:rPr>
        <w:lastRenderedPageBreak/>
        <w:t xml:space="preserve">aussi que le PGC a abusé de son droit d’ester en justice et lui ordonne de verser 100 000 $ pour les honoraires payés par H au premier cabinet d’avocats qui l’a représenté et 440 000 $ pour la valeur des services rendus par le deuxième, bien que ce dernier ne lui ait jamais facturé d’honoraires en raison d’une entente </w:t>
      </w:r>
      <w:r w:rsidRPr="009115E7">
        <w:rPr>
          <w:i/>
          <w:sz w:val="20"/>
          <w:lang w:val="fr-CA"/>
        </w:rPr>
        <w:t>pro bono</w:t>
      </w:r>
      <w:r w:rsidRPr="009115E7">
        <w:rPr>
          <w:sz w:val="20"/>
          <w:lang w:val="fr-CA"/>
        </w:rPr>
        <w:t>.</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9115E7">
        <w:rPr>
          <w:sz w:val="20"/>
          <w:lang w:val="fr-CA"/>
        </w:rPr>
        <w:tab/>
        <w:t>La Cour d’appel infirme le jugement. Elle conclut que le pouvoir de clémence du Ministre est assorti d’une immunité relative et que seule une décision empreinte de mauvaise foi, démontrant une intention malveillante, peut entraîner la responsabilité de l’État. En l’espèce, elle estime que la preuve de la faute du Ministre n’est pas établie et que, même en supposant l’existence d’une faute, rien n’indique que l’erreur judiciaire aurait été rapidement découverte si le Ministre avait agi promptement.</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9115E7">
        <w:rPr>
          <w:sz w:val="20"/>
          <w:lang w:val="fr-CA"/>
        </w:rPr>
        <w:tab/>
      </w:r>
      <w:r w:rsidRPr="009115E7">
        <w:rPr>
          <w:i/>
          <w:sz w:val="20"/>
          <w:lang w:val="fr-CA"/>
        </w:rPr>
        <w:t>Arrêt</w:t>
      </w:r>
      <w:r w:rsidRPr="009115E7">
        <w:rPr>
          <w:sz w:val="20"/>
          <w:lang w:val="fr-CA"/>
        </w:rPr>
        <w:t> : Le pourvoi est rejeté.</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9115E7">
        <w:rPr>
          <w:sz w:val="20"/>
          <w:lang w:val="fr-CA"/>
        </w:rPr>
        <w:tab/>
        <w:t xml:space="preserve">Le pouvoir de clémence codifié dans le </w:t>
      </w:r>
      <w:r w:rsidRPr="009115E7">
        <w:rPr>
          <w:i/>
          <w:sz w:val="20"/>
          <w:lang w:val="fr-CA"/>
        </w:rPr>
        <w:t>Code criminel</w:t>
      </w:r>
      <w:r w:rsidRPr="009115E7">
        <w:rPr>
          <w:sz w:val="20"/>
          <w:lang w:val="fr-CA"/>
        </w:rPr>
        <w:t xml:space="preserve"> tire sa source de la prérogative royale de clémence. À l’époque pertinente, les dispositions applicables du </w:t>
      </w:r>
      <w:r w:rsidRPr="009115E7">
        <w:rPr>
          <w:i/>
          <w:sz w:val="20"/>
          <w:lang w:val="fr-CA"/>
        </w:rPr>
        <w:t>Code criminel</w:t>
      </w:r>
      <w:r w:rsidRPr="009115E7">
        <w:rPr>
          <w:sz w:val="20"/>
          <w:lang w:val="fr-CA"/>
        </w:rPr>
        <w:t xml:space="preserve"> laissaient au Ministre le soin de déterminer dans quelles circonstances il devait intervenir. En prenant cette décision discrétionnaire, le Ministre devait évaluer et soupeser des considérations d’intérêt public, en fonction de facteurs sociaux, politiques et économiques. Le pouvoir naissait après l’extinction des recours judiciaires, et en l’exerçant, le Ministre devait prendre soin d’éviter d’usurper le rôle des tribunaux et de court</w:t>
      </w:r>
      <w:r w:rsidRPr="009115E7">
        <w:rPr>
          <w:sz w:val="20"/>
          <w:lang w:val="fr-CA"/>
        </w:rPr>
        <w:noBreakHyphen/>
        <w:t xml:space="preserve">circuiter le processus judiciaire habituel. L’historique et la nature du pouvoir de clémence démontrent que son exercice participait d’un véritable acte de politique générale fondamentale. L’exercice d’un tel pouvoir ne pouvait donc engager la responsabilité de l’État que si le Ministre agissait de façon irrationnelle ou de mauvaise foi. </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9115E7">
        <w:rPr>
          <w:sz w:val="20"/>
          <w:lang w:val="fr-CA"/>
        </w:rPr>
        <w:tab/>
        <w:t xml:space="preserve">Pour apprécier la conduite du Ministre dans l’exercice de son pouvoir de clémence, il n’y a pas lieu d’appliquer une norme de faute qui limite la mauvaise foi à une intention malveillante. En droit civil québécois, la mauvaise foi a une portée plus large que celle de la seule faute intentionnelle ou de l’existence d’une volonté affirmée de nuire à autrui. La mauvaise foi peut être établie par une preuve montrant que le Ministre a agi délibérément dans l’intention arrêtée de nuire à autrui, ou par une preuve d’insouciance grave révélant un dérèglement tellement fondamental des modalités de l’exercice du pouvoir que l’on peut en déduire l’absence de bonne foi et présumer la mauvaise foi. À la lumière des dispositions applicables du </w:t>
      </w:r>
      <w:r w:rsidRPr="009115E7">
        <w:rPr>
          <w:i/>
          <w:sz w:val="20"/>
          <w:lang w:val="fr-CA"/>
        </w:rPr>
        <w:t>Code criminel</w:t>
      </w:r>
      <w:r w:rsidRPr="009115E7">
        <w:rPr>
          <w:sz w:val="20"/>
          <w:lang w:val="fr-CA"/>
        </w:rPr>
        <w:t xml:space="preserve"> et de l’absence, à l’époque pertinente, de procédure établie encadrant le pouvoir de clémence, le Ministre était tenu de faire un examen sérieux de toute demande non futile et non vexatoire. Cet examen ne correspond cependant pas à celui attendu d’une enquête policière ou d’une commission d’enquête. L’obligation d’examen sérieux emporte celle de prendre une décision de bonne foi en fonction des éléments révélés par cet examen. </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9115E7">
        <w:rPr>
          <w:sz w:val="20"/>
          <w:lang w:val="fr-CA"/>
        </w:rPr>
        <w:tab/>
        <w:t xml:space="preserve">Il était erroné pour la première juge d’aborder la question de la responsabilité civile de l’État fédéral sous l’angle d’une faute d’inertie ou d’indifférence institutionnelle. Il fallait plutôt analyser la conduite individuelle de chaque Ministre qui agissait en tant que préposé de l’État fédéral. La juge de première instance a erronément évalué le caractère sérieux de l’examen fait par le Ministre en fonction des pouvoirs accordés à un commissaire en vertu de la </w:t>
      </w:r>
      <w:r w:rsidRPr="009115E7">
        <w:rPr>
          <w:i/>
          <w:sz w:val="20"/>
          <w:lang w:val="fr-CA"/>
        </w:rPr>
        <w:t>Loi sur les enquêtes</w:t>
      </w:r>
      <w:r w:rsidRPr="009115E7">
        <w:rPr>
          <w:sz w:val="20"/>
          <w:lang w:val="fr-CA"/>
        </w:rPr>
        <w:t xml:space="preserve">, lesquels n’ont été conférés au Ministre qu’en 2002, lorsque le Parlement a procédé à la réforme des demandes de clémence. De plus, il n’existe aucune loi obligeant les gouvernements fédéral ou provinciaux à indemniser une victime d’erreur judiciaire, ni aucune loi établissant le droit à une telle indemnisation. Le gouvernement fédéral n’était pas non plus tenu d’indemniser H en vertu des </w:t>
      </w:r>
      <w:r w:rsidRPr="009115E7">
        <w:rPr>
          <w:i/>
          <w:sz w:val="20"/>
          <w:lang w:val="fr-CA"/>
        </w:rPr>
        <w:t>Lignes directrices d’indemnisation des personnes condamnées et emprisonnées à tort</w:t>
      </w:r>
      <w:r w:rsidRPr="009115E7">
        <w:rPr>
          <w:sz w:val="20"/>
          <w:lang w:val="fr-CA"/>
        </w:rPr>
        <w:t>, lesquelles n’ont pas force exécutoire.</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9115E7">
        <w:rPr>
          <w:sz w:val="20"/>
          <w:lang w:val="fr-CA"/>
        </w:rPr>
        <w:tab/>
        <w:t xml:space="preserve">En l’espèce, H n’a pas démontré de façon prépondérante que le Ministre a fait preuve de mauvaise foi ou d’insouciance grave dans l’examen de ses demandes de clémence. La preuve documentaire fait échec à l’inférence de la juge de première instance voulant qu’il y ait eu absence totale d’examen de la demande de clémence initiale de H. Bien que peu nombreux, les écrits au dossier attestent un certain examen et certaines démarches effectuées en ce sens. Par des admissions, les parties ont reconnu que des préposés de l’État auraient affirmé que selon leur compréhension, une étude approfondie et soigneuse du dossier était alors en cours. En dépit du délai reproché concernant l’examen de la première demande, l’analyse des circonstances n’appuie pas la conclusion que le Ministre a agi avec mauvaise foi ou a fait preuve d’insouciance grave. Quant aux trois demandes subséquentes de H, on ne peut raisonnablement soutenir qu’il y a eu absence d’examen sérieux. La correspondance pertinente témoigne du contraire. La deuxième demande, très succincte et sans éléments de preuve ni arguments juridiques nouveaux, pouvait paraître futile aux yeux du Ministre, ce qui justifiait son rejet. En ce qui concerne la troisième demande, vu le peu de détails fournis, les allégations </w:t>
      </w:r>
      <w:r w:rsidRPr="009115E7">
        <w:rPr>
          <w:sz w:val="20"/>
          <w:lang w:val="fr-CA"/>
        </w:rPr>
        <w:lastRenderedPageBreak/>
        <w:t>fondées sur de vagues irrégularités pouvaient paraître de peu de poids aux yeux du Ministre. Quant à la quatrième demande, il était raisonnable pour la Ministre de justifier sa décision par la possibilité que la Cour d’appel se saisisse elle</w:t>
      </w:r>
      <w:r w:rsidRPr="009115E7">
        <w:rPr>
          <w:sz w:val="20"/>
          <w:lang w:val="fr-CA"/>
        </w:rPr>
        <w:noBreakHyphen/>
        <w:t xml:space="preserve">même de la demande sans son intervention, d’autant plus que la Ministre n’a pas opposé un refus ferme. </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9115E7">
        <w:rPr>
          <w:sz w:val="20"/>
          <w:lang w:val="fr-CA"/>
        </w:rPr>
        <w:tab/>
        <w:t>Des remarques additionnelles sur le lien de causalité et les dommages s’imposent. Même en supposant que le Ministre ait omis d’effectuer un examen sérieux de la première demande, la preuve n’établit pas qu’il aurait probablement découvert, à l’époque, les éléments clés découverts par l’enquêteur de la Commission de police 20 ans plus tard. Conclure autrement reviendrait à se fonder sur de simples conjectures ou des hypothèses lointaines. H n’a pas réussi à établir le lien de causalité entre la faute du Ministre et le préjudice allégué.</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9115E7">
        <w:rPr>
          <w:sz w:val="20"/>
          <w:lang w:val="fr-CA"/>
        </w:rPr>
        <w:tab/>
        <w:t>Sur la question des dommages, la juge de première instance a fait défaut de tenir compte de la solidarité et de fixer les montants accordés en fonction de la responsabilité respective de chacun des débiteurs solidaires. Dans la mesure où des postes de réclamation pouvaient relever de la responsabilité de plus d’un débiteur solidaire, les remises consenties par H au PGQ et à la ville de Mont</w:t>
      </w:r>
      <w:r w:rsidRPr="009115E7">
        <w:rPr>
          <w:sz w:val="20"/>
          <w:lang w:val="fr-CA"/>
        </w:rPr>
        <w:noBreakHyphen/>
        <w:t xml:space="preserve">Laurier rendaient nécessaires l’examen des fautes causales et le partage des parts de responsabilité. H aurait dû supporter la part des débiteurs solidaires qu’il a libérés (art. 1526 et 1690 </w:t>
      </w:r>
      <w:r w:rsidRPr="009115E7">
        <w:rPr>
          <w:i/>
          <w:sz w:val="20"/>
          <w:lang w:val="fr-CA"/>
        </w:rPr>
        <w:t>C.c.Q</w:t>
      </w:r>
      <w:r w:rsidRPr="009115E7">
        <w:rPr>
          <w:sz w:val="20"/>
          <w:lang w:val="fr-CA"/>
        </w:rPr>
        <w:t>.). Au</w:t>
      </w:r>
      <w:r w:rsidRPr="009115E7">
        <w:rPr>
          <w:sz w:val="20"/>
          <w:lang w:val="fr-CA"/>
        </w:rPr>
        <w:noBreakHyphen/>
        <w:t>delà de cette erreur déterminante, les fondements à l’appui de chacun des chefs de dommages étaient en outre déficients. En ce qui concerne les dommages pécuniaires, il n’y a pas de lien direct entre la conduite du Ministre et la décision de H de prendre sa retraite à 60 ans, les honoraires et dépens engagés pour les démarches en Cour d’appel et en Cour suprême de 1990 à 1997 ne découlent pas des fautes reprochées, et la perte de temps et les efforts déployés pour obtenir justice sont des inconvénients inhérents aux efforts de quiconque est entraîné dans une démarche judiciaire. Quant aux dommages non pécuniaires, condamner le PGC à verser 1 900 000 $ alors que le PGQ a versé 1 100 000 $ pour ce même chef de dommages paraît démesuré, et les sommes allouées dans d’autres affaires d’erreurs judiciaires faisaient pour la plupart suite aux recommandations d’organes consultatifs et reposaient sur des considérations différentes de celles qui sont en principe à la base de l’adjudication de dommages</w:t>
      </w:r>
      <w:r w:rsidRPr="009115E7">
        <w:rPr>
          <w:sz w:val="20"/>
          <w:lang w:val="fr-CA"/>
        </w:rPr>
        <w:noBreakHyphen/>
        <w:t>intérêts. Les affaires se distinguaient en outre du fait qu’elles impliquaient le crime beaucoup plus grave de meurtre et que, dans presque chacune d’elles, la période d’incarcération avait été plus longue. Quant aux dommages</w:t>
      </w:r>
      <w:r w:rsidRPr="009115E7">
        <w:rPr>
          <w:sz w:val="20"/>
          <w:lang w:val="fr-CA"/>
        </w:rPr>
        <w:noBreakHyphen/>
        <w:t xml:space="preserve">intérêts punitifs, même si le renvoi, dans la </w:t>
      </w:r>
      <w:r w:rsidRPr="009115E7">
        <w:rPr>
          <w:i/>
          <w:sz w:val="20"/>
          <w:lang w:val="fr-CA"/>
        </w:rPr>
        <w:t>Loi sur la responsabilité civile de l’État et le contentieux administratif</w:t>
      </w:r>
      <w:r w:rsidRPr="009115E7">
        <w:rPr>
          <w:sz w:val="20"/>
          <w:lang w:val="fr-CA"/>
        </w:rPr>
        <w:t>, à la responsabilité civile extracontractuelle au Québec englobe le recours en dommages</w:t>
      </w:r>
      <w:r w:rsidRPr="009115E7">
        <w:rPr>
          <w:sz w:val="20"/>
          <w:lang w:val="fr-CA"/>
        </w:rPr>
        <w:noBreakHyphen/>
        <w:t xml:space="preserve">intérêts punitifs prévu par la </w:t>
      </w:r>
      <w:r w:rsidRPr="009115E7">
        <w:rPr>
          <w:i/>
          <w:sz w:val="20"/>
          <w:lang w:val="fr-CA"/>
        </w:rPr>
        <w:t>Charte des droits et libertés de la personne</w:t>
      </w:r>
      <w:r w:rsidRPr="009115E7">
        <w:rPr>
          <w:sz w:val="20"/>
          <w:lang w:val="fr-CA"/>
        </w:rPr>
        <w:t xml:space="preserve">, il n’était pas approprié d’allouer de tels dommages–intérêts en l’espèce. Le comportement du Ministre ne pouvant être assimilé à de la mauvaise foi ou à de l’insouciance grave, il n’est pas possible de conclure à une atteinte intentionnelle à un droit protégé par la </w:t>
      </w:r>
      <w:r w:rsidRPr="009115E7">
        <w:rPr>
          <w:i/>
          <w:sz w:val="20"/>
          <w:lang w:val="fr-CA"/>
        </w:rPr>
        <w:t>Charte</w:t>
      </w:r>
      <w:r w:rsidRPr="009115E7">
        <w:rPr>
          <w:sz w:val="20"/>
          <w:lang w:val="fr-CA"/>
        </w:rPr>
        <w:t xml:space="preserve">. La preuve ne permet pas d’affirmer que le Ministre a agi avec un état d’esprit démontrant une volonté de nuire à H ou avec une connaissance des conséquences nuisibles à ce dernier. </w:t>
      </w:r>
    </w:p>
    <w:p w:rsidR="00511F7A" w:rsidRDefault="00511F7A" w:rsidP="00511F7A">
      <w:pPr>
        <w:pStyle w:val="SCCNormalDoubleSpacing"/>
        <w:spacing w:line="240" w:lineRule="auto"/>
        <w:rPr>
          <w:sz w:val="20"/>
          <w:lang w:val="fr-CA"/>
        </w:rPr>
      </w:pPr>
    </w:p>
    <w:p w:rsidR="00511F7A" w:rsidRDefault="00511F7A" w:rsidP="00511F7A">
      <w:pPr>
        <w:pStyle w:val="SCCNormalDoubleSpacing"/>
        <w:spacing w:line="240" w:lineRule="auto"/>
        <w:rPr>
          <w:sz w:val="20"/>
          <w:lang w:val="fr-CA"/>
        </w:rPr>
      </w:pPr>
      <w:r w:rsidRPr="009115E7">
        <w:rPr>
          <w:sz w:val="20"/>
          <w:lang w:val="fr-CA"/>
        </w:rPr>
        <w:tab/>
        <w:t>En droit québécois, ce n’est qu’exceptionnellement qu’une partie peut être tenue de payer les honoraires d’avocats engagés par la partie adverse, et cette indemnisation doit satisfaire aux règles générales de la responsabilité civile. Seul l’abus d’ester en justice permet l’adjudication d’honoraires extrajudiciaires à titre de dommages</w:t>
      </w:r>
      <w:r w:rsidRPr="009115E7">
        <w:rPr>
          <w:sz w:val="20"/>
          <w:lang w:val="fr-CA"/>
        </w:rPr>
        <w:noBreakHyphen/>
        <w:t xml:space="preserve">intérêts. Par contre, suivant l’art. 1608 </w:t>
      </w:r>
      <w:r w:rsidRPr="009115E7">
        <w:rPr>
          <w:i/>
          <w:sz w:val="20"/>
          <w:lang w:val="fr-CA"/>
        </w:rPr>
        <w:t>C.c.Q.</w:t>
      </w:r>
      <w:r w:rsidRPr="009115E7">
        <w:rPr>
          <w:sz w:val="20"/>
          <w:lang w:val="fr-CA"/>
        </w:rPr>
        <w:t>, l’obligation de payer des dommages</w:t>
      </w:r>
      <w:r w:rsidRPr="009115E7">
        <w:rPr>
          <w:sz w:val="20"/>
          <w:lang w:val="fr-CA"/>
        </w:rPr>
        <w:noBreakHyphen/>
        <w:t>intérêts à l’autre partie n’est ni atténuée ni modifiée par le fait que celle</w:t>
      </w:r>
      <w:r w:rsidRPr="009115E7">
        <w:rPr>
          <w:sz w:val="20"/>
          <w:lang w:val="fr-CA"/>
        </w:rPr>
        <w:noBreakHyphen/>
        <w:t>ci reçoive une prestation à titre gratuit de ses avocats. En l’espèce, le PGC n’a pas commis d’abus de procédure. L’état du droit sur la responsabilité de la Couronne fédérale en cas de faute du Ministre dans l’exercice de son pouvoir de clémence était loin d’être certain au moment du litige, et il était raisonnable et approprié pour le PGC de contester l’action de H et d’invoquer la défense qu’il a présentée. La juge de première instance a commis une erreur manifeste et déterminante en concluant à un abus de procédure dans le contexte de ce dossier. H n’avait pas droit aux honoraires extrajudiciaires accordés.</w:t>
      </w:r>
    </w:p>
    <w:p w:rsidR="00511F7A" w:rsidRDefault="00511F7A" w:rsidP="00511F7A">
      <w:pPr>
        <w:pStyle w:val="SCCNormalDoubleSpacing"/>
        <w:spacing w:line="240" w:lineRule="auto"/>
        <w:rPr>
          <w:sz w:val="20"/>
          <w:lang w:val="fr-CA"/>
        </w:rPr>
      </w:pPr>
    </w:p>
    <w:p w:rsidR="00511F7A" w:rsidRPr="009115E7" w:rsidRDefault="00511F7A" w:rsidP="00511F7A">
      <w:pPr>
        <w:pStyle w:val="SCCNormalDoubleSpacing"/>
        <w:spacing w:line="240" w:lineRule="auto"/>
        <w:rPr>
          <w:sz w:val="20"/>
          <w:lang w:val="fr-CA"/>
        </w:rPr>
      </w:pPr>
      <w:r w:rsidRPr="00511F7A">
        <w:rPr>
          <w:sz w:val="20"/>
          <w:lang w:val="fr-CA"/>
        </w:rPr>
        <w:tab/>
      </w:r>
      <w:r w:rsidRPr="009115E7">
        <w:rPr>
          <w:sz w:val="20"/>
          <w:lang w:val="fr-CA"/>
        </w:rPr>
        <w:t>POURVOI contre un arrêt de la Cour d’appel du Québec (les juges Pelletier, Bich et Bouchard), 2013 QCCA 1513, [2013] R.J.Q. 1451, [2013] AZ</w:t>
      </w:r>
      <w:r w:rsidRPr="009115E7">
        <w:rPr>
          <w:sz w:val="20"/>
          <w:lang w:val="fr-CA"/>
        </w:rPr>
        <w:noBreakHyphen/>
        <w:t>51000894, [2013] J.Q. n</w:t>
      </w:r>
      <w:r w:rsidRPr="009115E7">
        <w:rPr>
          <w:sz w:val="20"/>
          <w:vertAlign w:val="superscript"/>
          <w:lang w:val="fr-CA"/>
        </w:rPr>
        <w:t>o</w:t>
      </w:r>
      <w:r w:rsidRPr="009115E7">
        <w:rPr>
          <w:sz w:val="20"/>
          <w:lang w:val="fr-CA"/>
        </w:rPr>
        <w:t> 7562 (QL), 2013 CarswellQue 8911 (WL Can.), qui a infirmé une décision de la juge Poulin, 2011 QCCS 1780, [2011] R.J.Q. 794, [2011] AZ</w:t>
      </w:r>
      <w:r w:rsidRPr="009115E7">
        <w:rPr>
          <w:sz w:val="20"/>
          <w:lang w:val="fr-CA"/>
        </w:rPr>
        <w:noBreakHyphen/>
        <w:t>50742270, [2013] J.Q. n</w:t>
      </w:r>
      <w:r w:rsidRPr="009115E7">
        <w:rPr>
          <w:sz w:val="20"/>
          <w:vertAlign w:val="superscript"/>
          <w:lang w:val="fr-CA"/>
        </w:rPr>
        <w:t>o </w:t>
      </w:r>
      <w:r w:rsidRPr="009115E7">
        <w:rPr>
          <w:sz w:val="20"/>
          <w:lang w:val="fr-CA"/>
        </w:rPr>
        <w:t>3760 (QL), 2011 CarswellQue 3905 (WL Can.). Pourvoi rejeté.</w:t>
      </w:r>
    </w:p>
    <w:p w:rsidR="00511F7A" w:rsidRDefault="00511F7A" w:rsidP="00511F7A">
      <w:pPr>
        <w:pStyle w:val="SCCNormalDoubleSpacing"/>
        <w:spacing w:line="240" w:lineRule="auto"/>
        <w:rPr>
          <w:i/>
          <w:sz w:val="20"/>
          <w:lang w:val="fr-CA"/>
        </w:rPr>
      </w:pPr>
    </w:p>
    <w:p w:rsidR="00511F7A" w:rsidRPr="009115E7" w:rsidRDefault="00511F7A" w:rsidP="00511F7A">
      <w:pPr>
        <w:pStyle w:val="SCCNormalDoubleSpacing"/>
        <w:spacing w:line="240" w:lineRule="auto"/>
        <w:rPr>
          <w:sz w:val="20"/>
          <w:lang w:val="fr-CA"/>
        </w:rPr>
      </w:pPr>
      <w:r w:rsidRPr="009115E7">
        <w:rPr>
          <w:i/>
          <w:sz w:val="20"/>
          <w:lang w:val="fr-CA"/>
        </w:rPr>
        <w:tab/>
        <w:t>Guy J. Pratte</w:t>
      </w:r>
      <w:r w:rsidRPr="009115E7">
        <w:rPr>
          <w:sz w:val="20"/>
          <w:lang w:val="fr-CA"/>
        </w:rPr>
        <w:t xml:space="preserve">, </w:t>
      </w:r>
      <w:r w:rsidRPr="009115E7">
        <w:rPr>
          <w:i/>
          <w:sz w:val="20"/>
          <w:lang w:val="fr-CA"/>
        </w:rPr>
        <w:t>Alexander De Zordo</w:t>
      </w:r>
      <w:r w:rsidRPr="009115E7">
        <w:rPr>
          <w:sz w:val="20"/>
          <w:lang w:val="fr-CA"/>
        </w:rPr>
        <w:t xml:space="preserve"> et </w:t>
      </w:r>
      <w:r w:rsidRPr="009115E7">
        <w:rPr>
          <w:i/>
          <w:sz w:val="20"/>
          <w:lang w:val="fr-CA"/>
        </w:rPr>
        <w:t>Marc</w:t>
      </w:r>
      <w:r w:rsidRPr="009115E7">
        <w:rPr>
          <w:i/>
          <w:sz w:val="20"/>
          <w:lang w:val="fr-CA"/>
        </w:rPr>
        <w:noBreakHyphen/>
        <w:t>André Grou</w:t>
      </w:r>
      <w:r w:rsidRPr="009115E7">
        <w:rPr>
          <w:sz w:val="20"/>
          <w:lang w:val="fr-CA"/>
        </w:rPr>
        <w:t>, pour l’appelant.</w:t>
      </w:r>
    </w:p>
    <w:p w:rsidR="00511F7A" w:rsidRDefault="00511F7A" w:rsidP="00511F7A">
      <w:pPr>
        <w:pStyle w:val="SCCNormalDoubleSpacing"/>
        <w:spacing w:line="240" w:lineRule="auto"/>
        <w:rPr>
          <w:i/>
          <w:sz w:val="20"/>
          <w:lang w:val="fr-CA"/>
        </w:rPr>
      </w:pPr>
    </w:p>
    <w:p w:rsidR="00511F7A" w:rsidRPr="009115E7" w:rsidRDefault="00511F7A" w:rsidP="00511F7A">
      <w:pPr>
        <w:pStyle w:val="SCCNormalDoubleSpacing"/>
        <w:spacing w:line="240" w:lineRule="auto"/>
        <w:rPr>
          <w:sz w:val="20"/>
          <w:lang w:val="fr-CA"/>
        </w:rPr>
      </w:pPr>
      <w:r w:rsidRPr="009115E7">
        <w:rPr>
          <w:i/>
          <w:sz w:val="20"/>
          <w:lang w:val="fr-CA"/>
        </w:rPr>
        <w:tab/>
        <w:t>Bernard Letarte</w:t>
      </w:r>
      <w:r w:rsidRPr="009115E7">
        <w:rPr>
          <w:sz w:val="20"/>
          <w:lang w:val="fr-CA"/>
        </w:rPr>
        <w:t xml:space="preserve"> et </w:t>
      </w:r>
      <w:r w:rsidRPr="009115E7">
        <w:rPr>
          <w:i/>
          <w:sz w:val="20"/>
          <w:lang w:val="fr-CA"/>
        </w:rPr>
        <w:t>Vincent Veilleux</w:t>
      </w:r>
      <w:r w:rsidRPr="009115E7">
        <w:rPr>
          <w:sz w:val="20"/>
          <w:lang w:val="fr-CA"/>
        </w:rPr>
        <w:t>, pour l’intimé.</w:t>
      </w:r>
    </w:p>
    <w:p w:rsidR="00511F7A" w:rsidRDefault="00511F7A" w:rsidP="00511F7A">
      <w:pPr>
        <w:pStyle w:val="SCCNormalDoubleSpacing"/>
        <w:spacing w:line="240" w:lineRule="auto"/>
        <w:rPr>
          <w:i/>
          <w:sz w:val="20"/>
          <w:lang w:val="fr-CA"/>
        </w:rPr>
      </w:pPr>
    </w:p>
    <w:p w:rsidR="00511F7A" w:rsidRPr="009115E7" w:rsidRDefault="00511F7A" w:rsidP="00511F7A">
      <w:pPr>
        <w:pStyle w:val="SCCNormalDoubleSpacing"/>
        <w:spacing w:line="240" w:lineRule="auto"/>
        <w:rPr>
          <w:sz w:val="20"/>
        </w:rPr>
      </w:pPr>
      <w:r w:rsidRPr="009115E7">
        <w:rPr>
          <w:i/>
          <w:sz w:val="20"/>
          <w:lang w:val="fr-CA"/>
        </w:rPr>
        <w:tab/>
      </w:r>
      <w:r w:rsidRPr="009115E7">
        <w:rPr>
          <w:i/>
          <w:sz w:val="20"/>
        </w:rPr>
        <w:t>Brian H. Greenspan</w:t>
      </w:r>
      <w:r w:rsidRPr="009115E7">
        <w:rPr>
          <w:sz w:val="20"/>
        </w:rPr>
        <w:t xml:space="preserve"> et </w:t>
      </w:r>
      <w:r w:rsidRPr="009115E7">
        <w:rPr>
          <w:i/>
          <w:sz w:val="20"/>
        </w:rPr>
        <w:t>Naomi M. Lutes</w:t>
      </w:r>
      <w:r w:rsidRPr="009115E7">
        <w:rPr>
          <w:sz w:val="20"/>
        </w:rPr>
        <w:t>, pour l’intervenante Association in Defence of the Wrongly Convicted.</w:t>
      </w:r>
    </w:p>
    <w:p w:rsidR="00511F7A" w:rsidRDefault="00511F7A" w:rsidP="00511F7A">
      <w:pPr>
        <w:pStyle w:val="SCCNormalDoubleSpacing"/>
        <w:spacing w:line="240" w:lineRule="auto"/>
        <w:rPr>
          <w:i/>
          <w:sz w:val="20"/>
        </w:rPr>
      </w:pPr>
    </w:p>
    <w:p w:rsidR="00511F7A" w:rsidRPr="009115E7" w:rsidRDefault="00511F7A" w:rsidP="00511F7A">
      <w:pPr>
        <w:pStyle w:val="SCCNormalDoubleSpacing"/>
        <w:spacing w:line="240" w:lineRule="auto"/>
        <w:rPr>
          <w:sz w:val="20"/>
          <w:lang w:val="fr-CA"/>
        </w:rPr>
      </w:pPr>
      <w:r w:rsidRPr="009115E7">
        <w:rPr>
          <w:i/>
          <w:sz w:val="20"/>
        </w:rPr>
        <w:lastRenderedPageBreak/>
        <w:tab/>
      </w:r>
      <w:r w:rsidRPr="009115E7">
        <w:rPr>
          <w:i/>
          <w:sz w:val="20"/>
          <w:lang w:val="fr-CA"/>
        </w:rPr>
        <w:t>Bernard Larocque</w:t>
      </w:r>
      <w:r w:rsidRPr="009115E7">
        <w:rPr>
          <w:sz w:val="20"/>
          <w:lang w:val="fr-CA"/>
        </w:rPr>
        <w:t xml:space="preserve"> et </w:t>
      </w:r>
      <w:r w:rsidRPr="009115E7">
        <w:rPr>
          <w:i/>
          <w:sz w:val="20"/>
          <w:lang w:val="fr-CA"/>
        </w:rPr>
        <w:t>Jonathan Lacoste</w:t>
      </w:r>
      <w:r w:rsidRPr="009115E7">
        <w:rPr>
          <w:i/>
          <w:sz w:val="20"/>
          <w:lang w:val="fr-CA"/>
        </w:rPr>
        <w:noBreakHyphen/>
        <w:t>Jobin</w:t>
      </w:r>
      <w:r w:rsidRPr="009115E7">
        <w:rPr>
          <w:sz w:val="20"/>
          <w:lang w:val="fr-CA"/>
        </w:rPr>
        <w:t>, pour l’intervenant le Centre Pro Bono Québec.</w:t>
      </w:r>
    </w:p>
    <w:p w:rsidR="00511F7A" w:rsidRDefault="00511F7A" w:rsidP="00511F7A">
      <w:pPr>
        <w:pStyle w:val="SCCNormalDoubleSpacing"/>
        <w:spacing w:line="240" w:lineRule="auto"/>
        <w:rPr>
          <w:i/>
          <w:sz w:val="20"/>
          <w:lang w:val="fr-CA"/>
        </w:rPr>
      </w:pPr>
    </w:p>
    <w:p w:rsidR="00511F7A" w:rsidRPr="009115E7" w:rsidRDefault="00511F7A" w:rsidP="00511F7A">
      <w:pPr>
        <w:pStyle w:val="SCCNormalDoubleSpacing"/>
        <w:spacing w:line="240" w:lineRule="auto"/>
        <w:rPr>
          <w:sz w:val="20"/>
          <w:lang w:val="en-US"/>
        </w:rPr>
      </w:pPr>
      <w:r w:rsidRPr="009115E7">
        <w:rPr>
          <w:i/>
          <w:sz w:val="20"/>
          <w:lang w:val="fr-CA"/>
        </w:rPr>
        <w:tab/>
      </w:r>
      <w:r w:rsidRPr="009115E7">
        <w:rPr>
          <w:i/>
          <w:sz w:val="20"/>
          <w:lang w:val="en-US"/>
        </w:rPr>
        <w:t>Ranjan K. Agarwal</w:t>
      </w:r>
      <w:r w:rsidRPr="009115E7">
        <w:rPr>
          <w:sz w:val="20"/>
          <w:lang w:val="en-US"/>
        </w:rPr>
        <w:t xml:space="preserve"> et </w:t>
      </w:r>
      <w:r w:rsidRPr="009115E7">
        <w:rPr>
          <w:i/>
          <w:sz w:val="20"/>
          <w:lang w:val="en-US"/>
        </w:rPr>
        <w:t>Nathan J. Shaheen</w:t>
      </w:r>
      <w:r w:rsidRPr="009115E7">
        <w:rPr>
          <w:sz w:val="20"/>
          <w:lang w:val="en-US"/>
        </w:rPr>
        <w:t>, pour l’intervenante Pro Bono Law Ontario.</w:t>
      </w:r>
    </w:p>
    <w:p w:rsidR="00511F7A" w:rsidRDefault="00511F7A" w:rsidP="00511F7A">
      <w:pPr>
        <w:pStyle w:val="SCCLawFirm"/>
        <w:spacing w:line="240" w:lineRule="auto"/>
        <w:rPr>
          <w:sz w:val="20"/>
          <w:lang w:val="en-US"/>
        </w:rPr>
      </w:pPr>
    </w:p>
    <w:p w:rsidR="00511F7A" w:rsidRPr="009115E7" w:rsidRDefault="00511F7A" w:rsidP="00511F7A">
      <w:pPr>
        <w:pStyle w:val="SCCLawFirm"/>
        <w:spacing w:line="240" w:lineRule="auto"/>
        <w:rPr>
          <w:sz w:val="20"/>
          <w:lang w:val="fr-CA"/>
        </w:rPr>
      </w:pPr>
      <w:r w:rsidRPr="009115E7">
        <w:rPr>
          <w:sz w:val="20"/>
          <w:lang w:val="en-US"/>
        </w:rPr>
        <w:tab/>
      </w:r>
      <w:r w:rsidRPr="009115E7">
        <w:rPr>
          <w:sz w:val="20"/>
          <w:lang w:val="fr-CA"/>
        </w:rPr>
        <w:t>Procureurs de l’appelant : Borden Ladner Gervais, Montréal.</w:t>
      </w:r>
    </w:p>
    <w:p w:rsidR="00511F7A" w:rsidRDefault="00511F7A" w:rsidP="00511F7A">
      <w:pPr>
        <w:pStyle w:val="SCCLawFirm"/>
        <w:spacing w:line="240" w:lineRule="auto"/>
        <w:rPr>
          <w:sz w:val="20"/>
          <w:lang w:val="fr-CA"/>
        </w:rPr>
      </w:pPr>
    </w:p>
    <w:p w:rsidR="00511F7A" w:rsidRPr="009115E7" w:rsidRDefault="00511F7A" w:rsidP="00511F7A">
      <w:pPr>
        <w:pStyle w:val="SCCLawFirm"/>
        <w:spacing w:line="240" w:lineRule="auto"/>
        <w:rPr>
          <w:sz w:val="20"/>
          <w:lang w:val="fr-CA"/>
        </w:rPr>
      </w:pPr>
      <w:r w:rsidRPr="009115E7">
        <w:rPr>
          <w:sz w:val="20"/>
          <w:lang w:val="fr-CA"/>
        </w:rPr>
        <w:tab/>
        <w:t>Procureur de l’intimé : Procureur général du Canada, Ottawa.</w:t>
      </w:r>
    </w:p>
    <w:p w:rsidR="00511F7A" w:rsidRDefault="00511F7A" w:rsidP="00511F7A">
      <w:pPr>
        <w:pStyle w:val="SCCLawFirm"/>
        <w:spacing w:line="240" w:lineRule="auto"/>
        <w:rPr>
          <w:sz w:val="20"/>
          <w:lang w:val="fr-CA"/>
        </w:rPr>
      </w:pPr>
    </w:p>
    <w:p w:rsidR="00511F7A" w:rsidRPr="009115E7" w:rsidRDefault="00511F7A" w:rsidP="00511F7A">
      <w:pPr>
        <w:pStyle w:val="SCCLawFirm"/>
        <w:spacing w:line="240" w:lineRule="auto"/>
        <w:rPr>
          <w:sz w:val="20"/>
        </w:rPr>
      </w:pPr>
      <w:r w:rsidRPr="009115E7">
        <w:rPr>
          <w:sz w:val="20"/>
          <w:lang w:val="fr-CA"/>
        </w:rPr>
        <w:tab/>
      </w:r>
      <w:r w:rsidRPr="009115E7">
        <w:rPr>
          <w:sz w:val="20"/>
        </w:rPr>
        <w:t>Procureurs de l’intervenante Association in Defence of the Wrongly Convicted : Greenspan Humphrey Lavine, Toronto.</w:t>
      </w:r>
    </w:p>
    <w:p w:rsidR="00511F7A" w:rsidRDefault="00511F7A" w:rsidP="00511F7A">
      <w:pPr>
        <w:pStyle w:val="SCCLawFirm"/>
        <w:spacing w:line="240" w:lineRule="auto"/>
        <w:rPr>
          <w:sz w:val="20"/>
        </w:rPr>
      </w:pPr>
    </w:p>
    <w:p w:rsidR="00511F7A" w:rsidRPr="009115E7" w:rsidRDefault="00511F7A" w:rsidP="00511F7A">
      <w:pPr>
        <w:pStyle w:val="SCCLawFirm"/>
        <w:spacing w:line="240" w:lineRule="auto"/>
        <w:rPr>
          <w:sz w:val="20"/>
          <w:lang w:val="fr-CA"/>
        </w:rPr>
      </w:pPr>
      <w:r w:rsidRPr="009115E7">
        <w:rPr>
          <w:sz w:val="20"/>
        </w:rPr>
        <w:tab/>
      </w:r>
      <w:r w:rsidRPr="009115E7">
        <w:rPr>
          <w:sz w:val="20"/>
          <w:lang w:val="fr-CA"/>
        </w:rPr>
        <w:t>Procureurs de l’intervenant le Centre Pro Bono Québec : Lavery, de Billy, Montréal.</w:t>
      </w:r>
    </w:p>
    <w:p w:rsidR="00511F7A" w:rsidRDefault="00511F7A" w:rsidP="00511F7A">
      <w:pPr>
        <w:pStyle w:val="SCCLawFirm"/>
        <w:spacing w:line="240" w:lineRule="auto"/>
        <w:rPr>
          <w:sz w:val="20"/>
          <w:lang w:val="fr-CA"/>
        </w:rPr>
      </w:pPr>
    </w:p>
    <w:p w:rsidR="00511F7A" w:rsidRPr="005260C3" w:rsidRDefault="00511F7A" w:rsidP="00511F7A">
      <w:pPr>
        <w:pStyle w:val="SCCLawFirm"/>
        <w:spacing w:line="240" w:lineRule="auto"/>
        <w:rPr>
          <w:sz w:val="20"/>
        </w:rPr>
      </w:pPr>
      <w:r w:rsidRPr="009115E7">
        <w:rPr>
          <w:sz w:val="20"/>
          <w:lang w:val="fr-CA"/>
        </w:rPr>
        <w:tab/>
      </w:r>
      <w:r w:rsidRPr="005260C3">
        <w:rPr>
          <w:sz w:val="20"/>
        </w:rPr>
        <w:t>Procureurs de l’intervenante Pro Bono Law Ontario : Bennett Jones, Toronto.</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Default="0052229C" w:rsidP="0052229C">
      <w:pPr>
        <w:rPr>
          <w:rFonts w:cs="Times New Roman"/>
          <w:sz w:val="20"/>
          <w:szCs w:val="20"/>
        </w:rPr>
      </w:pPr>
    </w:p>
    <w:p w:rsidR="00511F7A" w:rsidRPr="0097456F" w:rsidRDefault="00511F7A" w:rsidP="00511F7A">
      <w:pPr>
        <w:jc w:val="both"/>
        <w:rPr>
          <w:sz w:val="20"/>
          <w:szCs w:val="20"/>
        </w:rPr>
      </w:pPr>
      <w:r w:rsidRPr="0097456F">
        <w:rPr>
          <w:sz w:val="20"/>
          <w:szCs w:val="20"/>
        </w:rPr>
        <w:t>Present: McLachlin C.J. and LeBel</w:t>
      </w:r>
      <w:r w:rsidR="005260C3">
        <w:rPr>
          <w:sz w:val="20"/>
          <w:szCs w:val="20"/>
        </w:rPr>
        <w:t>,</w:t>
      </w:r>
      <w:r w:rsidRPr="005260C3">
        <w:rPr>
          <w:sz w:val="20"/>
          <w:szCs w:val="20"/>
          <w:vertAlign w:val="superscript"/>
        </w:rPr>
        <w:t>*</w:t>
      </w:r>
      <w:r w:rsidRPr="0097456F">
        <w:rPr>
          <w:sz w:val="20"/>
          <w:szCs w:val="20"/>
        </w:rPr>
        <w:t xml:space="preserve"> Abella, Rothstein, Cromwell, Moldaver, Karakatsanis, Wagner and Gascon JJ.</w:t>
      </w:r>
    </w:p>
    <w:p w:rsidR="00511F7A" w:rsidRDefault="00511F7A" w:rsidP="0052229C">
      <w:pPr>
        <w:rPr>
          <w:rFonts w:cs="Times New Roman"/>
          <w:sz w:val="20"/>
          <w:szCs w:val="20"/>
        </w:rPr>
      </w:pPr>
    </w:p>
    <w:p w:rsidR="00511F7A" w:rsidRPr="00511F7A" w:rsidRDefault="00511F7A" w:rsidP="00511F7A">
      <w:pPr>
        <w:jc w:val="both"/>
        <w:outlineLvl w:val="0"/>
        <w:rPr>
          <w:smallCaps/>
          <w:sz w:val="20"/>
          <w:szCs w:val="20"/>
        </w:rPr>
      </w:pPr>
      <w:r w:rsidRPr="00511F7A">
        <w:rPr>
          <w:sz w:val="20"/>
          <w:szCs w:val="20"/>
        </w:rPr>
        <w:t>(</w:t>
      </w:r>
      <w:r w:rsidRPr="005260C3">
        <w:rPr>
          <w:sz w:val="20"/>
          <w:szCs w:val="20"/>
          <w:vertAlign w:val="superscript"/>
        </w:rPr>
        <w:t>*</w:t>
      </w:r>
      <w:r w:rsidRPr="00511F7A">
        <w:rPr>
          <w:sz w:val="20"/>
          <w:szCs w:val="20"/>
        </w:rPr>
        <w:t xml:space="preserve"> LeBel J. took no part in the judgment.)</w:t>
      </w:r>
    </w:p>
    <w:p w:rsidR="00511F7A" w:rsidRPr="00511F7A" w:rsidRDefault="00511F7A" w:rsidP="0052229C">
      <w:pPr>
        <w:rPr>
          <w:rFonts w:cs="Times New Roman"/>
          <w:sz w:val="20"/>
          <w:szCs w:val="20"/>
        </w:rPr>
      </w:pPr>
    </w:p>
    <w:p w:rsidR="00511F7A" w:rsidRPr="0097456F" w:rsidRDefault="00511F7A" w:rsidP="00511F7A">
      <w:pPr>
        <w:pStyle w:val="SCCNormalDoubleSpacing"/>
        <w:spacing w:line="240" w:lineRule="auto"/>
        <w:rPr>
          <w:i/>
          <w:sz w:val="20"/>
        </w:rPr>
      </w:pPr>
      <w:r w:rsidRPr="00511F7A">
        <w:rPr>
          <w:i/>
          <w:sz w:val="20"/>
        </w:rPr>
        <w:tab/>
      </w:r>
      <w:r w:rsidRPr="0097456F">
        <w:rPr>
          <w:i/>
          <w:sz w:val="20"/>
        </w:rPr>
        <w:t xml:space="preserve">Crown law — Crown liability — Prerogatives — Public law immunity — Crown’s power of mercy vested in federal Minister of Justice under Criminal Code, R.S.C. 1985, c. C-46 — Characterization of nature of Minister’s power — Circumstances in which exercise of power of mercy can expose Crown to liability — </w:t>
      </w:r>
      <w:r w:rsidRPr="0097456F">
        <w:rPr>
          <w:i/>
          <w:iCs/>
          <w:sz w:val="20"/>
        </w:rPr>
        <w:t>Crown Liability and Proceedings Act</w:t>
      </w:r>
      <w:r w:rsidRPr="0097456F">
        <w:rPr>
          <w:i/>
          <w:sz w:val="20"/>
        </w:rPr>
        <w:t>, R.S.C. 1985, c. C-50, ss. 2 “liability”, 3(a)(i); Civil Code of Québec, arts. 1376, 1457.</w:t>
      </w:r>
    </w:p>
    <w:p w:rsidR="00511F7A" w:rsidRDefault="00511F7A" w:rsidP="00511F7A">
      <w:pPr>
        <w:pStyle w:val="SCCNormalDoubleSpacing"/>
        <w:spacing w:line="240" w:lineRule="auto"/>
        <w:rPr>
          <w:i/>
          <w:sz w:val="20"/>
        </w:rPr>
      </w:pPr>
    </w:p>
    <w:p w:rsidR="00511F7A" w:rsidRPr="0097456F" w:rsidRDefault="00511F7A" w:rsidP="00511F7A">
      <w:pPr>
        <w:pStyle w:val="SCCNormalDoubleSpacing"/>
        <w:spacing w:line="240" w:lineRule="auto"/>
        <w:rPr>
          <w:i/>
          <w:sz w:val="20"/>
        </w:rPr>
      </w:pPr>
      <w:r w:rsidRPr="0097456F">
        <w:rPr>
          <w:i/>
          <w:sz w:val="20"/>
        </w:rPr>
        <w:tab/>
        <w:t>Civil liability — Crown liability — Fault — Qualified immunity —Individual wrongly convicted of armed robbery — Federal Minister of Justice refusing to exercise Crown’s power of mercy, which is vested in him under Criminal Code — Standard of fault applicable to Minister’s conduct — Whether individual has proven on balance of probabilities that Minister acted in bad faith or with serious recklessness in reviewing applications for mercy — Civil Code of Lower Canada, art. 1053; Civil Code of Québec, art. 1457.</w:t>
      </w:r>
    </w:p>
    <w:p w:rsidR="00511F7A" w:rsidRDefault="00511F7A" w:rsidP="00511F7A">
      <w:pPr>
        <w:pStyle w:val="SCCNormalDoubleSpacing"/>
        <w:spacing w:line="240" w:lineRule="auto"/>
        <w:rPr>
          <w:i/>
          <w:sz w:val="20"/>
        </w:rPr>
      </w:pPr>
    </w:p>
    <w:p w:rsidR="00511F7A" w:rsidRPr="0097456F" w:rsidRDefault="00511F7A" w:rsidP="00511F7A">
      <w:pPr>
        <w:pStyle w:val="SCCNormalDoubleSpacing"/>
        <w:spacing w:line="240" w:lineRule="auto"/>
        <w:rPr>
          <w:i/>
          <w:sz w:val="20"/>
        </w:rPr>
      </w:pPr>
      <w:r w:rsidRPr="0097456F">
        <w:rPr>
          <w:i/>
          <w:sz w:val="20"/>
        </w:rPr>
        <w:tab/>
        <w:t>Damages — Punitive damages — Extrajudicial fees — Pro bono representation — Whether individual entitled to compensatory or punitive damages — Whether, in case of abuse of process and where there is pro bono agreement, damages can be awarded in Quebec in respect of extrajudicial fees in order to compensate party who has suffered damage resulting from fault of other party? — Civil Code of Québec, art. 1608.</w:t>
      </w:r>
    </w:p>
    <w:p w:rsidR="00511F7A" w:rsidRDefault="00511F7A" w:rsidP="00511F7A">
      <w:pPr>
        <w:pStyle w:val="SCCNormalDoubleSpacing"/>
        <w:spacing w:line="240" w:lineRule="auto"/>
        <w:rPr>
          <w:sz w:val="20"/>
        </w:rPr>
      </w:pPr>
    </w:p>
    <w:p w:rsidR="00511F7A" w:rsidRPr="0097456F" w:rsidRDefault="00511F7A" w:rsidP="00511F7A">
      <w:pPr>
        <w:pStyle w:val="SCCNormalDoubleSpacing"/>
        <w:spacing w:line="240" w:lineRule="auto"/>
        <w:rPr>
          <w:sz w:val="20"/>
        </w:rPr>
      </w:pPr>
      <w:r w:rsidRPr="0097456F">
        <w:rPr>
          <w:sz w:val="20"/>
        </w:rPr>
        <w:tab/>
        <w:t xml:space="preserve">In 1964, H was unjustly sentenced to 15 years’ imprisonment for armed robbery. He was granted parole after serving a third of his sentence. In 1966, he had persuaded three of the five perpetrators of the robbery to sign affidavits to clear his name. Between 1967 and 1981, H submitted three applications for mercy to the federal Minister of Justice (“Minister”) under the </w:t>
      </w:r>
      <w:r w:rsidRPr="0097456F">
        <w:rPr>
          <w:i/>
          <w:sz w:val="20"/>
        </w:rPr>
        <w:t>Criminal Code</w:t>
      </w:r>
      <w:r w:rsidRPr="0097456F">
        <w:rPr>
          <w:sz w:val="20"/>
        </w:rPr>
        <w:t xml:space="preserve"> and an application for a pardon to the Governor General in Council. They were all denied. In 1988, he applied to the Commission de police du Québec, which, following an investigation, said that it hoped the Attorney General of Quebec (“AGQ”) would intervene with the Solicitor General of Canada so that justice would be done. In 1990, H submitted a fourth application for mercy, but the Minister replied that he should seek relief in the Quebec Court of Appeal, which he did. The Court of Appeal allowed the appeal, but instead of entering an acquittal or ordering a new trial, it directed a stay of proceedings. On January 21, 1997, the Supreme Court of Canada unanimously acquitted H in a judgment delivered from the bench, as it was of the view that the evidence could not allow a reasonable and properly instructed jury to find H guilty beyond a reasonable doubt. H then instituted an action in civil liability for an order for solidary payment against the AGQ, the Attorney General of Canada (“AGC”) and the town of Mont</w:t>
      </w:r>
      <w:r w:rsidRPr="0097456F">
        <w:rPr>
          <w:sz w:val="20"/>
        </w:rPr>
        <w:noBreakHyphen/>
        <w:t>Laurier. Under out</w:t>
      </w:r>
      <w:r w:rsidRPr="0097456F">
        <w:rPr>
          <w:sz w:val="20"/>
        </w:rPr>
        <w:noBreakHyphen/>
        <w:t>of</w:t>
      </w:r>
      <w:r w:rsidRPr="0097456F">
        <w:rPr>
          <w:sz w:val="20"/>
        </w:rPr>
        <w:noBreakHyphen/>
        <w:t>court settlements, the town and the AGQ paid him a total of $5,550,000 in compensation. After these settlements, H continued to claim $1,079,871 for his pecuniary losses and $1,900,000 for his non</w:t>
      </w:r>
      <w:r w:rsidRPr="0097456F">
        <w:rPr>
          <w:sz w:val="20"/>
        </w:rPr>
        <w:noBreakHyphen/>
        <w:t xml:space="preserve">pecuniary losses, as well as $10,000,000 in punitive damages, from the AGC. </w:t>
      </w:r>
    </w:p>
    <w:p w:rsidR="00511F7A" w:rsidRDefault="00511F7A" w:rsidP="00511F7A">
      <w:pPr>
        <w:pStyle w:val="SCCNormalDoubleSpacing"/>
        <w:spacing w:line="240" w:lineRule="auto"/>
        <w:rPr>
          <w:sz w:val="20"/>
        </w:rPr>
      </w:pPr>
    </w:p>
    <w:p w:rsidR="00511F7A" w:rsidRDefault="00511F7A" w:rsidP="00511F7A">
      <w:pPr>
        <w:pStyle w:val="SCCNormalDoubleSpacing"/>
        <w:spacing w:line="240" w:lineRule="auto"/>
        <w:rPr>
          <w:sz w:val="20"/>
        </w:rPr>
      </w:pPr>
      <w:r w:rsidRPr="0097456F">
        <w:rPr>
          <w:sz w:val="20"/>
        </w:rPr>
        <w:tab/>
        <w:t xml:space="preserve">The Superior Court allowed the action and ordered the AGC to pay H a total of almost $5.8 million. It found, pursuant to the </w:t>
      </w:r>
      <w:r w:rsidRPr="0097456F">
        <w:rPr>
          <w:i/>
          <w:sz w:val="20"/>
        </w:rPr>
        <w:t>Crown Liability and Proceedings Act</w:t>
      </w:r>
      <w:r w:rsidRPr="0097456F">
        <w:rPr>
          <w:sz w:val="20"/>
        </w:rPr>
        <w:t>, that the Minister was subject to Quebec’s rules of civil liability, that he was not protected by any immunity, that he had committed a fault of “institutional inertia” or “institutional indifference”, and that a sustained, concerted and extensive review would have uncovered the errors. It ordered the AGC to pay H more than $850,000 for pecuniary damage and $1,900,000 for non</w:t>
      </w:r>
      <w:r w:rsidRPr="0097456F">
        <w:rPr>
          <w:sz w:val="20"/>
        </w:rPr>
        <w:noBreakHyphen/>
        <w:t xml:space="preserve">pecuniary damage, as well as $2,500,000 in punitive damages. It also found that the AGC’s conduct at trial had amounted to an abuse of process and ordered him to pay $100,000 for fees H had paid to the first law firm that had represented him, as well as $440,000 for the value of the services rendered by the second even though that firm had never billed him for fees, as they had entered into a </w:t>
      </w:r>
      <w:r w:rsidRPr="0097456F">
        <w:rPr>
          <w:i/>
          <w:sz w:val="20"/>
        </w:rPr>
        <w:t>pro bono</w:t>
      </w:r>
      <w:r w:rsidRPr="0097456F">
        <w:rPr>
          <w:sz w:val="20"/>
        </w:rPr>
        <w:t xml:space="preserve"> agreement. </w:t>
      </w:r>
    </w:p>
    <w:p w:rsidR="00511F7A" w:rsidRDefault="00511F7A" w:rsidP="00511F7A">
      <w:pPr>
        <w:pStyle w:val="SCCNormalDoubleSpacing"/>
        <w:spacing w:line="240" w:lineRule="auto"/>
        <w:rPr>
          <w:sz w:val="20"/>
        </w:rPr>
      </w:pPr>
    </w:p>
    <w:p w:rsidR="00511F7A" w:rsidRPr="0097456F" w:rsidRDefault="00511F7A" w:rsidP="00511F7A">
      <w:pPr>
        <w:pStyle w:val="SCCNormalDoubleSpacing"/>
        <w:spacing w:line="240" w:lineRule="auto"/>
        <w:rPr>
          <w:sz w:val="20"/>
        </w:rPr>
      </w:pPr>
      <w:r w:rsidRPr="0097456F">
        <w:rPr>
          <w:sz w:val="20"/>
        </w:rPr>
        <w:tab/>
        <w:t>The Court of Appeal reversed the judgment. It found that the exercise of the Minister’s power of mercy is protected by a qualified immunity and that the Crown can be held liable only if the decision was made in bad faith, and with malice. In this case, the court found that it had not been proven that the Minister had committed a fault and that, even if it were assumed that a fault had been committed, there was nothing to suggest that the miscarriage of justice would have been ascertained quickly if the Minister had acted promptly.</w:t>
      </w:r>
    </w:p>
    <w:p w:rsidR="00511F7A" w:rsidRDefault="00511F7A" w:rsidP="00511F7A">
      <w:pPr>
        <w:pStyle w:val="SCCNormalDoubleSpacing"/>
        <w:spacing w:line="240" w:lineRule="auto"/>
        <w:rPr>
          <w:sz w:val="20"/>
        </w:rPr>
      </w:pPr>
    </w:p>
    <w:p w:rsidR="00511F7A" w:rsidRPr="0097456F" w:rsidRDefault="00511F7A" w:rsidP="00511F7A">
      <w:pPr>
        <w:pStyle w:val="SCCNormalDoubleSpacing"/>
        <w:spacing w:line="240" w:lineRule="auto"/>
        <w:rPr>
          <w:sz w:val="20"/>
        </w:rPr>
      </w:pPr>
      <w:r w:rsidRPr="0097456F">
        <w:rPr>
          <w:sz w:val="20"/>
        </w:rPr>
        <w:tab/>
      </w:r>
      <w:r w:rsidRPr="0097456F">
        <w:rPr>
          <w:i/>
          <w:sz w:val="20"/>
        </w:rPr>
        <w:t>Held</w:t>
      </w:r>
      <w:r w:rsidRPr="0097456F">
        <w:rPr>
          <w:sz w:val="20"/>
        </w:rPr>
        <w:t>: The appeal should be dismissed.</w:t>
      </w:r>
    </w:p>
    <w:p w:rsidR="00511F7A" w:rsidRDefault="00511F7A" w:rsidP="00511F7A">
      <w:pPr>
        <w:pStyle w:val="SCCNormalDoubleSpacing"/>
        <w:spacing w:line="240" w:lineRule="auto"/>
        <w:rPr>
          <w:sz w:val="20"/>
        </w:rPr>
      </w:pPr>
    </w:p>
    <w:p w:rsidR="00511F7A" w:rsidRPr="0097456F" w:rsidRDefault="00511F7A" w:rsidP="00511F7A">
      <w:pPr>
        <w:pStyle w:val="SCCNormalDoubleSpacing"/>
        <w:spacing w:line="240" w:lineRule="auto"/>
        <w:rPr>
          <w:sz w:val="20"/>
        </w:rPr>
      </w:pPr>
      <w:r w:rsidRPr="0097456F">
        <w:rPr>
          <w:sz w:val="20"/>
        </w:rPr>
        <w:tab/>
        <w:t xml:space="preserve">The power of mercy codified in the </w:t>
      </w:r>
      <w:r w:rsidRPr="0097456F">
        <w:rPr>
          <w:i/>
          <w:sz w:val="20"/>
        </w:rPr>
        <w:t xml:space="preserve">Criminal Code </w:t>
      </w:r>
      <w:r w:rsidRPr="0097456F">
        <w:rPr>
          <w:sz w:val="20"/>
        </w:rPr>
        <w:t xml:space="preserve">derives from the royal prerogative of mercy. At the material time, the applicable provisions of the </w:t>
      </w:r>
      <w:r w:rsidRPr="0097456F">
        <w:rPr>
          <w:i/>
          <w:sz w:val="20"/>
        </w:rPr>
        <w:t>Criminal Code</w:t>
      </w:r>
      <w:r w:rsidRPr="0097456F">
        <w:rPr>
          <w:sz w:val="20"/>
        </w:rPr>
        <w:t xml:space="preserve"> left it up to the Minister to determine in what circumstances he or she should intervene. In making this discretionary decision, the Minister had to assess and weigh public policy considerations on the basis of social, political and economic factors. This power came into play after all judicial remedies had been exhausted, and the Minister, in exercising it, had to be careful to avoid usurping the role of the courts and short</w:t>
      </w:r>
      <w:r w:rsidRPr="0097456F">
        <w:rPr>
          <w:sz w:val="20"/>
        </w:rPr>
        <w:noBreakHyphen/>
        <w:t xml:space="preserve">circuiting the usual judicial process. The history and the nature of the power of mercy show that the exercise of that power was a true core policy act. The exercise of such a power could not therefore expose the Crown to liability unless the Minister acted irrationally or in bad faith. </w:t>
      </w:r>
    </w:p>
    <w:p w:rsidR="00511F7A" w:rsidRDefault="00511F7A" w:rsidP="00511F7A">
      <w:pPr>
        <w:pStyle w:val="SCCNormalDoubleSpacing"/>
        <w:spacing w:line="240" w:lineRule="auto"/>
        <w:rPr>
          <w:sz w:val="20"/>
        </w:rPr>
      </w:pPr>
    </w:p>
    <w:p w:rsidR="00511F7A" w:rsidRPr="0097456F" w:rsidRDefault="00511F7A" w:rsidP="00511F7A">
      <w:pPr>
        <w:pStyle w:val="SCCNormalDoubleSpacing"/>
        <w:spacing w:line="240" w:lineRule="auto"/>
        <w:rPr>
          <w:sz w:val="20"/>
        </w:rPr>
      </w:pPr>
      <w:r w:rsidRPr="0097456F">
        <w:rPr>
          <w:sz w:val="20"/>
        </w:rPr>
        <w:tab/>
        <w:t xml:space="preserve">To assess the Minister’s conduct in the exercise of his power of mercy, it would be inappropriate to apply a standard of fault that limits bad faith to malice. In Quebec civil law, </w:t>
      </w:r>
      <w:r w:rsidRPr="0097456F">
        <w:rPr>
          <w:iCs/>
          <w:sz w:val="20"/>
        </w:rPr>
        <w:t>bad faith is broader than just intentional fault or a demonstrated intent to harm another</w:t>
      </w:r>
      <w:r w:rsidRPr="0097456F">
        <w:rPr>
          <w:sz w:val="20"/>
        </w:rPr>
        <w:t xml:space="preserve">. Bad faith can be established by proving that the Minister acted deliberately with the specific intent to harm another person, or by proof of serious recklessness that reveals a breakdown of the orderly exercise of authority so fundamental that absence of good faith can be deduced and bad faith presumed. In light of the applicable provisions of the </w:t>
      </w:r>
      <w:r w:rsidRPr="0097456F">
        <w:rPr>
          <w:i/>
          <w:sz w:val="20"/>
        </w:rPr>
        <w:t>Criminal Code</w:t>
      </w:r>
      <w:r w:rsidRPr="0097456F">
        <w:rPr>
          <w:sz w:val="20"/>
        </w:rPr>
        <w:t xml:space="preserve"> and of the fact that there was, at the relevant time, no established procedure to guide the exercise of the power of mercy, the Minister was required to conduct a meaningful review of any application that was neither frivolous nor vexatious. However, this review was not equivalent to the one that would be expected from a police investigation or a commission of inquiry. The duty to conduct a meaningful review entails a duty to make a decision in good faith on the basis of the evidence uncovered by that review. </w:t>
      </w:r>
    </w:p>
    <w:p w:rsidR="00511F7A" w:rsidRDefault="00511F7A" w:rsidP="00511F7A">
      <w:pPr>
        <w:pStyle w:val="SCCNormalDoubleSpacing"/>
        <w:spacing w:line="240" w:lineRule="auto"/>
        <w:rPr>
          <w:sz w:val="20"/>
        </w:rPr>
      </w:pPr>
    </w:p>
    <w:p w:rsidR="00511F7A" w:rsidRPr="0097456F" w:rsidRDefault="00511F7A" w:rsidP="00511F7A">
      <w:pPr>
        <w:pStyle w:val="SCCNormalDoubleSpacing"/>
        <w:spacing w:line="240" w:lineRule="auto"/>
        <w:rPr>
          <w:sz w:val="20"/>
        </w:rPr>
      </w:pPr>
      <w:r w:rsidRPr="0097456F">
        <w:rPr>
          <w:sz w:val="20"/>
        </w:rPr>
        <w:tab/>
        <w:t xml:space="preserve">The trial judge erred in approaching the issue of the federal Crown’s civil liability from the perspective of a fault of institutional inertia or indifference. The analysis should instead have focused on the individual conduct of each Minister acting in his or her capacity as a servant of the federal Crown. The trial judge also erred in considering the powers of a commissioner under the </w:t>
      </w:r>
      <w:r w:rsidRPr="0097456F">
        <w:rPr>
          <w:i/>
          <w:sz w:val="20"/>
        </w:rPr>
        <w:t>Inquiries Act</w:t>
      </w:r>
      <w:r w:rsidRPr="0097456F">
        <w:rPr>
          <w:sz w:val="20"/>
        </w:rPr>
        <w:t xml:space="preserve"> as a basis for determining whether the review conducted by the Minister was a meaningful one, given that those powers were not conferred on the Minister until 2002, when Parliament reformed the procedure in respect of applications for mercy. Moreover, there is no legislation establishing an obligation for the federal government or the provinces to compensate victims of miscarriages of justice, nor is there any legislation establishing a right to such compensation. Nor did the </w:t>
      </w:r>
      <w:r w:rsidRPr="0097456F">
        <w:rPr>
          <w:i/>
          <w:sz w:val="20"/>
        </w:rPr>
        <w:t>Guidelines</w:t>
      </w:r>
      <w:r w:rsidRPr="0097456F">
        <w:rPr>
          <w:i/>
          <w:iCs/>
          <w:sz w:val="20"/>
        </w:rPr>
        <w:t>: Compensation for Wrongfully Convicted and Imprisoned Persons</w:t>
      </w:r>
      <w:r w:rsidRPr="0097456F">
        <w:rPr>
          <w:i/>
          <w:sz w:val="20"/>
        </w:rPr>
        <w:t xml:space="preserve"> </w:t>
      </w:r>
      <w:r w:rsidRPr="0097456F">
        <w:rPr>
          <w:sz w:val="20"/>
        </w:rPr>
        <w:t>require the federal government to compensate H, as they do not constitute binding legislation.</w:t>
      </w:r>
    </w:p>
    <w:p w:rsidR="00511F7A" w:rsidRDefault="00511F7A" w:rsidP="00511F7A">
      <w:pPr>
        <w:pStyle w:val="SCCNormalDoubleSpacing"/>
        <w:spacing w:line="240" w:lineRule="auto"/>
        <w:rPr>
          <w:sz w:val="20"/>
        </w:rPr>
      </w:pPr>
    </w:p>
    <w:p w:rsidR="00511F7A" w:rsidRPr="0097456F" w:rsidRDefault="00511F7A" w:rsidP="00511F7A">
      <w:pPr>
        <w:pStyle w:val="SCCNormalDoubleSpacing"/>
        <w:spacing w:line="240" w:lineRule="auto"/>
        <w:rPr>
          <w:sz w:val="20"/>
        </w:rPr>
      </w:pPr>
      <w:r w:rsidRPr="0097456F">
        <w:rPr>
          <w:sz w:val="20"/>
        </w:rPr>
        <w:tab/>
        <w:t xml:space="preserve">In this case, H has failed to prove, on a balance of probabilities, that the Minister acted in bad faith or with serious recklessness in reviewing his applications for mercy. The documentary evidence negates the trial judge’s inference that there was no review whatsoever of H’s initial application for mercy. Although there are only a few documents in the record, they attest to the fact that a certain review was conducted and that certain actions were taken in this regard. By way of admissions, the parties acknowledged that certain government employees would have confirmed that, as they had understood the facts, an extensive and careful review of the case was under way at the time in question. A delay in reviewing the initial application was raised, but despite this, an analysis of the circumstances does not support the conclusion that the Minister acted in bad faith or with serious recklessness. As for H’s three subsequent applications, it cannot reasonably be argued that no meaningful review was conducted in respect of them. The relevant correspondence shows the opposite to be true. Regarding the second application, which was very brief and contained no new evidence or legal arguments, it was open to the Minister to find it frivolous and to reject it on that basis. As for the third application, given that it did not go into much detail, the allegations based on vague irregularities could have struck the Minister as being of little consequence. In the case of the fourth application, it was reasonable for the Minister to justify her decision by noting that the Court of Appeal could consider the case on its own without her having to intervene, particularly given that the Minister did not reject the application outright. </w:t>
      </w:r>
    </w:p>
    <w:p w:rsidR="00511F7A" w:rsidRDefault="00511F7A" w:rsidP="00511F7A">
      <w:pPr>
        <w:pStyle w:val="SCCNormalDoubleSpacing"/>
        <w:spacing w:line="240" w:lineRule="auto"/>
        <w:rPr>
          <w:sz w:val="20"/>
        </w:rPr>
      </w:pPr>
    </w:p>
    <w:p w:rsidR="00511F7A" w:rsidRPr="0097456F" w:rsidRDefault="00511F7A" w:rsidP="00511F7A">
      <w:pPr>
        <w:pStyle w:val="SCCNormalDoubleSpacing"/>
        <w:spacing w:line="240" w:lineRule="auto"/>
        <w:rPr>
          <w:sz w:val="20"/>
        </w:rPr>
      </w:pPr>
      <w:r w:rsidRPr="0097456F">
        <w:rPr>
          <w:sz w:val="20"/>
        </w:rPr>
        <w:tab/>
        <w:t>Some additional comments on causation and damages are in order. Even if it were assumed that the Minister failed to conduct a meaningful review of the first application, the evidence does not establish that he would probably have discovered at that time the key evidence uncovered by the investigator of the Commission de police 20 years later. To conclude otherwise would be to rely on mere conjecture or remote hypotheticals. H has failed to establish a causal connection between the Minister’s fault and the alleged damage.</w:t>
      </w:r>
    </w:p>
    <w:p w:rsidR="00511F7A" w:rsidRDefault="00511F7A" w:rsidP="00511F7A">
      <w:pPr>
        <w:pStyle w:val="SCCNormalDoubleSpacing"/>
        <w:spacing w:line="240" w:lineRule="auto"/>
        <w:rPr>
          <w:sz w:val="20"/>
        </w:rPr>
      </w:pPr>
    </w:p>
    <w:p w:rsidR="00511F7A" w:rsidRPr="0097456F" w:rsidRDefault="00511F7A" w:rsidP="00511F7A">
      <w:pPr>
        <w:pStyle w:val="SCCNormalDoubleSpacing"/>
        <w:spacing w:line="240" w:lineRule="auto"/>
        <w:rPr>
          <w:sz w:val="20"/>
        </w:rPr>
      </w:pPr>
      <w:r w:rsidRPr="0097456F">
        <w:rPr>
          <w:sz w:val="20"/>
        </w:rPr>
        <w:tab/>
        <w:t xml:space="preserve">On the issue of damages, the trial judge failed to take into account the requirement that the liability be apportioned solidarily, and to establish the amounts being awarded on the basis of the actual liability of each of the solidary debtors. To the extent that more than one solidary debtor could be liable for heads of claim, the releases granted by H to the AGQ and the town of Mont-Laurier made it necessary to examine the causal faults and apportion liability. H should have borne the shares of the solidary debtors he had released (arts. 1526 and 1690 </w:t>
      </w:r>
      <w:r w:rsidRPr="0097456F">
        <w:rPr>
          <w:i/>
          <w:sz w:val="20"/>
        </w:rPr>
        <w:t>C.C.Q.</w:t>
      </w:r>
      <w:r w:rsidRPr="0097456F">
        <w:rPr>
          <w:sz w:val="20"/>
        </w:rPr>
        <w:t xml:space="preserve">). In addition to this overriding error, the grounds for each of the heads of damages were also flawed. Where the question of pecuniary damage is concerned, there is no direct connection between the Minister’s conduct and H’s decision to retire at age 60, the fees and costs incurred in respect of the proceedings brought in the Court of Appeal and the Supreme Court between 1990 and 1997 did not result from the alleged faults, and wasted time and efforts expended to obtain justice are inconveniences that are inherent in the efforts of anyone who is involved in legal proceedings. As for non-pecuniary damage, an order that the AGC pay $1,900,000 after the AGQ had paid $1,100,000 under the same head of damages would seem to be disproportionate, and the amounts granted in other cases of miscarriages of justice were mostly made further to the recommendations of advisory bodies and were based on considerations that are different from those on which damages are based in principle. Moreover, those cases were different in that they involved the much more serious crime of murder and in that the period of incarceration was longer in almost all of them. On the issue of punitive damages, even though the reference in the </w:t>
      </w:r>
      <w:r w:rsidRPr="0097456F">
        <w:rPr>
          <w:i/>
          <w:sz w:val="20"/>
        </w:rPr>
        <w:t>Crown Liability and Proceedings Act</w:t>
      </w:r>
      <w:r w:rsidRPr="0097456F">
        <w:rPr>
          <w:sz w:val="20"/>
        </w:rPr>
        <w:t xml:space="preserve"> to the Quebec rules of extracontractual civil liability encompasses the remedy of punitive damages provided for in the </w:t>
      </w:r>
      <w:r w:rsidRPr="0097456F">
        <w:rPr>
          <w:i/>
          <w:sz w:val="20"/>
        </w:rPr>
        <w:t>Charter of human rights and freedoms</w:t>
      </w:r>
      <w:r w:rsidRPr="0097456F">
        <w:rPr>
          <w:sz w:val="20"/>
        </w:rPr>
        <w:t xml:space="preserve">, it was not appropriate to award such damages in this case. Given that the Minister’s conduct cannot be equated with bad faith or serious recklessness, it cannot be concluded that there was intentional interference with a right protected by the </w:t>
      </w:r>
      <w:r w:rsidRPr="0097456F">
        <w:rPr>
          <w:i/>
          <w:sz w:val="20"/>
        </w:rPr>
        <w:t>Charter</w:t>
      </w:r>
      <w:r w:rsidRPr="0097456F">
        <w:rPr>
          <w:sz w:val="20"/>
        </w:rPr>
        <w:t xml:space="preserve">. The evidence does not support a finding that the Minister’s state of mind was such that he intended to harm H or had knowledge of the adverse consequences his conduct would have for H. </w:t>
      </w:r>
    </w:p>
    <w:p w:rsidR="00511F7A" w:rsidRDefault="00511F7A" w:rsidP="00511F7A">
      <w:pPr>
        <w:pStyle w:val="SCCNormalDoubleSpacing"/>
        <w:spacing w:line="240" w:lineRule="auto"/>
        <w:rPr>
          <w:sz w:val="20"/>
        </w:rPr>
      </w:pPr>
    </w:p>
    <w:p w:rsidR="00511F7A" w:rsidRDefault="00511F7A" w:rsidP="00511F7A">
      <w:pPr>
        <w:pStyle w:val="SCCNormalDoubleSpacing"/>
        <w:spacing w:line="240" w:lineRule="auto"/>
        <w:rPr>
          <w:sz w:val="20"/>
        </w:rPr>
      </w:pPr>
      <w:r w:rsidRPr="0097456F">
        <w:rPr>
          <w:sz w:val="20"/>
        </w:rPr>
        <w:tab/>
        <w:t xml:space="preserve">In Quebec law, it is only in exceptional cases that a party can be required to pay the fees of lawyers retained by the opposing party, and such compensation must be consistent with the general rules of civil liability. Only an abuse of process can justify awarding extrajudicial fees as damages. However, by virtue of art. 1608 </w:t>
      </w:r>
      <w:r w:rsidRPr="0097456F">
        <w:rPr>
          <w:i/>
          <w:iCs/>
          <w:sz w:val="20"/>
        </w:rPr>
        <w:t>C.C.Q.</w:t>
      </w:r>
      <w:r w:rsidRPr="0097456F">
        <w:rPr>
          <w:sz w:val="20"/>
        </w:rPr>
        <w:t>, the obligation to pay damages to the other party is neither reduced nor altered by the fact that the latter received a gratuitous benefit from his or her counsel. In this case, the AGC’s conduct did not amount to an abuse of process. The law on the federal Crown’s liability for a fault committed by the Minister in exercising his or her power of mercy was far from clear at the time of the dispute, and it was reasonable and appropriate for the AGC to contest H’s action and raise the defence that he did. The trial judge committed a palpable and overriding error in finding that there had been an abuse of process in the context of this case. H was not entitled to the extrajudicial fees that were awarded.</w:t>
      </w:r>
    </w:p>
    <w:p w:rsidR="003B3977" w:rsidRDefault="003B3977" w:rsidP="005C6840">
      <w:pPr>
        <w:rPr>
          <w:rFonts w:cs="Times New Roman"/>
          <w:sz w:val="20"/>
          <w:szCs w:val="20"/>
        </w:rPr>
      </w:pPr>
    </w:p>
    <w:p w:rsidR="00511F7A" w:rsidRPr="0097456F" w:rsidRDefault="00511F7A" w:rsidP="00511F7A">
      <w:pPr>
        <w:pStyle w:val="SCCNormalDoubleSpacing"/>
        <w:spacing w:line="240" w:lineRule="auto"/>
        <w:rPr>
          <w:sz w:val="20"/>
        </w:rPr>
      </w:pPr>
      <w:r w:rsidRPr="0097456F">
        <w:rPr>
          <w:sz w:val="20"/>
        </w:rPr>
        <w:tab/>
        <w:t>APPEAL from a judgment of the Quebec Court of Appeal (Pelletier, Bich and Bouchard JJ.A.), 2013 QCCA 1513, [2013] R.J.Q. 1451, [2013] AZ</w:t>
      </w:r>
      <w:r w:rsidRPr="0097456F">
        <w:rPr>
          <w:sz w:val="20"/>
        </w:rPr>
        <w:noBreakHyphen/>
        <w:t>51000894, [2013] Q.J. No. 7562 (QL), 2013 CarswellQue 13456 (WL Can.), setting aside a decision of Poulin J., 2011 QCCS 1780, [2011] R.J.Q. 794, [2011] AZ</w:t>
      </w:r>
      <w:r w:rsidRPr="0097456F">
        <w:rPr>
          <w:sz w:val="20"/>
        </w:rPr>
        <w:noBreakHyphen/>
        <w:t>50742270, [2013] J.Q. n</w:t>
      </w:r>
      <w:r w:rsidRPr="0097456F">
        <w:rPr>
          <w:sz w:val="20"/>
          <w:vertAlign w:val="superscript"/>
        </w:rPr>
        <w:t>o</w:t>
      </w:r>
      <w:r w:rsidRPr="0097456F">
        <w:rPr>
          <w:sz w:val="20"/>
        </w:rPr>
        <w:t> 3760 (QL), 2011 CarswellQue 3905 (WL Can.). Appeal dismissed.</w:t>
      </w:r>
    </w:p>
    <w:p w:rsidR="00511F7A" w:rsidRDefault="00511F7A" w:rsidP="00511F7A">
      <w:pPr>
        <w:pStyle w:val="SCCNormalDoubleSpacing"/>
        <w:spacing w:line="240" w:lineRule="auto"/>
        <w:rPr>
          <w:i/>
          <w:sz w:val="20"/>
        </w:rPr>
      </w:pPr>
    </w:p>
    <w:p w:rsidR="00511F7A" w:rsidRPr="0097456F" w:rsidRDefault="00511F7A" w:rsidP="00511F7A">
      <w:pPr>
        <w:pStyle w:val="SCCNormalDoubleSpacing"/>
        <w:spacing w:line="240" w:lineRule="auto"/>
        <w:rPr>
          <w:sz w:val="20"/>
        </w:rPr>
      </w:pPr>
      <w:r w:rsidRPr="0097456F">
        <w:rPr>
          <w:i/>
          <w:sz w:val="20"/>
        </w:rPr>
        <w:tab/>
        <w:t>Guy J. Pratte</w:t>
      </w:r>
      <w:r w:rsidRPr="0097456F">
        <w:rPr>
          <w:sz w:val="20"/>
        </w:rPr>
        <w:t xml:space="preserve">, </w:t>
      </w:r>
      <w:r w:rsidRPr="0097456F">
        <w:rPr>
          <w:i/>
          <w:sz w:val="20"/>
        </w:rPr>
        <w:t>Alexander De Zordo</w:t>
      </w:r>
      <w:r w:rsidRPr="0097456F">
        <w:rPr>
          <w:sz w:val="20"/>
        </w:rPr>
        <w:t xml:space="preserve"> and </w:t>
      </w:r>
      <w:r w:rsidRPr="0097456F">
        <w:rPr>
          <w:i/>
          <w:sz w:val="20"/>
        </w:rPr>
        <w:t>Marc</w:t>
      </w:r>
      <w:r w:rsidRPr="0097456F">
        <w:rPr>
          <w:i/>
          <w:sz w:val="20"/>
        </w:rPr>
        <w:noBreakHyphen/>
        <w:t>André Grou</w:t>
      </w:r>
      <w:r w:rsidRPr="0097456F">
        <w:rPr>
          <w:sz w:val="20"/>
        </w:rPr>
        <w:t>, for the appellant.</w:t>
      </w:r>
    </w:p>
    <w:p w:rsidR="00511F7A" w:rsidRDefault="00511F7A" w:rsidP="00511F7A">
      <w:pPr>
        <w:pStyle w:val="SCCNormalDoubleSpacing"/>
        <w:spacing w:line="240" w:lineRule="auto"/>
        <w:rPr>
          <w:i/>
          <w:sz w:val="20"/>
        </w:rPr>
      </w:pPr>
    </w:p>
    <w:p w:rsidR="00511F7A" w:rsidRPr="0097456F" w:rsidRDefault="00511F7A" w:rsidP="00511F7A">
      <w:pPr>
        <w:pStyle w:val="SCCNormalDoubleSpacing"/>
        <w:spacing w:line="240" w:lineRule="auto"/>
        <w:rPr>
          <w:sz w:val="20"/>
        </w:rPr>
      </w:pPr>
      <w:r w:rsidRPr="0097456F">
        <w:rPr>
          <w:i/>
          <w:sz w:val="20"/>
        </w:rPr>
        <w:tab/>
        <w:t>Bernard Letarte</w:t>
      </w:r>
      <w:r w:rsidRPr="0097456F">
        <w:rPr>
          <w:sz w:val="20"/>
        </w:rPr>
        <w:t xml:space="preserve"> and </w:t>
      </w:r>
      <w:r w:rsidRPr="0097456F">
        <w:rPr>
          <w:i/>
          <w:sz w:val="20"/>
        </w:rPr>
        <w:t>Vincent Veilleux</w:t>
      </w:r>
      <w:r w:rsidRPr="0097456F">
        <w:rPr>
          <w:sz w:val="20"/>
        </w:rPr>
        <w:t>, for the respondent.</w:t>
      </w:r>
    </w:p>
    <w:p w:rsidR="00511F7A" w:rsidRDefault="00511F7A" w:rsidP="00511F7A">
      <w:pPr>
        <w:pStyle w:val="SCCNormalDoubleSpacing"/>
        <w:spacing w:line="240" w:lineRule="auto"/>
        <w:rPr>
          <w:i/>
          <w:sz w:val="20"/>
        </w:rPr>
      </w:pPr>
    </w:p>
    <w:p w:rsidR="00511F7A" w:rsidRPr="0097456F" w:rsidRDefault="00511F7A" w:rsidP="00511F7A">
      <w:pPr>
        <w:pStyle w:val="SCCNormalDoubleSpacing"/>
        <w:spacing w:line="240" w:lineRule="auto"/>
        <w:rPr>
          <w:sz w:val="20"/>
        </w:rPr>
      </w:pPr>
      <w:r w:rsidRPr="0097456F">
        <w:rPr>
          <w:i/>
          <w:sz w:val="20"/>
        </w:rPr>
        <w:tab/>
        <w:t>Brian H. Greenspan</w:t>
      </w:r>
      <w:r w:rsidRPr="0097456F">
        <w:rPr>
          <w:sz w:val="20"/>
        </w:rPr>
        <w:t xml:space="preserve"> and </w:t>
      </w:r>
      <w:r w:rsidRPr="0097456F">
        <w:rPr>
          <w:i/>
          <w:sz w:val="20"/>
        </w:rPr>
        <w:t>Naomi M. Lutes</w:t>
      </w:r>
      <w:r w:rsidRPr="0097456F">
        <w:rPr>
          <w:sz w:val="20"/>
        </w:rPr>
        <w:t>, for the intervener the Association in Defence of the Wrongly Convicted.</w:t>
      </w:r>
    </w:p>
    <w:p w:rsidR="00511F7A" w:rsidRDefault="00511F7A" w:rsidP="00511F7A">
      <w:pPr>
        <w:pStyle w:val="SCCNormalDoubleSpacing"/>
        <w:spacing w:line="240" w:lineRule="auto"/>
        <w:rPr>
          <w:i/>
          <w:sz w:val="20"/>
        </w:rPr>
      </w:pPr>
    </w:p>
    <w:p w:rsidR="00511F7A" w:rsidRPr="0097456F" w:rsidRDefault="00511F7A" w:rsidP="00511F7A">
      <w:pPr>
        <w:pStyle w:val="SCCNormalDoubleSpacing"/>
        <w:spacing w:line="240" w:lineRule="auto"/>
        <w:rPr>
          <w:sz w:val="20"/>
        </w:rPr>
      </w:pPr>
      <w:r w:rsidRPr="0097456F">
        <w:rPr>
          <w:i/>
          <w:sz w:val="20"/>
        </w:rPr>
        <w:tab/>
        <w:t>Bernard Larocque</w:t>
      </w:r>
      <w:r w:rsidRPr="0097456F">
        <w:rPr>
          <w:sz w:val="20"/>
        </w:rPr>
        <w:t xml:space="preserve"> and </w:t>
      </w:r>
      <w:r w:rsidRPr="0097456F">
        <w:rPr>
          <w:i/>
          <w:sz w:val="20"/>
        </w:rPr>
        <w:t>Jonathan Lacoste</w:t>
      </w:r>
      <w:r w:rsidRPr="0097456F">
        <w:rPr>
          <w:i/>
          <w:sz w:val="20"/>
        </w:rPr>
        <w:noBreakHyphen/>
        <w:t>Jobin</w:t>
      </w:r>
      <w:r w:rsidRPr="0097456F">
        <w:rPr>
          <w:sz w:val="20"/>
        </w:rPr>
        <w:t>, for the intervener Centre Pro Bono Québec.</w:t>
      </w:r>
    </w:p>
    <w:p w:rsidR="00511F7A" w:rsidRDefault="00511F7A" w:rsidP="00511F7A">
      <w:pPr>
        <w:pStyle w:val="SCCNormalDoubleSpacing"/>
        <w:spacing w:line="240" w:lineRule="auto"/>
        <w:rPr>
          <w:i/>
          <w:sz w:val="20"/>
        </w:rPr>
      </w:pPr>
    </w:p>
    <w:p w:rsidR="00511F7A" w:rsidRPr="0097456F" w:rsidRDefault="00511F7A" w:rsidP="00511F7A">
      <w:pPr>
        <w:pStyle w:val="SCCNormalDoubleSpacing"/>
        <w:spacing w:line="240" w:lineRule="auto"/>
        <w:rPr>
          <w:sz w:val="20"/>
        </w:rPr>
      </w:pPr>
      <w:r w:rsidRPr="0097456F">
        <w:rPr>
          <w:i/>
          <w:sz w:val="20"/>
        </w:rPr>
        <w:tab/>
        <w:t>Ranjan K. Agarwal</w:t>
      </w:r>
      <w:r w:rsidRPr="0097456F">
        <w:rPr>
          <w:sz w:val="20"/>
        </w:rPr>
        <w:t xml:space="preserve"> and </w:t>
      </w:r>
      <w:r w:rsidRPr="0097456F">
        <w:rPr>
          <w:i/>
          <w:sz w:val="20"/>
        </w:rPr>
        <w:t>Nathan J. Shaheen</w:t>
      </w:r>
      <w:r w:rsidRPr="0097456F">
        <w:rPr>
          <w:sz w:val="20"/>
        </w:rPr>
        <w:t>, for the intervener Pro Bono Law Ontario.</w:t>
      </w:r>
    </w:p>
    <w:p w:rsidR="00511F7A" w:rsidRDefault="00511F7A" w:rsidP="00511F7A">
      <w:pPr>
        <w:pStyle w:val="SCCLawFirm"/>
        <w:spacing w:line="240" w:lineRule="auto"/>
        <w:rPr>
          <w:sz w:val="20"/>
        </w:rPr>
      </w:pPr>
    </w:p>
    <w:p w:rsidR="00511F7A" w:rsidRPr="0097456F" w:rsidRDefault="00511F7A" w:rsidP="00511F7A">
      <w:pPr>
        <w:pStyle w:val="SCCLawFirm"/>
        <w:spacing w:line="240" w:lineRule="auto"/>
        <w:rPr>
          <w:sz w:val="20"/>
        </w:rPr>
      </w:pPr>
      <w:r w:rsidRPr="0097456F">
        <w:rPr>
          <w:sz w:val="20"/>
        </w:rPr>
        <w:tab/>
        <w:t>Solicitors for the appellant: Borden Ladner Gervais, Montréal.</w:t>
      </w:r>
    </w:p>
    <w:p w:rsidR="00511F7A" w:rsidRDefault="00511F7A" w:rsidP="00511F7A">
      <w:pPr>
        <w:pStyle w:val="SCCLawFirm"/>
        <w:spacing w:line="240" w:lineRule="auto"/>
        <w:rPr>
          <w:sz w:val="20"/>
        </w:rPr>
      </w:pPr>
    </w:p>
    <w:p w:rsidR="00511F7A" w:rsidRPr="0097456F" w:rsidRDefault="00511F7A" w:rsidP="00511F7A">
      <w:pPr>
        <w:pStyle w:val="SCCLawFirm"/>
        <w:spacing w:line="240" w:lineRule="auto"/>
        <w:rPr>
          <w:sz w:val="20"/>
        </w:rPr>
      </w:pPr>
      <w:r w:rsidRPr="0097456F">
        <w:rPr>
          <w:sz w:val="20"/>
        </w:rPr>
        <w:tab/>
        <w:t>Solicitor for the respondent: Attorney General of Canada, Ottawa.</w:t>
      </w:r>
    </w:p>
    <w:p w:rsidR="00511F7A" w:rsidRDefault="00511F7A" w:rsidP="00511F7A">
      <w:pPr>
        <w:pStyle w:val="SCCLawFirm"/>
        <w:spacing w:line="240" w:lineRule="auto"/>
        <w:rPr>
          <w:sz w:val="20"/>
        </w:rPr>
      </w:pPr>
    </w:p>
    <w:p w:rsidR="00511F7A" w:rsidRPr="0097456F" w:rsidRDefault="00511F7A" w:rsidP="00511F7A">
      <w:pPr>
        <w:pStyle w:val="SCCLawFirm"/>
        <w:spacing w:line="240" w:lineRule="auto"/>
        <w:rPr>
          <w:sz w:val="20"/>
        </w:rPr>
      </w:pPr>
      <w:r w:rsidRPr="0097456F">
        <w:rPr>
          <w:sz w:val="20"/>
        </w:rPr>
        <w:tab/>
        <w:t>Solicitors for the intervener the Association in Defence of the Wrongly Convicted: Greenspan Humphrey Lavine, Toronto.</w:t>
      </w:r>
    </w:p>
    <w:p w:rsidR="00511F7A" w:rsidRDefault="00511F7A" w:rsidP="00511F7A">
      <w:pPr>
        <w:pStyle w:val="SCCLawFirm"/>
        <w:spacing w:line="240" w:lineRule="auto"/>
        <w:rPr>
          <w:sz w:val="20"/>
        </w:rPr>
      </w:pPr>
    </w:p>
    <w:p w:rsidR="00511F7A" w:rsidRPr="0097456F" w:rsidRDefault="00511F7A" w:rsidP="00511F7A">
      <w:pPr>
        <w:pStyle w:val="SCCLawFirm"/>
        <w:spacing w:line="240" w:lineRule="auto"/>
        <w:rPr>
          <w:sz w:val="20"/>
        </w:rPr>
      </w:pPr>
      <w:r w:rsidRPr="0097456F">
        <w:rPr>
          <w:sz w:val="20"/>
        </w:rPr>
        <w:tab/>
        <w:t>Solicitors for the intervener Centre Pro Bono Québec: Lavery, de Billy, Montréal.</w:t>
      </w:r>
    </w:p>
    <w:p w:rsidR="00511F7A" w:rsidRDefault="00511F7A" w:rsidP="00511F7A">
      <w:pPr>
        <w:pStyle w:val="SCCLawFirm"/>
        <w:spacing w:line="240" w:lineRule="auto"/>
        <w:rPr>
          <w:sz w:val="20"/>
        </w:rPr>
      </w:pPr>
    </w:p>
    <w:p w:rsidR="00511F7A" w:rsidRDefault="00511F7A" w:rsidP="00511F7A">
      <w:pPr>
        <w:pStyle w:val="SCCLawFirm"/>
        <w:spacing w:line="240" w:lineRule="auto"/>
        <w:rPr>
          <w:sz w:val="20"/>
        </w:rPr>
      </w:pPr>
      <w:r w:rsidRPr="0097456F">
        <w:rPr>
          <w:sz w:val="20"/>
        </w:rPr>
        <w:tab/>
        <w:t>Solicitors for the intervener Pro Bono Law Ontario: Bennett Jones, Toronto.</w:t>
      </w:r>
    </w:p>
    <w:p w:rsidR="00511F7A" w:rsidRPr="0052229C" w:rsidRDefault="00511F7A" w:rsidP="005C6840">
      <w:pPr>
        <w:rPr>
          <w:rFonts w:cs="Times New Roman"/>
          <w:sz w:val="20"/>
          <w:szCs w:val="20"/>
        </w:rPr>
      </w:pPr>
    </w:p>
    <w:p w:rsidR="00902E51" w:rsidRDefault="005B7E98" w:rsidP="00902E51">
      <w:pPr>
        <w:rPr>
          <w:rFonts w:cs="Times New Roman"/>
          <w:sz w:val="20"/>
          <w:szCs w:val="20"/>
          <w:lang w:val="fr-CA"/>
        </w:rPr>
      </w:pPr>
      <w:r>
        <w:rPr>
          <w:rFonts w:cs="Times New Roman"/>
          <w:sz w:val="20"/>
          <w:szCs w:val="20"/>
          <w:lang w:val="fr-CA"/>
        </w:rPr>
        <w:pict>
          <v:rect id="_x0000_i1079"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576" w:footer="960" w:gutter="0"/>
          <w:cols w:space="720"/>
          <w:titlePg/>
          <w:docGrid w:linePitch="272"/>
        </w:sectPr>
      </w:pPr>
    </w:p>
    <w:p w:rsidR="008112A9" w:rsidRPr="001875B2" w:rsidRDefault="00E85246" w:rsidP="008112A9">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fldChar w:fldCharType="begin"/>
      </w:r>
      <w:r w:rsidR="008112A9" w:rsidRPr="001875B2">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12A9" w:rsidRPr="001875B2">
        <w:rPr>
          <w:rFonts w:asciiTheme="minorHAnsi" w:hAnsiTheme="minorHAnsi" w:cstheme="minorHAnsi"/>
          <w:b/>
          <w:szCs w:val="24"/>
          <w:lang w:val="fr-CA"/>
        </w:rPr>
        <w:t>SUPREME COURT OF CANADA SCHEDULE / CALENDRIER DE LA COUR SUPREME</w:t>
      </w:r>
    </w:p>
    <w:p w:rsidR="008112A9" w:rsidRPr="001875B2" w:rsidRDefault="008112A9" w:rsidP="008112A9">
      <w:pPr>
        <w:widowControl w:val="0"/>
        <w:spacing w:line="180" w:lineRule="auto"/>
        <w:rPr>
          <w:rFonts w:asciiTheme="minorHAnsi" w:hAnsiTheme="minorHAnsi" w:cstheme="minorHAnsi"/>
          <w:szCs w:val="24"/>
          <w:lang w:val="fr-CA"/>
        </w:rPr>
      </w:pPr>
    </w:p>
    <w:p w:rsidR="008112A9" w:rsidRPr="001875B2" w:rsidRDefault="008112A9" w:rsidP="008112A9">
      <w:pPr>
        <w:widowControl w:val="0"/>
        <w:tabs>
          <w:tab w:val="center" w:pos="5400"/>
          <w:tab w:val="right" w:pos="10440"/>
        </w:tabs>
        <w:rPr>
          <w:rFonts w:ascii="Arial" w:hAnsi="Arial"/>
          <w:sz w:val="18"/>
          <w:lang w:val="fr-CA"/>
        </w:rPr>
      </w:pPr>
      <w:r w:rsidRPr="001875B2">
        <w:rPr>
          <w:rFonts w:ascii="Arial" w:hAnsi="Arial"/>
          <w:sz w:val="18"/>
          <w:lang w:val="fr-CA"/>
        </w:rPr>
        <w:tab/>
      </w:r>
      <w:r w:rsidRPr="001875B2">
        <w:rPr>
          <w:rFonts w:ascii="Arial" w:hAnsi="Arial"/>
          <w:i/>
          <w:sz w:val="36"/>
          <w:lang w:val="fr-CA"/>
        </w:rPr>
        <w:t xml:space="preserve">- </w:t>
      </w:r>
      <w:r w:rsidRPr="001875B2">
        <w:rPr>
          <w:rFonts w:ascii="Arial" w:hAnsi="Arial"/>
          <w:b/>
          <w:i/>
          <w:sz w:val="36"/>
          <w:lang w:val="fr-CA"/>
        </w:rPr>
        <w:t>2014</w:t>
      </w:r>
      <w:r w:rsidRPr="001875B2">
        <w:rPr>
          <w:rFonts w:ascii="Arial" w:hAnsi="Arial"/>
          <w:i/>
          <w:sz w:val="36"/>
          <w:lang w:val="fr-CA"/>
        </w:rPr>
        <w:t xml:space="preserve"> -</w:t>
      </w:r>
      <w:r w:rsidRPr="001875B2">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B4613A">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4613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4613A">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4613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4613A">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4613A">
            <w:pPr>
              <w:widowControl w:val="0"/>
              <w:jc w:val="center"/>
              <w:rPr>
                <w:rFonts w:ascii="Arial" w:hAnsi="Arial"/>
                <w:sz w:val="14"/>
              </w:rPr>
            </w:pPr>
            <w:r w:rsidRPr="002E0C7E">
              <w:rPr>
                <w:rFonts w:ascii="Arial" w:hAnsi="Arial"/>
                <w:b/>
                <w:sz w:val="14"/>
              </w:rPr>
              <w:t>DECEMBER - DÉCEMBRE</w:t>
            </w:r>
          </w:p>
        </w:tc>
      </w:tr>
      <w:tr w:rsidR="008112A9" w:rsidRPr="002E0C7E" w:rsidTr="00B4613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M</w:t>
            </w:r>
          </w:p>
          <w:p w:rsidR="008112A9" w:rsidRPr="002E0C7E" w:rsidRDefault="008112A9" w:rsidP="00B4613A">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W</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F</w:t>
            </w:r>
          </w:p>
          <w:p w:rsidR="008112A9" w:rsidRPr="002E0C7E" w:rsidRDefault="008112A9" w:rsidP="00B4613A">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M</w:t>
            </w:r>
          </w:p>
          <w:p w:rsidR="008112A9" w:rsidRPr="002E0C7E" w:rsidRDefault="008112A9" w:rsidP="00B4613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W</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F</w:t>
            </w:r>
          </w:p>
          <w:p w:rsidR="008112A9" w:rsidRPr="002E0C7E" w:rsidRDefault="008112A9" w:rsidP="00B4613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M</w:t>
            </w:r>
          </w:p>
          <w:p w:rsidR="008112A9" w:rsidRPr="002E0C7E" w:rsidRDefault="008112A9" w:rsidP="00B4613A">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W</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F</w:t>
            </w:r>
          </w:p>
          <w:p w:rsidR="008112A9" w:rsidRPr="002E0C7E" w:rsidRDefault="008112A9" w:rsidP="00B4613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S</w:t>
            </w:r>
          </w:p>
        </w:tc>
      </w:tr>
      <w:tr w:rsidR="008112A9" w:rsidRPr="002E0C7E" w:rsidTr="00B4613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B4613A">
            <w:pPr>
              <w:widowControl w:val="0"/>
              <w:jc w:val="center"/>
              <w:rPr>
                <w:rFonts w:ascii="Arial" w:hAnsi="Arial"/>
                <w:b/>
                <w:sz w:val="14"/>
              </w:rPr>
            </w:pPr>
            <w:r>
              <w:rPr>
                <w:rFonts w:ascii="Arial" w:hAnsi="Arial"/>
                <w:b/>
                <w:sz w:val="14"/>
              </w:rPr>
              <w:t>M</w:t>
            </w:r>
          </w:p>
          <w:p w:rsidR="008112A9" w:rsidRPr="002E0C7E" w:rsidRDefault="008112A9" w:rsidP="00B4613A">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6</w:t>
            </w:r>
          </w:p>
        </w:tc>
      </w:tr>
      <w:tr w:rsidR="008112A9" w:rsidRPr="002E0C7E" w:rsidTr="00B4613A">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B4613A">
            <w:pPr>
              <w:widowControl w:val="0"/>
              <w:jc w:val="center"/>
              <w:rPr>
                <w:rFonts w:ascii="Arial" w:hAnsi="Arial"/>
                <w:b/>
                <w:sz w:val="14"/>
              </w:rPr>
            </w:pPr>
            <w:r>
              <w:rPr>
                <w:rFonts w:ascii="Arial" w:hAnsi="Arial"/>
                <w:b/>
                <w:sz w:val="14"/>
              </w:rPr>
              <w:t>M</w:t>
            </w:r>
          </w:p>
          <w:p w:rsidR="008112A9" w:rsidRPr="002E0C7E" w:rsidRDefault="008112A9" w:rsidP="00B4613A">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B4613A">
            <w:pPr>
              <w:widowControl w:val="0"/>
              <w:jc w:val="center"/>
              <w:rPr>
                <w:rFonts w:ascii="Arial" w:hAnsi="Arial"/>
                <w:b/>
                <w:sz w:val="14"/>
              </w:rPr>
            </w:pPr>
          </w:p>
          <w:p w:rsidR="008112A9" w:rsidRPr="002E0C7E" w:rsidRDefault="008112A9" w:rsidP="00B4613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b/>
                <w:sz w:val="14"/>
              </w:rPr>
              <w:t>M</w:t>
            </w:r>
          </w:p>
          <w:p w:rsidR="008112A9" w:rsidRPr="002E0C7E" w:rsidRDefault="008112A9" w:rsidP="00B4613A">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13</w:t>
            </w:r>
          </w:p>
        </w:tc>
      </w:tr>
      <w:tr w:rsidR="008112A9" w:rsidRPr="002E0C7E" w:rsidTr="00B4613A">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B4613A">
            <w:pPr>
              <w:widowControl w:val="0"/>
              <w:jc w:val="center"/>
              <w:rPr>
                <w:rFonts w:ascii="Arial" w:hAnsi="Arial"/>
                <w:b/>
                <w:sz w:val="14"/>
              </w:rPr>
            </w:pPr>
            <w:r>
              <w:rPr>
                <w:rFonts w:ascii="Arial" w:hAnsi="Arial"/>
                <w:b/>
                <w:sz w:val="14"/>
              </w:rPr>
              <w:t>H</w:t>
            </w: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B4613A">
            <w:pPr>
              <w:widowControl w:val="0"/>
              <w:jc w:val="center"/>
              <w:rPr>
                <w:rFonts w:ascii="Arial" w:hAnsi="Arial"/>
                <w:b/>
                <w:sz w:val="14"/>
              </w:rPr>
            </w:pPr>
            <w:r w:rsidRPr="004F066E">
              <w:rPr>
                <w:rFonts w:ascii="Arial" w:hAnsi="Arial"/>
                <w:b/>
                <w:sz w:val="14"/>
              </w:rPr>
              <w:t>H</w:t>
            </w:r>
          </w:p>
          <w:p w:rsidR="008112A9" w:rsidRPr="002E0C7E" w:rsidRDefault="008112A9" w:rsidP="00B4613A">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20</w:t>
            </w:r>
          </w:p>
        </w:tc>
      </w:tr>
      <w:tr w:rsidR="008112A9" w:rsidRPr="002E0C7E" w:rsidTr="00B4613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4613A">
            <w:pPr>
              <w:widowControl w:val="0"/>
              <w:jc w:val="center"/>
              <w:rPr>
                <w:rFonts w:ascii="Arial" w:hAnsi="Arial"/>
                <w:b/>
                <w:sz w:val="14"/>
              </w:rPr>
            </w:pPr>
          </w:p>
          <w:p w:rsidR="008112A9" w:rsidRPr="002E0C7E" w:rsidRDefault="008112A9" w:rsidP="00B4613A">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4613A">
            <w:pPr>
              <w:widowControl w:val="0"/>
              <w:jc w:val="center"/>
              <w:rPr>
                <w:rFonts w:ascii="Arial" w:hAnsi="Arial"/>
                <w:b/>
                <w:sz w:val="14"/>
              </w:rPr>
            </w:pPr>
            <w:r>
              <w:rPr>
                <w:rFonts w:ascii="Arial" w:hAnsi="Arial"/>
                <w:b/>
                <w:sz w:val="14"/>
              </w:rPr>
              <w:t>H</w:t>
            </w:r>
          </w:p>
          <w:p w:rsidR="008112A9" w:rsidRPr="002E0C7E" w:rsidRDefault="008112A9" w:rsidP="00B4613A">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4613A">
            <w:pPr>
              <w:widowControl w:val="0"/>
              <w:jc w:val="center"/>
              <w:rPr>
                <w:rFonts w:ascii="Arial" w:hAnsi="Arial"/>
                <w:b/>
                <w:sz w:val="14"/>
              </w:rPr>
            </w:pPr>
            <w:r>
              <w:rPr>
                <w:rFonts w:ascii="Arial" w:hAnsi="Arial"/>
                <w:b/>
                <w:sz w:val="14"/>
              </w:rPr>
              <w:t>H</w:t>
            </w:r>
          </w:p>
          <w:p w:rsidR="008112A9" w:rsidRPr="002E0C7E" w:rsidRDefault="008112A9" w:rsidP="00B4613A">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4613A">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B4613A">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B4613A">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4613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4613A">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4613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4613A">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4613A">
            <w:pPr>
              <w:widowControl w:val="0"/>
              <w:jc w:val="center"/>
              <w:rPr>
                <w:rFonts w:ascii="Arial" w:hAnsi="Arial"/>
                <w:sz w:val="14"/>
              </w:rPr>
            </w:pPr>
            <w:r w:rsidRPr="002E0C7E">
              <w:rPr>
                <w:rFonts w:ascii="Arial" w:hAnsi="Arial"/>
                <w:b/>
                <w:sz w:val="14"/>
              </w:rPr>
              <w:t>MARCH - MARS</w:t>
            </w:r>
          </w:p>
        </w:tc>
      </w:tr>
      <w:tr w:rsidR="008112A9" w:rsidRPr="002E0C7E" w:rsidTr="00B4613A">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M</w:t>
            </w:r>
          </w:p>
          <w:p w:rsidR="008112A9" w:rsidRPr="002E0C7E" w:rsidRDefault="008112A9" w:rsidP="00B4613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W</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F</w:t>
            </w:r>
          </w:p>
          <w:p w:rsidR="008112A9" w:rsidRPr="002E0C7E" w:rsidRDefault="008112A9" w:rsidP="00B4613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M</w:t>
            </w:r>
          </w:p>
          <w:p w:rsidR="008112A9" w:rsidRPr="002E0C7E" w:rsidRDefault="008112A9" w:rsidP="00B4613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W</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F</w:t>
            </w:r>
          </w:p>
          <w:p w:rsidR="008112A9" w:rsidRPr="002E0C7E" w:rsidRDefault="008112A9" w:rsidP="00B4613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M</w:t>
            </w:r>
          </w:p>
          <w:p w:rsidR="008112A9" w:rsidRPr="002E0C7E" w:rsidRDefault="008112A9" w:rsidP="00B4613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W</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F</w:t>
            </w:r>
          </w:p>
          <w:p w:rsidR="008112A9" w:rsidRPr="002E0C7E" w:rsidRDefault="008112A9" w:rsidP="00B4613A">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S</w:t>
            </w:r>
          </w:p>
        </w:tc>
      </w:tr>
      <w:tr w:rsidR="008112A9" w:rsidRPr="002E0C7E" w:rsidTr="00B4613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B4613A">
            <w:pPr>
              <w:widowControl w:val="0"/>
              <w:jc w:val="center"/>
              <w:rPr>
                <w:rFonts w:ascii="Arial" w:hAnsi="Arial"/>
                <w:b/>
                <w:sz w:val="14"/>
              </w:rPr>
            </w:pPr>
          </w:p>
          <w:p w:rsidR="008112A9" w:rsidRPr="002E0C7E" w:rsidRDefault="008112A9" w:rsidP="00B4613A">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4613A">
            <w:pPr>
              <w:widowControl w:val="0"/>
              <w:jc w:val="center"/>
              <w:rPr>
                <w:rFonts w:ascii="Arial" w:hAnsi="Arial"/>
                <w:b/>
                <w:sz w:val="14"/>
              </w:rPr>
            </w:pPr>
          </w:p>
          <w:p w:rsidR="008112A9" w:rsidRPr="002E0C7E" w:rsidRDefault="008112A9" w:rsidP="00B4613A">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B4613A">
            <w:pPr>
              <w:widowControl w:val="0"/>
              <w:jc w:val="center"/>
              <w:rPr>
                <w:rFonts w:ascii="Arial" w:hAnsi="Arial"/>
                <w:b/>
                <w:sz w:val="14"/>
              </w:rPr>
            </w:pPr>
            <w:r w:rsidRPr="004F066E">
              <w:rPr>
                <w:rFonts w:ascii="Arial" w:hAnsi="Arial"/>
                <w:b/>
                <w:sz w:val="14"/>
              </w:rPr>
              <w:t>H</w:t>
            </w:r>
          </w:p>
          <w:p w:rsidR="008112A9" w:rsidRPr="002E0C7E" w:rsidRDefault="008112A9" w:rsidP="00B4613A">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7</w:t>
            </w:r>
          </w:p>
        </w:tc>
      </w:tr>
      <w:tr w:rsidR="008112A9" w:rsidRPr="002E0C7E" w:rsidTr="00B4613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B4613A">
            <w:pPr>
              <w:widowControl w:val="0"/>
              <w:jc w:val="center"/>
              <w:rPr>
                <w:rFonts w:ascii="Arial" w:hAnsi="Arial"/>
                <w:b/>
                <w:sz w:val="14"/>
              </w:rPr>
            </w:pPr>
            <w:r>
              <w:rPr>
                <w:rFonts w:ascii="Arial" w:hAnsi="Arial"/>
                <w:b/>
                <w:sz w:val="14"/>
              </w:rPr>
              <w:t>M</w:t>
            </w:r>
          </w:p>
          <w:p w:rsidR="008112A9" w:rsidRPr="002E0C7E" w:rsidRDefault="008112A9" w:rsidP="00B4613A">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14</w:t>
            </w:r>
          </w:p>
        </w:tc>
      </w:tr>
      <w:tr w:rsidR="008112A9" w:rsidRPr="002E0C7E" w:rsidTr="00B4613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B4613A">
            <w:pPr>
              <w:widowControl w:val="0"/>
              <w:jc w:val="center"/>
              <w:rPr>
                <w:rFonts w:ascii="Arial" w:hAnsi="Arial"/>
                <w:b/>
                <w:sz w:val="14"/>
              </w:rPr>
            </w:pPr>
            <w:r>
              <w:rPr>
                <w:rFonts w:ascii="Arial" w:hAnsi="Arial"/>
                <w:b/>
                <w:sz w:val="14"/>
              </w:rPr>
              <w:t>M</w:t>
            </w: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B4613A">
            <w:pPr>
              <w:widowControl w:val="0"/>
              <w:jc w:val="center"/>
              <w:rPr>
                <w:rFonts w:ascii="Arial" w:hAnsi="Arial"/>
                <w:b/>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B4613A">
            <w:pPr>
              <w:widowControl w:val="0"/>
              <w:jc w:val="center"/>
              <w:rPr>
                <w:rFonts w:ascii="Arial" w:hAnsi="Arial"/>
                <w:b/>
                <w:sz w:val="14"/>
              </w:rPr>
            </w:pPr>
            <w:r w:rsidRPr="009900C5">
              <w:rPr>
                <w:rFonts w:ascii="Arial" w:hAnsi="Arial"/>
                <w:b/>
                <w:sz w:val="14"/>
              </w:rPr>
              <w:t>M</w:t>
            </w: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B4613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B4613A">
            <w:pPr>
              <w:widowControl w:val="0"/>
              <w:jc w:val="center"/>
              <w:rPr>
                <w:rFonts w:ascii="Arial" w:hAnsi="Arial"/>
                <w:b/>
                <w:sz w:val="14"/>
              </w:rPr>
            </w:pPr>
          </w:p>
          <w:p w:rsidR="008112A9" w:rsidRPr="002E0C7E" w:rsidRDefault="008112A9" w:rsidP="00B4613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B4613A">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B4613A">
            <w:pPr>
              <w:widowControl w:val="0"/>
              <w:jc w:val="center"/>
              <w:rPr>
                <w:rFonts w:ascii="Arial" w:hAnsi="Arial"/>
                <w:b/>
                <w:sz w:val="14"/>
              </w:rPr>
            </w:pPr>
          </w:p>
          <w:p w:rsidR="008112A9" w:rsidRPr="002E0C7E" w:rsidRDefault="008112A9" w:rsidP="00B4613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B4613A">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4613A">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4613A">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4613A">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4613A">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4613A">
            <w:pPr>
              <w:widowControl w:val="0"/>
              <w:jc w:val="center"/>
              <w:rPr>
                <w:rFonts w:ascii="Arial" w:hAnsi="Arial"/>
                <w:sz w:val="14"/>
              </w:rPr>
            </w:pPr>
            <w:r w:rsidRPr="002E0C7E">
              <w:rPr>
                <w:rFonts w:ascii="Arial" w:hAnsi="Arial"/>
                <w:b/>
                <w:sz w:val="14"/>
              </w:rPr>
              <w:t>JUNE - JUIN</w:t>
            </w:r>
          </w:p>
        </w:tc>
      </w:tr>
      <w:tr w:rsidR="008112A9" w:rsidRPr="002E0C7E" w:rsidTr="00B4613A">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M</w:t>
            </w:r>
          </w:p>
          <w:p w:rsidR="008112A9" w:rsidRPr="002E0C7E" w:rsidRDefault="008112A9" w:rsidP="00B4613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W</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F</w:t>
            </w:r>
          </w:p>
          <w:p w:rsidR="008112A9" w:rsidRPr="002E0C7E" w:rsidRDefault="008112A9" w:rsidP="00B4613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M</w:t>
            </w:r>
          </w:p>
          <w:p w:rsidR="008112A9" w:rsidRPr="002E0C7E" w:rsidRDefault="008112A9" w:rsidP="00B4613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W</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F</w:t>
            </w:r>
          </w:p>
          <w:p w:rsidR="008112A9" w:rsidRPr="002E0C7E" w:rsidRDefault="008112A9" w:rsidP="00B4613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S</w:t>
            </w:r>
          </w:p>
          <w:p w:rsidR="008112A9" w:rsidRPr="002E0C7E" w:rsidRDefault="008112A9" w:rsidP="00B4613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M</w:t>
            </w:r>
          </w:p>
          <w:p w:rsidR="008112A9" w:rsidRPr="002E0C7E" w:rsidRDefault="008112A9" w:rsidP="00B4613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W</w:t>
            </w:r>
          </w:p>
          <w:p w:rsidR="008112A9" w:rsidRPr="002E0C7E" w:rsidRDefault="008112A9" w:rsidP="00B4613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T</w:t>
            </w:r>
          </w:p>
          <w:p w:rsidR="008112A9" w:rsidRPr="002E0C7E" w:rsidRDefault="008112A9" w:rsidP="00B4613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sidRPr="002E0C7E">
              <w:rPr>
                <w:rFonts w:ascii="Arial" w:hAnsi="Arial"/>
                <w:sz w:val="14"/>
              </w:rPr>
              <w:t>F</w:t>
            </w:r>
          </w:p>
          <w:p w:rsidR="008112A9" w:rsidRPr="002E0C7E" w:rsidRDefault="008112A9" w:rsidP="00B4613A">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r>
              <w:rPr>
                <w:rFonts w:ascii="Arial" w:hAnsi="Arial"/>
                <w:sz w:val="14"/>
              </w:rPr>
              <w:t>S</w:t>
            </w:r>
          </w:p>
          <w:p w:rsidR="008112A9" w:rsidRPr="002E0C7E" w:rsidRDefault="008112A9" w:rsidP="00B4613A">
            <w:pPr>
              <w:widowControl w:val="0"/>
              <w:jc w:val="center"/>
              <w:rPr>
                <w:rFonts w:ascii="Arial" w:hAnsi="Arial"/>
                <w:sz w:val="14"/>
              </w:rPr>
            </w:pPr>
            <w:r>
              <w:rPr>
                <w:rFonts w:ascii="Arial" w:hAnsi="Arial"/>
                <w:sz w:val="14"/>
              </w:rPr>
              <w:t>S</w:t>
            </w:r>
          </w:p>
        </w:tc>
      </w:tr>
      <w:tr w:rsidR="008112A9" w:rsidRPr="002E0C7E" w:rsidTr="00B4613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B4613A">
            <w:pPr>
              <w:widowControl w:val="0"/>
              <w:jc w:val="center"/>
              <w:rPr>
                <w:rFonts w:ascii="Arial" w:hAnsi="Arial"/>
                <w:b/>
                <w:sz w:val="14"/>
              </w:rPr>
            </w:pPr>
            <w:r>
              <w:rPr>
                <w:rFonts w:ascii="Arial" w:hAnsi="Arial"/>
                <w:b/>
                <w:sz w:val="14"/>
              </w:rPr>
              <w:t>H</w:t>
            </w:r>
          </w:p>
          <w:p w:rsidR="008112A9" w:rsidRPr="002E0C7E" w:rsidRDefault="008112A9" w:rsidP="00B4613A">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b/>
                <w:sz w:val="14"/>
              </w:rPr>
            </w:pPr>
          </w:p>
          <w:p w:rsidR="008112A9" w:rsidRPr="002E0C7E" w:rsidRDefault="008112A9" w:rsidP="00B4613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6</w:t>
            </w:r>
          </w:p>
        </w:tc>
      </w:tr>
      <w:tr w:rsidR="008112A9" w:rsidRPr="002E0C7E" w:rsidTr="00B4613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B4613A">
            <w:pPr>
              <w:widowControl w:val="0"/>
              <w:jc w:val="center"/>
              <w:rPr>
                <w:rFonts w:ascii="Arial" w:hAnsi="Arial"/>
                <w:b/>
                <w:sz w:val="14"/>
              </w:rPr>
            </w:pPr>
            <w:r>
              <w:rPr>
                <w:rFonts w:ascii="Arial" w:hAnsi="Arial"/>
                <w:b/>
                <w:sz w:val="14"/>
              </w:rPr>
              <w:t>H</w:t>
            </w:r>
          </w:p>
          <w:p w:rsidR="008112A9" w:rsidRPr="002E0C7E" w:rsidRDefault="008112A9" w:rsidP="00B4613A">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B4613A">
            <w:pPr>
              <w:widowControl w:val="0"/>
              <w:jc w:val="center"/>
              <w:rPr>
                <w:rFonts w:ascii="Arial" w:hAnsi="Arial"/>
                <w:b/>
                <w:sz w:val="14"/>
              </w:rPr>
            </w:pPr>
            <w:r>
              <w:rPr>
                <w:rFonts w:ascii="Arial" w:hAnsi="Arial"/>
                <w:b/>
                <w:sz w:val="14"/>
              </w:rPr>
              <w:t>M</w:t>
            </w:r>
          </w:p>
          <w:p w:rsidR="008112A9" w:rsidRPr="002E0C7E" w:rsidRDefault="008112A9" w:rsidP="00B4613A">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13</w:t>
            </w:r>
          </w:p>
        </w:tc>
      </w:tr>
      <w:tr w:rsidR="008112A9" w:rsidRPr="002E0C7E" w:rsidTr="00B4613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B4613A">
            <w:pPr>
              <w:widowControl w:val="0"/>
              <w:jc w:val="center"/>
              <w:rPr>
                <w:rFonts w:ascii="Arial" w:hAnsi="Arial"/>
                <w:b/>
                <w:sz w:val="14"/>
              </w:rPr>
            </w:pPr>
            <w:r>
              <w:rPr>
                <w:rFonts w:ascii="Arial" w:hAnsi="Arial"/>
                <w:b/>
                <w:sz w:val="14"/>
              </w:rPr>
              <w:t>M</w:t>
            </w: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B4613A">
            <w:pPr>
              <w:widowControl w:val="0"/>
              <w:jc w:val="center"/>
              <w:rPr>
                <w:rFonts w:ascii="Arial" w:hAnsi="Arial"/>
                <w:b/>
                <w:sz w:val="14"/>
              </w:rPr>
            </w:pPr>
          </w:p>
          <w:p w:rsidR="008112A9" w:rsidRPr="002E0C7E" w:rsidRDefault="008112A9" w:rsidP="00B4613A">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B4613A">
            <w:pPr>
              <w:widowControl w:val="0"/>
              <w:jc w:val="center"/>
              <w:rPr>
                <w:rFonts w:ascii="Arial" w:hAnsi="Arial"/>
                <w:b/>
                <w:sz w:val="14"/>
              </w:rPr>
            </w:pPr>
            <w:r w:rsidRPr="002453E3">
              <w:rPr>
                <w:rFonts w:ascii="Arial" w:hAnsi="Arial"/>
                <w:b/>
                <w:sz w:val="14"/>
              </w:rPr>
              <w:t>M</w:t>
            </w: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20</w:t>
            </w:r>
          </w:p>
        </w:tc>
      </w:tr>
      <w:tr w:rsidR="008112A9" w:rsidRPr="002E0C7E" w:rsidTr="00B4613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B4613A">
            <w:pPr>
              <w:widowControl w:val="0"/>
              <w:jc w:val="center"/>
              <w:rPr>
                <w:rFonts w:ascii="Arial" w:hAnsi="Arial"/>
                <w:b/>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B4613A">
            <w:pPr>
              <w:widowControl w:val="0"/>
              <w:jc w:val="center"/>
              <w:rPr>
                <w:rFonts w:ascii="Arial" w:hAnsi="Arial"/>
                <w:b/>
                <w:sz w:val="14"/>
              </w:rPr>
            </w:pPr>
            <w:r>
              <w:rPr>
                <w:rFonts w:ascii="Arial" w:hAnsi="Arial"/>
                <w:b/>
                <w:sz w:val="14"/>
              </w:rPr>
              <w:t>H</w:t>
            </w:r>
          </w:p>
          <w:p w:rsidR="008112A9" w:rsidRPr="002E0C7E" w:rsidRDefault="008112A9" w:rsidP="00B4613A">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4613A">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4613A">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B4613A">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4613A">
            <w:pPr>
              <w:widowControl w:val="0"/>
              <w:jc w:val="center"/>
              <w:rPr>
                <w:rFonts w:ascii="Arial" w:hAnsi="Arial"/>
                <w:sz w:val="14"/>
              </w:rPr>
            </w:pPr>
          </w:p>
          <w:p w:rsidR="008112A9" w:rsidRPr="002E0C7E" w:rsidRDefault="008112A9" w:rsidP="00B4613A">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B4613A">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B4613A">
            <w:pPr>
              <w:widowControl w:val="0"/>
              <w:rPr>
                <w:rFonts w:ascii="Arial" w:hAnsi="Arial"/>
                <w:sz w:val="16"/>
              </w:rPr>
            </w:pPr>
            <w:r w:rsidRPr="002E0C7E">
              <w:rPr>
                <w:rFonts w:ascii="Arial" w:hAnsi="Arial"/>
                <w:sz w:val="16"/>
              </w:rPr>
              <w:t>Sittings of the court:</w:t>
            </w:r>
          </w:p>
          <w:p w:rsidR="008112A9" w:rsidRPr="002E0C7E" w:rsidRDefault="008112A9" w:rsidP="00B4613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B4613A">
            <w:pPr>
              <w:widowControl w:val="0"/>
              <w:rPr>
                <w:rFonts w:ascii="Arial" w:hAnsi="Arial"/>
                <w:sz w:val="16"/>
              </w:rPr>
            </w:pPr>
          </w:p>
          <w:p w:rsidR="008112A9" w:rsidRPr="002E0C7E" w:rsidRDefault="008112A9" w:rsidP="00B4613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4613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4613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B4613A">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461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6"/>
      <w:footerReference w:type="default" r:id="rId8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0C" w:rsidRDefault="00D6770C" w:rsidP="00A87207">
      <w:r>
        <w:separator/>
      </w:r>
    </w:p>
  </w:endnote>
  <w:endnote w:type="continuationSeparator" w:id="0">
    <w:p w:rsidR="00D6770C" w:rsidRDefault="00D6770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pPr>
      <w:pStyle w:val="Footer"/>
      <w:rPr>
        <w:lang w:val="fr-CA"/>
      </w:rPr>
    </w:pPr>
    <w:r>
      <w:rPr>
        <w:lang w:val="fr-CA"/>
      </w:rPr>
      <w:pict>
        <v:rect id="_x0000_i1065" style="width:480.95pt;height:1pt" o:hralign="center" o:hrstd="t" o:hrnoshade="t" o:hr="t" fillcolor="black [3213]" stroked="f"/>
      </w:pict>
    </w:r>
  </w:p>
  <w:p w:rsidR="00D6770C" w:rsidRDefault="00D6770C" w:rsidP="00245129">
    <w:pPr>
      <w:tabs>
        <w:tab w:val="center" w:pos="4680"/>
      </w:tabs>
    </w:pPr>
    <w:r>
      <w:tab/>
    </w:r>
    <w:r w:rsidRPr="0009648D">
      <w:t xml:space="preserve">- </w:t>
    </w:r>
    <w:r w:rsidR="00376356">
      <w:fldChar w:fldCharType="begin"/>
    </w:r>
    <w:r w:rsidR="00376356">
      <w:instrText xml:space="preserve"> PAGE   \* MERGEFORMAT </w:instrText>
    </w:r>
    <w:r w:rsidR="00376356">
      <w:fldChar w:fldCharType="separate"/>
    </w:r>
    <w:r w:rsidR="005B7E98">
      <w:rPr>
        <w:noProof/>
      </w:rPr>
      <w:t>1017</w:t>
    </w:r>
    <w:r w:rsidR="00376356">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770C" w:rsidRDefault="00D6770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rsidP="00755F22">
    <w:pPr>
      <w:tabs>
        <w:tab w:val="left" w:pos="-1440"/>
        <w:tab w:val="left" w:pos="-720"/>
      </w:tabs>
    </w:pPr>
    <w:r>
      <w:pict>
        <v:rect id="_x0000_i1070" style="width:480.95pt;height:1pt" o:hralign="center" o:hrstd="t" o:hrnoshade="t" o:hr="t" fillcolor="black [3213]" stroked="f"/>
      </w:pict>
    </w:r>
  </w:p>
  <w:p w:rsidR="00D6770C" w:rsidRDefault="00D6770C" w:rsidP="00EB2B90">
    <w:pPr>
      <w:tabs>
        <w:tab w:val="center" w:pos="4680"/>
      </w:tabs>
    </w:pPr>
    <w:r>
      <w:tab/>
      <w:t xml:space="preserve">- </w:t>
    </w:r>
    <w:r w:rsidR="00376356">
      <w:fldChar w:fldCharType="begin"/>
    </w:r>
    <w:r w:rsidR="00376356">
      <w:instrText xml:space="preserve"> PAGE   \* MERGEFORMAT </w:instrText>
    </w:r>
    <w:r w:rsidR="00376356">
      <w:fldChar w:fldCharType="separate"/>
    </w:r>
    <w:r w:rsidR="005B7E98">
      <w:rPr>
        <w:noProof/>
      </w:rPr>
      <w:t>1036</w:t>
    </w:r>
    <w:r w:rsidR="00376356">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rsidP="00EB2B90">
    <w:pPr>
      <w:tabs>
        <w:tab w:val="center" w:pos="4680"/>
      </w:tabs>
    </w:pPr>
    <w:r>
      <w:pict>
        <v:rect id="_x0000_i1071" style="width:480.95pt;height:1pt" o:hralign="center" o:hrstd="t" o:hrnoshade="t" o:hr="t" fillcolor="black [3213]" stroked="f"/>
      </w:pict>
    </w:r>
  </w:p>
  <w:p w:rsidR="00D6770C" w:rsidRPr="0031432F" w:rsidRDefault="00D6770C" w:rsidP="00EB2B90">
    <w:pPr>
      <w:tabs>
        <w:tab w:val="center" w:pos="4680"/>
      </w:tabs>
    </w:pPr>
    <w:r>
      <w:tab/>
      <w:t xml:space="preserve">- </w:t>
    </w:r>
    <w:r w:rsidR="00376356">
      <w:fldChar w:fldCharType="begin"/>
    </w:r>
    <w:r w:rsidR="00376356">
      <w:instrText xml:space="preserve"> PAGE   \* MERGEFORMAT </w:instrText>
    </w:r>
    <w:r w:rsidR="00376356">
      <w:fldChar w:fldCharType="separate"/>
    </w:r>
    <w:r w:rsidR="005B7E98">
      <w:rPr>
        <w:noProof/>
      </w:rPr>
      <w:t>1032</w:t>
    </w:r>
    <w:r w:rsidR="00376356">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770C" w:rsidRDefault="00D6770C">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D6770C" w:rsidRDefault="00D6770C" w:rsidP="00EB2B90">
    <w:pPr>
      <w:tabs>
        <w:tab w:val="center" w:pos="4680"/>
      </w:tabs>
    </w:pPr>
    <w:r>
      <w:tab/>
      <w:t xml:space="preserve">- </w:t>
    </w:r>
    <w:r w:rsidR="00376356">
      <w:fldChar w:fldCharType="begin"/>
    </w:r>
    <w:r w:rsidR="00376356">
      <w:instrText xml:space="preserve"> PAGE   \* MERGEFORMAT </w:instrText>
    </w:r>
    <w:r w:rsidR="00376356">
      <w:fldChar w:fldCharType="separate"/>
    </w:r>
    <w:r>
      <w:rPr>
        <w:noProof/>
      </w:rPr>
      <w:t>524</w:t>
    </w:r>
    <w:r w:rsidR="00376356">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pPr>
      <w:pStyle w:val="Footer"/>
      <w:rPr>
        <w:lang w:val="fr-CA"/>
      </w:rPr>
    </w:pPr>
    <w:r>
      <w:rPr>
        <w:lang w:val="fr-CA"/>
      </w:rPr>
      <w:pict>
        <v:rect id="_x0000_i1074" style="width:480.95pt;height:1pt" o:hralign="center" o:hrstd="t" o:hrnoshade="t" o:hr="t" fillcolor="black [3213]" stroked="f"/>
      </w:pict>
    </w:r>
  </w:p>
  <w:p w:rsidR="00D6770C" w:rsidRDefault="00D6770C" w:rsidP="00EB2B90">
    <w:pPr>
      <w:tabs>
        <w:tab w:val="center" w:pos="4680"/>
      </w:tabs>
    </w:pPr>
    <w:r>
      <w:tab/>
      <w:t xml:space="preserve">- </w:t>
    </w:r>
    <w:r w:rsidR="00376356">
      <w:fldChar w:fldCharType="begin"/>
    </w:r>
    <w:r w:rsidR="00376356">
      <w:instrText xml:space="preserve"> PAGE   \* MERGEFORMAT </w:instrText>
    </w:r>
    <w:r w:rsidR="00376356">
      <w:fldChar w:fldCharType="separate"/>
    </w:r>
    <w:r w:rsidR="005B7E98">
      <w:rPr>
        <w:noProof/>
      </w:rPr>
      <w:t>1037</w:t>
    </w:r>
    <w:r w:rsidR="00376356">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770C" w:rsidRDefault="00D6770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rsidP="00732DB7">
    <w:r>
      <w:pict>
        <v:rect id="_x0000_i1076" style="width:480.95pt;height:1pt" o:hralign="center" o:hrstd="t" o:hrnoshade="t" o:hr="t" fillcolor="black" stroked="f"/>
      </w:pict>
    </w:r>
  </w:p>
  <w:p w:rsidR="00D6770C" w:rsidRDefault="00D6770C">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pPr>
      <w:pStyle w:val="Footer"/>
    </w:pPr>
    <w:r>
      <w:pict>
        <v:rect id="_x0000_i1077" style="width:480.95pt;height:1pt" o:hralign="center" o:hrstd="t" o:hrnoshade="t" o:hr="t" fillcolor="black [3213]" stroked="f"/>
      </w:pict>
    </w:r>
  </w:p>
  <w:p w:rsidR="00D6770C" w:rsidRPr="003C2C0F" w:rsidRDefault="00D6770C" w:rsidP="00697C62">
    <w:pPr>
      <w:tabs>
        <w:tab w:val="center" w:pos="4680"/>
      </w:tabs>
    </w:pPr>
    <w:r>
      <w:tab/>
      <w:t xml:space="preserve">- </w:t>
    </w:r>
    <w:r w:rsidR="00376356">
      <w:fldChar w:fldCharType="begin"/>
    </w:r>
    <w:r w:rsidR="00376356">
      <w:instrText xml:space="preserve"> PAGE   \* MERGEFORMAT </w:instrText>
    </w:r>
    <w:r w:rsidR="00376356">
      <w:fldChar w:fldCharType="separate"/>
    </w:r>
    <w:r w:rsidR="005B7E98">
      <w:rPr>
        <w:noProof/>
      </w:rPr>
      <w:t>1038</w:t>
    </w:r>
    <w:r w:rsidR="00376356">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770C" w:rsidRDefault="00D6770C">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6770C" w:rsidRDefault="005B7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0" style="width:480.95pt;height:1pt" o:hralign="center" o:hrstd="t" o:hrnoshade="t" o:hr="t" fillcolor="black [3213]" stroked="f"/>
      </w:pict>
    </w:r>
  </w:p>
  <w:p w:rsidR="00D6770C" w:rsidRDefault="00D6770C" w:rsidP="00782AE4">
    <w:pPr>
      <w:tabs>
        <w:tab w:val="center" w:pos="4680"/>
      </w:tabs>
    </w:pPr>
    <w:r>
      <w:tab/>
      <w:t xml:space="preserve">- </w:t>
    </w:r>
    <w:r w:rsidR="00E85246" w:rsidRPr="001775C1">
      <w:rPr>
        <w:szCs w:val="24"/>
      </w:rPr>
      <w:fldChar w:fldCharType="begin"/>
    </w:r>
    <w:r w:rsidRPr="001775C1">
      <w:rPr>
        <w:szCs w:val="24"/>
      </w:rPr>
      <w:instrText xml:space="preserve"> PAGE   \* MERGEFORMAT </w:instrText>
    </w:r>
    <w:r w:rsidR="00E85246" w:rsidRPr="001775C1">
      <w:rPr>
        <w:szCs w:val="24"/>
      </w:rPr>
      <w:fldChar w:fldCharType="separate"/>
    </w:r>
    <w:r w:rsidR="005B7E98">
      <w:rPr>
        <w:noProof/>
        <w:szCs w:val="24"/>
      </w:rPr>
      <w:t>1041</w:t>
    </w:r>
    <w:r w:rsidR="00E85246"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rsidP="00782AE4">
    <w:pPr>
      <w:tabs>
        <w:tab w:val="center" w:pos="4680"/>
      </w:tabs>
    </w:pPr>
    <w:r>
      <w:pict>
        <v:rect id="_x0000_i1081" style="width:480.95pt;height:1pt" o:hralign="center" o:hrstd="t" o:hrnoshade="t" o:hr="t" fillcolor="black [3213]" stroked="f"/>
      </w:pict>
    </w:r>
  </w:p>
  <w:p w:rsidR="00D6770C" w:rsidRDefault="00D6770C" w:rsidP="00782AE4">
    <w:pPr>
      <w:tabs>
        <w:tab w:val="center" w:pos="4680"/>
      </w:tabs>
    </w:pPr>
    <w:r>
      <w:tab/>
      <w:t xml:space="preserve">- </w:t>
    </w:r>
    <w:r w:rsidR="00E85246" w:rsidRPr="001775C1">
      <w:rPr>
        <w:szCs w:val="24"/>
      </w:rPr>
      <w:fldChar w:fldCharType="begin"/>
    </w:r>
    <w:r w:rsidRPr="001775C1">
      <w:rPr>
        <w:szCs w:val="24"/>
      </w:rPr>
      <w:instrText xml:space="preserve"> PAGE   \* MERGEFORMAT </w:instrText>
    </w:r>
    <w:r w:rsidR="00E85246" w:rsidRPr="001775C1">
      <w:rPr>
        <w:szCs w:val="24"/>
      </w:rPr>
      <w:fldChar w:fldCharType="separate"/>
    </w:r>
    <w:r w:rsidR="005B7E98">
      <w:rPr>
        <w:noProof/>
        <w:szCs w:val="24"/>
      </w:rPr>
      <w:t>1039</w:t>
    </w:r>
    <w:r w:rsidR="00E85246"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Pr="00924065" w:rsidRDefault="00D6770C"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rsidP="00A87207">
    <w:pPr>
      <w:pStyle w:val="Footer"/>
    </w:pPr>
    <w:r>
      <w:pict>
        <v:rect id="_x0000_i1041" style="width:480.95pt;height:1pt" o:hralign="center" o:hrstd="t" o:hrnoshade="t" o:hr="t" fillcolor="black [3213]" stroked="f"/>
      </w:pict>
    </w:r>
  </w:p>
  <w:p w:rsidR="00D6770C" w:rsidRPr="00B7374B" w:rsidRDefault="00D6770C" w:rsidP="00B7374B">
    <w:pPr>
      <w:tabs>
        <w:tab w:val="center" w:pos="4680"/>
      </w:tabs>
      <w:rPr>
        <w:szCs w:val="24"/>
      </w:rPr>
    </w:pPr>
    <w:r w:rsidRPr="00954D22">
      <w:rPr>
        <w:szCs w:val="24"/>
      </w:rPr>
      <w:tab/>
      <w:t xml:space="preserve">- </w:t>
    </w:r>
    <w:r w:rsidR="00E85246" w:rsidRPr="00954D22">
      <w:rPr>
        <w:szCs w:val="24"/>
      </w:rPr>
      <w:fldChar w:fldCharType="begin"/>
    </w:r>
    <w:r w:rsidRPr="00954D22">
      <w:rPr>
        <w:szCs w:val="24"/>
      </w:rPr>
      <w:instrText xml:space="preserve"> PAGE   \* MERGEFORMAT </w:instrText>
    </w:r>
    <w:r w:rsidR="00E85246" w:rsidRPr="00954D22">
      <w:rPr>
        <w:szCs w:val="24"/>
      </w:rPr>
      <w:fldChar w:fldCharType="separate"/>
    </w:r>
    <w:r w:rsidR="005B7E98">
      <w:rPr>
        <w:noProof/>
        <w:szCs w:val="24"/>
      </w:rPr>
      <w:t>1015</w:t>
    </w:r>
    <w:r w:rsidR="00E85246"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rsidP="00755F22">
    <w:pPr>
      <w:tabs>
        <w:tab w:val="left" w:pos="-1440"/>
        <w:tab w:val="left" w:pos="-720"/>
      </w:tabs>
    </w:pPr>
    <w:r>
      <w:pict>
        <v:rect id="_x0000_i1042" style="width:480.95pt;height:1pt" o:hralign="center" o:hrstd="t" o:hrnoshade="t" o:hr="t" fillcolor="black [3213]" stroked="f"/>
      </w:pict>
    </w:r>
  </w:p>
  <w:p w:rsidR="00D6770C" w:rsidRPr="00954D22" w:rsidRDefault="00D6770C" w:rsidP="00B7374B">
    <w:pPr>
      <w:tabs>
        <w:tab w:val="center" w:pos="4680"/>
      </w:tabs>
      <w:rPr>
        <w:szCs w:val="24"/>
      </w:rPr>
    </w:pPr>
    <w:r w:rsidRPr="00954D22">
      <w:rPr>
        <w:szCs w:val="24"/>
      </w:rPr>
      <w:tab/>
      <w:t xml:space="preserve">- </w:t>
    </w:r>
    <w:r w:rsidR="00E85246">
      <w:rPr>
        <w:szCs w:val="24"/>
      </w:rPr>
      <w:fldChar w:fldCharType="begin"/>
    </w:r>
    <w:r>
      <w:rPr>
        <w:szCs w:val="24"/>
      </w:rPr>
      <w:instrText xml:space="preserve"> PAGE   \* MERGEFORMAT </w:instrText>
    </w:r>
    <w:r w:rsidR="00E85246">
      <w:rPr>
        <w:szCs w:val="24"/>
      </w:rPr>
      <w:fldChar w:fldCharType="separate"/>
    </w:r>
    <w:r w:rsidR="005B7E98">
      <w:rPr>
        <w:noProof/>
        <w:szCs w:val="24"/>
      </w:rPr>
      <w:t>1014</w:t>
    </w:r>
    <w:r w:rsidR="00E85246">
      <w:rPr>
        <w:szCs w:val="24"/>
      </w:rPr>
      <w:fldChar w:fldCharType="end"/>
    </w:r>
    <w:r w:rsidRPr="00954D22">
      <w:rPr>
        <w:szCs w:val="24"/>
      </w:rPr>
      <w:t xml:space="preserve"> -</w:t>
    </w:r>
  </w:p>
  <w:p w:rsidR="00D6770C" w:rsidRDefault="00D6770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rsidP="00A87207">
    <w:pPr>
      <w:pStyle w:val="Footer"/>
    </w:pPr>
    <w:r>
      <w:pict>
        <v:rect id="_x0000_i1044" style="width:480.95pt;height:1pt" o:hralign="center" o:hrstd="t" o:hrnoshade="t" o:hr="t" fillcolor="black [3213]" stroked="f"/>
      </w:pict>
    </w:r>
  </w:p>
  <w:p w:rsidR="00D6770C" w:rsidRPr="00B7374B" w:rsidRDefault="00D6770C" w:rsidP="00B7374B">
    <w:pPr>
      <w:tabs>
        <w:tab w:val="center" w:pos="4680"/>
      </w:tabs>
      <w:rPr>
        <w:szCs w:val="24"/>
      </w:rPr>
    </w:pPr>
    <w:r w:rsidRPr="00954D22">
      <w:rPr>
        <w:szCs w:val="24"/>
      </w:rPr>
      <w:tab/>
      <w:t xml:space="preserve">- </w:t>
    </w:r>
    <w:r w:rsidR="00E85246" w:rsidRPr="00954D22">
      <w:rPr>
        <w:szCs w:val="24"/>
      </w:rPr>
      <w:fldChar w:fldCharType="begin"/>
    </w:r>
    <w:r w:rsidRPr="00954D22">
      <w:rPr>
        <w:szCs w:val="24"/>
      </w:rPr>
      <w:instrText xml:space="preserve"> PAGE   \* MERGEFORMAT </w:instrText>
    </w:r>
    <w:r w:rsidR="00E85246" w:rsidRPr="00954D22">
      <w:rPr>
        <w:szCs w:val="24"/>
      </w:rPr>
      <w:fldChar w:fldCharType="separate"/>
    </w:r>
    <w:r>
      <w:rPr>
        <w:noProof/>
        <w:szCs w:val="24"/>
      </w:rPr>
      <w:t>1017</w:t>
    </w:r>
    <w:r w:rsidR="00E85246"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D6770C" w:rsidRPr="00954D22" w:rsidRDefault="00D6770C" w:rsidP="00B7374B">
    <w:pPr>
      <w:tabs>
        <w:tab w:val="center" w:pos="4680"/>
      </w:tabs>
      <w:rPr>
        <w:szCs w:val="24"/>
      </w:rPr>
    </w:pPr>
    <w:r w:rsidRPr="00954D22">
      <w:rPr>
        <w:szCs w:val="24"/>
      </w:rPr>
      <w:tab/>
      <w:t xml:space="preserve">- </w:t>
    </w:r>
    <w:r w:rsidR="00E85246" w:rsidRPr="00954D22">
      <w:rPr>
        <w:szCs w:val="24"/>
      </w:rPr>
      <w:fldChar w:fldCharType="begin"/>
    </w:r>
    <w:r w:rsidRPr="00954D22">
      <w:rPr>
        <w:szCs w:val="24"/>
      </w:rPr>
      <w:instrText xml:space="preserve"> PAGE   \* MERGEFORMAT </w:instrText>
    </w:r>
    <w:r w:rsidR="00E85246" w:rsidRPr="00954D22">
      <w:rPr>
        <w:szCs w:val="24"/>
      </w:rPr>
      <w:fldChar w:fldCharType="separate"/>
    </w:r>
    <w:r w:rsidR="005B7E98">
      <w:rPr>
        <w:noProof/>
        <w:szCs w:val="24"/>
      </w:rPr>
      <w:t>1016</w:t>
    </w:r>
    <w:r w:rsidR="00E85246"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6770C" w:rsidRDefault="00D6770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5B7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D6770C" w:rsidRPr="0009648D" w:rsidRDefault="00D6770C" w:rsidP="00ED7E83">
    <w:pPr>
      <w:tabs>
        <w:tab w:val="center" w:pos="4680"/>
      </w:tabs>
    </w:pPr>
    <w:r>
      <w:tab/>
    </w:r>
    <w:r w:rsidRPr="0009648D">
      <w:t xml:space="preserve">- </w:t>
    </w:r>
    <w:r w:rsidR="00376356">
      <w:fldChar w:fldCharType="begin"/>
    </w:r>
    <w:r w:rsidR="00376356">
      <w:instrText xml:space="preserve"> PAGE   \* MERGEFORMAT </w:instrText>
    </w:r>
    <w:r w:rsidR="00376356">
      <w:fldChar w:fldCharType="separate"/>
    </w:r>
    <w:r w:rsidR="005B7E98">
      <w:rPr>
        <w:noProof/>
      </w:rPr>
      <w:t>1031</w:t>
    </w:r>
    <w:r w:rsidR="00376356">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0C" w:rsidRDefault="00D6770C" w:rsidP="00A87207">
      <w:r>
        <w:separator/>
      </w:r>
    </w:p>
  </w:footnote>
  <w:footnote w:type="continuationSeparator" w:id="0">
    <w:p w:rsidR="00D6770C" w:rsidRDefault="00D6770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6770C">
      <w:tc>
        <w:tcPr>
          <w:tcW w:w="4230" w:type="dxa"/>
          <w:tcMar>
            <w:left w:w="0" w:type="dxa"/>
            <w:right w:w="0" w:type="dxa"/>
          </w:tcMar>
        </w:tcPr>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6770C" w:rsidRDefault="00D677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6770C" w:rsidRDefault="00D677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6770C">
      <w:trPr>
        <w:gridAfter w:val="2"/>
        <w:wAfter w:w="5250" w:type="dxa"/>
      </w:trPr>
      <w:tc>
        <w:tcPr>
          <w:tcW w:w="4230" w:type="dxa"/>
          <w:tcMar>
            <w:left w:w="0" w:type="dxa"/>
            <w:right w:w="0" w:type="dxa"/>
          </w:tcMar>
        </w:tcPr>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6770C" w:rsidRPr="00755F22" w:rsidTr="00245129">
      <w:tc>
        <w:tcPr>
          <w:tcW w:w="4230" w:type="dxa"/>
          <w:tcMar>
            <w:left w:w="0" w:type="dxa"/>
            <w:right w:w="0" w:type="dxa"/>
          </w:tcMar>
        </w:tcPr>
        <w:p w:rsidR="00D6770C" w:rsidRPr="00755F22" w:rsidRDefault="00D6770C" w:rsidP="00831CA9">
          <w:pPr>
            <w:keepNext/>
            <w:keepLines/>
            <w:rPr>
              <w:sz w:val="20"/>
              <w:szCs w:val="20"/>
            </w:rPr>
          </w:pPr>
          <w:r w:rsidRPr="00755F22">
            <w:rPr>
              <w:sz w:val="20"/>
              <w:szCs w:val="20"/>
            </w:rPr>
            <w:t>MOTIONS</w:t>
          </w:r>
        </w:p>
      </w:tc>
      <w:tc>
        <w:tcPr>
          <w:tcW w:w="1170" w:type="dxa"/>
          <w:tcMar>
            <w:left w:w="0" w:type="dxa"/>
            <w:right w:w="0" w:type="dxa"/>
          </w:tcMar>
        </w:tcPr>
        <w:p w:rsidR="00D6770C" w:rsidRPr="00755F22" w:rsidRDefault="00D6770C" w:rsidP="00831CA9">
          <w:pPr>
            <w:keepLines/>
            <w:jc w:val="center"/>
            <w:rPr>
              <w:sz w:val="20"/>
              <w:szCs w:val="20"/>
            </w:rPr>
          </w:pPr>
        </w:p>
        <w:p w:rsidR="00D6770C" w:rsidRPr="00755F22" w:rsidRDefault="00D6770C" w:rsidP="00831CA9">
          <w:pPr>
            <w:keepLines/>
            <w:tabs>
              <w:tab w:val="left" w:pos="-1440"/>
              <w:tab w:val="left" w:pos="-720"/>
            </w:tabs>
            <w:jc w:val="center"/>
            <w:rPr>
              <w:sz w:val="20"/>
              <w:szCs w:val="20"/>
            </w:rPr>
          </w:pPr>
        </w:p>
      </w:tc>
      <w:tc>
        <w:tcPr>
          <w:tcW w:w="4080" w:type="dxa"/>
          <w:tcMar>
            <w:left w:w="0" w:type="dxa"/>
            <w:right w:w="0" w:type="dxa"/>
          </w:tcMar>
        </w:tcPr>
        <w:p w:rsidR="00D6770C" w:rsidRPr="00BA6468" w:rsidRDefault="00D6770C" w:rsidP="00BA6468">
          <w:pPr>
            <w:keepLines/>
            <w:rPr>
              <w:sz w:val="20"/>
              <w:szCs w:val="20"/>
              <w:lang w:val="fr-CA"/>
            </w:rPr>
          </w:pPr>
          <w:r w:rsidRPr="00BA6468">
            <w:rPr>
              <w:sz w:val="20"/>
              <w:szCs w:val="20"/>
              <w:lang w:val="fr-CA"/>
            </w:rPr>
            <w:t>REQUÊTES</w:t>
          </w:r>
        </w:p>
      </w:tc>
    </w:tr>
  </w:tbl>
  <w:p w:rsidR="00D6770C" w:rsidRDefault="00D6770C"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6770C" w:rsidRPr="00A12C1D">
      <w:tc>
        <w:tcPr>
          <w:tcW w:w="4200" w:type="dxa"/>
          <w:tcMar>
            <w:left w:w="0" w:type="dxa"/>
            <w:right w:w="0" w:type="dxa"/>
          </w:tcMar>
        </w:tcPr>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6770C" w:rsidRPr="00B01A03" w:rsidRDefault="00D677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D6770C" w:rsidRPr="00B01A03"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6770C" w:rsidRPr="00B01A03"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D6770C" w:rsidRPr="00A12C1D" w:rsidTr="00245129">
      <w:tc>
        <w:tcPr>
          <w:tcW w:w="4200" w:type="dxa"/>
          <w:tcMar>
            <w:left w:w="0" w:type="dxa"/>
            <w:right w:w="0" w:type="dxa"/>
          </w:tcMar>
        </w:tcPr>
        <w:p w:rsidR="00D6770C" w:rsidRPr="00F40249" w:rsidRDefault="00D6770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D6770C" w:rsidRDefault="00D6770C" w:rsidP="00102926">
          <w:pPr>
            <w:keepNext/>
            <w:keepLines/>
            <w:tabs>
              <w:tab w:val="left" w:pos="-1440"/>
              <w:tab w:val="left" w:pos="-720"/>
            </w:tabs>
            <w:jc w:val="center"/>
            <w:rPr>
              <w:sz w:val="20"/>
              <w:szCs w:val="20"/>
            </w:rPr>
          </w:pPr>
        </w:p>
        <w:p w:rsidR="00D6770C" w:rsidRDefault="00D6770C" w:rsidP="00102926">
          <w:pPr>
            <w:keepNext/>
            <w:keepLines/>
            <w:tabs>
              <w:tab w:val="left" w:pos="-1440"/>
              <w:tab w:val="left" w:pos="-720"/>
            </w:tabs>
            <w:jc w:val="center"/>
            <w:rPr>
              <w:sz w:val="20"/>
              <w:szCs w:val="20"/>
            </w:rPr>
          </w:pPr>
        </w:p>
        <w:p w:rsidR="00D6770C" w:rsidRPr="00F40249" w:rsidRDefault="00D6770C" w:rsidP="00102926">
          <w:pPr>
            <w:keepNext/>
            <w:keepLines/>
            <w:tabs>
              <w:tab w:val="left" w:pos="-1440"/>
              <w:tab w:val="left" w:pos="-720"/>
            </w:tabs>
            <w:jc w:val="center"/>
            <w:rPr>
              <w:sz w:val="20"/>
              <w:szCs w:val="20"/>
            </w:rPr>
          </w:pPr>
        </w:p>
      </w:tc>
      <w:tc>
        <w:tcPr>
          <w:tcW w:w="4230" w:type="dxa"/>
          <w:tcMar>
            <w:left w:w="0" w:type="dxa"/>
            <w:right w:w="0" w:type="dxa"/>
          </w:tcMar>
        </w:tcPr>
        <w:p w:rsidR="00D6770C" w:rsidRPr="00F40249" w:rsidRDefault="00D6770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D6770C" w:rsidRPr="00B01A03" w:rsidRDefault="00D6770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6770C" w:rsidRPr="00A12C1D">
      <w:tc>
        <w:tcPr>
          <w:tcW w:w="4200" w:type="dxa"/>
          <w:tcMar>
            <w:left w:w="0" w:type="dxa"/>
            <w:right w:w="0" w:type="dxa"/>
          </w:tcMar>
        </w:tcPr>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6770C" w:rsidRPr="003C2C0F" w:rsidRDefault="00D677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6770C" w:rsidRPr="003C2C0F"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6770C" w:rsidRPr="003C2C0F"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6770C" w:rsidRPr="00A12C1D" w:rsidTr="00245129">
      <w:tc>
        <w:tcPr>
          <w:tcW w:w="4200" w:type="dxa"/>
          <w:tcMar>
            <w:left w:w="0" w:type="dxa"/>
            <w:right w:w="0" w:type="dxa"/>
          </w:tcMar>
        </w:tcPr>
        <w:p w:rsidR="00D6770C" w:rsidRPr="00FF6EEC" w:rsidRDefault="00D6770C" w:rsidP="00FF6EEC">
          <w:pPr>
            <w:rPr>
              <w:sz w:val="20"/>
              <w:szCs w:val="20"/>
            </w:rPr>
          </w:pPr>
          <w:r w:rsidRPr="00FF6EEC">
            <w:rPr>
              <w:sz w:val="20"/>
              <w:szCs w:val="20"/>
            </w:rPr>
            <w:t>PRONOUNCEMENTS OF APPEALS RESERVED</w:t>
          </w:r>
        </w:p>
      </w:tc>
      <w:tc>
        <w:tcPr>
          <w:tcW w:w="1200" w:type="dxa"/>
          <w:tcMar>
            <w:left w:w="0" w:type="dxa"/>
            <w:right w:w="0" w:type="dxa"/>
          </w:tcMar>
        </w:tcPr>
        <w:p w:rsidR="00D6770C" w:rsidRPr="00FF6EEC" w:rsidRDefault="00D6770C" w:rsidP="00FF6EEC">
          <w:pPr>
            <w:jc w:val="center"/>
            <w:rPr>
              <w:sz w:val="20"/>
              <w:szCs w:val="20"/>
            </w:rPr>
          </w:pPr>
        </w:p>
        <w:p w:rsidR="00D6770C" w:rsidRPr="00FF6EEC" w:rsidRDefault="00D6770C" w:rsidP="00FF6EEC">
          <w:pPr>
            <w:jc w:val="center"/>
            <w:rPr>
              <w:sz w:val="20"/>
              <w:szCs w:val="20"/>
            </w:rPr>
          </w:pPr>
        </w:p>
        <w:p w:rsidR="00D6770C" w:rsidRPr="00FF6EEC" w:rsidRDefault="00D6770C" w:rsidP="00FF6EEC">
          <w:pPr>
            <w:jc w:val="center"/>
            <w:rPr>
              <w:sz w:val="20"/>
              <w:szCs w:val="20"/>
            </w:rPr>
          </w:pPr>
        </w:p>
      </w:tc>
      <w:tc>
        <w:tcPr>
          <w:tcW w:w="4080" w:type="dxa"/>
          <w:tcMar>
            <w:left w:w="0" w:type="dxa"/>
            <w:right w:w="0" w:type="dxa"/>
          </w:tcMar>
        </w:tcPr>
        <w:p w:rsidR="00D6770C" w:rsidRPr="00FF6EEC" w:rsidRDefault="00D6770C" w:rsidP="00FF6EEC">
          <w:pPr>
            <w:rPr>
              <w:sz w:val="20"/>
              <w:szCs w:val="20"/>
              <w:lang w:val="fr-CA"/>
            </w:rPr>
          </w:pPr>
          <w:r w:rsidRPr="00FF6EEC">
            <w:rPr>
              <w:sz w:val="20"/>
              <w:szCs w:val="20"/>
              <w:lang w:val="fr-CA"/>
            </w:rPr>
            <w:t>JUGEMENTS RENDUS SUR LES APPELS EN DÉLIBÉRÉ</w:t>
          </w:r>
        </w:p>
      </w:tc>
    </w:tr>
  </w:tbl>
  <w:p w:rsidR="00D6770C" w:rsidRPr="003C2C0F" w:rsidRDefault="00D6770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6770C">
      <w:tc>
        <w:tcPr>
          <w:tcW w:w="4230" w:type="dxa"/>
          <w:tcMar>
            <w:left w:w="0" w:type="dxa"/>
            <w:right w:w="0" w:type="dxa"/>
          </w:tcMar>
        </w:tcPr>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6770C" w:rsidRDefault="00D677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6770C"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6770C" w:rsidRPr="00782AE4" w:rsidTr="00245129">
      <w:tc>
        <w:tcPr>
          <w:tcW w:w="4230" w:type="dxa"/>
          <w:tcMar>
            <w:left w:w="0" w:type="dxa"/>
            <w:right w:w="0" w:type="dxa"/>
          </w:tcMar>
        </w:tcPr>
        <w:p w:rsidR="00D6770C" w:rsidRPr="00782AE4" w:rsidRDefault="00D6770C" w:rsidP="00102926">
          <w:pPr>
            <w:keepNext/>
            <w:keepLines/>
            <w:tabs>
              <w:tab w:val="left" w:pos="-1440"/>
              <w:tab w:val="left" w:pos="-720"/>
            </w:tabs>
            <w:rPr>
              <w:sz w:val="20"/>
              <w:szCs w:val="20"/>
            </w:rPr>
          </w:pPr>
          <w:r w:rsidRPr="00782AE4">
            <w:rPr>
              <w:sz w:val="20"/>
              <w:szCs w:val="20"/>
            </w:rPr>
            <w:t xml:space="preserve">HEADNOTES OF RECENT </w:t>
          </w:r>
        </w:p>
        <w:p w:rsidR="00D6770C" w:rsidRPr="00782AE4"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6770C" w:rsidRDefault="00D6770C" w:rsidP="00102926">
          <w:pPr>
            <w:keepNext/>
            <w:keepLines/>
            <w:tabs>
              <w:tab w:val="left" w:pos="-1440"/>
              <w:tab w:val="left" w:pos="-720"/>
            </w:tabs>
            <w:jc w:val="center"/>
            <w:rPr>
              <w:sz w:val="20"/>
              <w:szCs w:val="20"/>
            </w:rPr>
          </w:pPr>
        </w:p>
        <w:p w:rsidR="00D6770C" w:rsidRDefault="00D6770C" w:rsidP="00102926">
          <w:pPr>
            <w:keepNext/>
            <w:keepLines/>
            <w:tabs>
              <w:tab w:val="left" w:pos="-1440"/>
              <w:tab w:val="left" w:pos="-720"/>
            </w:tabs>
            <w:jc w:val="center"/>
            <w:rPr>
              <w:sz w:val="20"/>
              <w:szCs w:val="20"/>
            </w:rPr>
          </w:pPr>
        </w:p>
        <w:p w:rsidR="00D6770C" w:rsidRPr="00782AE4" w:rsidRDefault="00D6770C" w:rsidP="00102926">
          <w:pPr>
            <w:keepNext/>
            <w:keepLines/>
            <w:tabs>
              <w:tab w:val="left" w:pos="-1440"/>
              <w:tab w:val="left" w:pos="-720"/>
            </w:tabs>
            <w:jc w:val="center"/>
            <w:rPr>
              <w:sz w:val="20"/>
              <w:szCs w:val="20"/>
            </w:rPr>
          </w:pPr>
        </w:p>
      </w:tc>
      <w:tc>
        <w:tcPr>
          <w:tcW w:w="4080" w:type="dxa"/>
          <w:tcMar>
            <w:left w:w="0" w:type="dxa"/>
            <w:right w:w="0" w:type="dxa"/>
          </w:tcMar>
        </w:tcPr>
        <w:p w:rsidR="00D6770C" w:rsidRPr="00102926"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6770C" w:rsidRPr="00782AE4" w:rsidRDefault="00D6770C" w:rsidP="00102926">
          <w:pPr>
            <w:keepLines/>
            <w:tabs>
              <w:tab w:val="left" w:pos="-1440"/>
              <w:tab w:val="left" w:pos="-720"/>
            </w:tabs>
            <w:rPr>
              <w:sz w:val="20"/>
              <w:szCs w:val="20"/>
            </w:rPr>
          </w:pPr>
          <w:r w:rsidRPr="00102926">
            <w:rPr>
              <w:sz w:val="20"/>
              <w:szCs w:val="20"/>
              <w:lang w:val="fr-CA"/>
            </w:rPr>
            <w:t>RÉCENTS</w:t>
          </w:r>
        </w:p>
      </w:tc>
    </w:tr>
  </w:tbl>
  <w:p w:rsidR="00D6770C" w:rsidRDefault="00D6770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6770C" w:rsidRPr="0044776A" w:rsidTr="00245129">
      <w:tc>
        <w:tcPr>
          <w:tcW w:w="4290" w:type="dxa"/>
          <w:tcMar>
            <w:left w:w="0" w:type="dxa"/>
            <w:right w:w="0" w:type="dxa"/>
          </w:tcMar>
        </w:tcPr>
        <w:p w:rsidR="00D6770C" w:rsidRPr="0044776A" w:rsidRDefault="00D6770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6770C" w:rsidRPr="0044776A" w:rsidRDefault="00D6770C" w:rsidP="002E2327">
          <w:pPr>
            <w:keepNext/>
            <w:keepLines/>
            <w:tabs>
              <w:tab w:val="left" w:pos="-1440"/>
              <w:tab w:val="left" w:pos="-720"/>
            </w:tabs>
            <w:jc w:val="center"/>
            <w:rPr>
              <w:sz w:val="20"/>
              <w:szCs w:val="20"/>
            </w:rPr>
          </w:pPr>
        </w:p>
        <w:p w:rsidR="00D6770C" w:rsidRPr="0044776A" w:rsidRDefault="00D6770C" w:rsidP="002E2327">
          <w:pPr>
            <w:keepNext/>
            <w:keepLines/>
            <w:tabs>
              <w:tab w:val="left" w:pos="-1440"/>
              <w:tab w:val="left" w:pos="-720"/>
            </w:tabs>
            <w:jc w:val="center"/>
            <w:rPr>
              <w:sz w:val="20"/>
              <w:szCs w:val="20"/>
            </w:rPr>
          </w:pPr>
        </w:p>
        <w:p w:rsidR="00D6770C" w:rsidRPr="0044776A" w:rsidRDefault="00D6770C" w:rsidP="002E2327">
          <w:pPr>
            <w:keepNext/>
            <w:keepLines/>
            <w:tabs>
              <w:tab w:val="left" w:pos="-1440"/>
              <w:tab w:val="left" w:pos="-720"/>
            </w:tabs>
            <w:jc w:val="center"/>
            <w:rPr>
              <w:sz w:val="20"/>
              <w:szCs w:val="20"/>
            </w:rPr>
          </w:pPr>
        </w:p>
      </w:tc>
      <w:tc>
        <w:tcPr>
          <w:tcW w:w="4320" w:type="dxa"/>
          <w:tcMar>
            <w:left w:w="0" w:type="dxa"/>
            <w:right w:w="0" w:type="dxa"/>
          </w:tcMar>
        </w:tcPr>
        <w:p w:rsidR="00D6770C" w:rsidRPr="0044776A" w:rsidRDefault="00D6770C" w:rsidP="002E2327">
          <w:pPr>
            <w:keepLines/>
            <w:rPr>
              <w:sz w:val="20"/>
              <w:szCs w:val="20"/>
              <w:lang w:val="fr-CA"/>
            </w:rPr>
          </w:pPr>
          <w:r w:rsidRPr="0044776A">
            <w:rPr>
              <w:sz w:val="20"/>
              <w:szCs w:val="20"/>
              <w:lang w:val="fr-CA"/>
            </w:rPr>
            <w:t>DEMANDES D'AUTORISATION D'APPEL DÉPOSÉES</w:t>
          </w:r>
        </w:p>
      </w:tc>
    </w:tr>
  </w:tbl>
  <w:p w:rsidR="00D6770C" w:rsidRDefault="00D677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6770C" w:rsidRPr="00A12C1D" w:rsidTr="00245129">
      <w:tc>
        <w:tcPr>
          <w:tcW w:w="4200" w:type="dxa"/>
          <w:tcMar>
            <w:left w:w="0" w:type="dxa"/>
            <w:right w:w="0" w:type="dxa"/>
          </w:tcMar>
        </w:tcPr>
        <w:p w:rsidR="00D6770C" w:rsidRPr="0044776A" w:rsidRDefault="00D6770C" w:rsidP="0044776A">
          <w:pPr>
            <w:keepNext/>
            <w:keepLines/>
            <w:widowControl w:val="0"/>
            <w:rPr>
              <w:sz w:val="20"/>
              <w:szCs w:val="20"/>
            </w:rPr>
          </w:pPr>
          <w:r>
            <w:rPr>
              <w:sz w:val="20"/>
              <w:szCs w:val="20"/>
            </w:rPr>
            <w:t>APPLICATIONS FOR LEAVE</w:t>
          </w:r>
        </w:p>
        <w:p w:rsidR="00D6770C" w:rsidRPr="0044776A" w:rsidRDefault="00D6770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6770C" w:rsidRPr="0044776A" w:rsidRDefault="00D6770C" w:rsidP="0044776A">
          <w:pPr>
            <w:keepNext/>
            <w:keepLines/>
            <w:widowControl w:val="0"/>
            <w:jc w:val="center"/>
            <w:rPr>
              <w:sz w:val="20"/>
              <w:szCs w:val="20"/>
            </w:rPr>
          </w:pPr>
        </w:p>
        <w:p w:rsidR="00D6770C" w:rsidRPr="0044776A" w:rsidRDefault="00D6770C" w:rsidP="0044776A">
          <w:pPr>
            <w:keepNext/>
            <w:keepLines/>
            <w:widowControl w:val="0"/>
            <w:jc w:val="center"/>
            <w:rPr>
              <w:sz w:val="20"/>
              <w:szCs w:val="20"/>
            </w:rPr>
          </w:pPr>
        </w:p>
        <w:p w:rsidR="00D6770C" w:rsidRPr="0044776A" w:rsidRDefault="00D6770C" w:rsidP="0044776A">
          <w:pPr>
            <w:keepNext/>
            <w:keepLines/>
            <w:widowControl w:val="0"/>
            <w:jc w:val="center"/>
            <w:rPr>
              <w:sz w:val="20"/>
              <w:szCs w:val="20"/>
            </w:rPr>
          </w:pPr>
        </w:p>
      </w:tc>
      <w:tc>
        <w:tcPr>
          <w:tcW w:w="4080" w:type="dxa"/>
          <w:tcMar>
            <w:left w:w="0" w:type="dxa"/>
            <w:right w:w="0" w:type="dxa"/>
          </w:tcMar>
        </w:tcPr>
        <w:p w:rsidR="00D6770C" w:rsidRPr="0044776A" w:rsidRDefault="00D6770C" w:rsidP="0044776A">
          <w:pPr>
            <w:keepLines/>
            <w:widowControl w:val="0"/>
            <w:rPr>
              <w:sz w:val="20"/>
              <w:szCs w:val="20"/>
              <w:lang w:val="fr-CA"/>
            </w:rPr>
          </w:pPr>
          <w:r w:rsidRPr="0044776A">
            <w:rPr>
              <w:sz w:val="20"/>
              <w:szCs w:val="20"/>
              <w:lang w:val="fr-CA"/>
            </w:rPr>
            <w:t>DEMANDES SOUMISES À LA COUR DEPUIS LA DERNIÈRE PARUTION</w:t>
          </w:r>
        </w:p>
        <w:p w:rsidR="00D6770C" w:rsidRPr="0044776A" w:rsidRDefault="00D6770C" w:rsidP="0044776A">
          <w:pPr>
            <w:widowControl w:val="0"/>
            <w:rPr>
              <w:sz w:val="20"/>
              <w:szCs w:val="20"/>
              <w:lang w:val="fr-CA"/>
            </w:rPr>
          </w:pPr>
        </w:p>
      </w:tc>
    </w:tr>
  </w:tbl>
  <w:p w:rsidR="00D6770C" w:rsidRPr="002E2327" w:rsidRDefault="00D6770C">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0C" w:rsidRDefault="00D6770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6770C" w:rsidRPr="00A12C1D">
      <w:tc>
        <w:tcPr>
          <w:tcW w:w="4200" w:type="dxa"/>
          <w:tcMar>
            <w:left w:w="0" w:type="dxa"/>
            <w:right w:w="0" w:type="dxa"/>
          </w:tcMar>
        </w:tcPr>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6770C"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6770C" w:rsidRDefault="00D677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6770C" w:rsidRPr="00FF6BA5" w:rsidRDefault="00D677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6770C" w:rsidRPr="00FF6BA5"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6770C" w:rsidRPr="00FF6BA5"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6770C" w:rsidRPr="00FF6BA5" w:rsidRDefault="00D677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6770C" w:rsidRPr="00A12C1D" w:rsidTr="00245129">
      <w:tc>
        <w:tcPr>
          <w:tcW w:w="4200" w:type="dxa"/>
          <w:tcMar>
            <w:left w:w="0" w:type="dxa"/>
            <w:right w:w="0" w:type="dxa"/>
          </w:tcMar>
        </w:tcPr>
        <w:p w:rsidR="00D6770C" w:rsidRPr="00755F22"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6770C" w:rsidRPr="00755F22" w:rsidRDefault="00D6770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6770C" w:rsidRPr="00755F22" w:rsidRDefault="00D6770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6770C" w:rsidRPr="00755F22" w:rsidRDefault="00D6770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6770C" w:rsidRPr="00755F22" w:rsidRDefault="00D6770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6770C" w:rsidRPr="00755F22" w:rsidRDefault="00D6770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6770C" w:rsidRPr="00FF6BA5" w:rsidRDefault="00D6770C"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857018"/>
    <w:multiLevelType w:val="hybridMultilevel"/>
    <w:tmpl w:val="E5242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8F76A83"/>
    <w:multiLevelType w:val="hybridMultilevel"/>
    <w:tmpl w:val="E5242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7055"/>
  </w:hdrShapeDefaults>
  <w:footnotePr>
    <w:footnote w:id="-1"/>
    <w:footnote w:id="0"/>
  </w:footnotePr>
  <w:endnotePr>
    <w:endnote w:id="-1"/>
    <w:endnote w:id="0"/>
  </w:endnotePr>
  <w:compat>
    <w:compatSetting w:name="compatibilityMode" w:uri="http://schemas.microsoft.com/office/word" w:val="12"/>
  </w:compat>
  <w:rsids>
    <w:rsidRoot w:val="0002435D"/>
    <w:rsid w:val="0002017D"/>
    <w:rsid w:val="00020DC3"/>
    <w:rsid w:val="0002435D"/>
    <w:rsid w:val="0003223B"/>
    <w:rsid w:val="000327B2"/>
    <w:rsid w:val="000369D8"/>
    <w:rsid w:val="0004528B"/>
    <w:rsid w:val="00064FBA"/>
    <w:rsid w:val="00091FA6"/>
    <w:rsid w:val="00096BD9"/>
    <w:rsid w:val="000B3C9A"/>
    <w:rsid w:val="000B40A2"/>
    <w:rsid w:val="000B4624"/>
    <w:rsid w:val="000C0ACD"/>
    <w:rsid w:val="000C0D2A"/>
    <w:rsid w:val="000C5CE8"/>
    <w:rsid w:val="000E236B"/>
    <w:rsid w:val="000E2959"/>
    <w:rsid w:val="000F0B60"/>
    <w:rsid w:val="000F7CD2"/>
    <w:rsid w:val="00100A98"/>
    <w:rsid w:val="00102926"/>
    <w:rsid w:val="0010587F"/>
    <w:rsid w:val="00111C6B"/>
    <w:rsid w:val="0012102B"/>
    <w:rsid w:val="0013369E"/>
    <w:rsid w:val="00164E6D"/>
    <w:rsid w:val="00183454"/>
    <w:rsid w:val="001875B2"/>
    <w:rsid w:val="001B157C"/>
    <w:rsid w:val="001B4006"/>
    <w:rsid w:val="001B5C23"/>
    <w:rsid w:val="001D0D5F"/>
    <w:rsid w:val="001D6B8C"/>
    <w:rsid w:val="001F1F83"/>
    <w:rsid w:val="001F40DF"/>
    <w:rsid w:val="001F6B2D"/>
    <w:rsid w:val="002021A9"/>
    <w:rsid w:val="002139A7"/>
    <w:rsid w:val="00215F7C"/>
    <w:rsid w:val="0022100D"/>
    <w:rsid w:val="0022323B"/>
    <w:rsid w:val="002410B8"/>
    <w:rsid w:val="00242AEE"/>
    <w:rsid w:val="00244611"/>
    <w:rsid w:val="00245129"/>
    <w:rsid w:val="00245879"/>
    <w:rsid w:val="00267FD5"/>
    <w:rsid w:val="00274D34"/>
    <w:rsid w:val="00283ED8"/>
    <w:rsid w:val="002868D0"/>
    <w:rsid w:val="002A008C"/>
    <w:rsid w:val="002A27D1"/>
    <w:rsid w:val="002A4AFA"/>
    <w:rsid w:val="002B516C"/>
    <w:rsid w:val="002D72EB"/>
    <w:rsid w:val="002E2327"/>
    <w:rsid w:val="002E3583"/>
    <w:rsid w:val="002E5576"/>
    <w:rsid w:val="002E7F89"/>
    <w:rsid w:val="002F5D56"/>
    <w:rsid w:val="00331B52"/>
    <w:rsid w:val="003359D3"/>
    <w:rsid w:val="00355967"/>
    <w:rsid w:val="00371F25"/>
    <w:rsid w:val="00376356"/>
    <w:rsid w:val="00382C47"/>
    <w:rsid w:val="00384384"/>
    <w:rsid w:val="003866AE"/>
    <w:rsid w:val="003B3977"/>
    <w:rsid w:val="003E1D4C"/>
    <w:rsid w:val="003E36F3"/>
    <w:rsid w:val="0040654F"/>
    <w:rsid w:val="00411D57"/>
    <w:rsid w:val="004137A0"/>
    <w:rsid w:val="00422D9A"/>
    <w:rsid w:val="00432989"/>
    <w:rsid w:val="00440E24"/>
    <w:rsid w:val="0044776A"/>
    <w:rsid w:val="00460AFC"/>
    <w:rsid w:val="00467704"/>
    <w:rsid w:val="0047471F"/>
    <w:rsid w:val="00487A18"/>
    <w:rsid w:val="004B195E"/>
    <w:rsid w:val="004B40B7"/>
    <w:rsid w:val="004B66B4"/>
    <w:rsid w:val="004B7F60"/>
    <w:rsid w:val="004C1AAC"/>
    <w:rsid w:val="004C7536"/>
    <w:rsid w:val="004D1FE1"/>
    <w:rsid w:val="004D6A95"/>
    <w:rsid w:val="004D7613"/>
    <w:rsid w:val="004E1E0A"/>
    <w:rsid w:val="004F01A8"/>
    <w:rsid w:val="004F090E"/>
    <w:rsid w:val="00501F3C"/>
    <w:rsid w:val="00506C82"/>
    <w:rsid w:val="00511312"/>
    <w:rsid w:val="00511F7A"/>
    <w:rsid w:val="0051346A"/>
    <w:rsid w:val="0052229C"/>
    <w:rsid w:val="005260C3"/>
    <w:rsid w:val="00527CC7"/>
    <w:rsid w:val="00571CA4"/>
    <w:rsid w:val="00582136"/>
    <w:rsid w:val="00586995"/>
    <w:rsid w:val="005B7E98"/>
    <w:rsid w:val="005C6840"/>
    <w:rsid w:val="005E41FF"/>
    <w:rsid w:val="005F1ED8"/>
    <w:rsid w:val="005F263E"/>
    <w:rsid w:val="00600252"/>
    <w:rsid w:val="00612A40"/>
    <w:rsid w:val="006205C5"/>
    <w:rsid w:val="0062714A"/>
    <w:rsid w:val="00634475"/>
    <w:rsid w:val="00675479"/>
    <w:rsid w:val="00680709"/>
    <w:rsid w:val="00681F61"/>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820CE"/>
    <w:rsid w:val="00782AE4"/>
    <w:rsid w:val="00787FCE"/>
    <w:rsid w:val="0079724F"/>
    <w:rsid w:val="007A3EAE"/>
    <w:rsid w:val="007B73BD"/>
    <w:rsid w:val="007C04FC"/>
    <w:rsid w:val="007C3DB0"/>
    <w:rsid w:val="007C47C2"/>
    <w:rsid w:val="007D3E0F"/>
    <w:rsid w:val="007E4282"/>
    <w:rsid w:val="007F387B"/>
    <w:rsid w:val="00802863"/>
    <w:rsid w:val="008112A9"/>
    <w:rsid w:val="00811C55"/>
    <w:rsid w:val="00815B3C"/>
    <w:rsid w:val="0081610A"/>
    <w:rsid w:val="008230DF"/>
    <w:rsid w:val="0082783A"/>
    <w:rsid w:val="00831CA9"/>
    <w:rsid w:val="008465C2"/>
    <w:rsid w:val="00850E1F"/>
    <w:rsid w:val="0085476B"/>
    <w:rsid w:val="0086340B"/>
    <w:rsid w:val="00881474"/>
    <w:rsid w:val="00884A7B"/>
    <w:rsid w:val="008866D7"/>
    <w:rsid w:val="00890FEB"/>
    <w:rsid w:val="00895E7E"/>
    <w:rsid w:val="00896F14"/>
    <w:rsid w:val="008A5C1A"/>
    <w:rsid w:val="008D292F"/>
    <w:rsid w:val="008E03DC"/>
    <w:rsid w:val="008E0651"/>
    <w:rsid w:val="00902E51"/>
    <w:rsid w:val="00924065"/>
    <w:rsid w:val="00930D68"/>
    <w:rsid w:val="00932DB4"/>
    <w:rsid w:val="00941A4B"/>
    <w:rsid w:val="00946242"/>
    <w:rsid w:val="0095096B"/>
    <w:rsid w:val="00953388"/>
    <w:rsid w:val="00956CFA"/>
    <w:rsid w:val="00970CD3"/>
    <w:rsid w:val="009723FA"/>
    <w:rsid w:val="00984546"/>
    <w:rsid w:val="00996510"/>
    <w:rsid w:val="009B0D64"/>
    <w:rsid w:val="009D1F15"/>
    <w:rsid w:val="009D555E"/>
    <w:rsid w:val="009F3024"/>
    <w:rsid w:val="009F39BA"/>
    <w:rsid w:val="00A028A0"/>
    <w:rsid w:val="00A0355E"/>
    <w:rsid w:val="00A12C1D"/>
    <w:rsid w:val="00A375D1"/>
    <w:rsid w:val="00A51D10"/>
    <w:rsid w:val="00A52A83"/>
    <w:rsid w:val="00A604C0"/>
    <w:rsid w:val="00A6552C"/>
    <w:rsid w:val="00A85C3C"/>
    <w:rsid w:val="00A87207"/>
    <w:rsid w:val="00A935AA"/>
    <w:rsid w:val="00A956D3"/>
    <w:rsid w:val="00AB2201"/>
    <w:rsid w:val="00AB2A1E"/>
    <w:rsid w:val="00AD1D34"/>
    <w:rsid w:val="00AD3259"/>
    <w:rsid w:val="00AF1715"/>
    <w:rsid w:val="00AF3904"/>
    <w:rsid w:val="00AF71A3"/>
    <w:rsid w:val="00B010C0"/>
    <w:rsid w:val="00B14D11"/>
    <w:rsid w:val="00B1641F"/>
    <w:rsid w:val="00B4613A"/>
    <w:rsid w:val="00B4740D"/>
    <w:rsid w:val="00B559F9"/>
    <w:rsid w:val="00B61629"/>
    <w:rsid w:val="00B7374B"/>
    <w:rsid w:val="00B873E5"/>
    <w:rsid w:val="00B90DC0"/>
    <w:rsid w:val="00B967E5"/>
    <w:rsid w:val="00BA116A"/>
    <w:rsid w:val="00BA347D"/>
    <w:rsid w:val="00BA5582"/>
    <w:rsid w:val="00BA6468"/>
    <w:rsid w:val="00BB1D44"/>
    <w:rsid w:val="00BC6FBB"/>
    <w:rsid w:val="00BD06DA"/>
    <w:rsid w:val="00BD4217"/>
    <w:rsid w:val="00BE04F7"/>
    <w:rsid w:val="00BF25F3"/>
    <w:rsid w:val="00C032C5"/>
    <w:rsid w:val="00C1697B"/>
    <w:rsid w:val="00C21644"/>
    <w:rsid w:val="00C21CB5"/>
    <w:rsid w:val="00C23217"/>
    <w:rsid w:val="00C24913"/>
    <w:rsid w:val="00C46376"/>
    <w:rsid w:val="00C5083F"/>
    <w:rsid w:val="00C50A5C"/>
    <w:rsid w:val="00C50FDF"/>
    <w:rsid w:val="00C5569A"/>
    <w:rsid w:val="00C63381"/>
    <w:rsid w:val="00C73D06"/>
    <w:rsid w:val="00C73E1B"/>
    <w:rsid w:val="00C759B4"/>
    <w:rsid w:val="00C77713"/>
    <w:rsid w:val="00C85BB7"/>
    <w:rsid w:val="00C958BC"/>
    <w:rsid w:val="00CA2DEA"/>
    <w:rsid w:val="00CB3520"/>
    <w:rsid w:val="00CB43D5"/>
    <w:rsid w:val="00CC4D84"/>
    <w:rsid w:val="00CD02DD"/>
    <w:rsid w:val="00CE198A"/>
    <w:rsid w:val="00CF08C8"/>
    <w:rsid w:val="00D004FC"/>
    <w:rsid w:val="00D27959"/>
    <w:rsid w:val="00D63A34"/>
    <w:rsid w:val="00D648A3"/>
    <w:rsid w:val="00D64901"/>
    <w:rsid w:val="00D6770C"/>
    <w:rsid w:val="00D76BDF"/>
    <w:rsid w:val="00D818B6"/>
    <w:rsid w:val="00D862C1"/>
    <w:rsid w:val="00D93B50"/>
    <w:rsid w:val="00D94028"/>
    <w:rsid w:val="00D94670"/>
    <w:rsid w:val="00DA46F6"/>
    <w:rsid w:val="00DD0B49"/>
    <w:rsid w:val="00DD0BBE"/>
    <w:rsid w:val="00DE0502"/>
    <w:rsid w:val="00DE349D"/>
    <w:rsid w:val="00E06DFA"/>
    <w:rsid w:val="00E112BD"/>
    <w:rsid w:val="00E20A0A"/>
    <w:rsid w:val="00E240C2"/>
    <w:rsid w:val="00E25CEB"/>
    <w:rsid w:val="00E356C7"/>
    <w:rsid w:val="00E41A5A"/>
    <w:rsid w:val="00E45FE4"/>
    <w:rsid w:val="00E64FA7"/>
    <w:rsid w:val="00E770CB"/>
    <w:rsid w:val="00E85246"/>
    <w:rsid w:val="00E903A1"/>
    <w:rsid w:val="00E940EB"/>
    <w:rsid w:val="00E9703F"/>
    <w:rsid w:val="00EA7AA1"/>
    <w:rsid w:val="00EB2B90"/>
    <w:rsid w:val="00ED7E83"/>
    <w:rsid w:val="00EE091F"/>
    <w:rsid w:val="00EF4B63"/>
    <w:rsid w:val="00F0068D"/>
    <w:rsid w:val="00F0576D"/>
    <w:rsid w:val="00F14E6D"/>
    <w:rsid w:val="00F15EA8"/>
    <w:rsid w:val="00F16C8D"/>
    <w:rsid w:val="00F26C61"/>
    <w:rsid w:val="00F33CCE"/>
    <w:rsid w:val="00F40249"/>
    <w:rsid w:val="00F526C8"/>
    <w:rsid w:val="00F72CC3"/>
    <w:rsid w:val="00F74E86"/>
    <w:rsid w:val="00F761A3"/>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7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uiPriority w:val="99"/>
    <w:semiHidden/>
    <w:rsid w:val="008D292F"/>
    <w:rPr>
      <w:rFonts w:eastAsia="Times New Roman" w:cs="Times New Roman"/>
      <w:sz w:val="20"/>
      <w:szCs w:val="20"/>
      <w:lang w:val="en-CA" w:eastAsia="en-CA"/>
    </w:rPr>
  </w:style>
  <w:style w:type="paragraph" w:styleId="FootnoteText">
    <w:name w:val="footnote text"/>
    <w:basedOn w:val="Normal"/>
    <w:link w:val="FootnoteTextChar"/>
    <w:uiPriority w:val="99"/>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uiPriority w:val="59"/>
    <w:rsid w:val="00100A98"/>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D27959"/>
    <w:rPr>
      <w:vertAlign w:val="superscript"/>
    </w:rPr>
  </w:style>
  <w:style w:type="table" w:customStyle="1" w:styleId="TableGrid3">
    <w:name w:val="Table Grid3"/>
    <w:basedOn w:val="TableNormal"/>
    <w:next w:val="TableGrid"/>
    <w:uiPriority w:val="59"/>
    <w:rsid w:val="008230D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on/onsc/doc/2014/2014onsc3981/2014onsc3981.html?resultIndex=1" TargetMode="External"/><Relationship Id="rId39" Type="http://schemas.openxmlformats.org/officeDocument/2006/relationships/hyperlink" Target="http://canlii.ca/t/g2fl9" TargetMode="External"/><Relationship Id="rId21" Type="http://schemas.openxmlformats.org/officeDocument/2006/relationships/header" Target="header6.xml"/><Relationship Id="rId34" Type="http://schemas.openxmlformats.org/officeDocument/2006/relationships/hyperlink" Target="http://canlii.ca/t/g0ttw" TargetMode="External"/><Relationship Id="rId42" Type="http://schemas.openxmlformats.org/officeDocument/2006/relationships/hyperlink" Target="http://canlii.ca/t/g8njj" TargetMode="External"/><Relationship Id="rId47" Type="http://schemas.openxmlformats.org/officeDocument/2006/relationships/hyperlink" Target="https://www.canlii.org/en/mb/mbqb/doc/2014/2014mbqb118/2014mbqb118.html?searchUrlHash=AAAAAQANMjAxNCBNQlFCIDExOAAAAAAB&amp;resultIndex=1" TargetMode="External"/><Relationship Id="rId50" Type="http://schemas.openxmlformats.org/officeDocument/2006/relationships/hyperlink" Target="http://canlii.ca/t/gfgd3" TargetMode="External"/><Relationship Id="rId55" Type="http://schemas.openxmlformats.org/officeDocument/2006/relationships/header" Target="header8.xml"/><Relationship Id="rId63" Type="http://schemas.openxmlformats.org/officeDocument/2006/relationships/footer" Target="footer11.xml"/><Relationship Id="rId68" Type="http://schemas.openxmlformats.org/officeDocument/2006/relationships/header" Target="header15.xml"/><Relationship Id="rId76" Type="http://schemas.openxmlformats.org/officeDocument/2006/relationships/footer" Target="footer18.xml"/><Relationship Id="rId84" Type="http://schemas.openxmlformats.org/officeDocument/2006/relationships/header" Target="header22.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ab/abqb/doc/2013/2013abqb165/2013abqb165.html?searchUrlHash=AAAAAQANMjAxMyBBQlFCIDE2NQAAAAAB&amp;resultIndex=1"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s://www.canlii.org/en/ab/abca/doc/2014/2014abca426/2014abca426.html?searchUrlHash=AAAAAQANMjAxNCBBQkNBIDQyNgAAAAAB&amp;resultIndex=1" TargetMode="External"/><Relationship Id="rId37" Type="http://schemas.openxmlformats.org/officeDocument/2006/relationships/hyperlink" Target="http://canlii.ca/t/fx9cq" TargetMode="External"/><Relationship Id="rId40" Type="http://schemas.openxmlformats.org/officeDocument/2006/relationships/hyperlink" Target="http://canlii.ca/t/gfr66" TargetMode="External"/><Relationship Id="rId45" Type="http://schemas.openxmlformats.org/officeDocument/2006/relationships/hyperlink" Target="https://www.canlii.org/en/mb/mbqb/doc/2014/2014mbqb118/2014mbqb118.html?searchUrlHash=AAAAAQANMjAxNCBNQlFCIDExOAAAAAAB&amp;resultIndex=1" TargetMode="External"/><Relationship Id="rId53" Type="http://schemas.openxmlformats.org/officeDocument/2006/relationships/hyperlink" Target="http://canlii.ca/t/g621w" TargetMode="External"/><Relationship Id="rId58" Type="http://schemas.openxmlformats.org/officeDocument/2006/relationships/footer" Target="footer9.xml"/><Relationship Id="rId66" Type="http://schemas.openxmlformats.org/officeDocument/2006/relationships/footer" Target="footer13.xml"/><Relationship Id="rId74" Type="http://schemas.openxmlformats.org/officeDocument/2006/relationships/header" Target="header18.xml"/><Relationship Id="rId79" Type="http://schemas.openxmlformats.org/officeDocument/2006/relationships/hyperlink" Target="http://www.scc-csc.ca/case-dossier/info/sum-som-fra.aspx?cas=35613" TargetMode="External"/><Relationship Id="rId87"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header" Target="header11.xml"/><Relationship Id="rId82" Type="http://schemas.openxmlformats.org/officeDocument/2006/relationships/footer" Target="footer20.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a/doc/2014/2014qcca2232/2014qcca2232.html?autocompleteStr=2014%20qcca%202232&amp;autocompletePos=1" TargetMode="External"/><Relationship Id="rId30" Type="http://schemas.openxmlformats.org/officeDocument/2006/relationships/hyperlink" Target="https://www.canlii.org/en/ab/abca/doc/2014/2014abca426/2014abca426.html?searchUrlHash=AAAAAQANMjAxNCBBQkNBIDQyNgAAAAAB&amp;resultIndex=1" TargetMode="External"/><Relationship Id="rId35" Type="http://schemas.openxmlformats.org/officeDocument/2006/relationships/hyperlink" Target="http://canlii.ca/t/g2fl9" TargetMode="External"/><Relationship Id="rId43" Type="http://schemas.openxmlformats.org/officeDocument/2006/relationships/hyperlink" Target="http://canlii.ca/t/g6ftc" TargetMode="External"/><Relationship Id="rId48" Type="http://schemas.openxmlformats.org/officeDocument/2006/relationships/hyperlink" Target="https://www.canlii.org/en/mb/mbca/doc/2015/2015mbca8/2015mbca8.html?searchUrlHash=AAAAAQALMjAxNSBNQkNBIDgAAAAAAQ&amp;resultIndex=1" TargetMode="External"/><Relationship Id="rId56" Type="http://schemas.openxmlformats.org/officeDocument/2006/relationships/header" Target="header9.xml"/><Relationship Id="rId64" Type="http://schemas.openxmlformats.org/officeDocument/2006/relationships/footer" Target="footer12.xml"/><Relationship Id="rId69" Type="http://schemas.openxmlformats.org/officeDocument/2006/relationships/footer" Target="footer14.xml"/><Relationship Id="rId77" Type="http://schemas.openxmlformats.org/officeDocument/2006/relationships/header" Target="header19.xml"/><Relationship Id="rId8" Type="http://schemas.openxmlformats.org/officeDocument/2006/relationships/image" Target="media/image1.wmf"/><Relationship Id="rId51" Type="http://schemas.openxmlformats.org/officeDocument/2006/relationships/hyperlink" Target="http://canlii.ca/t/g621w" TargetMode="External"/><Relationship Id="rId72" Type="http://schemas.openxmlformats.org/officeDocument/2006/relationships/footer" Target="footer16.xml"/><Relationship Id="rId80" Type="http://schemas.openxmlformats.org/officeDocument/2006/relationships/header" Target="header20.xml"/><Relationship Id="rId85"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on/onsc/doc/2014/2014onsc3981/2014onsc3981.html?resultIndex=1" TargetMode="External"/><Relationship Id="rId33" Type="http://schemas.openxmlformats.org/officeDocument/2006/relationships/hyperlink" Target="http://canlii.ca/t/fx9cq" TargetMode="External"/><Relationship Id="rId38" Type="http://schemas.openxmlformats.org/officeDocument/2006/relationships/hyperlink" Target="http://canlii.ca/t/g0ttw" TargetMode="External"/><Relationship Id="rId46" Type="http://schemas.openxmlformats.org/officeDocument/2006/relationships/hyperlink" Target="https://www.canlii.org/en/mb/mbca/doc/2015/2015mbca8/2015mbca8.html?searchUrlHash=AAAAAQALMjAxNSBNQkNBIDgAAAAAAQ&amp;resultIndex=1" TargetMode="External"/><Relationship Id="rId59" Type="http://schemas.openxmlformats.org/officeDocument/2006/relationships/header" Target="header10.xml"/><Relationship Id="rId67" Type="http://schemas.openxmlformats.org/officeDocument/2006/relationships/header" Target="header14.xml"/><Relationship Id="rId20" Type="http://schemas.openxmlformats.org/officeDocument/2006/relationships/footer" Target="footer5.xml"/><Relationship Id="rId41" Type="http://schemas.openxmlformats.org/officeDocument/2006/relationships/hyperlink" Target="http://canlii.ca/t/g6ftc" TargetMode="External"/><Relationship Id="rId54" Type="http://schemas.openxmlformats.org/officeDocument/2006/relationships/hyperlink" Target="http://canlii.ca/t/gg8jz" TargetMode="External"/><Relationship Id="rId62" Type="http://schemas.openxmlformats.org/officeDocument/2006/relationships/header" Target="header12.xml"/><Relationship Id="rId70" Type="http://schemas.openxmlformats.org/officeDocument/2006/relationships/footer" Target="footer15.xml"/><Relationship Id="rId75" Type="http://schemas.openxmlformats.org/officeDocument/2006/relationships/footer" Target="footer17.xml"/><Relationship Id="rId83" Type="http://schemas.openxmlformats.org/officeDocument/2006/relationships/footer" Target="footer2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4/2014qcca2232/2014qcca2232.html?autocompleteStr=2014%20qcca%202232&amp;autocompletePos=1" TargetMode="External"/><Relationship Id="rId36" Type="http://schemas.openxmlformats.org/officeDocument/2006/relationships/hyperlink" Target="http://canlii.ca/t/gfr66" TargetMode="External"/><Relationship Id="rId49" Type="http://schemas.openxmlformats.org/officeDocument/2006/relationships/hyperlink" Target="http://canlii.ca/t/gfgd3" TargetMode="External"/><Relationship Id="rId57" Type="http://schemas.openxmlformats.org/officeDocument/2006/relationships/footer" Target="footer8.xml"/><Relationship Id="rId10" Type="http://schemas.openxmlformats.org/officeDocument/2006/relationships/hyperlink" Target="http://www.scc-csc.ca" TargetMode="External"/><Relationship Id="rId31" Type="http://schemas.openxmlformats.org/officeDocument/2006/relationships/hyperlink" Target="https://www.canlii.org/en/ab/abqb/doc/2013/2013abqb165/2013abqb165.html?searchUrlHash=AAAAAQANMjAxMyBBQlFCIDE2NQAAAAAB&amp;resultIndex=1" TargetMode="External"/><Relationship Id="rId44" Type="http://schemas.openxmlformats.org/officeDocument/2006/relationships/hyperlink" Target="http://canlii.ca/t/g8njj" TargetMode="External"/><Relationship Id="rId52" Type="http://schemas.openxmlformats.org/officeDocument/2006/relationships/hyperlink" Target="http://canlii.ca/t/gg8jz" TargetMode="External"/><Relationship Id="rId60" Type="http://schemas.openxmlformats.org/officeDocument/2006/relationships/footer" Target="footer10.xml"/><Relationship Id="rId65" Type="http://schemas.openxmlformats.org/officeDocument/2006/relationships/header" Target="header13.xml"/><Relationship Id="rId73" Type="http://schemas.openxmlformats.org/officeDocument/2006/relationships/header" Target="header17.xml"/><Relationship Id="rId78" Type="http://schemas.openxmlformats.org/officeDocument/2006/relationships/footer" Target="footer19.xml"/><Relationship Id="rId81" Type="http://schemas.openxmlformats.org/officeDocument/2006/relationships/header" Target="header21.xml"/><Relationship Id="rId86"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CB277-EFDA-4093-9897-25A57FCF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13886</Words>
  <Characters>79151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2015-06-12T19:09:00Z</dcterms:created>
  <dcterms:modified xsi:type="dcterms:W3CDTF">2015-11-26T21:51:00Z</dcterms:modified>
</cp:coreProperties>
</file>