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bookmarkStart w:id="0" w:name="_GoBack"/>
      <w:bookmarkEnd w:id="0"/>
      <w:r w:rsidRPr="002E2327">
        <w:rPr>
          <w:noProof/>
          <w:lang w:val="en-US"/>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310DA4"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310DA4"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310DA4"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310DA4"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310DA4" w:rsidTr="002E5576">
        <w:tc>
          <w:tcPr>
            <w:tcW w:w="4518" w:type="dxa"/>
          </w:tcPr>
          <w:p w:rsidR="00BF25F3" w:rsidRPr="002E2327" w:rsidRDefault="0086075F"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86075F"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310DA4"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310DA4"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8" w:history="1">
              <w:r w:rsidRPr="00155CF3">
                <w:rPr>
                  <w:rStyle w:val="Hyperlink"/>
                  <w:rFonts w:ascii="Arial" w:hAnsi="Arial" w:cs="Arial"/>
                  <w:i/>
                  <w:sz w:val="20"/>
                  <w:szCs w:val="20"/>
                </w:rPr>
                <w:t>www.scc-csc.</w:t>
              </w:r>
              <w:r w:rsidR="00310DA4">
                <w:rPr>
                  <w:rStyle w:val="Hyperlink"/>
                  <w:rFonts w:ascii="Arial" w:hAnsi="Arial" w:cs="Arial"/>
                  <w:i/>
                  <w:sz w:val="20"/>
                  <w:szCs w:val="20"/>
                </w:rPr>
                <w:t>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9" w:history="1">
              <w:r w:rsidRPr="00155CF3">
                <w:rPr>
                  <w:rStyle w:val="Hyperlink"/>
                  <w:rFonts w:ascii="Arial" w:hAnsi="Arial" w:cs="Arial"/>
                  <w:i/>
                  <w:sz w:val="20"/>
                  <w:szCs w:val="20"/>
                  <w:lang w:val="fr-CA"/>
                </w:rPr>
                <w:t>www.scc-csc.</w:t>
              </w:r>
              <w:r w:rsidR="00310DA4">
                <w:rPr>
                  <w:rStyle w:val="Hyperlink"/>
                  <w:rFonts w:ascii="Arial" w:hAnsi="Arial" w:cs="Arial"/>
                  <w:i/>
                  <w:sz w:val="20"/>
                  <w:szCs w:val="20"/>
                  <w:lang w:val="fr-CA"/>
                </w:rPr>
                <w:t>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C73D06" w:rsidP="00F0068D">
      <w:pPr>
        <w:pBdr>
          <w:bottom w:val="single" w:sz="6" w:space="1" w:color="auto"/>
        </w:pBdr>
        <w:tabs>
          <w:tab w:val="center" w:pos="4680"/>
          <w:tab w:val="right" w:pos="9360"/>
        </w:tabs>
        <w:rPr>
          <w:lang w:val="fr-CA"/>
        </w:rPr>
      </w:pPr>
      <w:r>
        <w:rPr>
          <w:lang w:val="fr-CA"/>
        </w:rPr>
        <w:t>Ju</w:t>
      </w:r>
      <w:r w:rsidR="00C022FC">
        <w:rPr>
          <w:lang w:val="fr-CA"/>
        </w:rPr>
        <w:t>l</w:t>
      </w:r>
      <w:r>
        <w:rPr>
          <w:lang w:val="fr-CA"/>
        </w:rPr>
        <w:t>y</w:t>
      </w:r>
      <w:r w:rsidR="00440E24" w:rsidRPr="00675479">
        <w:rPr>
          <w:lang w:val="fr-CA"/>
        </w:rPr>
        <w:t xml:space="preserve"> </w:t>
      </w:r>
      <w:r w:rsidR="00C022FC">
        <w:rPr>
          <w:lang w:val="fr-CA"/>
        </w:rPr>
        <w:t>24</w:t>
      </w:r>
      <w:r w:rsidR="00440E24" w:rsidRPr="00675479">
        <w:rPr>
          <w:lang w:val="fr-CA"/>
        </w:rPr>
        <w:t>, 201</w:t>
      </w:r>
      <w:r w:rsidR="00020DC3">
        <w:rPr>
          <w:lang w:val="fr-CA"/>
        </w:rPr>
        <w:t>5</w:t>
      </w:r>
      <w:r w:rsidR="00F0068D" w:rsidRPr="00675479">
        <w:rPr>
          <w:lang w:val="fr-CA"/>
        </w:rPr>
        <w:tab/>
        <w:t>1</w:t>
      </w:r>
      <w:r w:rsidR="0070725C">
        <w:rPr>
          <w:lang w:val="fr-CA"/>
        </w:rPr>
        <w:t>174</w:t>
      </w:r>
      <w:r w:rsidR="00F0068D" w:rsidRPr="00675479">
        <w:rPr>
          <w:lang w:val="fr-CA"/>
        </w:rPr>
        <w:t xml:space="preserve"> - </w:t>
      </w:r>
      <w:r w:rsidR="00255B46">
        <w:rPr>
          <w:lang w:val="fr-CA"/>
        </w:rPr>
        <w:t>1202</w:t>
      </w:r>
      <w:r w:rsidR="00440E24" w:rsidRPr="00675479">
        <w:rPr>
          <w:lang w:val="fr-CA"/>
        </w:rPr>
        <w:tab/>
      </w:r>
      <w:r w:rsidR="00440E24" w:rsidRPr="002E2327">
        <w:rPr>
          <w:lang w:val="fr-CA"/>
        </w:rPr>
        <w:t>Le</w:t>
      </w:r>
      <w:r>
        <w:rPr>
          <w:lang w:val="fr-CA"/>
        </w:rPr>
        <w:t xml:space="preserve"> </w:t>
      </w:r>
      <w:r w:rsidR="00C022FC">
        <w:rPr>
          <w:lang w:val="fr-CA"/>
        </w:rPr>
        <w:t>24</w:t>
      </w:r>
      <w:r>
        <w:rPr>
          <w:lang w:val="fr-CA"/>
        </w:rPr>
        <w:t xml:space="preserve"> j</w:t>
      </w:r>
      <w:r w:rsidR="00C022FC">
        <w:rPr>
          <w:lang w:val="fr-CA"/>
        </w:rPr>
        <w:t>uill</w:t>
      </w:r>
      <w:r>
        <w:rPr>
          <w:lang w:val="fr-CA"/>
        </w:rPr>
        <w:t>e</w:t>
      </w:r>
      <w:r w:rsidR="00C022FC">
        <w:rPr>
          <w:lang w:val="fr-CA"/>
        </w:rPr>
        <w:t>t</w:t>
      </w:r>
      <w:r w:rsidR="00440E24" w:rsidRPr="002E2327">
        <w:rPr>
          <w:lang w:val="fr-CA"/>
        </w:rPr>
        <w:t xml:space="preserve"> 201</w:t>
      </w:r>
      <w:r w:rsidR="00020DC3">
        <w:rPr>
          <w:lang w:val="fr-CA"/>
        </w:rPr>
        <w:t>5</w:t>
      </w:r>
    </w:p>
    <w:p w:rsidR="00440E24" w:rsidRPr="00675479" w:rsidRDefault="00440E24" w:rsidP="00440E24">
      <w:pPr>
        <w:pBdr>
          <w:bottom w:val="single" w:sz="6" w:space="1" w:color="auto"/>
        </w:pBdr>
        <w:tabs>
          <w:tab w:val="right" w:pos="9360"/>
        </w:tabs>
        <w:rPr>
          <w:lang w:val="fr-CA"/>
        </w:rPr>
      </w:pPr>
    </w:p>
    <w:p w:rsidR="00440E24" w:rsidRPr="0070725C" w:rsidRDefault="00440E24" w:rsidP="00440E24">
      <w:pPr>
        <w:pBdr>
          <w:bottom w:val="single" w:sz="6" w:space="1" w:color="auto"/>
        </w:pBdr>
        <w:tabs>
          <w:tab w:val="right" w:pos="9360"/>
        </w:tabs>
        <w:rPr>
          <w:sz w:val="18"/>
          <w:szCs w:val="18"/>
          <w:lang w:val="fr-CA"/>
        </w:rPr>
      </w:pPr>
      <w:r w:rsidRPr="0070725C">
        <w:rPr>
          <w:sz w:val="18"/>
          <w:szCs w:val="18"/>
          <w:lang w:val="fr-CA"/>
        </w:rPr>
        <w:t>© Supreme Court of Canada (201</w:t>
      </w:r>
      <w:r w:rsidR="00020DC3" w:rsidRPr="0070725C">
        <w:rPr>
          <w:sz w:val="18"/>
          <w:szCs w:val="18"/>
          <w:lang w:val="fr-CA"/>
        </w:rPr>
        <w:t>5</w:t>
      </w:r>
      <w:r w:rsidRPr="0070725C">
        <w:rPr>
          <w:sz w:val="18"/>
          <w:szCs w:val="18"/>
          <w:lang w:val="fr-CA"/>
        </w:rPr>
        <w:t>)</w:t>
      </w:r>
      <w:r w:rsidRPr="0070725C">
        <w:rPr>
          <w:sz w:val="18"/>
          <w:szCs w:val="18"/>
          <w:lang w:val="fr-CA"/>
        </w:rPr>
        <w:tab/>
        <w:t>© Cour suprême du Canada (201</w:t>
      </w:r>
      <w:r w:rsidR="00020DC3" w:rsidRPr="0070725C">
        <w:rPr>
          <w:sz w:val="18"/>
          <w:szCs w:val="18"/>
          <w:lang w:val="fr-CA"/>
        </w:rPr>
        <w:t>5</w:t>
      </w:r>
      <w:r w:rsidRPr="0070725C">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310DA4"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Judgments reported in S.C.R.</w:t>
            </w:r>
          </w:p>
          <w:p w:rsidR="00A87207" w:rsidRPr="002E2327" w:rsidRDefault="00A87207" w:rsidP="0042426B">
            <w:pPr>
              <w:tabs>
                <w:tab w:val="right" w:pos="9360"/>
              </w:tabs>
              <w:rPr>
                <w:rFonts w:cs="Times New Roman"/>
                <w:sz w:val="20"/>
                <w:szCs w:val="20"/>
              </w:rPr>
            </w:pPr>
          </w:p>
        </w:tc>
        <w:tc>
          <w:tcPr>
            <w:tcW w:w="1980" w:type="dxa"/>
          </w:tcPr>
          <w:p w:rsidR="0095096B" w:rsidRPr="002E2327" w:rsidRDefault="0070725C" w:rsidP="0095096B">
            <w:pPr>
              <w:jc w:val="center"/>
              <w:rPr>
                <w:rFonts w:cs="Times New Roman"/>
                <w:sz w:val="20"/>
                <w:szCs w:val="20"/>
              </w:rPr>
            </w:pPr>
            <w:r>
              <w:rPr>
                <w:rFonts w:cs="Times New Roman"/>
                <w:sz w:val="20"/>
                <w:szCs w:val="20"/>
              </w:rPr>
              <w:t xml:space="preserve">1174 </w:t>
            </w:r>
            <w:r w:rsidR="0086075F" w:rsidRPr="002E2327">
              <w:rPr>
                <w:rFonts w:cs="Times New Roman"/>
                <w:sz w:val="20"/>
                <w:szCs w:val="20"/>
              </w:rPr>
              <w:fldChar w:fldCharType="begin"/>
            </w:r>
            <w:r w:rsidR="0095096B" w:rsidRPr="002E2327">
              <w:rPr>
                <w:rFonts w:cs="Times New Roman"/>
                <w:sz w:val="20"/>
                <w:szCs w:val="20"/>
              </w:rPr>
              <w:instrText xml:space="preserve"> SEQ CHAPTER \h \r 1</w:instrText>
            </w:r>
            <w:r w:rsidR="0086075F" w:rsidRPr="002E2327">
              <w:rPr>
                <w:rFonts w:cs="Times New Roman"/>
                <w:sz w:val="20"/>
                <w:szCs w:val="20"/>
              </w:rPr>
              <w:fldChar w:fldCharType="end"/>
            </w:r>
            <w:r w:rsidR="0095096B" w:rsidRPr="002E2327">
              <w:rPr>
                <w:rFonts w:cs="Times New Roman"/>
                <w:sz w:val="20"/>
                <w:szCs w:val="20"/>
              </w:rPr>
              <w:t>-</w:t>
            </w:r>
            <w:r w:rsidR="00300BFB">
              <w:rPr>
                <w:rFonts w:cs="Times New Roman"/>
                <w:sz w:val="20"/>
                <w:szCs w:val="20"/>
              </w:rPr>
              <w:t xml:space="preserve"> 1175</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300BFB" w:rsidP="0095096B">
            <w:pPr>
              <w:jc w:val="center"/>
              <w:rPr>
                <w:rFonts w:cs="Times New Roman"/>
                <w:sz w:val="20"/>
                <w:szCs w:val="20"/>
              </w:rPr>
            </w:pPr>
            <w:r>
              <w:rPr>
                <w:rFonts w:cs="Times New Roman"/>
                <w:sz w:val="20"/>
                <w:szCs w:val="20"/>
              </w:rPr>
              <w:t>1176</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871F47" w:rsidP="0095096B">
            <w:pPr>
              <w:jc w:val="center"/>
              <w:rPr>
                <w:rFonts w:cs="Times New Roman"/>
                <w:sz w:val="20"/>
                <w:szCs w:val="20"/>
              </w:rPr>
            </w:pPr>
            <w:r>
              <w:rPr>
                <w:rFonts w:cs="Times New Roman"/>
                <w:sz w:val="20"/>
                <w:szCs w:val="20"/>
              </w:rPr>
              <w:t xml:space="preserve">1177 </w:t>
            </w:r>
            <w:r w:rsidR="0095096B" w:rsidRPr="002E2327">
              <w:rPr>
                <w:rFonts w:cs="Times New Roman"/>
                <w:sz w:val="20"/>
                <w:szCs w:val="20"/>
              </w:rPr>
              <w:t>-</w:t>
            </w:r>
            <w:r>
              <w:rPr>
                <w:rFonts w:cs="Times New Roman"/>
                <w:sz w:val="20"/>
                <w:szCs w:val="20"/>
              </w:rPr>
              <w:t xml:space="preserve"> 1187</w:t>
            </w:r>
          </w:p>
          <w:p w:rsidR="0095096B" w:rsidRDefault="0095096B" w:rsidP="0095096B">
            <w:pPr>
              <w:jc w:val="center"/>
              <w:rPr>
                <w:rFonts w:cs="Times New Roman"/>
                <w:sz w:val="20"/>
                <w:szCs w:val="20"/>
              </w:rPr>
            </w:pPr>
          </w:p>
          <w:p w:rsidR="0042426B" w:rsidRPr="002E2327" w:rsidRDefault="0042426B" w:rsidP="0095096B">
            <w:pPr>
              <w:jc w:val="center"/>
              <w:rPr>
                <w:rFonts w:cs="Times New Roman"/>
                <w:sz w:val="20"/>
                <w:szCs w:val="20"/>
              </w:rPr>
            </w:pPr>
          </w:p>
          <w:p w:rsidR="0095096B" w:rsidRPr="002E2327" w:rsidRDefault="00871F47" w:rsidP="0095096B">
            <w:pPr>
              <w:jc w:val="center"/>
              <w:rPr>
                <w:rFonts w:cs="Times New Roman"/>
                <w:sz w:val="20"/>
                <w:szCs w:val="20"/>
              </w:rPr>
            </w:pPr>
            <w:r>
              <w:rPr>
                <w:rFonts w:cs="Times New Roman"/>
                <w:sz w:val="20"/>
                <w:szCs w:val="20"/>
              </w:rPr>
              <w:t xml:space="preserve">1188 </w:t>
            </w:r>
            <w:r w:rsidR="0095096B" w:rsidRPr="002E2327">
              <w:rPr>
                <w:rFonts w:cs="Times New Roman"/>
                <w:sz w:val="20"/>
                <w:szCs w:val="20"/>
              </w:rPr>
              <w:t>-</w:t>
            </w:r>
            <w:r>
              <w:rPr>
                <w:rFonts w:cs="Times New Roman"/>
                <w:sz w:val="20"/>
                <w:szCs w:val="20"/>
              </w:rPr>
              <w:t xml:space="preserve"> 1</w:t>
            </w:r>
            <w:r w:rsidR="00255B46">
              <w:rPr>
                <w:rFonts w:cs="Times New Roman"/>
                <w:sz w:val="20"/>
                <w:szCs w:val="20"/>
              </w:rPr>
              <w:t>1</w:t>
            </w:r>
            <w:r>
              <w:rPr>
                <w:rFonts w:cs="Times New Roman"/>
                <w:sz w:val="20"/>
                <w:szCs w:val="20"/>
              </w:rPr>
              <w:t>9</w:t>
            </w:r>
            <w:r w:rsidR="00255B46">
              <w:rPr>
                <w:rFonts w:cs="Times New Roman"/>
                <w:sz w:val="20"/>
                <w:szCs w:val="20"/>
              </w:rPr>
              <w:t>3</w:t>
            </w:r>
          </w:p>
          <w:p w:rsidR="0095096B" w:rsidRPr="002E2327" w:rsidRDefault="0095096B" w:rsidP="0095096B">
            <w:pPr>
              <w:jc w:val="center"/>
              <w:rPr>
                <w:rFonts w:cs="Times New Roman"/>
                <w:sz w:val="20"/>
                <w:szCs w:val="20"/>
              </w:rPr>
            </w:pPr>
          </w:p>
          <w:p w:rsidR="0095096B" w:rsidRPr="002E2327" w:rsidRDefault="00255B46" w:rsidP="0095096B">
            <w:pPr>
              <w:jc w:val="center"/>
              <w:rPr>
                <w:rFonts w:cs="Times New Roman"/>
                <w:sz w:val="20"/>
                <w:szCs w:val="20"/>
              </w:rPr>
            </w:pPr>
            <w:r>
              <w:rPr>
                <w:rFonts w:cs="Times New Roman"/>
                <w:sz w:val="20"/>
                <w:szCs w:val="20"/>
              </w:rPr>
              <w:t>1194</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255B46" w:rsidP="0095096B">
            <w:pPr>
              <w:jc w:val="center"/>
              <w:rPr>
                <w:rFonts w:cs="Times New Roman"/>
                <w:sz w:val="20"/>
                <w:szCs w:val="20"/>
              </w:rPr>
            </w:pPr>
            <w:r>
              <w:rPr>
                <w:rFonts w:cs="Times New Roman"/>
                <w:sz w:val="20"/>
                <w:szCs w:val="20"/>
              </w:rPr>
              <w:t xml:space="preserve">1195 </w:t>
            </w:r>
            <w:r w:rsidR="0095096B" w:rsidRPr="002E2327">
              <w:rPr>
                <w:rFonts w:cs="Times New Roman"/>
                <w:sz w:val="20"/>
                <w:szCs w:val="20"/>
              </w:rPr>
              <w:t>-</w:t>
            </w:r>
            <w:r>
              <w:rPr>
                <w:rFonts w:cs="Times New Roman"/>
                <w:sz w:val="20"/>
                <w:szCs w:val="20"/>
              </w:rPr>
              <w:t xml:space="preserve"> 1200</w:t>
            </w:r>
          </w:p>
          <w:p w:rsidR="0095096B" w:rsidRPr="002E2327" w:rsidRDefault="0095096B" w:rsidP="0095096B">
            <w:pPr>
              <w:jc w:val="center"/>
              <w:rPr>
                <w:rFonts w:cs="Times New Roman"/>
                <w:sz w:val="20"/>
                <w:szCs w:val="20"/>
              </w:rPr>
            </w:pPr>
          </w:p>
          <w:p w:rsidR="0095096B" w:rsidRPr="002E2327" w:rsidRDefault="00255B46" w:rsidP="0095096B">
            <w:pPr>
              <w:jc w:val="center"/>
              <w:rPr>
                <w:rFonts w:cs="Times New Roman"/>
                <w:sz w:val="20"/>
                <w:szCs w:val="20"/>
              </w:rPr>
            </w:pPr>
            <w:r>
              <w:rPr>
                <w:rFonts w:cs="Times New Roman"/>
                <w:sz w:val="20"/>
                <w:szCs w:val="20"/>
              </w:rPr>
              <w:t xml:space="preserve">1201 </w:t>
            </w:r>
            <w:r w:rsidR="0095096B" w:rsidRPr="002E2327">
              <w:rPr>
                <w:rFonts w:cs="Times New Roman"/>
                <w:sz w:val="20"/>
                <w:szCs w:val="20"/>
              </w:rPr>
              <w:t>-</w:t>
            </w:r>
            <w:r>
              <w:rPr>
                <w:rFonts w:cs="Times New Roman"/>
                <w:sz w:val="20"/>
                <w:szCs w:val="20"/>
              </w:rPr>
              <w:t xml:space="preserve"> 1202</w:t>
            </w:r>
          </w:p>
          <w:p w:rsidR="00A87207" w:rsidRPr="002E2327" w:rsidRDefault="00A87207" w:rsidP="0042426B">
            <w:pPr>
              <w:jc w:val="center"/>
              <w:rPr>
                <w:rFonts w:cs="Times New Roman"/>
                <w:sz w:val="20"/>
                <w:szCs w:val="20"/>
              </w:rPr>
            </w:pPr>
          </w:p>
        </w:tc>
        <w:tc>
          <w:tcPr>
            <w:tcW w:w="3888" w:type="dxa"/>
          </w:tcPr>
          <w:p w:rsidR="0095096B" w:rsidRPr="002E2327" w:rsidRDefault="0086075F"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Demandes d</w:t>
            </w:r>
            <w:r w:rsidR="004137A0">
              <w:rPr>
                <w:rFonts w:cs="Times New Roman"/>
                <w:sz w:val="20"/>
                <w:szCs w:val="20"/>
                <w:lang w:val="fr-CA"/>
              </w:rPr>
              <w:t>’</w:t>
            </w:r>
            <w:r w:rsidR="0095096B" w:rsidRPr="002E2327">
              <w:rPr>
                <w:rFonts w:cs="Times New Roman"/>
                <w:sz w:val="20"/>
                <w:szCs w:val="20"/>
                <w:lang w:val="fr-CA"/>
              </w:rPr>
              <w:t>autorisation d</w:t>
            </w:r>
            <w:r w:rsidR="004137A0">
              <w:rPr>
                <w:rFonts w:cs="Times New Roman"/>
                <w:sz w:val="20"/>
                <w:szCs w:val="20"/>
                <w:lang w:val="fr-CA"/>
              </w:rPr>
              <w:t>’</w:t>
            </w:r>
            <w:r w:rsidR="0095096B" w:rsidRPr="002E2327">
              <w:rPr>
                <w:rFonts w:cs="Times New Roman"/>
                <w:sz w:val="20"/>
                <w:szCs w:val="20"/>
                <w:lang w:val="fr-CA"/>
              </w:rPr>
              <w:t xml:space="preserve">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4137A0" w:rsidP="0095096B">
            <w:pPr>
              <w:rPr>
                <w:rFonts w:cs="Times New Roman"/>
                <w:sz w:val="20"/>
                <w:szCs w:val="20"/>
                <w:lang w:val="fr-CA"/>
              </w:rPr>
            </w:pPr>
            <w:r>
              <w:rPr>
                <w:rFonts w:cs="Times New Roman"/>
                <w:sz w:val="20"/>
                <w:szCs w:val="20"/>
                <w:lang w:val="fr-CA"/>
              </w:rPr>
              <w:t>d’</w:t>
            </w:r>
            <w:r w:rsidR="0095096B" w:rsidRPr="002E2327">
              <w:rPr>
                <w:rFonts w:cs="Times New Roman"/>
                <w:sz w:val="20"/>
                <w:szCs w:val="20"/>
                <w:lang w:val="fr-CA"/>
              </w:rPr>
              <w:t>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95096B" w:rsidRPr="002E2327" w:rsidRDefault="0095096B" w:rsidP="0095096B">
            <w:pPr>
              <w:rPr>
                <w:rFonts w:cs="Times New Roman"/>
                <w:sz w:val="20"/>
                <w:szCs w:val="20"/>
                <w:lang w:val="fr-CA"/>
              </w:rPr>
            </w:pPr>
          </w:p>
          <w:p w:rsidR="0095096B" w:rsidRPr="002E2327" w:rsidRDefault="0095096B" w:rsidP="0095096B">
            <w:pPr>
              <w:tabs>
                <w:tab w:val="right" w:pos="9360"/>
              </w:tabs>
              <w:rPr>
                <w:rFonts w:cs="Times New Roman"/>
                <w:sz w:val="20"/>
                <w:szCs w:val="20"/>
                <w:lang w:val="fr-CA"/>
              </w:rPr>
            </w:pPr>
            <w:r w:rsidRPr="002E2327">
              <w:rPr>
                <w:rFonts w:cs="Times New Roman"/>
                <w:sz w:val="20"/>
                <w:szCs w:val="20"/>
                <w:lang w:val="fr-CA"/>
              </w:rPr>
              <w:t>Jugements publiés au R.C.S.</w:t>
            </w:r>
          </w:p>
          <w:p w:rsidR="00A87207" w:rsidRPr="002E2327" w:rsidRDefault="00A87207" w:rsidP="0042426B">
            <w:pPr>
              <w:tabs>
                <w:tab w:val="right" w:pos="9360"/>
              </w:tabs>
              <w:rPr>
                <w:rFonts w:cs="Times New Roman"/>
                <w:sz w:val="20"/>
                <w:szCs w:val="20"/>
                <w:lang w:val="fr-CA"/>
              </w:rPr>
            </w:pPr>
          </w:p>
        </w:tc>
      </w:tr>
    </w:tbl>
    <w:p w:rsidR="0095096B" w:rsidRPr="00661691" w:rsidRDefault="0095096B" w:rsidP="0095096B">
      <w:pPr>
        <w:tabs>
          <w:tab w:val="right" w:pos="9360"/>
        </w:tabs>
        <w:rPr>
          <w:sz w:val="20"/>
          <w:szCs w:val="20"/>
          <w:lang w:val="fr-CA"/>
        </w:rPr>
      </w:pPr>
    </w:p>
    <w:p w:rsidR="00CE4499" w:rsidRPr="00661691" w:rsidRDefault="00CE4499" w:rsidP="0095096B">
      <w:pPr>
        <w:tabs>
          <w:tab w:val="right" w:pos="9360"/>
        </w:tabs>
        <w:rPr>
          <w:sz w:val="20"/>
          <w:szCs w:val="20"/>
          <w:lang w:val="fr-CA"/>
        </w:rPr>
      </w:pPr>
    </w:p>
    <w:p w:rsidR="00CE4499" w:rsidRPr="00661691" w:rsidRDefault="00CE4499" w:rsidP="0095096B">
      <w:pPr>
        <w:tabs>
          <w:tab w:val="right" w:pos="9360"/>
        </w:tabs>
        <w:rPr>
          <w:sz w:val="20"/>
          <w:szCs w:val="20"/>
          <w:lang w:val="fr-CA"/>
        </w:rPr>
      </w:pPr>
    </w:p>
    <w:p w:rsidR="00CE4499" w:rsidRPr="00661691" w:rsidRDefault="00CE4499" w:rsidP="0095096B">
      <w:pPr>
        <w:tabs>
          <w:tab w:val="right" w:pos="9360"/>
        </w:tabs>
        <w:rPr>
          <w:sz w:val="20"/>
          <w:szCs w:val="20"/>
          <w:lang w:val="fr-CA"/>
        </w:rPr>
      </w:pPr>
    </w:p>
    <w:p w:rsidR="00CE4499" w:rsidRPr="00661691" w:rsidRDefault="00CE4499" w:rsidP="0095096B">
      <w:pPr>
        <w:tabs>
          <w:tab w:val="right" w:pos="9360"/>
        </w:tabs>
        <w:rPr>
          <w:sz w:val="20"/>
          <w:szCs w:val="20"/>
          <w:lang w:val="fr-CA"/>
        </w:rPr>
      </w:pPr>
    </w:p>
    <w:tbl>
      <w:tblPr>
        <w:tblStyle w:val="TableGrid"/>
        <w:tblW w:w="0" w:type="auto"/>
        <w:tblLook w:val="04A0" w:firstRow="1" w:lastRow="0" w:firstColumn="1" w:lastColumn="0" w:noHBand="0" w:noVBand="1"/>
      </w:tblPr>
      <w:tblGrid>
        <w:gridCol w:w="9576"/>
      </w:tblGrid>
      <w:tr w:rsidR="0079724F" w:rsidRPr="00310DA4"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8F59A3" w:rsidRPr="00310DA4" w:rsidTr="003B3977">
        <w:tc>
          <w:tcPr>
            <w:tcW w:w="4320" w:type="dxa"/>
            <w:shd w:val="clear" w:color="auto" w:fill="auto"/>
          </w:tcPr>
          <w:p w:rsidR="008F59A3" w:rsidRPr="00CE4499" w:rsidRDefault="008F59A3" w:rsidP="005F1ED8">
            <w:pPr>
              <w:rPr>
                <w:b/>
                <w:sz w:val="20"/>
                <w:szCs w:val="20"/>
                <w:lang w:val="fr-CA"/>
              </w:rPr>
            </w:pPr>
            <w:r w:rsidRPr="00CE4499">
              <w:rPr>
                <w:b/>
                <w:sz w:val="20"/>
                <w:szCs w:val="20"/>
                <w:lang w:val="fr-CA"/>
              </w:rPr>
              <w:t>René Barkley</w:t>
            </w:r>
          </w:p>
          <w:p w:rsidR="008F59A3" w:rsidRPr="00CE4499" w:rsidRDefault="008F59A3" w:rsidP="005F1ED8">
            <w:pPr>
              <w:tabs>
                <w:tab w:val="left" w:pos="-1440"/>
                <w:tab w:val="left" w:pos="-720"/>
              </w:tabs>
              <w:rPr>
                <w:sz w:val="20"/>
                <w:szCs w:val="20"/>
                <w:lang w:val="fr-CA"/>
              </w:rPr>
            </w:pPr>
            <w:r w:rsidRPr="00CE4499">
              <w:rPr>
                <w:sz w:val="20"/>
                <w:szCs w:val="20"/>
                <w:lang w:val="fr-CA"/>
              </w:rPr>
              <w:tab/>
              <w:t xml:space="preserve">René Barkley </w:t>
            </w:r>
          </w:p>
          <w:p w:rsidR="008F59A3" w:rsidRPr="00E95CE4" w:rsidRDefault="008F59A3" w:rsidP="005F1ED8">
            <w:pPr>
              <w:tabs>
                <w:tab w:val="left" w:pos="-1440"/>
                <w:tab w:val="left" w:pos="-720"/>
              </w:tabs>
              <w:rPr>
                <w:sz w:val="20"/>
                <w:szCs w:val="20"/>
                <w:lang w:val="fr-CA"/>
              </w:rPr>
            </w:pPr>
          </w:p>
          <w:p w:rsidR="008F59A3" w:rsidRPr="00E95CE4" w:rsidRDefault="008F59A3" w:rsidP="005F1ED8">
            <w:pPr>
              <w:tabs>
                <w:tab w:val="left" w:pos="-1440"/>
                <w:tab w:val="left" w:pos="-720"/>
              </w:tabs>
              <w:rPr>
                <w:sz w:val="20"/>
                <w:szCs w:val="20"/>
                <w:lang w:val="fr-CA"/>
              </w:rPr>
            </w:pPr>
            <w:r w:rsidRPr="00E95CE4">
              <w:rPr>
                <w:sz w:val="20"/>
                <w:szCs w:val="20"/>
                <w:lang w:val="fr-CA"/>
              </w:rPr>
              <w:tab/>
            </w:r>
            <w:r>
              <w:rPr>
                <w:sz w:val="20"/>
                <w:szCs w:val="20"/>
                <w:lang w:val="fr-CA"/>
              </w:rPr>
              <w:t>c</w:t>
            </w:r>
            <w:r w:rsidRPr="00E95CE4">
              <w:rPr>
                <w:sz w:val="20"/>
                <w:szCs w:val="20"/>
                <w:lang w:val="fr-CA"/>
              </w:rPr>
              <w:t>. (36</w:t>
            </w:r>
            <w:r>
              <w:rPr>
                <w:sz w:val="20"/>
                <w:szCs w:val="20"/>
                <w:lang w:val="fr-CA"/>
              </w:rPr>
              <w:t>516</w:t>
            </w:r>
            <w:r w:rsidRPr="00E95CE4">
              <w:rPr>
                <w:sz w:val="20"/>
                <w:szCs w:val="20"/>
                <w:lang w:val="fr-CA"/>
              </w:rPr>
              <w:t>)</w:t>
            </w:r>
          </w:p>
          <w:p w:rsidR="008F59A3" w:rsidRPr="00E95CE4" w:rsidRDefault="008F59A3" w:rsidP="005F1ED8">
            <w:pPr>
              <w:tabs>
                <w:tab w:val="left" w:pos="-1440"/>
                <w:tab w:val="left" w:pos="-720"/>
              </w:tabs>
              <w:rPr>
                <w:sz w:val="20"/>
                <w:szCs w:val="20"/>
                <w:lang w:val="fr-CA"/>
              </w:rPr>
            </w:pPr>
          </w:p>
          <w:p w:rsidR="008F59A3" w:rsidRPr="008F59A3" w:rsidRDefault="008F59A3" w:rsidP="005F1ED8">
            <w:pPr>
              <w:tabs>
                <w:tab w:val="left" w:pos="-1440"/>
                <w:tab w:val="left" w:pos="-720"/>
              </w:tabs>
              <w:rPr>
                <w:b/>
                <w:sz w:val="20"/>
                <w:szCs w:val="20"/>
                <w:lang w:val="fr-CA"/>
              </w:rPr>
            </w:pPr>
            <w:r>
              <w:rPr>
                <w:b/>
                <w:sz w:val="20"/>
                <w:szCs w:val="20"/>
                <w:lang w:val="fr-CA"/>
              </w:rPr>
              <w:t>Do</w:t>
            </w:r>
            <w:r w:rsidRPr="00E95CE4">
              <w:rPr>
                <w:b/>
                <w:sz w:val="20"/>
                <w:szCs w:val="20"/>
                <w:lang w:val="fr-CA"/>
              </w:rPr>
              <w:t>n</w:t>
            </w:r>
            <w:r>
              <w:rPr>
                <w:b/>
                <w:sz w:val="20"/>
                <w:szCs w:val="20"/>
                <w:lang w:val="fr-CA"/>
              </w:rPr>
              <w:t xml:space="preserve"> He</w:t>
            </w:r>
            <w:r w:rsidRPr="00E95CE4">
              <w:rPr>
                <w:b/>
                <w:sz w:val="20"/>
                <w:szCs w:val="20"/>
                <w:lang w:val="fr-CA"/>
              </w:rPr>
              <w:t>a</w:t>
            </w:r>
            <w:r>
              <w:rPr>
                <w:b/>
                <w:sz w:val="20"/>
                <w:szCs w:val="20"/>
                <w:lang w:val="fr-CA"/>
              </w:rPr>
              <w:t>d</w:t>
            </w:r>
            <w:r w:rsidRPr="00E95CE4">
              <w:rPr>
                <w:b/>
                <w:sz w:val="20"/>
                <w:szCs w:val="20"/>
                <w:lang w:val="fr-CA"/>
              </w:rPr>
              <w:t xml:space="preserve"> et a</w:t>
            </w:r>
            <w:r>
              <w:rPr>
                <w:b/>
                <w:sz w:val="20"/>
                <w:szCs w:val="20"/>
                <w:lang w:val="fr-CA"/>
              </w:rPr>
              <w:t>utres</w:t>
            </w:r>
            <w:r w:rsidRPr="00E95CE4">
              <w:rPr>
                <w:sz w:val="20"/>
                <w:szCs w:val="20"/>
                <w:lang w:val="fr-CA"/>
              </w:rPr>
              <w:t xml:space="preserve"> </w:t>
            </w:r>
            <w:r w:rsidRPr="008F59A3">
              <w:rPr>
                <w:b/>
                <w:sz w:val="20"/>
                <w:szCs w:val="20"/>
                <w:lang w:val="fr-CA"/>
              </w:rPr>
              <w:t>(Qc)</w:t>
            </w:r>
          </w:p>
          <w:p w:rsidR="008F59A3" w:rsidRPr="008F59A3" w:rsidRDefault="008F59A3" w:rsidP="005F1ED8">
            <w:pPr>
              <w:tabs>
                <w:tab w:val="left" w:pos="-1440"/>
                <w:tab w:val="left" w:pos="-720"/>
              </w:tabs>
              <w:rPr>
                <w:sz w:val="20"/>
                <w:szCs w:val="20"/>
                <w:lang w:val="fr-CA"/>
              </w:rPr>
            </w:pPr>
            <w:r w:rsidRPr="008F59A3">
              <w:rPr>
                <w:sz w:val="20"/>
                <w:szCs w:val="20"/>
                <w:lang w:val="fr-CA"/>
              </w:rPr>
              <w:tab/>
            </w:r>
            <w:r>
              <w:rPr>
                <w:sz w:val="20"/>
                <w:szCs w:val="20"/>
                <w:lang w:val="fr-CA"/>
              </w:rPr>
              <w:t>To</w:t>
            </w:r>
            <w:r w:rsidRPr="008F59A3">
              <w:rPr>
                <w:sz w:val="20"/>
                <w:szCs w:val="20"/>
                <w:lang w:val="fr-CA"/>
              </w:rPr>
              <w:t>ni Abi Nasr</w:t>
            </w:r>
          </w:p>
          <w:p w:rsidR="008F59A3" w:rsidRPr="008F59A3" w:rsidRDefault="008F59A3" w:rsidP="005F1ED8">
            <w:pPr>
              <w:tabs>
                <w:tab w:val="left" w:pos="-1440"/>
                <w:tab w:val="left" w:pos="-720"/>
              </w:tabs>
              <w:rPr>
                <w:sz w:val="20"/>
                <w:szCs w:val="20"/>
                <w:lang w:val="fr-CA"/>
              </w:rPr>
            </w:pPr>
            <w:r w:rsidRPr="008F59A3">
              <w:rPr>
                <w:sz w:val="20"/>
                <w:szCs w:val="20"/>
                <w:lang w:val="fr-CA"/>
              </w:rPr>
              <w:tab/>
              <w:t>P.G. du Canada</w:t>
            </w:r>
          </w:p>
          <w:p w:rsidR="008F59A3" w:rsidRPr="008F59A3" w:rsidRDefault="008F59A3" w:rsidP="005F1ED8">
            <w:pPr>
              <w:tabs>
                <w:tab w:val="left" w:pos="-1440"/>
                <w:tab w:val="left" w:pos="-720"/>
              </w:tabs>
              <w:rPr>
                <w:sz w:val="20"/>
                <w:szCs w:val="20"/>
                <w:lang w:val="fr-CA"/>
              </w:rPr>
            </w:pPr>
          </w:p>
          <w:p w:rsidR="008F59A3" w:rsidRPr="00A935AA" w:rsidRDefault="008F59A3" w:rsidP="008F59A3">
            <w:pPr>
              <w:rPr>
                <w:sz w:val="20"/>
                <w:szCs w:val="20"/>
              </w:rPr>
            </w:pPr>
            <w:r w:rsidRPr="00806A5B">
              <w:rPr>
                <w:sz w:val="20"/>
                <w:szCs w:val="20"/>
                <w:lang w:val="fr-CA"/>
              </w:rPr>
              <w:t>DATE DE PRODUCTION</w:t>
            </w:r>
            <w:r>
              <w:rPr>
                <w:sz w:val="20"/>
                <w:szCs w:val="20"/>
                <w:lang w:val="fr-CA"/>
              </w:rPr>
              <w:t xml:space="preserve"> </w:t>
            </w:r>
            <w:r w:rsidRPr="00806A5B">
              <w:rPr>
                <w:sz w:val="20"/>
                <w:szCs w:val="20"/>
                <w:lang w:val="fr-CA"/>
              </w:rPr>
              <w:t xml:space="preserve">: </w:t>
            </w:r>
            <w:r>
              <w:rPr>
                <w:sz w:val="20"/>
                <w:szCs w:val="20"/>
                <w:lang w:val="fr-CA"/>
              </w:rPr>
              <w:t>30.01.2015</w:t>
            </w:r>
            <w:r w:rsidR="00310DA4">
              <w:rPr>
                <w:sz w:val="20"/>
                <w:szCs w:val="20"/>
                <w:lang w:val="fr-CA"/>
              </w:rPr>
              <w:pict>
                <v:rect id="_x0000_i1025" style="width:108pt;height:1pt" o:hrpct="0" o:hralign="center" o:hrstd="t" o:hrnoshade="t" o:hr="t" fillcolor="black [3213]" stroked="f"/>
              </w:pict>
            </w:r>
          </w:p>
        </w:tc>
        <w:tc>
          <w:tcPr>
            <w:tcW w:w="1181" w:type="dxa"/>
            <w:shd w:val="clear" w:color="auto" w:fill="auto"/>
          </w:tcPr>
          <w:p w:rsidR="008F59A3" w:rsidRPr="00A935AA" w:rsidRDefault="008F59A3" w:rsidP="00242AEE">
            <w:pPr>
              <w:jc w:val="center"/>
              <w:rPr>
                <w:sz w:val="20"/>
                <w:szCs w:val="20"/>
              </w:rPr>
            </w:pPr>
          </w:p>
          <w:p w:rsidR="008F59A3" w:rsidRPr="00A935AA" w:rsidRDefault="008F59A3" w:rsidP="00242AEE">
            <w:pPr>
              <w:jc w:val="center"/>
              <w:rPr>
                <w:sz w:val="20"/>
                <w:szCs w:val="20"/>
              </w:rPr>
            </w:pPr>
          </w:p>
          <w:p w:rsidR="008F59A3" w:rsidRPr="00A935AA" w:rsidRDefault="008F59A3" w:rsidP="00242AEE">
            <w:pPr>
              <w:jc w:val="center"/>
              <w:rPr>
                <w:sz w:val="20"/>
                <w:szCs w:val="20"/>
              </w:rPr>
            </w:pPr>
          </w:p>
          <w:p w:rsidR="008F59A3" w:rsidRPr="00A935AA" w:rsidRDefault="008F59A3" w:rsidP="00242AEE">
            <w:pPr>
              <w:jc w:val="center"/>
              <w:rPr>
                <w:sz w:val="20"/>
                <w:szCs w:val="20"/>
              </w:rPr>
            </w:pPr>
          </w:p>
          <w:p w:rsidR="008F59A3" w:rsidRPr="00A935AA" w:rsidRDefault="008F59A3" w:rsidP="00242AEE">
            <w:pPr>
              <w:jc w:val="center"/>
              <w:rPr>
                <w:sz w:val="20"/>
                <w:szCs w:val="20"/>
              </w:rPr>
            </w:pPr>
          </w:p>
          <w:p w:rsidR="008F59A3" w:rsidRPr="00A935AA" w:rsidRDefault="008F59A3" w:rsidP="00242AEE">
            <w:pPr>
              <w:jc w:val="center"/>
              <w:rPr>
                <w:sz w:val="20"/>
                <w:szCs w:val="20"/>
              </w:rPr>
            </w:pPr>
          </w:p>
          <w:p w:rsidR="008F59A3" w:rsidRPr="00A935AA" w:rsidRDefault="008F59A3" w:rsidP="00242AEE">
            <w:pPr>
              <w:jc w:val="center"/>
              <w:rPr>
                <w:sz w:val="20"/>
                <w:szCs w:val="20"/>
              </w:rPr>
            </w:pPr>
          </w:p>
          <w:p w:rsidR="008F59A3" w:rsidRPr="00A935AA" w:rsidRDefault="008F59A3" w:rsidP="00242AEE">
            <w:pPr>
              <w:jc w:val="center"/>
              <w:rPr>
                <w:sz w:val="20"/>
                <w:szCs w:val="20"/>
              </w:rPr>
            </w:pPr>
          </w:p>
          <w:p w:rsidR="008F59A3" w:rsidRPr="00A935AA" w:rsidRDefault="008F59A3" w:rsidP="00242AEE">
            <w:pPr>
              <w:jc w:val="center"/>
              <w:rPr>
                <w:sz w:val="20"/>
                <w:szCs w:val="20"/>
              </w:rPr>
            </w:pPr>
          </w:p>
          <w:p w:rsidR="008F59A3" w:rsidRPr="00A935AA" w:rsidRDefault="008F59A3" w:rsidP="00242AEE">
            <w:pPr>
              <w:jc w:val="center"/>
              <w:rPr>
                <w:sz w:val="20"/>
                <w:szCs w:val="20"/>
              </w:rPr>
            </w:pPr>
          </w:p>
          <w:p w:rsidR="008F59A3" w:rsidRPr="00A935AA" w:rsidRDefault="008F59A3" w:rsidP="00242AEE">
            <w:pPr>
              <w:jc w:val="center"/>
              <w:rPr>
                <w:sz w:val="20"/>
                <w:szCs w:val="20"/>
              </w:rPr>
            </w:pPr>
          </w:p>
          <w:p w:rsidR="008F59A3" w:rsidRPr="00A935AA" w:rsidRDefault="008F59A3" w:rsidP="00242AEE">
            <w:pPr>
              <w:jc w:val="center"/>
              <w:rPr>
                <w:sz w:val="20"/>
                <w:szCs w:val="20"/>
              </w:rPr>
            </w:pPr>
          </w:p>
        </w:tc>
        <w:tc>
          <w:tcPr>
            <w:tcW w:w="4320" w:type="dxa"/>
            <w:shd w:val="clear" w:color="auto" w:fill="auto"/>
          </w:tcPr>
          <w:p w:rsidR="008F59A3" w:rsidRPr="00CE4499" w:rsidRDefault="008F59A3" w:rsidP="008F59A3">
            <w:pPr>
              <w:rPr>
                <w:b/>
                <w:sz w:val="20"/>
                <w:szCs w:val="20"/>
                <w:lang w:val="fr-CA"/>
              </w:rPr>
            </w:pPr>
            <w:r w:rsidRPr="00CE4499">
              <w:rPr>
                <w:b/>
                <w:sz w:val="20"/>
                <w:szCs w:val="20"/>
                <w:lang w:val="fr-CA"/>
              </w:rPr>
              <w:t>Loc Nguyen</w:t>
            </w:r>
          </w:p>
          <w:p w:rsidR="008F59A3" w:rsidRPr="00CE4499" w:rsidRDefault="008F59A3" w:rsidP="008F59A3">
            <w:pPr>
              <w:tabs>
                <w:tab w:val="left" w:pos="-1440"/>
                <w:tab w:val="left" w:pos="-720"/>
              </w:tabs>
              <w:rPr>
                <w:sz w:val="20"/>
                <w:szCs w:val="20"/>
                <w:lang w:val="fr-CA"/>
              </w:rPr>
            </w:pPr>
            <w:r w:rsidRPr="00CE4499">
              <w:rPr>
                <w:sz w:val="20"/>
                <w:szCs w:val="20"/>
                <w:lang w:val="fr-CA"/>
              </w:rPr>
              <w:tab/>
              <w:t>Loc Nguyen</w:t>
            </w:r>
          </w:p>
          <w:p w:rsidR="008F59A3" w:rsidRPr="00CE4499" w:rsidRDefault="008F59A3" w:rsidP="008F59A3">
            <w:pPr>
              <w:tabs>
                <w:tab w:val="left" w:pos="-1440"/>
                <w:tab w:val="left" w:pos="-720"/>
              </w:tabs>
              <w:rPr>
                <w:sz w:val="20"/>
                <w:szCs w:val="20"/>
                <w:lang w:val="fr-CA"/>
              </w:rPr>
            </w:pPr>
          </w:p>
          <w:p w:rsidR="008F59A3" w:rsidRPr="008F59A3" w:rsidRDefault="008F59A3" w:rsidP="008F59A3">
            <w:pPr>
              <w:tabs>
                <w:tab w:val="left" w:pos="-1440"/>
                <w:tab w:val="left" w:pos="-720"/>
              </w:tabs>
              <w:rPr>
                <w:sz w:val="20"/>
                <w:szCs w:val="20"/>
                <w:lang w:val="fr-CA"/>
              </w:rPr>
            </w:pPr>
            <w:r w:rsidRPr="00CE4499">
              <w:rPr>
                <w:sz w:val="20"/>
                <w:szCs w:val="20"/>
                <w:lang w:val="fr-CA"/>
              </w:rPr>
              <w:tab/>
            </w:r>
            <w:r w:rsidRPr="008F59A3">
              <w:rPr>
                <w:sz w:val="20"/>
                <w:szCs w:val="20"/>
                <w:lang w:val="fr-CA"/>
              </w:rPr>
              <w:t>c. (36511)</w:t>
            </w:r>
          </w:p>
          <w:p w:rsidR="008F59A3" w:rsidRPr="008F59A3" w:rsidRDefault="008F59A3" w:rsidP="008F59A3">
            <w:pPr>
              <w:tabs>
                <w:tab w:val="left" w:pos="-1440"/>
                <w:tab w:val="left" w:pos="-720"/>
              </w:tabs>
              <w:rPr>
                <w:sz w:val="20"/>
                <w:szCs w:val="20"/>
                <w:lang w:val="fr-CA"/>
              </w:rPr>
            </w:pPr>
          </w:p>
          <w:p w:rsidR="008F59A3" w:rsidRPr="008F59A3" w:rsidRDefault="008F59A3" w:rsidP="008F59A3">
            <w:pPr>
              <w:tabs>
                <w:tab w:val="left" w:pos="-1440"/>
                <w:tab w:val="left" w:pos="-720"/>
              </w:tabs>
              <w:rPr>
                <w:b/>
                <w:sz w:val="20"/>
                <w:szCs w:val="20"/>
                <w:lang w:val="fr-CA"/>
              </w:rPr>
            </w:pPr>
            <w:r w:rsidRPr="008F59A3">
              <w:rPr>
                <w:b/>
                <w:sz w:val="20"/>
                <w:szCs w:val="20"/>
                <w:lang w:val="fr-CA"/>
              </w:rPr>
              <w:t>Procureure générale du Québec (Qc)</w:t>
            </w:r>
          </w:p>
          <w:p w:rsidR="008F59A3" w:rsidRPr="008F59A3" w:rsidRDefault="008F59A3" w:rsidP="008F59A3">
            <w:pPr>
              <w:tabs>
                <w:tab w:val="left" w:pos="-1440"/>
                <w:tab w:val="left" w:pos="-720"/>
              </w:tabs>
              <w:rPr>
                <w:sz w:val="20"/>
                <w:szCs w:val="20"/>
                <w:lang w:val="fr-CA"/>
              </w:rPr>
            </w:pPr>
            <w:r w:rsidRPr="008F59A3">
              <w:rPr>
                <w:sz w:val="20"/>
                <w:szCs w:val="20"/>
                <w:lang w:val="fr-CA"/>
              </w:rPr>
              <w:tab/>
            </w:r>
            <w:r>
              <w:rPr>
                <w:sz w:val="20"/>
                <w:szCs w:val="20"/>
                <w:lang w:val="fr-CA"/>
              </w:rPr>
              <w:t>Valérie Lamarche</w:t>
            </w:r>
          </w:p>
          <w:p w:rsidR="008F59A3" w:rsidRPr="008F59A3" w:rsidRDefault="008F59A3" w:rsidP="008F59A3">
            <w:pPr>
              <w:tabs>
                <w:tab w:val="left" w:pos="-1440"/>
                <w:tab w:val="left" w:pos="-720"/>
              </w:tabs>
              <w:rPr>
                <w:sz w:val="20"/>
                <w:szCs w:val="20"/>
                <w:lang w:val="fr-CA"/>
              </w:rPr>
            </w:pPr>
            <w:r w:rsidRPr="008F59A3">
              <w:rPr>
                <w:sz w:val="20"/>
                <w:szCs w:val="20"/>
                <w:lang w:val="fr-CA"/>
              </w:rPr>
              <w:tab/>
            </w:r>
            <w:r>
              <w:rPr>
                <w:sz w:val="20"/>
                <w:szCs w:val="20"/>
                <w:lang w:val="fr-CA"/>
              </w:rPr>
              <w:t>Chamberland, Gagnon</w:t>
            </w:r>
          </w:p>
          <w:p w:rsidR="008F59A3" w:rsidRPr="008F59A3" w:rsidRDefault="008F59A3" w:rsidP="008F59A3">
            <w:pPr>
              <w:tabs>
                <w:tab w:val="left" w:pos="-1440"/>
                <w:tab w:val="left" w:pos="-720"/>
              </w:tabs>
              <w:rPr>
                <w:sz w:val="20"/>
                <w:szCs w:val="20"/>
                <w:lang w:val="fr-CA"/>
              </w:rPr>
            </w:pPr>
          </w:p>
          <w:p w:rsidR="008F59A3" w:rsidRPr="008F59A3" w:rsidRDefault="008F59A3" w:rsidP="008F59A3">
            <w:pPr>
              <w:rPr>
                <w:sz w:val="20"/>
                <w:szCs w:val="20"/>
                <w:lang w:val="fr-CA"/>
              </w:rPr>
            </w:pPr>
            <w:r w:rsidRPr="008F59A3">
              <w:rPr>
                <w:sz w:val="20"/>
                <w:szCs w:val="20"/>
                <w:lang w:val="fr-CA"/>
              </w:rPr>
              <w:t>DATE</w:t>
            </w:r>
            <w:r w:rsidR="0054586E">
              <w:rPr>
                <w:sz w:val="20"/>
                <w:szCs w:val="20"/>
                <w:lang w:val="fr-CA"/>
              </w:rPr>
              <w:t xml:space="preserve"> DE PRODUCTION </w:t>
            </w:r>
            <w:r w:rsidRPr="008F59A3">
              <w:rPr>
                <w:sz w:val="20"/>
                <w:szCs w:val="20"/>
                <w:lang w:val="fr-CA"/>
              </w:rPr>
              <w:t xml:space="preserve">: </w:t>
            </w:r>
            <w:r>
              <w:rPr>
                <w:sz w:val="20"/>
                <w:szCs w:val="20"/>
                <w:lang w:val="fr-CA"/>
              </w:rPr>
              <w:t>1</w:t>
            </w:r>
            <w:r w:rsidRPr="008F59A3">
              <w:rPr>
                <w:sz w:val="20"/>
                <w:szCs w:val="20"/>
                <w:lang w:val="fr-CA"/>
              </w:rPr>
              <w:t>2.0</w:t>
            </w:r>
            <w:r>
              <w:rPr>
                <w:sz w:val="20"/>
                <w:szCs w:val="20"/>
                <w:lang w:val="fr-CA"/>
              </w:rPr>
              <w:t>6</w:t>
            </w:r>
            <w:r w:rsidRPr="008F59A3">
              <w:rPr>
                <w:sz w:val="20"/>
                <w:szCs w:val="20"/>
                <w:lang w:val="fr-CA"/>
              </w:rPr>
              <w:t>.2015</w:t>
            </w:r>
            <w:r w:rsidR="00310DA4">
              <w:rPr>
                <w:sz w:val="20"/>
                <w:szCs w:val="20"/>
                <w:lang w:val="fr-CA"/>
              </w:rPr>
              <w:pict>
                <v:rect id="_x0000_i1026" style="width:108pt;height:1pt" o:hrpct="0" o:hralign="center" o:hrstd="t" o:hrnoshade="t" o:hr="t" fillcolor="black [3213]" stroked="f"/>
              </w:pict>
            </w:r>
          </w:p>
        </w:tc>
      </w:tr>
      <w:tr w:rsidR="00C21644" w:rsidRPr="008F59A3" w:rsidTr="003B3977">
        <w:tc>
          <w:tcPr>
            <w:tcW w:w="4320" w:type="dxa"/>
            <w:shd w:val="clear" w:color="auto" w:fill="auto"/>
          </w:tcPr>
          <w:p w:rsidR="00C21644" w:rsidRPr="00C21644" w:rsidRDefault="008F59A3" w:rsidP="003B3977">
            <w:pPr>
              <w:rPr>
                <w:b/>
                <w:sz w:val="20"/>
                <w:szCs w:val="20"/>
                <w:lang w:val="fr-CA"/>
              </w:rPr>
            </w:pPr>
            <w:r>
              <w:rPr>
                <w:b/>
                <w:sz w:val="20"/>
                <w:szCs w:val="20"/>
                <w:lang w:val="fr-CA"/>
              </w:rPr>
              <w:t>Clifford Lecaine et al.</w:t>
            </w:r>
          </w:p>
          <w:p w:rsidR="00C21644" w:rsidRPr="00C21644" w:rsidRDefault="00C21644" w:rsidP="003B3977">
            <w:pPr>
              <w:tabs>
                <w:tab w:val="left" w:pos="-1440"/>
                <w:tab w:val="left" w:pos="-720"/>
              </w:tabs>
              <w:rPr>
                <w:sz w:val="20"/>
                <w:szCs w:val="20"/>
                <w:lang w:val="fr-CA"/>
              </w:rPr>
            </w:pPr>
            <w:r w:rsidRPr="00C21644">
              <w:rPr>
                <w:sz w:val="20"/>
                <w:szCs w:val="20"/>
                <w:lang w:val="fr-CA"/>
              </w:rPr>
              <w:tab/>
            </w:r>
            <w:r w:rsidR="008F59A3">
              <w:rPr>
                <w:sz w:val="20"/>
                <w:szCs w:val="20"/>
                <w:lang w:val="fr-CA"/>
              </w:rPr>
              <w:t>James S. Ehman</w:t>
            </w:r>
            <w:r w:rsidR="00300BFB">
              <w:rPr>
                <w:sz w:val="20"/>
                <w:szCs w:val="20"/>
                <w:lang w:val="fr-CA"/>
              </w:rPr>
              <w:t>n, Q.C.</w:t>
            </w:r>
          </w:p>
          <w:p w:rsidR="00C21644" w:rsidRPr="008F59A3" w:rsidRDefault="00C21644" w:rsidP="003B3977">
            <w:pPr>
              <w:tabs>
                <w:tab w:val="left" w:pos="-1440"/>
                <w:tab w:val="left" w:pos="-720"/>
              </w:tabs>
              <w:rPr>
                <w:sz w:val="20"/>
                <w:szCs w:val="20"/>
              </w:rPr>
            </w:pPr>
            <w:r w:rsidRPr="00C21644">
              <w:rPr>
                <w:sz w:val="20"/>
                <w:szCs w:val="20"/>
                <w:lang w:val="fr-CA"/>
              </w:rPr>
              <w:tab/>
            </w:r>
            <w:r w:rsidR="008F59A3" w:rsidRPr="008F59A3">
              <w:rPr>
                <w:sz w:val="20"/>
                <w:szCs w:val="20"/>
              </w:rPr>
              <w:t>Kanuka Thuringer</w:t>
            </w:r>
          </w:p>
          <w:p w:rsidR="00C21644" w:rsidRPr="008F59A3" w:rsidRDefault="00C21644" w:rsidP="003B3977">
            <w:pPr>
              <w:tabs>
                <w:tab w:val="left" w:pos="-1440"/>
                <w:tab w:val="left" w:pos="-720"/>
              </w:tabs>
              <w:rPr>
                <w:sz w:val="20"/>
                <w:szCs w:val="20"/>
              </w:rPr>
            </w:pPr>
          </w:p>
          <w:p w:rsidR="00C21644" w:rsidRPr="00A935AA" w:rsidRDefault="00C21644" w:rsidP="003B3977">
            <w:pPr>
              <w:tabs>
                <w:tab w:val="left" w:pos="-1440"/>
                <w:tab w:val="left" w:pos="-720"/>
              </w:tabs>
              <w:rPr>
                <w:sz w:val="20"/>
                <w:szCs w:val="20"/>
              </w:rPr>
            </w:pPr>
            <w:r w:rsidRPr="008F59A3">
              <w:rPr>
                <w:sz w:val="20"/>
                <w:szCs w:val="20"/>
              </w:rPr>
              <w:tab/>
            </w:r>
            <w:r w:rsidRPr="00A935AA">
              <w:rPr>
                <w:sz w:val="20"/>
                <w:szCs w:val="20"/>
              </w:rPr>
              <w:t>v. (3</w:t>
            </w:r>
            <w:r w:rsidR="008F59A3">
              <w:rPr>
                <w:sz w:val="20"/>
                <w:szCs w:val="20"/>
              </w:rPr>
              <w:t>6</w:t>
            </w:r>
            <w:r>
              <w:rPr>
                <w:sz w:val="20"/>
                <w:szCs w:val="20"/>
              </w:rPr>
              <w:t>5</w:t>
            </w:r>
            <w:r w:rsidR="008F59A3">
              <w:rPr>
                <w:sz w:val="20"/>
                <w:szCs w:val="20"/>
              </w:rPr>
              <w:t>02</w:t>
            </w:r>
            <w:r w:rsidRPr="00A935AA">
              <w:rPr>
                <w:sz w:val="20"/>
                <w:szCs w:val="20"/>
              </w:rPr>
              <w:t>)</w:t>
            </w:r>
          </w:p>
          <w:p w:rsidR="00C21644" w:rsidRPr="00A935AA" w:rsidRDefault="00C21644" w:rsidP="003B3977">
            <w:pPr>
              <w:tabs>
                <w:tab w:val="left" w:pos="-1440"/>
                <w:tab w:val="left" w:pos="-720"/>
              </w:tabs>
              <w:rPr>
                <w:sz w:val="20"/>
                <w:szCs w:val="20"/>
              </w:rPr>
            </w:pPr>
          </w:p>
          <w:p w:rsidR="00C21644" w:rsidRPr="00A935AA" w:rsidRDefault="008F59A3" w:rsidP="003B3977">
            <w:pPr>
              <w:tabs>
                <w:tab w:val="left" w:pos="-1440"/>
                <w:tab w:val="left" w:pos="-720"/>
              </w:tabs>
              <w:rPr>
                <w:b/>
                <w:sz w:val="20"/>
                <w:szCs w:val="20"/>
              </w:rPr>
            </w:pPr>
            <w:r>
              <w:rPr>
                <w:b/>
                <w:sz w:val="20"/>
                <w:szCs w:val="20"/>
              </w:rPr>
              <w:t xml:space="preserve">Registrar of Indian and Northern Affairs Canada et al. </w:t>
            </w:r>
            <w:r w:rsidR="00C21644" w:rsidRPr="00A935AA">
              <w:rPr>
                <w:b/>
                <w:sz w:val="20"/>
                <w:szCs w:val="20"/>
              </w:rPr>
              <w:t>(</w:t>
            </w:r>
            <w:r>
              <w:rPr>
                <w:b/>
                <w:sz w:val="20"/>
                <w:szCs w:val="20"/>
              </w:rPr>
              <w:t>Sask</w:t>
            </w:r>
            <w:r w:rsidR="00C21644" w:rsidRPr="00A935AA">
              <w:rPr>
                <w:b/>
                <w:sz w:val="20"/>
                <w:szCs w:val="20"/>
              </w:rPr>
              <w:t>.)</w:t>
            </w:r>
          </w:p>
          <w:p w:rsidR="00C21644" w:rsidRPr="00A935AA" w:rsidRDefault="00C21644" w:rsidP="003B3977">
            <w:pPr>
              <w:tabs>
                <w:tab w:val="left" w:pos="-1440"/>
                <w:tab w:val="left" w:pos="-720"/>
              </w:tabs>
              <w:rPr>
                <w:sz w:val="20"/>
                <w:szCs w:val="20"/>
              </w:rPr>
            </w:pPr>
            <w:r w:rsidRPr="00A935AA">
              <w:rPr>
                <w:sz w:val="20"/>
                <w:szCs w:val="20"/>
              </w:rPr>
              <w:tab/>
            </w:r>
            <w:r w:rsidR="008F59A3">
              <w:rPr>
                <w:sz w:val="20"/>
                <w:szCs w:val="20"/>
              </w:rPr>
              <w:t>Karen Jones</w:t>
            </w:r>
          </w:p>
          <w:p w:rsidR="00C21644" w:rsidRPr="00A935AA" w:rsidRDefault="00C21644" w:rsidP="003B3977">
            <w:pPr>
              <w:tabs>
                <w:tab w:val="left" w:pos="-1440"/>
                <w:tab w:val="left" w:pos="-720"/>
              </w:tabs>
              <w:rPr>
                <w:sz w:val="20"/>
                <w:szCs w:val="20"/>
              </w:rPr>
            </w:pPr>
            <w:r w:rsidRPr="00A935AA">
              <w:rPr>
                <w:sz w:val="20"/>
                <w:szCs w:val="20"/>
              </w:rPr>
              <w:tab/>
            </w:r>
            <w:r w:rsidR="008F59A3">
              <w:rPr>
                <w:sz w:val="20"/>
                <w:szCs w:val="20"/>
              </w:rPr>
              <w:t>Department of Justice</w:t>
            </w:r>
          </w:p>
          <w:p w:rsidR="00C21644" w:rsidRPr="00A935AA" w:rsidRDefault="00C21644" w:rsidP="003B3977">
            <w:pPr>
              <w:tabs>
                <w:tab w:val="left" w:pos="-1440"/>
                <w:tab w:val="left" w:pos="-720"/>
              </w:tabs>
              <w:rPr>
                <w:sz w:val="20"/>
                <w:szCs w:val="20"/>
              </w:rPr>
            </w:pPr>
          </w:p>
          <w:p w:rsidR="00C21644" w:rsidRPr="00A935AA" w:rsidRDefault="00C21644" w:rsidP="008F59A3">
            <w:pPr>
              <w:rPr>
                <w:sz w:val="20"/>
                <w:szCs w:val="20"/>
              </w:rPr>
            </w:pPr>
            <w:r w:rsidRPr="00A935AA">
              <w:rPr>
                <w:sz w:val="20"/>
                <w:szCs w:val="20"/>
              </w:rPr>
              <w:t>FILING DATE: 2</w:t>
            </w:r>
            <w:r w:rsidR="008F59A3">
              <w:rPr>
                <w:sz w:val="20"/>
                <w:szCs w:val="20"/>
              </w:rPr>
              <w:t>5</w:t>
            </w:r>
            <w:r w:rsidRPr="00A935AA">
              <w:rPr>
                <w:sz w:val="20"/>
                <w:szCs w:val="20"/>
              </w:rPr>
              <w:t>.0</w:t>
            </w:r>
            <w:r w:rsidR="008F59A3">
              <w:rPr>
                <w:sz w:val="20"/>
                <w:szCs w:val="20"/>
              </w:rPr>
              <w:t>6</w:t>
            </w:r>
            <w:r w:rsidRPr="00A935AA">
              <w:rPr>
                <w:sz w:val="20"/>
                <w:szCs w:val="20"/>
              </w:rPr>
              <w:t>.201</w:t>
            </w:r>
            <w:r w:rsidR="008F59A3">
              <w:rPr>
                <w:sz w:val="20"/>
                <w:szCs w:val="20"/>
              </w:rPr>
              <w:t>5</w:t>
            </w:r>
            <w:r w:rsidR="00310DA4">
              <w:rPr>
                <w:sz w:val="20"/>
                <w:szCs w:val="20"/>
                <w:lang w:val="fr-CA"/>
              </w:rPr>
              <w:pict>
                <v:rect id="_x0000_i1027"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Default="00C21644" w:rsidP="00242AEE">
            <w:pPr>
              <w:jc w:val="center"/>
              <w:rPr>
                <w:sz w:val="20"/>
                <w:szCs w:val="20"/>
              </w:rPr>
            </w:pPr>
          </w:p>
          <w:p w:rsidR="008F59A3" w:rsidRPr="00A935AA" w:rsidRDefault="008F59A3"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C21644" w:rsidRPr="008F59A3" w:rsidRDefault="008F59A3" w:rsidP="003B3977">
            <w:pPr>
              <w:keepNext/>
              <w:keepLines/>
              <w:tabs>
                <w:tab w:val="left" w:pos="-1440"/>
                <w:tab w:val="left" w:pos="-720"/>
              </w:tabs>
              <w:rPr>
                <w:b/>
                <w:sz w:val="20"/>
                <w:szCs w:val="20"/>
                <w:lang w:val="fr-CA"/>
              </w:rPr>
            </w:pPr>
            <w:r>
              <w:rPr>
                <w:b/>
                <w:sz w:val="20"/>
                <w:szCs w:val="20"/>
                <w:lang w:val="fr-CA"/>
              </w:rPr>
              <w:t>Clifford Lecaine et al.</w:t>
            </w:r>
          </w:p>
          <w:p w:rsidR="008F59A3" w:rsidRPr="00C21644" w:rsidRDefault="00C21644" w:rsidP="008F59A3">
            <w:pPr>
              <w:tabs>
                <w:tab w:val="left" w:pos="-1440"/>
                <w:tab w:val="left" w:pos="-720"/>
              </w:tabs>
              <w:rPr>
                <w:sz w:val="20"/>
                <w:szCs w:val="20"/>
                <w:lang w:val="fr-CA"/>
              </w:rPr>
            </w:pPr>
            <w:r w:rsidRPr="008F59A3">
              <w:rPr>
                <w:sz w:val="20"/>
                <w:szCs w:val="20"/>
                <w:lang w:val="fr-CA"/>
              </w:rPr>
              <w:tab/>
            </w:r>
            <w:r w:rsidR="008F59A3">
              <w:rPr>
                <w:sz w:val="20"/>
                <w:szCs w:val="20"/>
                <w:lang w:val="fr-CA"/>
              </w:rPr>
              <w:t>James S. Ehman</w:t>
            </w:r>
            <w:r w:rsidR="00300BFB">
              <w:rPr>
                <w:sz w:val="20"/>
                <w:szCs w:val="20"/>
                <w:lang w:val="fr-CA"/>
              </w:rPr>
              <w:t>n, Q.C.</w:t>
            </w:r>
          </w:p>
          <w:p w:rsidR="008F59A3" w:rsidRPr="008F59A3" w:rsidRDefault="008F59A3" w:rsidP="008F59A3">
            <w:pPr>
              <w:tabs>
                <w:tab w:val="left" w:pos="-1440"/>
                <w:tab w:val="left" w:pos="-720"/>
              </w:tabs>
              <w:rPr>
                <w:sz w:val="20"/>
                <w:szCs w:val="20"/>
              </w:rPr>
            </w:pPr>
            <w:r w:rsidRPr="00C21644">
              <w:rPr>
                <w:sz w:val="20"/>
                <w:szCs w:val="20"/>
                <w:lang w:val="fr-CA"/>
              </w:rPr>
              <w:tab/>
            </w:r>
            <w:r w:rsidRPr="008F59A3">
              <w:rPr>
                <w:sz w:val="20"/>
                <w:szCs w:val="20"/>
              </w:rPr>
              <w:t>Kanuka Thuringer</w:t>
            </w:r>
          </w:p>
          <w:p w:rsidR="00C21644" w:rsidRPr="00CE4499" w:rsidRDefault="00C21644" w:rsidP="003B3977">
            <w:pPr>
              <w:keepNext/>
              <w:keepLines/>
              <w:tabs>
                <w:tab w:val="left" w:pos="-1440"/>
                <w:tab w:val="left" w:pos="-720"/>
              </w:tabs>
              <w:rPr>
                <w:sz w:val="20"/>
                <w:szCs w:val="20"/>
              </w:rPr>
            </w:pPr>
          </w:p>
          <w:p w:rsidR="00C21644" w:rsidRPr="008F59A3" w:rsidRDefault="00C21644" w:rsidP="003B3977">
            <w:pPr>
              <w:keepNext/>
              <w:keepLines/>
              <w:tabs>
                <w:tab w:val="left" w:pos="-1440"/>
                <w:tab w:val="left" w:pos="-720"/>
              </w:tabs>
              <w:rPr>
                <w:sz w:val="20"/>
                <w:szCs w:val="20"/>
              </w:rPr>
            </w:pPr>
            <w:r w:rsidRPr="00CE4499">
              <w:rPr>
                <w:sz w:val="20"/>
                <w:szCs w:val="20"/>
              </w:rPr>
              <w:tab/>
            </w:r>
            <w:r w:rsidRPr="008F59A3">
              <w:rPr>
                <w:sz w:val="20"/>
                <w:szCs w:val="20"/>
              </w:rPr>
              <w:t>v. (3</w:t>
            </w:r>
            <w:r w:rsidR="008F59A3" w:rsidRPr="008F59A3">
              <w:rPr>
                <w:sz w:val="20"/>
                <w:szCs w:val="20"/>
              </w:rPr>
              <w:t>6</w:t>
            </w:r>
            <w:r w:rsidRPr="008F59A3">
              <w:rPr>
                <w:sz w:val="20"/>
                <w:szCs w:val="20"/>
              </w:rPr>
              <w:t>5</w:t>
            </w:r>
            <w:r w:rsidR="008F59A3" w:rsidRPr="008F59A3">
              <w:rPr>
                <w:sz w:val="20"/>
                <w:szCs w:val="20"/>
              </w:rPr>
              <w:t>03</w:t>
            </w:r>
            <w:r w:rsidRPr="008F59A3">
              <w:rPr>
                <w:sz w:val="20"/>
                <w:szCs w:val="20"/>
              </w:rPr>
              <w:t>)</w:t>
            </w:r>
          </w:p>
          <w:p w:rsidR="00C21644" w:rsidRPr="008F59A3" w:rsidRDefault="00C21644" w:rsidP="003B3977">
            <w:pPr>
              <w:keepNext/>
              <w:keepLines/>
              <w:tabs>
                <w:tab w:val="left" w:pos="-1440"/>
                <w:tab w:val="left" w:pos="-720"/>
              </w:tabs>
              <w:rPr>
                <w:sz w:val="20"/>
                <w:szCs w:val="20"/>
              </w:rPr>
            </w:pPr>
          </w:p>
          <w:p w:rsidR="00C21644" w:rsidRPr="008F59A3" w:rsidRDefault="008F59A3" w:rsidP="003B3977">
            <w:pPr>
              <w:keepNext/>
              <w:keepLines/>
              <w:tabs>
                <w:tab w:val="left" w:pos="-1440"/>
                <w:tab w:val="left" w:pos="-720"/>
              </w:tabs>
              <w:rPr>
                <w:b/>
                <w:sz w:val="20"/>
                <w:szCs w:val="20"/>
              </w:rPr>
            </w:pPr>
            <w:r>
              <w:rPr>
                <w:b/>
                <w:sz w:val="20"/>
                <w:szCs w:val="20"/>
              </w:rPr>
              <w:t xml:space="preserve">Registrar of Indian and Northern Affairs et al. </w:t>
            </w:r>
            <w:r w:rsidRPr="00A935AA">
              <w:rPr>
                <w:b/>
                <w:sz w:val="20"/>
                <w:szCs w:val="20"/>
              </w:rPr>
              <w:t>(</w:t>
            </w:r>
            <w:r>
              <w:rPr>
                <w:b/>
                <w:sz w:val="20"/>
                <w:szCs w:val="20"/>
              </w:rPr>
              <w:t>Sask</w:t>
            </w:r>
            <w:r w:rsidRPr="00A935AA">
              <w:rPr>
                <w:b/>
                <w:sz w:val="20"/>
                <w:szCs w:val="20"/>
              </w:rPr>
              <w:t>.)</w:t>
            </w:r>
          </w:p>
          <w:p w:rsidR="008F59A3" w:rsidRPr="00A935AA" w:rsidRDefault="00C21644" w:rsidP="008F59A3">
            <w:pPr>
              <w:tabs>
                <w:tab w:val="left" w:pos="-1440"/>
                <w:tab w:val="left" w:pos="-720"/>
              </w:tabs>
              <w:rPr>
                <w:sz w:val="20"/>
                <w:szCs w:val="20"/>
              </w:rPr>
            </w:pPr>
            <w:r w:rsidRPr="008F59A3">
              <w:rPr>
                <w:sz w:val="20"/>
                <w:szCs w:val="20"/>
              </w:rPr>
              <w:tab/>
            </w:r>
            <w:r w:rsidR="008F59A3">
              <w:rPr>
                <w:sz w:val="20"/>
                <w:szCs w:val="20"/>
              </w:rPr>
              <w:t>Karen Jones</w:t>
            </w:r>
          </w:p>
          <w:p w:rsidR="008F59A3" w:rsidRPr="00A935AA" w:rsidRDefault="008F59A3" w:rsidP="008F59A3">
            <w:pPr>
              <w:tabs>
                <w:tab w:val="left" w:pos="-1440"/>
                <w:tab w:val="left" w:pos="-720"/>
              </w:tabs>
              <w:rPr>
                <w:sz w:val="20"/>
                <w:szCs w:val="20"/>
              </w:rPr>
            </w:pPr>
            <w:r w:rsidRPr="00A935AA">
              <w:rPr>
                <w:sz w:val="20"/>
                <w:szCs w:val="20"/>
              </w:rPr>
              <w:tab/>
            </w:r>
            <w:r>
              <w:rPr>
                <w:sz w:val="20"/>
                <w:szCs w:val="20"/>
              </w:rPr>
              <w:t>Department of Justice</w:t>
            </w:r>
          </w:p>
          <w:p w:rsidR="00C21644" w:rsidRPr="008F59A3" w:rsidRDefault="00C21644" w:rsidP="003B3977">
            <w:pPr>
              <w:keepNext/>
              <w:keepLines/>
              <w:tabs>
                <w:tab w:val="left" w:pos="-1440"/>
                <w:tab w:val="left" w:pos="-720"/>
              </w:tabs>
              <w:rPr>
                <w:sz w:val="20"/>
                <w:szCs w:val="20"/>
              </w:rPr>
            </w:pPr>
          </w:p>
          <w:p w:rsidR="00C21644" w:rsidRPr="008F59A3" w:rsidRDefault="00C21644" w:rsidP="008F59A3">
            <w:pPr>
              <w:rPr>
                <w:sz w:val="20"/>
                <w:szCs w:val="20"/>
              </w:rPr>
            </w:pPr>
            <w:r w:rsidRPr="008F59A3">
              <w:rPr>
                <w:sz w:val="20"/>
                <w:szCs w:val="20"/>
              </w:rPr>
              <w:t>FILING DATE: 2</w:t>
            </w:r>
            <w:r w:rsidR="008F59A3">
              <w:rPr>
                <w:sz w:val="20"/>
                <w:szCs w:val="20"/>
              </w:rPr>
              <w:t>5</w:t>
            </w:r>
            <w:r w:rsidRPr="008F59A3">
              <w:rPr>
                <w:sz w:val="20"/>
                <w:szCs w:val="20"/>
              </w:rPr>
              <w:t>.0</w:t>
            </w:r>
            <w:r w:rsidR="008F59A3">
              <w:rPr>
                <w:sz w:val="20"/>
                <w:szCs w:val="20"/>
              </w:rPr>
              <w:t>6</w:t>
            </w:r>
            <w:r w:rsidRPr="008F59A3">
              <w:rPr>
                <w:sz w:val="20"/>
                <w:szCs w:val="20"/>
              </w:rPr>
              <w:t>.201</w:t>
            </w:r>
            <w:r w:rsidR="008F59A3" w:rsidRPr="008F59A3">
              <w:rPr>
                <w:sz w:val="20"/>
                <w:szCs w:val="20"/>
              </w:rPr>
              <w:t>5</w:t>
            </w:r>
            <w:r w:rsidR="00310DA4">
              <w:rPr>
                <w:sz w:val="20"/>
                <w:szCs w:val="20"/>
                <w:lang w:val="fr-CA"/>
              </w:rPr>
              <w:pict>
                <v:rect id="_x0000_i1028" style="width:108pt;height:1pt" o:hrpct="0" o:hralign="center" o:hrstd="t" o:hrnoshade="t" o:hr="t" fillcolor="black [3213]" stroked="f"/>
              </w:pict>
            </w:r>
          </w:p>
        </w:tc>
      </w:tr>
      <w:tr w:rsidR="00C21644" w:rsidRPr="00A935AA" w:rsidTr="003B3977">
        <w:tc>
          <w:tcPr>
            <w:tcW w:w="4320" w:type="dxa"/>
            <w:shd w:val="clear" w:color="auto" w:fill="auto"/>
          </w:tcPr>
          <w:p w:rsidR="00C21644" w:rsidRPr="008F59A3" w:rsidRDefault="008F59A3" w:rsidP="005F1ED8">
            <w:pPr>
              <w:rPr>
                <w:b/>
                <w:sz w:val="20"/>
                <w:szCs w:val="20"/>
              </w:rPr>
            </w:pPr>
            <w:r>
              <w:rPr>
                <w:b/>
                <w:sz w:val="20"/>
                <w:szCs w:val="20"/>
              </w:rPr>
              <w:t>Attorney General of Canada</w:t>
            </w:r>
          </w:p>
          <w:p w:rsidR="00C21644" w:rsidRPr="008F59A3" w:rsidRDefault="00C21644" w:rsidP="005F1ED8">
            <w:pPr>
              <w:tabs>
                <w:tab w:val="left" w:pos="-1440"/>
                <w:tab w:val="left" w:pos="-720"/>
              </w:tabs>
              <w:rPr>
                <w:sz w:val="20"/>
                <w:szCs w:val="20"/>
              </w:rPr>
            </w:pPr>
            <w:r w:rsidRPr="008F59A3">
              <w:rPr>
                <w:sz w:val="20"/>
                <w:szCs w:val="20"/>
              </w:rPr>
              <w:tab/>
            </w:r>
            <w:r w:rsidR="008F59A3">
              <w:rPr>
                <w:sz w:val="20"/>
                <w:szCs w:val="20"/>
              </w:rPr>
              <w:t>Richard Kramer</w:t>
            </w:r>
          </w:p>
          <w:p w:rsidR="00C21644" w:rsidRPr="008F59A3" w:rsidRDefault="00C21644" w:rsidP="005F1ED8">
            <w:pPr>
              <w:tabs>
                <w:tab w:val="left" w:pos="-1440"/>
                <w:tab w:val="left" w:pos="-720"/>
              </w:tabs>
              <w:rPr>
                <w:sz w:val="20"/>
                <w:szCs w:val="20"/>
              </w:rPr>
            </w:pPr>
            <w:r w:rsidRPr="008F59A3">
              <w:rPr>
                <w:sz w:val="20"/>
                <w:szCs w:val="20"/>
              </w:rPr>
              <w:tab/>
            </w:r>
            <w:r w:rsidR="008F59A3">
              <w:rPr>
                <w:sz w:val="20"/>
                <w:szCs w:val="20"/>
              </w:rPr>
              <w:t>A.G. of Canada</w:t>
            </w:r>
          </w:p>
          <w:p w:rsidR="00C21644" w:rsidRPr="008F59A3" w:rsidRDefault="00C21644" w:rsidP="005F1ED8">
            <w:pPr>
              <w:tabs>
                <w:tab w:val="left" w:pos="-1440"/>
                <w:tab w:val="left" w:pos="-720"/>
              </w:tabs>
              <w:rPr>
                <w:sz w:val="20"/>
                <w:szCs w:val="20"/>
              </w:rPr>
            </w:pPr>
          </w:p>
          <w:p w:rsidR="00C21644" w:rsidRPr="00CE4499" w:rsidRDefault="00C21644" w:rsidP="005F1ED8">
            <w:pPr>
              <w:tabs>
                <w:tab w:val="left" w:pos="-1440"/>
                <w:tab w:val="left" w:pos="-720"/>
              </w:tabs>
              <w:rPr>
                <w:sz w:val="20"/>
                <w:szCs w:val="20"/>
              </w:rPr>
            </w:pPr>
            <w:r w:rsidRPr="008F59A3">
              <w:rPr>
                <w:sz w:val="20"/>
                <w:szCs w:val="20"/>
              </w:rPr>
              <w:tab/>
            </w:r>
            <w:r w:rsidRPr="00CE4499">
              <w:rPr>
                <w:sz w:val="20"/>
                <w:szCs w:val="20"/>
              </w:rPr>
              <w:t>v. (3</w:t>
            </w:r>
            <w:r w:rsidR="008F59A3" w:rsidRPr="00CE4499">
              <w:rPr>
                <w:sz w:val="20"/>
                <w:szCs w:val="20"/>
              </w:rPr>
              <w:t>6499</w:t>
            </w:r>
            <w:r w:rsidRPr="00CE4499">
              <w:rPr>
                <w:sz w:val="20"/>
                <w:szCs w:val="20"/>
              </w:rPr>
              <w:t>)</w:t>
            </w:r>
          </w:p>
          <w:p w:rsidR="00C21644" w:rsidRPr="00CE4499" w:rsidRDefault="00C21644" w:rsidP="005F1ED8">
            <w:pPr>
              <w:tabs>
                <w:tab w:val="left" w:pos="-1440"/>
                <w:tab w:val="left" w:pos="-720"/>
              </w:tabs>
              <w:rPr>
                <w:sz w:val="20"/>
                <w:szCs w:val="20"/>
              </w:rPr>
            </w:pPr>
          </w:p>
          <w:p w:rsidR="00C21644" w:rsidRPr="00CE4499" w:rsidRDefault="008F59A3" w:rsidP="005F1ED8">
            <w:pPr>
              <w:tabs>
                <w:tab w:val="left" w:pos="-1440"/>
                <w:tab w:val="left" w:pos="-720"/>
              </w:tabs>
              <w:rPr>
                <w:b/>
                <w:sz w:val="20"/>
                <w:szCs w:val="20"/>
              </w:rPr>
            </w:pPr>
            <w:r w:rsidRPr="00CE4499">
              <w:rPr>
                <w:b/>
                <w:sz w:val="20"/>
                <w:szCs w:val="20"/>
              </w:rPr>
              <w:t xml:space="preserve">R.S. </w:t>
            </w:r>
            <w:r w:rsidR="00C21644" w:rsidRPr="00CE4499">
              <w:rPr>
                <w:b/>
                <w:sz w:val="20"/>
                <w:szCs w:val="20"/>
              </w:rPr>
              <w:t>(Ont.)</w:t>
            </w:r>
          </w:p>
          <w:p w:rsidR="00C21644" w:rsidRPr="00CE4499" w:rsidRDefault="00C21644" w:rsidP="005F1ED8">
            <w:pPr>
              <w:tabs>
                <w:tab w:val="left" w:pos="-1440"/>
                <w:tab w:val="left" w:pos="-720"/>
              </w:tabs>
              <w:rPr>
                <w:sz w:val="20"/>
                <w:szCs w:val="20"/>
              </w:rPr>
            </w:pPr>
            <w:r w:rsidRPr="00CE4499">
              <w:rPr>
                <w:sz w:val="20"/>
                <w:szCs w:val="20"/>
              </w:rPr>
              <w:tab/>
            </w:r>
            <w:r w:rsidR="008F59A3" w:rsidRPr="00CE4499">
              <w:rPr>
                <w:sz w:val="20"/>
                <w:szCs w:val="20"/>
              </w:rPr>
              <w:t>Michael Dineen</w:t>
            </w:r>
          </w:p>
          <w:p w:rsidR="00C21644" w:rsidRPr="00CE4499" w:rsidRDefault="00C21644" w:rsidP="005F1ED8">
            <w:pPr>
              <w:tabs>
                <w:tab w:val="left" w:pos="-1440"/>
                <w:tab w:val="left" w:pos="-720"/>
              </w:tabs>
              <w:rPr>
                <w:sz w:val="20"/>
                <w:szCs w:val="20"/>
              </w:rPr>
            </w:pPr>
            <w:r w:rsidRPr="00CE4499">
              <w:rPr>
                <w:sz w:val="20"/>
                <w:szCs w:val="20"/>
              </w:rPr>
              <w:tab/>
            </w:r>
            <w:r w:rsidR="008F59A3" w:rsidRPr="00CE4499">
              <w:rPr>
                <w:sz w:val="20"/>
                <w:szCs w:val="20"/>
              </w:rPr>
              <w:t>Dawe &amp; Dineen</w:t>
            </w:r>
          </w:p>
          <w:p w:rsidR="00C21644" w:rsidRDefault="00C21644" w:rsidP="005F1ED8">
            <w:pPr>
              <w:tabs>
                <w:tab w:val="left" w:pos="-1440"/>
                <w:tab w:val="left" w:pos="-720"/>
              </w:tabs>
              <w:rPr>
                <w:sz w:val="20"/>
                <w:szCs w:val="20"/>
              </w:rPr>
            </w:pPr>
          </w:p>
          <w:p w:rsidR="0054586E" w:rsidRDefault="0054586E" w:rsidP="005F1ED8">
            <w:pPr>
              <w:tabs>
                <w:tab w:val="left" w:pos="-1440"/>
                <w:tab w:val="left" w:pos="-720"/>
              </w:tabs>
              <w:rPr>
                <w:sz w:val="20"/>
                <w:szCs w:val="20"/>
              </w:rPr>
            </w:pPr>
            <w:r w:rsidRPr="00A935AA">
              <w:rPr>
                <w:sz w:val="20"/>
                <w:szCs w:val="20"/>
              </w:rPr>
              <w:t>FILING DATE: 2</w:t>
            </w:r>
            <w:r w:rsidR="00424A6B">
              <w:rPr>
                <w:sz w:val="20"/>
                <w:szCs w:val="20"/>
              </w:rPr>
              <w:t>6</w:t>
            </w:r>
            <w:r w:rsidRPr="00A935AA">
              <w:rPr>
                <w:sz w:val="20"/>
                <w:szCs w:val="20"/>
              </w:rPr>
              <w:t>.0</w:t>
            </w:r>
            <w:r>
              <w:rPr>
                <w:sz w:val="20"/>
                <w:szCs w:val="20"/>
              </w:rPr>
              <w:t>6</w:t>
            </w:r>
            <w:r w:rsidRPr="00A935AA">
              <w:rPr>
                <w:sz w:val="20"/>
                <w:szCs w:val="20"/>
              </w:rPr>
              <w:t>.201</w:t>
            </w:r>
            <w:r>
              <w:rPr>
                <w:sz w:val="20"/>
                <w:szCs w:val="20"/>
              </w:rPr>
              <w:t>5</w:t>
            </w:r>
          </w:p>
          <w:p w:rsidR="0054586E" w:rsidRPr="00CE4499" w:rsidRDefault="0054586E" w:rsidP="005F1ED8">
            <w:pPr>
              <w:tabs>
                <w:tab w:val="left" w:pos="-1440"/>
                <w:tab w:val="left" w:pos="-720"/>
              </w:tabs>
              <w:rPr>
                <w:sz w:val="20"/>
                <w:szCs w:val="20"/>
              </w:rPr>
            </w:pPr>
          </w:p>
          <w:p w:rsidR="002C671E" w:rsidRDefault="008F59A3" w:rsidP="0054586E">
            <w:pPr>
              <w:tabs>
                <w:tab w:val="left" w:pos="-1440"/>
                <w:tab w:val="left" w:pos="-720"/>
              </w:tabs>
              <w:rPr>
                <w:sz w:val="20"/>
                <w:szCs w:val="20"/>
              </w:rPr>
            </w:pPr>
            <w:r w:rsidRPr="00CE4499">
              <w:rPr>
                <w:sz w:val="20"/>
                <w:szCs w:val="20"/>
              </w:rPr>
              <w:t>and between</w:t>
            </w:r>
          </w:p>
          <w:p w:rsidR="0054586E" w:rsidRPr="00A935AA" w:rsidRDefault="0054586E" w:rsidP="0054586E">
            <w:pPr>
              <w:tabs>
                <w:tab w:val="left" w:pos="-1440"/>
                <w:tab w:val="left" w:pos="-720"/>
              </w:tabs>
              <w:rPr>
                <w:sz w:val="20"/>
                <w:szCs w:val="20"/>
              </w:rPr>
            </w:pP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Default="00C21644" w:rsidP="00242AEE">
            <w:pPr>
              <w:jc w:val="center"/>
              <w:rPr>
                <w:sz w:val="20"/>
                <w:szCs w:val="20"/>
              </w:rPr>
            </w:pPr>
          </w:p>
          <w:p w:rsidR="0054586E" w:rsidRDefault="0054586E" w:rsidP="00242AEE">
            <w:pPr>
              <w:jc w:val="center"/>
              <w:rPr>
                <w:sz w:val="20"/>
                <w:szCs w:val="20"/>
              </w:rPr>
            </w:pPr>
          </w:p>
          <w:p w:rsidR="0054586E" w:rsidRDefault="0054586E" w:rsidP="00242AEE">
            <w:pPr>
              <w:jc w:val="center"/>
              <w:rPr>
                <w:sz w:val="20"/>
                <w:szCs w:val="20"/>
              </w:rPr>
            </w:pPr>
          </w:p>
          <w:p w:rsidR="0054586E" w:rsidRPr="00A935AA" w:rsidRDefault="0054586E"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C21644" w:rsidRPr="00A935AA" w:rsidRDefault="008F59A3" w:rsidP="005F1ED8">
            <w:pPr>
              <w:rPr>
                <w:b/>
                <w:sz w:val="20"/>
                <w:szCs w:val="20"/>
              </w:rPr>
            </w:pPr>
            <w:r>
              <w:rPr>
                <w:b/>
                <w:sz w:val="20"/>
                <w:szCs w:val="20"/>
              </w:rPr>
              <w:t>Cathy Duffield et al.</w:t>
            </w:r>
          </w:p>
          <w:p w:rsidR="00C21644" w:rsidRPr="00A935AA" w:rsidRDefault="00C21644" w:rsidP="005F1ED8">
            <w:pPr>
              <w:tabs>
                <w:tab w:val="left" w:pos="-1440"/>
                <w:tab w:val="left" w:pos="-720"/>
              </w:tabs>
              <w:rPr>
                <w:sz w:val="20"/>
                <w:szCs w:val="20"/>
              </w:rPr>
            </w:pPr>
            <w:r w:rsidRPr="00A935AA">
              <w:rPr>
                <w:sz w:val="20"/>
                <w:szCs w:val="20"/>
              </w:rPr>
              <w:tab/>
            </w:r>
            <w:r w:rsidR="008F59A3">
              <w:rPr>
                <w:sz w:val="20"/>
                <w:szCs w:val="20"/>
              </w:rPr>
              <w:t>Peter Abrametz</w:t>
            </w:r>
          </w:p>
          <w:p w:rsidR="00C21644" w:rsidRPr="00A935AA" w:rsidRDefault="00C21644" w:rsidP="005F1ED8">
            <w:pPr>
              <w:tabs>
                <w:tab w:val="left" w:pos="-1440"/>
                <w:tab w:val="left" w:pos="-720"/>
              </w:tabs>
              <w:rPr>
                <w:sz w:val="20"/>
                <w:szCs w:val="20"/>
              </w:rPr>
            </w:pPr>
            <w:r w:rsidRPr="00A935AA">
              <w:rPr>
                <w:sz w:val="20"/>
                <w:szCs w:val="20"/>
              </w:rPr>
              <w:tab/>
            </w:r>
            <w:r w:rsidR="008F59A3">
              <w:rPr>
                <w:sz w:val="20"/>
                <w:szCs w:val="20"/>
              </w:rPr>
              <w:t xml:space="preserve">Peter Abrametz Legal Professional </w:t>
            </w:r>
            <w:r w:rsidR="008F59A3">
              <w:rPr>
                <w:sz w:val="20"/>
                <w:szCs w:val="20"/>
              </w:rPr>
              <w:tab/>
              <w:t>Corporation</w:t>
            </w:r>
          </w:p>
          <w:p w:rsidR="00C21644" w:rsidRPr="00A935AA" w:rsidRDefault="00C21644" w:rsidP="005F1ED8">
            <w:pPr>
              <w:tabs>
                <w:tab w:val="left" w:pos="-1440"/>
                <w:tab w:val="left" w:pos="-720"/>
              </w:tabs>
              <w:rPr>
                <w:sz w:val="20"/>
                <w:szCs w:val="20"/>
              </w:rPr>
            </w:pPr>
          </w:p>
          <w:p w:rsidR="00C21644" w:rsidRPr="00A935AA" w:rsidRDefault="00C21644" w:rsidP="005F1ED8">
            <w:pPr>
              <w:tabs>
                <w:tab w:val="left" w:pos="-1440"/>
                <w:tab w:val="left" w:pos="-720"/>
              </w:tabs>
              <w:rPr>
                <w:sz w:val="20"/>
                <w:szCs w:val="20"/>
              </w:rPr>
            </w:pPr>
            <w:r w:rsidRPr="00A935AA">
              <w:rPr>
                <w:sz w:val="20"/>
                <w:szCs w:val="20"/>
              </w:rPr>
              <w:tab/>
              <w:t>v. (3</w:t>
            </w:r>
            <w:r w:rsidR="008F59A3">
              <w:rPr>
                <w:sz w:val="20"/>
                <w:szCs w:val="20"/>
              </w:rPr>
              <w:t>6498</w:t>
            </w:r>
            <w:r w:rsidRPr="00A935AA">
              <w:rPr>
                <w:sz w:val="20"/>
                <w:szCs w:val="20"/>
              </w:rPr>
              <w:t>)</w:t>
            </w:r>
          </w:p>
          <w:p w:rsidR="00C21644" w:rsidRPr="00A935AA" w:rsidRDefault="00C21644" w:rsidP="005F1ED8">
            <w:pPr>
              <w:tabs>
                <w:tab w:val="left" w:pos="-1440"/>
                <w:tab w:val="left" w:pos="-720"/>
              </w:tabs>
              <w:rPr>
                <w:sz w:val="20"/>
                <w:szCs w:val="20"/>
              </w:rPr>
            </w:pPr>
          </w:p>
          <w:p w:rsidR="00C21644" w:rsidRPr="00A935AA" w:rsidRDefault="008F59A3" w:rsidP="005F1ED8">
            <w:pPr>
              <w:tabs>
                <w:tab w:val="left" w:pos="-1440"/>
                <w:tab w:val="left" w:pos="-720"/>
              </w:tabs>
              <w:rPr>
                <w:b/>
                <w:sz w:val="20"/>
                <w:szCs w:val="20"/>
              </w:rPr>
            </w:pPr>
            <w:r>
              <w:rPr>
                <w:b/>
                <w:sz w:val="20"/>
                <w:szCs w:val="20"/>
              </w:rPr>
              <w:t xml:space="preserve">City of Prince Albert </w:t>
            </w:r>
            <w:r w:rsidR="00C21644" w:rsidRPr="00A935AA">
              <w:rPr>
                <w:b/>
                <w:sz w:val="20"/>
                <w:szCs w:val="20"/>
              </w:rPr>
              <w:t>(</w:t>
            </w:r>
            <w:r>
              <w:rPr>
                <w:b/>
                <w:sz w:val="20"/>
                <w:szCs w:val="20"/>
              </w:rPr>
              <w:t>Sask</w:t>
            </w:r>
            <w:r w:rsidR="00C21644" w:rsidRPr="00A935AA">
              <w:rPr>
                <w:b/>
                <w:sz w:val="20"/>
                <w:szCs w:val="20"/>
              </w:rPr>
              <w:t>.)</w:t>
            </w:r>
          </w:p>
          <w:p w:rsidR="00C21644" w:rsidRPr="00A935AA" w:rsidRDefault="00C21644" w:rsidP="005F1ED8">
            <w:pPr>
              <w:tabs>
                <w:tab w:val="left" w:pos="-1440"/>
                <w:tab w:val="left" w:pos="-720"/>
              </w:tabs>
              <w:rPr>
                <w:sz w:val="20"/>
                <w:szCs w:val="20"/>
              </w:rPr>
            </w:pPr>
            <w:r w:rsidRPr="00A935AA">
              <w:rPr>
                <w:sz w:val="20"/>
                <w:szCs w:val="20"/>
              </w:rPr>
              <w:tab/>
            </w:r>
            <w:r w:rsidR="008F59A3">
              <w:rPr>
                <w:sz w:val="20"/>
                <w:szCs w:val="20"/>
              </w:rPr>
              <w:t>Mitchell J. Holash</w:t>
            </w:r>
          </w:p>
          <w:p w:rsidR="00C21644" w:rsidRPr="00A935AA" w:rsidRDefault="00C21644" w:rsidP="005F1ED8">
            <w:pPr>
              <w:tabs>
                <w:tab w:val="left" w:pos="-1440"/>
                <w:tab w:val="left" w:pos="-720"/>
              </w:tabs>
              <w:rPr>
                <w:sz w:val="20"/>
                <w:szCs w:val="20"/>
              </w:rPr>
            </w:pPr>
            <w:r w:rsidRPr="00A935AA">
              <w:rPr>
                <w:sz w:val="20"/>
                <w:szCs w:val="20"/>
              </w:rPr>
              <w:tab/>
            </w:r>
            <w:r w:rsidR="008F59A3">
              <w:rPr>
                <w:sz w:val="20"/>
                <w:szCs w:val="20"/>
              </w:rPr>
              <w:t>Holash Logue McCullagh</w:t>
            </w:r>
          </w:p>
          <w:p w:rsidR="00C21644" w:rsidRPr="00A935AA" w:rsidRDefault="00C21644" w:rsidP="005F1ED8">
            <w:pPr>
              <w:tabs>
                <w:tab w:val="left" w:pos="-1440"/>
                <w:tab w:val="left" w:pos="-720"/>
              </w:tabs>
              <w:rPr>
                <w:sz w:val="20"/>
                <w:szCs w:val="20"/>
              </w:rPr>
            </w:pPr>
          </w:p>
          <w:p w:rsidR="00C21644" w:rsidRPr="00A935AA" w:rsidRDefault="00C21644" w:rsidP="002C671E">
            <w:pPr>
              <w:rPr>
                <w:sz w:val="20"/>
                <w:szCs w:val="20"/>
              </w:rPr>
            </w:pPr>
            <w:r w:rsidRPr="00A935AA">
              <w:rPr>
                <w:sz w:val="20"/>
                <w:szCs w:val="20"/>
              </w:rPr>
              <w:t>FILING DATE: 2</w:t>
            </w:r>
            <w:r w:rsidR="002C671E">
              <w:rPr>
                <w:sz w:val="20"/>
                <w:szCs w:val="20"/>
              </w:rPr>
              <w:t>5</w:t>
            </w:r>
            <w:r w:rsidRPr="00A935AA">
              <w:rPr>
                <w:sz w:val="20"/>
                <w:szCs w:val="20"/>
              </w:rPr>
              <w:t>.0</w:t>
            </w:r>
            <w:r w:rsidR="002C671E">
              <w:rPr>
                <w:sz w:val="20"/>
                <w:szCs w:val="20"/>
              </w:rPr>
              <w:t>6</w:t>
            </w:r>
            <w:r w:rsidRPr="00A935AA">
              <w:rPr>
                <w:sz w:val="20"/>
                <w:szCs w:val="20"/>
              </w:rPr>
              <w:t>.201</w:t>
            </w:r>
            <w:r w:rsidR="008F59A3">
              <w:rPr>
                <w:sz w:val="20"/>
                <w:szCs w:val="20"/>
              </w:rPr>
              <w:t>5</w:t>
            </w:r>
            <w:r w:rsidR="00310DA4">
              <w:rPr>
                <w:sz w:val="20"/>
                <w:szCs w:val="20"/>
                <w:lang w:val="fr-CA"/>
              </w:rPr>
              <w:pict>
                <v:rect id="_x0000_i1029" style="width:108pt;height:1pt" o:hrpct="0" o:hralign="center" o:hrstd="t" o:hrnoshade="t" o:hr="t" fillcolor="black [3213]" stroked="f"/>
              </w:pict>
            </w:r>
          </w:p>
        </w:tc>
      </w:tr>
      <w:tr w:rsidR="00C21644" w:rsidRPr="00A935AA" w:rsidTr="003B3977">
        <w:trPr>
          <w:cantSplit/>
        </w:trPr>
        <w:tc>
          <w:tcPr>
            <w:tcW w:w="4320" w:type="dxa"/>
            <w:shd w:val="clear" w:color="auto" w:fill="auto"/>
          </w:tcPr>
          <w:p w:rsidR="0054586E" w:rsidRDefault="0054586E" w:rsidP="005F1ED8">
            <w:pPr>
              <w:tabs>
                <w:tab w:val="left" w:pos="-1440"/>
                <w:tab w:val="left" w:pos="-720"/>
              </w:tabs>
              <w:rPr>
                <w:sz w:val="20"/>
                <w:szCs w:val="20"/>
              </w:rPr>
            </w:pPr>
            <w:r>
              <w:rPr>
                <w:b/>
                <w:sz w:val="20"/>
                <w:szCs w:val="20"/>
              </w:rPr>
              <w:t>Attorney General of Ontario</w:t>
            </w:r>
          </w:p>
          <w:p w:rsidR="00C21644" w:rsidRPr="00A935AA" w:rsidRDefault="00C21644" w:rsidP="005F1ED8">
            <w:pPr>
              <w:tabs>
                <w:tab w:val="left" w:pos="-1440"/>
                <w:tab w:val="left" w:pos="-720"/>
              </w:tabs>
              <w:rPr>
                <w:sz w:val="20"/>
                <w:szCs w:val="20"/>
              </w:rPr>
            </w:pPr>
            <w:r w:rsidRPr="00A935AA">
              <w:rPr>
                <w:sz w:val="20"/>
                <w:szCs w:val="20"/>
              </w:rPr>
              <w:tab/>
            </w:r>
            <w:r w:rsidR="008F59A3">
              <w:rPr>
                <w:sz w:val="20"/>
                <w:szCs w:val="20"/>
              </w:rPr>
              <w:t>Gregory J. Tweney</w:t>
            </w:r>
          </w:p>
          <w:p w:rsidR="00C21644" w:rsidRPr="00A935AA" w:rsidRDefault="00C21644" w:rsidP="005F1ED8">
            <w:pPr>
              <w:tabs>
                <w:tab w:val="left" w:pos="-1440"/>
                <w:tab w:val="left" w:pos="-720"/>
              </w:tabs>
              <w:rPr>
                <w:sz w:val="20"/>
                <w:szCs w:val="20"/>
              </w:rPr>
            </w:pPr>
            <w:r w:rsidRPr="00A935AA">
              <w:rPr>
                <w:sz w:val="20"/>
                <w:szCs w:val="20"/>
              </w:rPr>
              <w:tab/>
            </w:r>
            <w:r w:rsidR="008F59A3">
              <w:rPr>
                <w:sz w:val="20"/>
                <w:szCs w:val="20"/>
              </w:rPr>
              <w:t>A.G. of Ontario</w:t>
            </w:r>
          </w:p>
          <w:p w:rsidR="00C21644" w:rsidRPr="00A935AA" w:rsidRDefault="00C21644" w:rsidP="005F1ED8">
            <w:pPr>
              <w:tabs>
                <w:tab w:val="left" w:pos="-1440"/>
                <w:tab w:val="left" w:pos="-720"/>
              </w:tabs>
              <w:rPr>
                <w:sz w:val="20"/>
                <w:szCs w:val="20"/>
              </w:rPr>
            </w:pPr>
          </w:p>
          <w:p w:rsidR="00C21644" w:rsidRPr="005D5CCB" w:rsidRDefault="00C21644" w:rsidP="005F1ED8">
            <w:pPr>
              <w:tabs>
                <w:tab w:val="left" w:pos="-1440"/>
                <w:tab w:val="left" w:pos="-720"/>
              </w:tabs>
              <w:rPr>
                <w:sz w:val="20"/>
                <w:szCs w:val="20"/>
              </w:rPr>
            </w:pPr>
            <w:r w:rsidRPr="00A935AA">
              <w:rPr>
                <w:sz w:val="20"/>
                <w:szCs w:val="20"/>
              </w:rPr>
              <w:tab/>
            </w:r>
            <w:r w:rsidRPr="005D5CCB">
              <w:rPr>
                <w:sz w:val="20"/>
                <w:szCs w:val="20"/>
              </w:rPr>
              <w:t>v. (3</w:t>
            </w:r>
            <w:r w:rsidR="008F59A3" w:rsidRPr="005D5CCB">
              <w:rPr>
                <w:sz w:val="20"/>
                <w:szCs w:val="20"/>
              </w:rPr>
              <w:t>6499</w:t>
            </w:r>
            <w:r w:rsidRPr="005D5CCB">
              <w:rPr>
                <w:sz w:val="20"/>
                <w:szCs w:val="20"/>
              </w:rPr>
              <w:t>)</w:t>
            </w:r>
          </w:p>
          <w:p w:rsidR="00C21644" w:rsidRPr="005D5CCB" w:rsidRDefault="00C21644" w:rsidP="005F1ED8">
            <w:pPr>
              <w:tabs>
                <w:tab w:val="left" w:pos="-1440"/>
                <w:tab w:val="left" w:pos="-720"/>
              </w:tabs>
              <w:rPr>
                <w:sz w:val="20"/>
                <w:szCs w:val="20"/>
              </w:rPr>
            </w:pPr>
          </w:p>
          <w:p w:rsidR="00C21644" w:rsidRPr="005D5CCB" w:rsidRDefault="008F59A3" w:rsidP="005F1ED8">
            <w:pPr>
              <w:tabs>
                <w:tab w:val="left" w:pos="-1440"/>
                <w:tab w:val="left" w:pos="-720"/>
              </w:tabs>
              <w:rPr>
                <w:b/>
                <w:sz w:val="20"/>
                <w:szCs w:val="20"/>
              </w:rPr>
            </w:pPr>
            <w:r w:rsidRPr="005D5CCB">
              <w:rPr>
                <w:b/>
                <w:sz w:val="20"/>
                <w:szCs w:val="20"/>
              </w:rPr>
              <w:t xml:space="preserve">R.S. </w:t>
            </w:r>
            <w:r w:rsidR="00C21644" w:rsidRPr="005D5CCB">
              <w:rPr>
                <w:b/>
                <w:sz w:val="20"/>
                <w:szCs w:val="20"/>
              </w:rPr>
              <w:t>(Ont.)</w:t>
            </w:r>
          </w:p>
          <w:p w:rsidR="00C21644" w:rsidRPr="005D5CCB" w:rsidRDefault="00C21644" w:rsidP="005F1ED8">
            <w:pPr>
              <w:tabs>
                <w:tab w:val="left" w:pos="-1440"/>
                <w:tab w:val="left" w:pos="-720"/>
              </w:tabs>
              <w:rPr>
                <w:sz w:val="20"/>
                <w:szCs w:val="20"/>
              </w:rPr>
            </w:pPr>
            <w:r w:rsidRPr="005D5CCB">
              <w:rPr>
                <w:sz w:val="20"/>
                <w:szCs w:val="20"/>
              </w:rPr>
              <w:tab/>
            </w:r>
            <w:r w:rsidR="008F59A3" w:rsidRPr="005D5CCB">
              <w:rPr>
                <w:sz w:val="20"/>
                <w:szCs w:val="20"/>
              </w:rPr>
              <w:t>Michael Dineen</w:t>
            </w:r>
          </w:p>
          <w:p w:rsidR="00C21644" w:rsidRPr="008F59A3" w:rsidRDefault="00C21644" w:rsidP="005F1ED8">
            <w:pPr>
              <w:tabs>
                <w:tab w:val="left" w:pos="-1440"/>
                <w:tab w:val="left" w:pos="-720"/>
              </w:tabs>
              <w:rPr>
                <w:sz w:val="20"/>
                <w:szCs w:val="20"/>
              </w:rPr>
            </w:pPr>
            <w:r w:rsidRPr="005D5CCB">
              <w:rPr>
                <w:sz w:val="20"/>
                <w:szCs w:val="20"/>
              </w:rPr>
              <w:tab/>
            </w:r>
            <w:r w:rsidR="008F59A3" w:rsidRPr="008F59A3">
              <w:rPr>
                <w:sz w:val="20"/>
                <w:szCs w:val="20"/>
              </w:rPr>
              <w:t>Dawe &amp; Dineen</w:t>
            </w:r>
          </w:p>
          <w:p w:rsidR="00C21644" w:rsidRPr="008F59A3" w:rsidRDefault="00C21644" w:rsidP="005F1ED8">
            <w:pPr>
              <w:tabs>
                <w:tab w:val="left" w:pos="-1440"/>
                <w:tab w:val="left" w:pos="-720"/>
              </w:tabs>
              <w:rPr>
                <w:sz w:val="20"/>
                <w:szCs w:val="20"/>
              </w:rPr>
            </w:pPr>
          </w:p>
          <w:p w:rsidR="00C21644" w:rsidRPr="00A935AA" w:rsidRDefault="008F59A3" w:rsidP="0054586E">
            <w:pPr>
              <w:rPr>
                <w:sz w:val="20"/>
                <w:szCs w:val="20"/>
              </w:rPr>
            </w:pPr>
            <w:r w:rsidRPr="00A935AA">
              <w:rPr>
                <w:sz w:val="20"/>
                <w:szCs w:val="20"/>
              </w:rPr>
              <w:t xml:space="preserve">FILING DATE: </w:t>
            </w:r>
            <w:r w:rsidR="0054586E">
              <w:rPr>
                <w:sz w:val="20"/>
                <w:szCs w:val="20"/>
              </w:rPr>
              <w:t>10</w:t>
            </w:r>
            <w:r w:rsidRPr="00A935AA">
              <w:rPr>
                <w:sz w:val="20"/>
                <w:szCs w:val="20"/>
              </w:rPr>
              <w:t>.0</w:t>
            </w:r>
            <w:r w:rsidR="0054586E">
              <w:rPr>
                <w:sz w:val="20"/>
                <w:szCs w:val="20"/>
              </w:rPr>
              <w:t>7</w:t>
            </w:r>
            <w:r w:rsidRPr="00A935AA">
              <w:rPr>
                <w:sz w:val="20"/>
                <w:szCs w:val="20"/>
              </w:rPr>
              <w:t>.201</w:t>
            </w:r>
            <w:r>
              <w:rPr>
                <w:sz w:val="20"/>
                <w:szCs w:val="20"/>
              </w:rPr>
              <w:t>5</w:t>
            </w:r>
            <w:r w:rsidR="00310DA4">
              <w:rPr>
                <w:sz w:val="20"/>
                <w:szCs w:val="20"/>
                <w:lang w:val="fr-CA"/>
              </w:rPr>
              <w:pict>
                <v:rect id="_x0000_i1030"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2C671E" w:rsidRPr="00CE4499" w:rsidRDefault="002C671E" w:rsidP="005F1ED8">
            <w:pPr>
              <w:rPr>
                <w:b/>
                <w:sz w:val="20"/>
                <w:szCs w:val="20"/>
                <w:lang w:val="fr-CA"/>
              </w:rPr>
            </w:pPr>
            <w:r w:rsidRPr="00CE4499">
              <w:rPr>
                <w:b/>
                <w:sz w:val="20"/>
                <w:szCs w:val="20"/>
                <w:lang w:val="fr-CA"/>
              </w:rPr>
              <w:t>Michele Fiorilli</w:t>
            </w:r>
          </w:p>
          <w:p w:rsidR="00C21644" w:rsidRPr="00CE4499" w:rsidRDefault="00C21644" w:rsidP="005F1ED8">
            <w:pPr>
              <w:tabs>
                <w:tab w:val="left" w:pos="-1440"/>
                <w:tab w:val="left" w:pos="-720"/>
              </w:tabs>
              <w:rPr>
                <w:sz w:val="20"/>
                <w:szCs w:val="20"/>
                <w:lang w:val="fr-CA"/>
              </w:rPr>
            </w:pPr>
            <w:r w:rsidRPr="00CE4499">
              <w:rPr>
                <w:sz w:val="20"/>
                <w:szCs w:val="20"/>
                <w:lang w:val="fr-CA"/>
              </w:rPr>
              <w:tab/>
            </w:r>
            <w:r w:rsidR="002C671E" w:rsidRPr="00CE4499">
              <w:rPr>
                <w:sz w:val="20"/>
                <w:szCs w:val="20"/>
                <w:lang w:val="fr-CA"/>
              </w:rPr>
              <w:t>Michele Fiorilli</w:t>
            </w:r>
          </w:p>
          <w:p w:rsidR="00C21644" w:rsidRPr="00CE4499" w:rsidRDefault="00C21644" w:rsidP="005F1ED8">
            <w:pPr>
              <w:tabs>
                <w:tab w:val="left" w:pos="-1440"/>
                <w:tab w:val="left" w:pos="-720"/>
              </w:tabs>
              <w:rPr>
                <w:sz w:val="20"/>
                <w:szCs w:val="20"/>
                <w:lang w:val="fr-CA"/>
              </w:rPr>
            </w:pPr>
          </w:p>
          <w:p w:rsidR="00C21644" w:rsidRPr="00CE4499" w:rsidRDefault="00C21644" w:rsidP="005F1ED8">
            <w:pPr>
              <w:tabs>
                <w:tab w:val="left" w:pos="-1440"/>
                <w:tab w:val="left" w:pos="-720"/>
              </w:tabs>
              <w:rPr>
                <w:sz w:val="20"/>
                <w:szCs w:val="20"/>
                <w:lang w:val="fr-CA"/>
              </w:rPr>
            </w:pPr>
            <w:r w:rsidRPr="00CE4499">
              <w:rPr>
                <w:sz w:val="20"/>
                <w:szCs w:val="20"/>
                <w:lang w:val="fr-CA"/>
              </w:rPr>
              <w:tab/>
              <w:t>v. (3</w:t>
            </w:r>
            <w:r w:rsidR="002C671E" w:rsidRPr="00CE4499">
              <w:rPr>
                <w:sz w:val="20"/>
                <w:szCs w:val="20"/>
                <w:lang w:val="fr-CA"/>
              </w:rPr>
              <w:t>6</w:t>
            </w:r>
            <w:r w:rsidRPr="00CE4499">
              <w:rPr>
                <w:sz w:val="20"/>
                <w:szCs w:val="20"/>
                <w:lang w:val="fr-CA"/>
              </w:rPr>
              <w:t>5</w:t>
            </w:r>
            <w:r w:rsidR="002C671E" w:rsidRPr="00CE4499">
              <w:rPr>
                <w:sz w:val="20"/>
                <w:szCs w:val="20"/>
                <w:lang w:val="fr-CA"/>
              </w:rPr>
              <w:t>17</w:t>
            </w:r>
            <w:r w:rsidRPr="00CE4499">
              <w:rPr>
                <w:sz w:val="20"/>
                <w:szCs w:val="20"/>
                <w:lang w:val="fr-CA"/>
              </w:rPr>
              <w:t>)</w:t>
            </w:r>
          </w:p>
          <w:p w:rsidR="00C21644" w:rsidRPr="00CE4499" w:rsidRDefault="00C21644" w:rsidP="005F1ED8">
            <w:pPr>
              <w:tabs>
                <w:tab w:val="left" w:pos="-1440"/>
                <w:tab w:val="left" w:pos="-720"/>
              </w:tabs>
              <w:rPr>
                <w:sz w:val="20"/>
                <w:szCs w:val="20"/>
                <w:lang w:val="fr-CA"/>
              </w:rPr>
            </w:pPr>
          </w:p>
          <w:p w:rsidR="00C21644" w:rsidRPr="00A935AA" w:rsidRDefault="002C671E" w:rsidP="005F1ED8">
            <w:pPr>
              <w:tabs>
                <w:tab w:val="left" w:pos="-1440"/>
                <w:tab w:val="left" w:pos="-720"/>
              </w:tabs>
              <w:rPr>
                <w:b/>
                <w:sz w:val="20"/>
                <w:szCs w:val="20"/>
              </w:rPr>
            </w:pPr>
            <w:r>
              <w:rPr>
                <w:b/>
                <w:sz w:val="20"/>
                <w:szCs w:val="20"/>
              </w:rPr>
              <w:t xml:space="preserve">Her Majesty the Queen </w:t>
            </w:r>
            <w:r w:rsidR="00C21644" w:rsidRPr="00A935AA">
              <w:rPr>
                <w:b/>
                <w:sz w:val="20"/>
                <w:szCs w:val="20"/>
              </w:rPr>
              <w:t>(</w:t>
            </w:r>
            <w:r w:rsidR="00C21644">
              <w:rPr>
                <w:b/>
                <w:sz w:val="20"/>
                <w:szCs w:val="20"/>
              </w:rPr>
              <w:t>Ont</w:t>
            </w:r>
            <w:r w:rsidR="00C21644" w:rsidRPr="00A935AA">
              <w:rPr>
                <w:b/>
                <w:sz w:val="20"/>
                <w:szCs w:val="20"/>
              </w:rPr>
              <w:t>.)</w:t>
            </w:r>
          </w:p>
          <w:p w:rsidR="00C21644" w:rsidRPr="00A935AA" w:rsidRDefault="00C21644" w:rsidP="005F1ED8">
            <w:pPr>
              <w:tabs>
                <w:tab w:val="left" w:pos="-1440"/>
                <w:tab w:val="left" w:pos="-720"/>
              </w:tabs>
              <w:rPr>
                <w:sz w:val="20"/>
                <w:szCs w:val="20"/>
              </w:rPr>
            </w:pPr>
            <w:r w:rsidRPr="00A935AA">
              <w:rPr>
                <w:sz w:val="20"/>
                <w:szCs w:val="20"/>
              </w:rPr>
              <w:tab/>
            </w:r>
            <w:r w:rsidR="002C671E">
              <w:rPr>
                <w:sz w:val="20"/>
                <w:szCs w:val="20"/>
              </w:rPr>
              <w:t>Hannah Freeman</w:t>
            </w:r>
          </w:p>
          <w:p w:rsidR="00C21644" w:rsidRPr="00A935AA" w:rsidRDefault="00C21644" w:rsidP="005F1ED8">
            <w:pPr>
              <w:tabs>
                <w:tab w:val="left" w:pos="-1440"/>
                <w:tab w:val="left" w:pos="-720"/>
              </w:tabs>
              <w:rPr>
                <w:sz w:val="20"/>
                <w:szCs w:val="20"/>
              </w:rPr>
            </w:pPr>
            <w:r w:rsidRPr="00A935AA">
              <w:rPr>
                <w:sz w:val="20"/>
                <w:szCs w:val="20"/>
              </w:rPr>
              <w:tab/>
            </w:r>
            <w:r w:rsidR="002C671E">
              <w:rPr>
                <w:sz w:val="20"/>
                <w:szCs w:val="20"/>
              </w:rPr>
              <w:t>A.G. of Ontario</w:t>
            </w:r>
          </w:p>
          <w:p w:rsidR="00C21644" w:rsidRPr="00A935AA" w:rsidRDefault="00C21644" w:rsidP="005F1ED8">
            <w:pPr>
              <w:tabs>
                <w:tab w:val="left" w:pos="-1440"/>
                <w:tab w:val="left" w:pos="-720"/>
              </w:tabs>
              <w:rPr>
                <w:sz w:val="20"/>
                <w:szCs w:val="20"/>
              </w:rPr>
            </w:pPr>
          </w:p>
          <w:p w:rsidR="00C21644" w:rsidRPr="00A935AA" w:rsidRDefault="00C21644" w:rsidP="002C671E">
            <w:pPr>
              <w:rPr>
                <w:sz w:val="20"/>
                <w:szCs w:val="20"/>
              </w:rPr>
            </w:pPr>
            <w:r w:rsidRPr="00A935AA">
              <w:rPr>
                <w:sz w:val="20"/>
                <w:szCs w:val="20"/>
              </w:rPr>
              <w:t>FILING DATE: 2</w:t>
            </w:r>
            <w:r w:rsidR="002C671E">
              <w:rPr>
                <w:sz w:val="20"/>
                <w:szCs w:val="20"/>
              </w:rPr>
              <w:t>9</w:t>
            </w:r>
            <w:r w:rsidRPr="00A935AA">
              <w:rPr>
                <w:sz w:val="20"/>
                <w:szCs w:val="20"/>
              </w:rPr>
              <w:t>.0</w:t>
            </w:r>
            <w:r w:rsidR="002C671E">
              <w:rPr>
                <w:sz w:val="20"/>
                <w:szCs w:val="20"/>
              </w:rPr>
              <w:t>6</w:t>
            </w:r>
            <w:r w:rsidRPr="00A935AA">
              <w:rPr>
                <w:sz w:val="20"/>
                <w:szCs w:val="20"/>
              </w:rPr>
              <w:t>.201</w:t>
            </w:r>
            <w:r w:rsidR="008F59A3">
              <w:rPr>
                <w:sz w:val="20"/>
                <w:szCs w:val="20"/>
              </w:rPr>
              <w:t>5</w:t>
            </w:r>
            <w:r w:rsidR="00310DA4">
              <w:rPr>
                <w:sz w:val="20"/>
                <w:szCs w:val="20"/>
                <w:lang w:val="fr-CA"/>
              </w:rPr>
              <w:pict>
                <v:rect id="_x0000_i1031" style="width:108pt;height:1pt" o:hrpct="0" o:hralign="center" o:hrstd="t" o:hrnoshade="t" o:hr="t" fillcolor="black [3213]" stroked="f"/>
              </w:pict>
            </w:r>
          </w:p>
        </w:tc>
      </w:tr>
      <w:tr w:rsidR="002C671E" w:rsidRPr="00E82253" w:rsidTr="003B3977">
        <w:trPr>
          <w:cantSplit/>
        </w:trPr>
        <w:tc>
          <w:tcPr>
            <w:tcW w:w="4320" w:type="dxa"/>
            <w:shd w:val="clear" w:color="auto" w:fill="auto"/>
          </w:tcPr>
          <w:p w:rsidR="002C671E" w:rsidRPr="00A935AA" w:rsidRDefault="002C671E" w:rsidP="002C671E">
            <w:pPr>
              <w:rPr>
                <w:b/>
                <w:sz w:val="20"/>
                <w:szCs w:val="20"/>
              </w:rPr>
            </w:pPr>
            <w:r>
              <w:rPr>
                <w:b/>
                <w:sz w:val="20"/>
                <w:szCs w:val="20"/>
              </w:rPr>
              <w:lastRenderedPageBreak/>
              <w:t>Halifax Regional Municipality</w:t>
            </w:r>
          </w:p>
          <w:p w:rsidR="00E82253" w:rsidRPr="00A935AA" w:rsidRDefault="002C671E" w:rsidP="00E82253">
            <w:pPr>
              <w:tabs>
                <w:tab w:val="left" w:pos="-1440"/>
                <w:tab w:val="left" w:pos="-720"/>
              </w:tabs>
              <w:rPr>
                <w:sz w:val="20"/>
                <w:szCs w:val="20"/>
              </w:rPr>
            </w:pPr>
            <w:r w:rsidRPr="00A935AA">
              <w:rPr>
                <w:sz w:val="20"/>
                <w:szCs w:val="20"/>
              </w:rPr>
              <w:tab/>
            </w:r>
            <w:r w:rsidR="00E82253">
              <w:rPr>
                <w:sz w:val="20"/>
                <w:szCs w:val="20"/>
              </w:rPr>
              <w:t>E. Roxanne MacLaurin</w:t>
            </w:r>
          </w:p>
          <w:p w:rsidR="00E82253" w:rsidRPr="00A935AA" w:rsidRDefault="00E82253" w:rsidP="00E82253">
            <w:pPr>
              <w:tabs>
                <w:tab w:val="left" w:pos="-1440"/>
                <w:tab w:val="left" w:pos="-720"/>
              </w:tabs>
              <w:rPr>
                <w:sz w:val="20"/>
                <w:szCs w:val="20"/>
              </w:rPr>
            </w:pPr>
            <w:r w:rsidRPr="00A935AA">
              <w:rPr>
                <w:sz w:val="20"/>
                <w:szCs w:val="20"/>
              </w:rPr>
              <w:tab/>
            </w:r>
            <w:r>
              <w:rPr>
                <w:sz w:val="20"/>
                <w:szCs w:val="20"/>
              </w:rPr>
              <w:t>Halifax Regional Municipality</w:t>
            </w:r>
          </w:p>
          <w:p w:rsidR="00E82253" w:rsidRPr="00A935AA" w:rsidRDefault="00E82253" w:rsidP="00E82253">
            <w:pPr>
              <w:tabs>
                <w:tab w:val="left" w:pos="-1440"/>
                <w:tab w:val="left" w:pos="-720"/>
              </w:tabs>
              <w:rPr>
                <w:sz w:val="20"/>
                <w:szCs w:val="20"/>
              </w:rPr>
            </w:pPr>
          </w:p>
          <w:p w:rsidR="00E82253" w:rsidRPr="00A935AA" w:rsidRDefault="00E82253" w:rsidP="00E82253">
            <w:pPr>
              <w:tabs>
                <w:tab w:val="left" w:pos="-1440"/>
                <w:tab w:val="left" w:pos="-720"/>
              </w:tabs>
              <w:rPr>
                <w:sz w:val="20"/>
                <w:szCs w:val="20"/>
              </w:rPr>
            </w:pPr>
            <w:r w:rsidRPr="00A935AA">
              <w:rPr>
                <w:sz w:val="20"/>
                <w:szCs w:val="20"/>
              </w:rPr>
              <w:tab/>
              <w:t>v. (3</w:t>
            </w:r>
            <w:r>
              <w:rPr>
                <w:sz w:val="20"/>
                <w:szCs w:val="20"/>
              </w:rPr>
              <w:t>6504</w:t>
            </w:r>
            <w:r w:rsidRPr="00A935AA">
              <w:rPr>
                <w:sz w:val="20"/>
                <w:szCs w:val="20"/>
              </w:rPr>
              <w:t>)</w:t>
            </w:r>
          </w:p>
          <w:p w:rsidR="00E82253" w:rsidRPr="00A935AA" w:rsidRDefault="00E82253" w:rsidP="00E82253">
            <w:pPr>
              <w:tabs>
                <w:tab w:val="left" w:pos="-1440"/>
                <w:tab w:val="left" w:pos="-720"/>
              </w:tabs>
              <w:rPr>
                <w:sz w:val="20"/>
                <w:szCs w:val="20"/>
              </w:rPr>
            </w:pPr>
          </w:p>
          <w:p w:rsidR="00E82253" w:rsidRPr="00A935AA" w:rsidRDefault="00E82253" w:rsidP="00E82253">
            <w:pPr>
              <w:tabs>
                <w:tab w:val="left" w:pos="-1440"/>
                <w:tab w:val="left" w:pos="-720"/>
              </w:tabs>
              <w:rPr>
                <w:b/>
                <w:sz w:val="20"/>
                <w:szCs w:val="20"/>
              </w:rPr>
            </w:pPr>
            <w:r>
              <w:rPr>
                <w:b/>
                <w:sz w:val="20"/>
                <w:szCs w:val="20"/>
              </w:rPr>
              <w:t xml:space="preserve">Northern Construction Enterprises Inc. </w:t>
            </w:r>
            <w:r w:rsidRPr="00A935AA">
              <w:rPr>
                <w:b/>
                <w:sz w:val="20"/>
                <w:szCs w:val="20"/>
              </w:rPr>
              <w:t>(</w:t>
            </w:r>
            <w:r>
              <w:rPr>
                <w:b/>
                <w:sz w:val="20"/>
                <w:szCs w:val="20"/>
              </w:rPr>
              <w:t>N</w:t>
            </w:r>
            <w:r w:rsidRPr="00A935AA">
              <w:rPr>
                <w:b/>
                <w:sz w:val="20"/>
                <w:szCs w:val="20"/>
              </w:rPr>
              <w:t>.</w:t>
            </w:r>
            <w:r>
              <w:rPr>
                <w:b/>
                <w:sz w:val="20"/>
                <w:szCs w:val="20"/>
              </w:rPr>
              <w:t>S.</w:t>
            </w:r>
            <w:r w:rsidRPr="00A935AA">
              <w:rPr>
                <w:b/>
                <w:sz w:val="20"/>
                <w:szCs w:val="20"/>
              </w:rPr>
              <w:t>)</w:t>
            </w:r>
          </w:p>
          <w:p w:rsidR="00E82253" w:rsidRPr="00A935AA" w:rsidRDefault="00E82253" w:rsidP="00E82253">
            <w:pPr>
              <w:tabs>
                <w:tab w:val="left" w:pos="-1440"/>
                <w:tab w:val="left" w:pos="-720"/>
              </w:tabs>
              <w:rPr>
                <w:sz w:val="20"/>
                <w:szCs w:val="20"/>
              </w:rPr>
            </w:pPr>
            <w:r w:rsidRPr="00A935AA">
              <w:rPr>
                <w:sz w:val="20"/>
                <w:szCs w:val="20"/>
              </w:rPr>
              <w:tab/>
            </w:r>
            <w:r>
              <w:rPr>
                <w:sz w:val="20"/>
                <w:szCs w:val="20"/>
              </w:rPr>
              <w:t>Peter M. Rogers, Q.C.</w:t>
            </w:r>
          </w:p>
          <w:p w:rsidR="00E82253" w:rsidRPr="00A935AA" w:rsidRDefault="00E82253" w:rsidP="00E82253">
            <w:pPr>
              <w:tabs>
                <w:tab w:val="left" w:pos="-1440"/>
                <w:tab w:val="left" w:pos="-720"/>
              </w:tabs>
              <w:rPr>
                <w:sz w:val="20"/>
                <w:szCs w:val="20"/>
              </w:rPr>
            </w:pPr>
            <w:r w:rsidRPr="00A935AA">
              <w:rPr>
                <w:sz w:val="20"/>
                <w:szCs w:val="20"/>
              </w:rPr>
              <w:tab/>
            </w:r>
            <w:r>
              <w:rPr>
                <w:sz w:val="20"/>
                <w:szCs w:val="20"/>
              </w:rPr>
              <w:t>McInnes Cooper</w:t>
            </w:r>
          </w:p>
          <w:p w:rsidR="00E82253" w:rsidRPr="00A935AA" w:rsidRDefault="00E82253" w:rsidP="00E82253">
            <w:pPr>
              <w:tabs>
                <w:tab w:val="left" w:pos="-1440"/>
                <w:tab w:val="left" w:pos="-720"/>
              </w:tabs>
              <w:rPr>
                <w:sz w:val="20"/>
                <w:szCs w:val="20"/>
              </w:rPr>
            </w:pPr>
          </w:p>
          <w:p w:rsidR="002C671E" w:rsidRPr="00A935AA" w:rsidRDefault="00E82253" w:rsidP="00E82253">
            <w:pPr>
              <w:rPr>
                <w:sz w:val="20"/>
                <w:szCs w:val="20"/>
              </w:rPr>
            </w:pPr>
            <w:r w:rsidRPr="00A935AA">
              <w:rPr>
                <w:sz w:val="20"/>
                <w:szCs w:val="20"/>
              </w:rPr>
              <w:t>FILING DATE: 2</w:t>
            </w:r>
            <w:r>
              <w:rPr>
                <w:sz w:val="20"/>
                <w:szCs w:val="20"/>
              </w:rPr>
              <w:t>6</w:t>
            </w:r>
            <w:r w:rsidRPr="00A935AA">
              <w:rPr>
                <w:sz w:val="20"/>
                <w:szCs w:val="20"/>
              </w:rPr>
              <w:t>.0</w:t>
            </w:r>
            <w:r>
              <w:rPr>
                <w:sz w:val="20"/>
                <w:szCs w:val="20"/>
              </w:rPr>
              <w:t>6</w:t>
            </w:r>
            <w:r w:rsidRPr="00A935AA">
              <w:rPr>
                <w:sz w:val="20"/>
                <w:szCs w:val="20"/>
              </w:rPr>
              <w:t>.201</w:t>
            </w:r>
            <w:r>
              <w:rPr>
                <w:sz w:val="20"/>
                <w:szCs w:val="20"/>
              </w:rPr>
              <w:t>5</w:t>
            </w:r>
            <w:r w:rsidR="00310DA4">
              <w:rPr>
                <w:sz w:val="20"/>
                <w:szCs w:val="20"/>
                <w:lang w:val="fr-CA"/>
              </w:rPr>
              <w:pict>
                <v:rect id="_x0000_i1032" style="width:108pt;height:1pt" o:hrpct="0" o:hralign="center" o:hrstd="t" o:hrnoshade="t" o:hr="t" fillcolor="black [3213]" stroked="f"/>
              </w:pict>
            </w:r>
          </w:p>
        </w:tc>
        <w:tc>
          <w:tcPr>
            <w:tcW w:w="1181" w:type="dxa"/>
            <w:shd w:val="clear" w:color="auto" w:fill="auto"/>
          </w:tcPr>
          <w:p w:rsidR="002C671E" w:rsidRPr="00A935AA" w:rsidRDefault="002C671E" w:rsidP="00242AEE">
            <w:pPr>
              <w:jc w:val="center"/>
              <w:rPr>
                <w:sz w:val="20"/>
                <w:szCs w:val="20"/>
              </w:rPr>
            </w:pPr>
          </w:p>
          <w:p w:rsidR="002C671E" w:rsidRPr="00A935AA" w:rsidRDefault="002C671E" w:rsidP="00242AEE">
            <w:pPr>
              <w:jc w:val="center"/>
              <w:rPr>
                <w:sz w:val="20"/>
                <w:szCs w:val="20"/>
              </w:rPr>
            </w:pPr>
          </w:p>
          <w:p w:rsidR="002C671E" w:rsidRPr="00A935AA" w:rsidRDefault="002C671E" w:rsidP="00242AEE">
            <w:pPr>
              <w:jc w:val="center"/>
              <w:rPr>
                <w:sz w:val="20"/>
                <w:szCs w:val="20"/>
              </w:rPr>
            </w:pPr>
          </w:p>
          <w:p w:rsidR="002C671E" w:rsidRPr="00A935AA" w:rsidRDefault="002C671E" w:rsidP="00242AEE">
            <w:pPr>
              <w:jc w:val="center"/>
              <w:rPr>
                <w:sz w:val="20"/>
                <w:szCs w:val="20"/>
              </w:rPr>
            </w:pPr>
          </w:p>
          <w:p w:rsidR="002C671E" w:rsidRPr="00A935AA" w:rsidRDefault="002C671E" w:rsidP="00242AEE">
            <w:pPr>
              <w:jc w:val="center"/>
              <w:rPr>
                <w:sz w:val="20"/>
                <w:szCs w:val="20"/>
              </w:rPr>
            </w:pPr>
          </w:p>
          <w:p w:rsidR="002C671E" w:rsidRPr="00A935AA" w:rsidRDefault="002C671E" w:rsidP="00242AEE">
            <w:pPr>
              <w:jc w:val="center"/>
              <w:rPr>
                <w:sz w:val="20"/>
                <w:szCs w:val="20"/>
              </w:rPr>
            </w:pPr>
          </w:p>
          <w:p w:rsidR="002C671E" w:rsidRPr="00A935AA" w:rsidRDefault="002C671E" w:rsidP="00242AEE">
            <w:pPr>
              <w:jc w:val="center"/>
              <w:rPr>
                <w:sz w:val="20"/>
                <w:szCs w:val="20"/>
              </w:rPr>
            </w:pPr>
          </w:p>
          <w:p w:rsidR="002C671E" w:rsidRPr="00A935AA" w:rsidRDefault="002C671E" w:rsidP="00242AEE">
            <w:pPr>
              <w:jc w:val="center"/>
              <w:rPr>
                <w:sz w:val="20"/>
                <w:szCs w:val="20"/>
              </w:rPr>
            </w:pPr>
          </w:p>
          <w:p w:rsidR="002C671E" w:rsidRPr="00A935AA" w:rsidRDefault="002C671E" w:rsidP="00242AEE">
            <w:pPr>
              <w:jc w:val="center"/>
              <w:rPr>
                <w:sz w:val="20"/>
                <w:szCs w:val="20"/>
              </w:rPr>
            </w:pPr>
          </w:p>
          <w:p w:rsidR="002C671E" w:rsidRPr="00A935AA" w:rsidRDefault="002C671E" w:rsidP="00242AEE">
            <w:pPr>
              <w:jc w:val="center"/>
              <w:rPr>
                <w:sz w:val="20"/>
                <w:szCs w:val="20"/>
              </w:rPr>
            </w:pPr>
          </w:p>
          <w:p w:rsidR="002C671E" w:rsidRPr="00A935AA" w:rsidRDefault="002C671E" w:rsidP="00242AEE">
            <w:pPr>
              <w:jc w:val="center"/>
              <w:rPr>
                <w:sz w:val="20"/>
                <w:szCs w:val="20"/>
              </w:rPr>
            </w:pPr>
          </w:p>
          <w:p w:rsidR="002C671E" w:rsidRPr="00A935AA" w:rsidRDefault="002C671E" w:rsidP="00242AEE">
            <w:pPr>
              <w:jc w:val="center"/>
              <w:rPr>
                <w:sz w:val="20"/>
                <w:szCs w:val="20"/>
              </w:rPr>
            </w:pPr>
          </w:p>
          <w:p w:rsidR="002C671E" w:rsidRPr="00A935AA" w:rsidRDefault="002C671E" w:rsidP="00242AEE">
            <w:pPr>
              <w:jc w:val="center"/>
              <w:rPr>
                <w:sz w:val="20"/>
                <w:szCs w:val="20"/>
              </w:rPr>
            </w:pPr>
          </w:p>
        </w:tc>
        <w:tc>
          <w:tcPr>
            <w:tcW w:w="4320" w:type="dxa"/>
            <w:shd w:val="clear" w:color="auto" w:fill="auto"/>
          </w:tcPr>
          <w:p w:rsidR="002C671E" w:rsidRPr="00E82253" w:rsidRDefault="00E82253" w:rsidP="002C671E">
            <w:pPr>
              <w:rPr>
                <w:b/>
                <w:sz w:val="20"/>
                <w:szCs w:val="20"/>
                <w:lang w:val="fr-CA"/>
              </w:rPr>
            </w:pPr>
            <w:r w:rsidRPr="00E82253">
              <w:rPr>
                <w:b/>
                <w:sz w:val="20"/>
                <w:szCs w:val="20"/>
                <w:lang w:val="fr-CA"/>
              </w:rPr>
              <w:t>Le Groupe Jea</w:t>
            </w:r>
            <w:r w:rsidR="002C671E" w:rsidRPr="00E82253">
              <w:rPr>
                <w:b/>
                <w:sz w:val="20"/>
                <w:szCs w:val="20"/>
                <w:lang w:val="fr-CA"/>
              </w:rPr>
              <w:t>n</w:t>
            </w:r>
            <w:r w:rsidRPr="00E82253">
              <w:rPr>
                <w:b/>
                <w:sz w:val="20"/>
                <w:szCs w:val="20"/>
                <w:lang w:val="fr-CA"/>
              </w:rPr>
              <w:t xml:space="preserve"> Coutu (JPC) Inc.</w:t>
            </w:r>
          </w:p>
          <w:p w:rsidR="002C671E" w:rsidRPr="00CE4499" w:rsidRDefault="002C671E" w:rsidP="002C671E">
            <w:pPr>
              <w:tabs>
                <w:tab w:val="left" w:pos="-1440"/>
                <w:tab w:val="left" w:pos="-720"/>
              </w:tabs>
              <w:rPr>
                <w:sz w:val="20"/>
                <w:szCs w:val="20"/>
              </w:rPr>
            </w:pPr>
            <w:r w:rsidRPr="00E82253">
              <w:rPr>
                <w:sz w:val="20"/>
                <w:szCs w:val="20"/>
                <w:lang w:val="fr-CA"/>
              </w:rPr>
              <w:tab/>
            </w:r>
            <w:r w:rsidR="00E82253" w:rsidRPr="00CE4499">
              <w:rPr>
                <w:sz w:val="20"/>
                <w:szCs w:val="20"/>
              </w:rPr>
              <w:t>Dominic C. Belley</w:t>
            </w:r>
          </w:p>
          <w:p w:rsidR="002C671E" w:rsidRPr="00CE4499" w:rsidRDefault="002C671E" w:rsidP="002C671E">
            <w:pPr>
              <w:tabs>
                <w:tab w:val="left" w:pos="-1440"/>
                <w:tab w:val="left" w:pos="-720"/>
              </w:tabs>
              <w:rPr>
                <w:sz w:val="20"/>
                <w:szCs w:val="20"/>
              </w:rPr>
            </w:pPr>
            <w:r w:rsidRPr="00CE4499">
              <w:rPr>
                <w:sz w:val="20"/>
                <w:szCs w:val="20"/>
              </w:rPr>
              <w:tab/>
            </w:r>
            <w:r w:rsidR="00E82253" w:rsidRPr="00CE4499">
              <w:rPr>
                <w:sz w:val="20"/>
                <w:szCs w:val="20"/>
              </w:rPr>
              <w:t xml:space="preserve">Norton Rose Fulbright Canada </w:t>
            </w:r>
            <w:r w:rsidR="00E82253" w:rsidRPr="00CE4499">
              <w:rPr>
                <w:sz w:val="20"/>
                <w:szCs w:val="20"/>
              </w:rPr>
              <w:tab/>
              <w:t>S.E.N.C.R.L., s.r.l.</w:t>
            </w:r>
          </w:p>
          <w:p w:rsidR="002C671E" w:rsidRPr="00CE4499" w:rsidRDefault="002C671E" w:rsidP="002C671E">
            <w:pPr>
              <w:tabs>
                <w:tab w:val="left" w:pos="-1440"/>
                <w:tab w:val="left" w:pos="-720"/>
              </w:tabs>
              <w:rPr>
                <w:sz w:val="20"/>
                <w:szCs w:val="20"/>
              </w:rPr>
            </w:pPr>
          </w:p>
          <w:p w:rsidR="002C671E" w:rsidRPr="00E82253" w:rsidRDefault="002C671E" w:rsidP="002C671E">
            <w:pPr>
              <w:tabs>
                <w:tab w:val="left" w:pos="-1440"/>
                <w:tab w:val="left" w:pos="-720"/>
              </w:tabs>
              <w:rPr>
                <w:sz w:val="20"/>
                <w:szCs w:val="20"/>
                <w:lang w:val="fr-CA"/>
              </w:rPr>
            </w:pPr>
            <w:r w:rsidRPr="00CE4499">
              <w:rPr>
                <w:sz w:val="20"/>
                <w:szCs w:val="20"/>
              </w:rPr>
              <w:tab/>
            </w:r>
            <w:r w:rsidR="00E82253" w:rsidRPr="00E82253">
              <w:rPr>
                <w:sz w:val="20"/>
                <w:szCs w:val="20"/>
                <w:lang w:val="fr-CA"/>
              </w:rPr>
              <w:t>c</w:t>
            </w:r>
            <w:r w:rsidRPr="00E82253">
              <w:rPr>
                <w:sz w:val="20"/>
                <w:szCs w:val="20"/>
                <w:lang w:val="fr-CA"/>
              </w:rPr>
              <w:t>. (3650</w:t>
            </w:r>
            <w:r w:rsidR="00E82253">
              <w:rPr>
                <w:sz w:val="20"/>
                <w:szCs w:val="20"/>
                <w:lang w:val="fr-CA"/>
              </w:rPr>
              <w:t>5</w:t>
            </w:r>
            <w:r w:rsidRPr="00E82253">
              <w:rPr>
                <w:sz w:val="20"/>
                <w:szCs w:val="20"/>
                <w:lang w:val="fr-CA"/>
              </w:rPr>
              <w:t>)</w:t>
            </w:r>
          </w:p>
          <w:p w:rsidR="002C671E" w:rsidRPr="00E82253" w:rsidRDefault="002C671E" w:rsidP="002C671E">
            <w:pPr>
              <w:tabs>
                <w:tab w:val="left" w:pos="-1440"/>
                <w:tab w:val="left" w:pos="-720"/>
              </w:tabs>
              <w:rPr>
                <w:sz w:val="20"/>
                <w:szCs w:val="20"/>
                <w:lang w:val="fr-CA"/>
              </w:rPr>
            </w:pPr>
          </w:p>
          <w:p w:rsidR="002C671E" w:rsidRPr="00E82253" w:rsidRDefault="00E82253" w:rsidP="002C671E">
            <w:pPr>
              <w:tabs>
                <w:tab w:val="left" w:pos="-1440"/>
                <w:tab w:val="left" w:pos="-720"/>
              </w:tabs>
              <w:rPr>
                <w:b/>
                <w:sz w:val="20"/>
                <w:szCs w:val="20"/>
                <w:lang w:val="fr-CA"/>
              </w:rPr>
            </w:pPr>
            <w:r>
              <w:rPr>
                <w:b/>
                <w:sz w:val="20"/>
                <w:szCs w:val="20"/>
                <w:lang w:val="fr-CA"/>
              </w:rPr>
              <w:t>Procureur général du Ca</w:t>
            </w:r>
            <w:r w:rsidR="002C671E" w:rsidRPr="00E82253">
              <w:rPr>
                <w:b/>
                <w:sz w:val="20"/>
                <w:szCs w:val="20"/>
                <w:lang w:val="fr-CA"/>
              </w:rPr>
              <w:t>n</w:t>
            </w:r>
            <w:r>
              <w:rPr>
                <w:b/>
                <w:sz w:val="20"/>
                <w:szCs w:val="20"/>
                <w:lang w:val="fr-CA"/>
              </w:rPr>
              <w:t xml:space="preserve">ada </w:t>
            </w:r>
            <w:r w:rsidR="002C671E" w:rsidRPr="00E82253">
              <w:rPr>
                <w:b/>
                <w:sz w:val="20"/>
                <w:szCs w:val="20"/>
                <w:lang w:val="fr-CA"/>
              </w:rPr>
              <w:t>e</w:t>
            </w:r>
            <w:r>
              <w:rPr>
                <w:b/>
                <w:sz w:val="20"/>
                <w:szCs w:val="20"/>
                <w:lang w:val="fr-CA"/>
              </w:rPr>
              <w:t>t autre</w:t>
            </w:r>
            <w:r w:rsidR="002C671E" w:rsidRPr="00E82253">
              <w:rPr>
                <w:b/>
                <w:sz w:val="20"/>
                <w:szCs w:val="20"/>
                <w:lang w:val="fr-CA"/>
              </w:rPr>
              <w:t xml:space="preserve"> (</w:t>
            </w:r>
            <w:r>
              <w:rPr>
                <w:b/>
                <w:sz w:val="20"/>
                <w:szCs w:val="20"/>
                <w:lang w:val="fr-CA"/>
              </w:rPr>
              <w:t>Qc</w:t>
            </w:r>
            <w:r w:rsidR="002C671E" w:rsidRPr="00E82253">
              <w:rPr>
                <w:b/>
                <w:sz w:val="20"/>
                <w:szCs w:val="20"/>
                <w:lang w:val="fr-CA"/>
              </w:rPr>
              <w:t>)</w:t>
            </w:r>
          </w:p>
          <w:p w:rsidR="002C671E" w:rsidRPr="00E82253" w:rsidRDefault="002C671E" w:rsidP="002C671E">
            <w:pPr>
              <w:tabs>
                <w:tab w:val="left" w:pos="-1440"/>
                <w:tab w:val="left" w:pos="-720"/>
              </w:tabs>
              <w:rPr>
                <w:sz w:val="20"/>
                <w:szCs w:val="20"/>
                <w:lang w:val="fr-CA"/>
              </w:rPr>
            </w:pPr>
            <w:r w:rsidRPr="00E82253">
              <w:rPr>
                <w:sz w:val="20"/>
                <w:szCs w:val="20"/>
                <w:lang w:val="fr-CA"/>
              </w:rPr>
              <w:tab/>
            </w:r>
            <w:r w:rsidR="00E82253">
              <w:rPr>
                <w:sz w:val="20"/>
                <w:szCs w:val="20"/>
                <w:lang w:val="fr-CA"/>
              </w:rPr>
              <w:t>Nathalie Labbé</w:t>
            </w:r>
          </w:p>
          <w:p w:rsidR="002C671E" w:rsidRPr="00E82253" w:rsidRDefault="002C671E" w:rsidP="002C671E">
            <w:pPr>
              <w:tabs>
                <w:tab w:val="left" w:pos="-1440"/>
                <w:tab w:val="left" w:pos="-720"/>
              </w:tabs>
              <w:rPr>
                <w:sz w:val="20"/>
                <w:szCs w:val="20"/>
                <w:lang w:val="fr-CA"/>
              </w:rPr>
            </w:pPr>
            <w:r w:rsidRPr="00E82253">
              <w:rPr>
                <w:sz w:val="20"/>
                <w:szCs w:val="20"/>
                <w:lang w:val="fr-CA"/>
              </w:rPr>
              <w:tab/>
            </w:r>
            <w:r w:rsidR="00E82253">
              <w:rPr>
                <w:sz w:val="20"/>
                <w:szCs w:val="20"/>
                <w:lang w:val="fr-CA"/>
              </w:rPr>
              <w:t>P.G. du Canada</w:t>
            </w:r>
          </w:p>
          <w:p w:rsidR="002C671E" w:rsidRPr="00E82253" w:rsidRDefault="002C671E" w:rsidP="002C671E">
            <w:pPr>
              <w:tabs>
                <w:tab w:val="left" w:pos="-1440"/>
                <w:tab w:val="left" w:pos="-720"/>
              </w:tabs>
              <w:rPr>
                <w:sz w:val="20"/>
                <w:szCs w:val="20"/>
                <w:lang w:val="fr-CA"/>
              </w:rPr>
            </w:pPr>
          </w:p>
          <w:p w:rsidR="002C671E" w:rsidRPr="00E82253" w:rsidRDefault="00E82253" w:rsidP="00E82253">
            <w:pPr>
              <w:rPr>
                <w:sz w:val="20"/>
                <w:szCs w:val="20"/>
                <w:lang w:val="fr-CA"/>
              </w:rPr>
            </w:pPr>
            <w:r w:rsidRPr="00806A5B">
              <w:rPr>
                <w:sz w:val="20"/>
                <w:szCs w:val="20"/>
                <w:lang w:val="fr-CA"/>
              </w:rPr>
              <w:t>DATE DE PRODUCTION</w:t>
            </w:r>
            <w:r>
              <w:rPr>
                <w:sz w:val="20"/>
                <w:szCs w:val="20"/>
                <w:lang w:val="fr-CA"/>
              </w:rPr>
              <w:t xml:space="preserve"> </w:t>
            </w:r>
            <w:r w:rsidRPr="00806A5B">
              <w:rPr>
                <w:sz w:val="20"/>
                <w:szCs w:val="20"/>
                <w:lang w:val="fr-CA"/>
              </w:rPr>
              <w:t xml:space="preserve">: </w:t>
            </w:r>
            <w:r>
              <w:rPr>
                <w:sz w:val="20"/>
                <w:szCs w:val="20"/>
                <w:lang w:val="fr-CA"/>
              </w:rPr>
              <w:t>29.06.2015</w:t>
            </w:r>
            <w:r w:rsidR="00310DA4">
              <w:rPr>
                <w:sz w:val="20"/>
                <w:szCs w:val="20"/>
                <w:lang w:val="fr-CA"/>
              </w:rPr>
              <w:pict>
                <v:rect id="_x0000_i1033" style="width:108pt;height:1pt" o:hrpct="0" o:hralign="center" o:hrstd="t" o:hrnoshade="t" o:hr="t" fillcolor="black [3213]" stroked="f"/>
              </w:pict>
            </w:r>
          </w:p>
        </w:tc>
      </w:tr>
      <w:tr w:rsidR="00C21644" w:rsidRPr="00A935AA" w:rsidTr="003B3977">
        <w:trPr>
          <w:cantSplit/>
        </w:trPr>
        <w:tc>
          <w:tcPr>
            <w:tcW w:w="4320" w:type="dxa"/>
            <w:shd w:val="clear" w:color="auto" w:fill="auto"/>
          </w:tcPr>
          <w:p w:rsidR="00C21644" w:rsidRPr="00E82253" w:rsidRDefault="00E82253" w:rsidP="005F1ED8">
            <w:pPr>
              <w:rPr>
                <w:b/>
                <w:sz w:val="20"/>
                <w:szCs w:val="20"/>
              </w:rPr>
            </w:pPr>
            <w:r w:rsidRPr="00E82253">
              <w:rPr>
                <w:b/>
                <w:sz w:val="20"/>
                <w:szCs w:val="20"/>
              </w:rPr>
              <w:t>Manickavasagar Kanagendran</w:t>
            </w:r>
          </w:p>
          <w:p w:rsidR="00C21644" w:rsidRPr="00E82253" w:rsidRDefault="00C21644" w:rsidP="005F1ED8">
            <w:pPr>
              <w:tabs>
                <w:tab w:val="left" w:pos="-1440"/>
                <w:tab w:val="left" w:pos="-720"/>
              </w:tabs>
              <w:rPr>
                <w:sz w:val="20"/>
                <w:szCs w:val="20"/>
              </w:rPr>
            </w:pPr>
            <w:r w:rsidRPr="00E82253">
              <w:rPr>
                <w:sz w:val="20"/>
                <w:szCs w:val="20"/>
              </w:rPr>
              <w:tab/>
            </w:r>
            <w:r w:rsidR="00E82253" w:rsidRPr="00E82253">
              <w:rPr>
                <w:sz w:val="20"/>
                <w:szCs w:val="20"/>
              </w:rPr>
              <w:t>Barbara Jackman</w:t>
            </w:r>
          </w:p>
          <w:p w:rsidR="00C21644" w:rsidRPr="00E82253" w:rsidRDefault="00C21644" w:rsidP="005F1ED8">
            <w:pPr>
              <w:tabs>
                <w:tab w:val="left" w:pos="-1440"/>
                <w:tab w:val="left" w:pos="-720"/>
              </w:tabs>
              <w:rPr>
                <w:sz w:val="20"/>
                <w:szCs w:val="20"/>
              </w:rPr>
            </w:pPr>
            <w:r w:rsidRPr="00E82253">
              <w:rPr>
                <w:sz w:val="20"/>
                <w:szCs w:val="20"/>
              </w:rPr>
              <w:tab/>
            </w:r>
            <w:r w:rsidR="00E82253" w:rsidRPr="00E82253">
              <w:rPr>
                <w:sz w:val="20"/>
                <w:szCs w:val="20"/>
              </w:rPr>
              <w:t>Jackman, Nazami &amp; Associates</w:t>
            </w:r>
          </w:p>
          <w:p w:rsidR="00C21644" w:rsidRPr="00E82253" w:rsidRDefault="00C21644" w:rsidP="005F1ED8">
            <w:pPr>
              <w:tabs>
                <w:tab w:val="left" w:pos="-1440"/>
                <w:tab w:val="left" w:pos="-720"/>
              </w:tabs>
              <w:rPr>
                <w:sz w:val="20"/>
                <w:szCs w:val="20"/>
              </w:rPr>
            </w:pPr>
          </w:p>
          <w:p w:rsidR="00C21644" w:rsidRPr="00A935AA" w:rsidRDefault="00C21644" w:rsidP="005F1ED8">
            <w:pPr>
              <w:tabs>
                <w:tab w:val="left" w:pos="-1440"/>
                <w:tab w:val="left" w:pos="-720"/>
              </w:tabs>
              <w:rPr>
                <w:sz w:val="20"/>
                <w:szCs w:val="20"/>
              </w:rPr>
            </w:pPr>
            <w:r w:rsidRPr="00E82253">
              <w:rPr>
                <w:sz w:val="20"/>
                <w:szCs w:val="20"/>
              </w:rPr>
              <w:tab/>
            </w:r>
            <w:r w:rsidRPr="00A935AA">
              <w:rPr>
                <w:sz w:val="20"/>
                <w:szCs w:val="20"/>
              </w:rPr>
              <w:t>v. (3</w:t>
            </w:r>
            <w:r w:rsidR="00E82253">
              <w:rPr>
                <w:sz w:val="20"/>
                <w:szCs w:val="20"/>
              </w:rPr>
              <w:t>6</w:t>
            </w:r>
            <w:r>
              <w:rPr>
                <w:sz w:val="20"/>
                <w:szCs w:val="20"/>
              </w:rPr>
              <w:t>5</w:t>
            </w:r>
            <w:r w:rsidR="00E82253">
              <w:rPr>
                <w:sz w:val="20"/>
                <w:szCs w:val="20"/>
              </w:rPr>
              <w:t>08</w:t>
            </w:r>
            <w:r w:rsidRPr="00A935AA">
              <w:rPr>
                <w:sz w:val="20"/>
                <w:szCs w:val="20"/>
              </w:rPr>
              <w:t>)</w:t>
            </w:r>
          </w:p>
          <w:p w:rsidR="00C21644" w:rsidRPr="00A935AA" w:rsidRDefault="00C21644" w:rsidP="005F1ED8">
            <w:pPr>
              <w:tabs>
                <w:tab w:val="left" w:pos="-1440"/>
                <w:tab w:val="left" w:pos="-720"/>
              </w:tabs>
              <w:rPr>
                <w:sz w:val="20"/>
                <w:szCs w:val="20"/>
              </w:rPr>
            </w:pPr>
          </w:p>
          <w:p w:rsidR="00C21644" w:rsidRPr="00A935AA" w:rsidRDefault="00E82253" w:rsidP="005F1ED8">
            <w:pPr>
              <w:tabs>
                <w:tab w:val="left" w:pos="-1440"/>
                <w:tab w:val="left" w:pos="-720"/>
              </w:tabs>
              <w:rPr>
                <w:b/>
                <w:sz w:val="20"/>
                <w:szCs w:val="20"/>
              </w:rPr>
            </w:pPr>
            <w:r>
              <w:rPr>
                <w:b/>
                <w:sz w:val="20"/>
                <w:szCs w:val="20"/>
              </w:rPr>
              <w:t xml:space="preserve">Minister of Citizenship and Immigration Canada </w:t>
            </w:r>
            <w:r w:rsidR="00C21644" w:rsidRPr="00A935AA">
              <w:rPr>
                <w:b/>
                <w:sz w:val="20"/>
                <w:szCs w:val="20"/>
              </w:rPr>
              <w:t>(</w:t>
            </w:r>
            <w:r>
              <w:rPr>
                <w:b/>
                <w:sz w:val="20"/>
                <w:szCs w:val="20"/>
              </w:rPr>
              <w:t>F.C</w:t>
            </w:r>
            <w:r w:rsidR="00C21644" w:rsidRPr="00A935AA">
              <w:rPr>
                <w:b/>
                <w:sz w:val="20"/>
                <w:szCs w:val="20"/>
              </w:rPr>
              <w:t>.)</w:t>
            </w:r>
          </w:p>
          <w:p w:rsidR="00C21644" w:rsidRPr="00A935AA" w:rsidRDefault="00C21644" w:rsidP="005F1ED8">
            <w:pPr>
              <w:tabs>
                <w:tab w:val="left" w:pos="-1440"/>
                <w:tab w:val="left" w:pos="-720"/>
              </w:tabs>
              <w:rPr>
                <w:sz w:val="20"/>
                <w:szCs w:val="20"/>
              </w:rPr>
            </w:pPr>
            <w:r w:rsidRPr="00A935AA">
              <w:rPr>
                <w:sz w:val="20"/>
                <w:szCs w:val="20"/>
              </w:rPr>
              <w:tab/>
            </w:r>
            <w:r w:rsidR="00E82253">
              <w:rPr>
                <w:sz w:val="20"/>
                <w:szCs w:val="20"/>
              </w:rPr>
              <w:t>William F. Pentney</w:t>
            </w:r>
          </w:p>
          <w:p w:rsidR="00C21644" w:rsidRPr="00A935AA" w:rsidRDefault="00C21644" w:rsidP="005F1ED8">
            <w:pPr>
              <w:tabs>
                <w:tab w:val="left" w:pos="-1440"/>
                <w:tab w:val="left" w:pos="-720"/>
              </w:tabs>
              <w:rPr>
                <w:sz w:val="20"/>
                <w:szCs w:val="20"/>
              </w:rPr>
            </w:pPr>
            <w:r w:rsidRPr="00A935AA">
              <w:rPr>
                <w:sz w:val="20"/>
                <w:szCs w:val="20"/>
              </w:rPr>
              <w:tab/>
            </w:r>
            <w:r w:rsidR="00E82253">
              <w:rPr>
                <w:sz w:val="20"/>
                <w:szCs w:val="20"/>
              </w:rPr>
              <w:t>A.G. of Canada</w:t>
            </w:r>
          </w:p>
          <w:p w:rsidR="00C21644" w:rsidRPr="00A935AA" w:rsidRDefault="00C21644" w:rsidP="005F1ED8">
            <w:pPr>
              <w:tabs>
                <w:tab w:val="left" w:pos="-1440"/>
                <w:tab w:val="left" w:pos="-720"/>
              </w:tabs>
              <w:rPr>
                <w:sz w:val="20"/>
                <w:szCs w:val="20"/>
              </w:rPr>
            </w:pPr>
          </w:p>
          <w:p w:rsidR="00C21644" w:rsidRPr="00A935AA" w:rsidRDefault="00C21644" w:rsidP="00E82253">
            <w:pPr>
              <w:rPr>
                <w:sz w:val="20"/>
                <w:szCs w:val="20"/>
              </w:rPr>
            </w:pPr>
            <w:r w:rsidRPr="00A935AA">
              <w:rPr>
                <w:sz w:val="20"/>
                <w:szCs w:val="20"/>
              </w:rPr>
              <w:t xml:space="preserve">FILING DATE: </w:t>
            </w:r>
            <w:r w:rsidR="00E82253">
              <w:rPr>
                <w:sz w:val="20"/>
                <w:szCs w:val="20"/>
              </w:rPr>
              <w:t>30</w:t>
            </w:r>
            <w:r w:rsidRPr="00A935AA">
              <w:rPr>
                <w:sz w:val="20"/>
                <w:szCs w:val="20"/>
              </w:rPr>
              <w:t>.0</w:t>
            </w:r>
            <w:r w:rsidR="008F59A3">
              <w:rPr>
                <w:sz w:val="20"/>
                <w:szCs w:val="20"/>
              </w:rPr>
              <w:t>6</w:t>
            </w:r>
            <w:r w:rsidRPr="00A935AA">
              <w:rPr>
                <w:sz w:val="20"/>
                <w:szCs w:val="20"/>
              </w:rPr>
              <w:t>.201</w:t>
            </w:r>
            <w:r w:rsidR="008F59A3">
              <w:rPr>
                <w:sz w:val="20"/>
                <w:szCs w:val="20"/>
              </w:rPr>
              <w:t>5</w:t>
            </w:r>
            <w:r w:rsidR="00310DA4">
              <w:rPr>
                <w:sz w:val="20"/>
                <w:szCs w:val="20"/>
                <w:lang w:val="fr-CA"/>
              </w:rPr>
              <w:pict>
                <v:rect id="_x0000_i1034"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Default="00C21644" w:rsidP="00242AEE">
            <w:pPr>
              <w:jc w:val="center"/>
              <w:rPr>
                <w:sz w:val="20"/>
                <w:szCs w:val="20"/>
              </w:rPr>
            </w:pPr>
          </w:p>
          <w:p w:rsidR="00E82253" w:rsidRPr="00A935AA" w:rsidRDefault="00E82253"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C21644" w:rsidRPr="00CE4499" w:rsidRDefault="00C21644" w:rsidP="005F1ED8">
            <w:pPr>
              <w:rPr>
                <w:b/>
                <w:sz w:val="20"/>
                <w:szCs w:val="20"/>
                <w:lang w:val="fr-CA"/>
              </w:rPr>
            </w:pPr>
          </w:p>
          <w:p w:rsidR="00E82253" w:rsidRPr="00E82253" w:rsidRDefault="00E82253" w:rsidP="005F1ED8">
            <w:pPr>
              <w:rPr>
                <w:b/>
                <w:sz w:val="20"/>
                <w:szCs w:val="20"/>
                <w:lang w:val="fr-CA"/>
              </w:rPr>
            </w:pPr>
            <w:r w:rsidRPr="00E82253">
              <w:rPr>
                <w:b/>
                <w:sz w:val="20"/>
                <w:szCs w:val="20"/>
                <w:lang w:val="fr-CA"/>
              </w:rPr>
              <w:t>Shelley Davidson et al.</w:t>
            </w:r>
          </w:p>
          <w:p w:rsidR="00C21644" w:rsidRPr="00E82253" w:rsidRDefault="00C21644" w:rsidP="005F1ED8">
            <w:pPr>
              <w:tabs>
                <w:tab w:val="left" w:pos="-1440"/>
                <w:tab w:val="left" w:pos="-720"/>
              </w:tabs>
              <w:rPr>
                <w:sz w:val="20"/>
                <w:szCs w:val="20"/>
                <w:lang w:val="fr-CA"/>
              </w:rPr>
            </w:pPr>
            <w:r w:rsidRPr="00E82253">
              <w:rPr>
                <w:sz w:val="20"/>
                <w:szCs w:val="20"/>
                <w:lang w:val="fr-CA"/>
              </w:rPr>
              <w:tab/>
            </w:r>
            <w:r w:rsidR="00E82253" w:rsidRPr="00E82253">
              <w:rPr>
                <w:sz w:val="20"/>
                <w:szCs w:val="20"/>
                <w:lang w:val="fr-CA"/>
              </w:rPr>
              <w:t>Matti Lemmens</w:t>
            </w:r>
          </w:p>
          <w:p w:rsidR="00C21644" w:rsidRPr="00E82253" w:rsidRDefault="00C21644" w:rsidP="005F1ED8">
            <w:pPr>
              <w:tabs>
                <w:tab w:val="left" w:pos="-1440"/>
                <w:tab w:val="left" w:pos="-720"/>
              </w:tabs>
              <w:rPr>
                <w:sz w:val="20"/>
                <w:szCs w:val="20"/>
              </w:rPr>
            </w:pPr>
            <w:r w:rsidRPr="00E82253">
              <w:rPr>
                <w:sz w:val="20"/>
                <w:szCs w:val="20"/>
                <w:lang w:val="fr-CA"/>
              </w:rPr>
              <w:tab/>
            </w:r>
            <w:r w:rsidR="00E82253" w:rsidRPr="00E82253">
              <w:rPr>
                <w:sz w:val="20"/>
                <w:szCs w:val="20"/>
              </w:rPr>
              <w:t>Borden Ladner Gervais LLP</w:t>
            </w:r>
          </w:p>
          <w:p w:rsidR="00C21644" w:rsidRPr="00E82253" w:rsidRDefault="00C21644" w:rsidP="005F1ED8">
            <w:pPr>
              <w:tabs>
                <w:tab w:val="left" w:pos="-1440"/>
                <w:tab w:val="left" w:pos="-720"/>
              </w:tabs>
              <w:rPr>
                <w:sz w:val="20"/>
                <w:szCs w:val="20"/>
              </w:rPr>
            </w:pPr>
          </w:p>
          <w:p w:rsidR="00C21644" w:rsidRPr="00A935AA" w:rsidRDefault="00C21644" w:rsidP="005F1ED8">
            <w:pPr>
              <w:tabs>
                <w:tab w:val="left" w:pos="-1440"/>
                <w:tab w:val="left" w:pos="-720"/>
              </w:tabs>
              <w:rPr>
                <w:sz w:val="20"/>
                <w:szCs w:val="20"/>
              </w:rPr>
            </w:pPr>
            <w:r w:rsidRPr="00E82253">
              <w:rPr>
                <w:sz w:val="20"/>
                <w:szCs w:val="20"/>
              </w:rPr>
              <w:tab/>
            </w:r>
            <w:r w:rsidRPr="00A935AA">
              <w:rPr>
                <w:sz w:val="20"/>
                <w:szCs w:val="20"/>
              </w:rPr>
              <w:t>v. (3</w:t>
            </w:r>
            <w:r w:rsidR="00E82253">
              <w:rPr>
                <w:sz w:val="20"/>
                <w:szCs w:val="20"/>
              </w:rPr>
              <w:t>6</w:t>
            </w:r>
            <w:r>
              <w:rPr>
                <w:sz w:val="20"/>
                <w:szCs w:val="20"/>
              </w:rPr>
              <w:t>5</w:t>
            </w:r>
            <w:r w:rsidR="00E82253">
              <w:rPr>
                <w:sz w:val="20"/>
                <w:szCs w:val="20"/>
              </w:rPr>
              <w:t>01</w:t>
            </w:r>
            <w:r w:rsidRPr="00A935AA">
              <w:rPr>
                <w:sz w:val="20"/>
                <w:szCs w:val="20"/>
              </w:rPr>
              <w:t>)</w:t>
            </w:r>
          </w:p>
          <w:p w:rsidR="00C21644" w:rsidRPr="00A935AA" w:rsidRDefault="00C21644" w:rsidP="005F1ED8">
            <w:pPr>
              <w:tabs>
                <w:tab w:val="left" w:pos="-1440"/>
                <w:tab w:val="left" w:pos="-720"/>
              </w:tabs>
              <w:rPr>
                <w:sz w:val="20"/>
                <w:szCs w:val="20"/>
              </w:rPr>
            </w:pPr>
          </w:p>
          <w:p w:rsidR="00C21644" w:rsidRPr="00A935AA" w:rsidRDefault="00E82253" w:rsidP="005F1ED8">
            <w:pPr>
              <w:tabs>
                <w:tab w:val="left" w:pos="-1440"/>
                <w:tab w:val="left" w:pos="-720"/>
              </w:tabs>
              <w:rPr>
                <w:b/>
                <w:sz w:val="20"/>
                <w:szCs w:val="20"/>
              </w:rPr>
            </w:pPr>
            <w:r>
              <w:rPr>
                <w:b/>
                <w:sz w:val="20"/>
                <w:szCs w:val="20"/>
              </w:rPr>
              <w:t xml:space="preserve">1773907 Alberta Ltd. </w:t>
            </w:r>
            <w:r w:rsidR="00C21644" w:rsidRPr="00A935AA">
              <w:rPr>
                <w:b/>
                <w:sz w:val="20"/>
                <w:szCs w:val="20"/>
              </w:rPr>
              <w:t>(</w:t>
            </w:r>
            <w:r>
              <w:rPr>
                <w:b/>
                <w:sz w:val="20"/>
                <w:szCs w:val="20"/>
              </w:rPr>
              <w:t>Al</w:t>
            </w:r>
            <w:r w:rsidR="00C21644">
              <w:rPr>
                <w:b/>
                <w:sz w:val="20"/>
                <w:szCs w:val="20"/>
              </w:rPr>
              <w:t>t</w:t>
            </w:r>
            <w:r>
              <w:rPr>
                <w:b/>
                <w:sz w:val="20"/>
                <w:szCs w:val="20"/>
              </w:rPr>
              <w:t>a</w:t>
            </w:r>
            <w:r w:rsidR="00C21644" w:rsidRPr="00A935AA">
              <w:rPr>
                <w:b/>
                <w:sz w:val="20"/>
                <w:szCs w:val="20"/>
              </w:rPr>
              <w:t>.)</w:t>
            </w:r>
          </w:p>
          <w:p w:rsidR="00C21644" w:rsidRPr="00A935AA" w:rsidRDefault="00C21644" w:rsidP="005F1ED8">
            <w:pPr>
              <w:tabs>
                <w:tab w:val="left" w:pos="-1440"/>
                <w:tab w:val="left" w:pos="-720"/>
              </w:tabs>
              <w:rPr>
                <w:sz w:val="20"/>
                <w:szCs w:val="20"/>
              </w:rPr>
            </w:pPr>
            <w:r w:rsidRPr="00A935AA">
              <w:rPr>
                <w:sz w:val="20"/>
                <w:szCs w:val="20"/>
              </w:rPr>
              <w:tab/>
            </w:r>
            <w:r w:rsidR="00E82253">
              <w:rPr>
                <w:sz w:val="20"/>
                <w:szCs w:val="20"/>
              </w:rPr>
              <w:t>Robert L. Martz</w:t>
            </w:r>
          </w:p>
          <w:p w:rsidR="00C21644" w:rsidRPr="00A935AA" w:rsidRDefault="00C21644" w:rsidP="005F1ED8">
            <w:pPr>
              <w:tabs>
                <w:tab w:val="left" w:pos="-1440"/>
                <w:tab w:val="left" w:pos="-720"/>
              </w:tabs>
              <w:rPr>
                <w:sz w:val="20"/>
                <w:szCs w:val="20"/>
              </w:rPr>
            </w:pPr>
            <w:r w:rsidRPr="00A935AA">
              <w:rPr>
                <w:sz w:val="20"/>
                <w:szCs w:val="20"/>
              </w:rPr>
              <w:tab/>
            </w:r>
            <w:r w:rsidR="00E82253">
              <w:rPr>
                <w:sz w:val="20"/>
                <w:szCs w:val="20"/>
              </w:rPr>
              <w:t>Burnet, Duckworth &amp; Palmer</w:t>
            </w:r>
          </w:p>
          <w:p w:rsidR="00C21644" w:rsidRPr="00A935AA" w:rsidRDefault="00C21644" w:rsidP="005F1ED8">
            <w:pPr>
              <w:tabs>
                <w:tab w:val="left" w:pos="-1440"/>
                <w:tab w:val="left" w:pos="-720"/>
              </w:tabs>
              <w:rPr>
                <w:sz w:val="20"/>
                <w:szCs w:val="20"/>
              </w:rPr>
            </w:pPr>
          </w:p>
          <w:p w:rsidR="00C21644" w:rsidRPr="00A935AA" w:rsidRDefault="00C21644" w:rsidP="00453A65">
            <w:pPr>
              <w:rPr>
                <w:sz w:val="20"/>
                <w:szCs w:val="20"/>
              </w:rPr>
            </w:pPr>
            <w:r w:rsidRPr="00A935AA">
              <w:rPr>
                <w:sz w:val="20"/>
                <w:szCs w:val="20"/>
              </w:rPr>
              <w:t xml:space="preserve">FILING DATE: </w:t>
            </w:r>
            <w:r w:rsidR="00453A65">
              <w:rPr>
                <w:sz w:val="20"/>
                <w:szCs w:val="20"/>
              </w:rPr>
              <w:t>30</w:t>
            </w:r>
            <w:r w:rsidRPr="00A935AA">
              <w:rPr>
                <w:sz w:val="20"/>
                <w:szCs w:val="20"/>
              </w:rPr>
              <w:t>.0</w:t>
            </w:r>
            <w:r w:rsidR="008F59A3">
              <w:rPr>
                <w:sz w:val="20"/>
                <w:szCs w:val="20"/>
              </w:rPr>
              <w:t>6</w:t>
            </w:r>
            <w:r w:rsidRPr="00A935AA">
              <w:rPr>
                <w:sz w:val="20"/>
                <w:szCs w:val="20"/>
              </w:rPr>
              <w:t>.201</w:t>
            </w:r>
            <w:r w:rsidR="008F59A3">
              <w:rPr>
                <w:sz w:val="20"/>
                <w:szCs w:val="20"/>
              </w:rPr>
              <w:t>5</w:t>
            </w:r>
            <w:r w:rsidR="00310DA4">
              <w:rPr>
                <w:sz w:val="20"/>
                <w:szCs w:val="20"/>
                <w:lang w:val="fr-CA"/>
              </w:rPr>
              <w:pict>
                <v:rect id="_x0000_i1035" style="width:108pt;height:1pt" o:hrpct="0" o:hralign="center" o:hrstd="t" o:hrnoshade="t" o:hr="t" fillcolor="black [3213]" stroked="f"/>
              </w:pict>
            </w:r>
          </w:p>
        </w:tc>
      </w:tr>
      <w:tr w:rsidR="002C671E" w:rsidRPr="00A935AA" w:rsidTr="003B3977">
        <w:trPr>
          <w:cantSplit/>
        </w:trPr>
        <w:tc>
          <w:tcPr>
            <w:tcW w:w="4320" w:type="dxa"/>
            <w:shd w:val="clear" w:color="auto" w:fill="auto"/>
          </w:tcPr>
          <w:p w:rsidR="002C671E" w:rsidRPr="00A935AA" w:rsidRDefault="002C671E" w:rsidP="002C671E">
            <w:pPr>
              <w:rPr>
                <w:b/>
                <w:sz w:val="20"/>
                <w:szCs w:val="20"/>
              </w:rPr>
            </w:pPr>
            <w:r>
              <w:rPr>
                <w:b/>
                <w:sz w:val="20"/>
                <w:szCs w:val="20"/>
              </w:rPr>
              <w:t>British Columbia Teachers’ Federation, on behalf of all members of the British Columbia Teachers’ Federation</w:t>
            </w:r>
          </w:p>
          <w:p w:rsidR="002C671E" w:rsidRPr="00A935AA" w:rsidRDefault="002C671E" w:rsidP="002C671E">
            <w:pPr>
              <w:tabs>
                <w:tab w:val="left" w:pos="-1440"/>
                <w:tab w:val="left" w:pos="-720"/>
              </w:tabs>
              <w:rPr>
                <w:sz w:val="20"/>
                <w:szCs w:val="20"/>
              </w:rPr>
            </w:pPr>
            <w:r w:rsidRPr="00A935AA">
              <w:rPr>
                <w:sz w:val="20"/>
                <w:szCs w:val="20"/>
              </w:rPr>
              <w:tab/>
            </w:r>
            <w:r>
              <w:rPr>
                <w:sz w:val="20"/>
                <w:szCs w:val="20"/>
              </w:rPr>
              <w:t>Diane MacDonald</w:t>
            </w:r>
          </w:p>
          <w:p w:rsidR="002C671E" w:rsidRPr="00A935AA" w:rsidRDefault="002C671E" w:rsidP="002C671E">
            <w:pPr>
              <w:tabs>
                <w:tab w:val="left" w:pos="-1440"/>
                <w:tab w:val="left" w:pos="-720"/>
              </w:tabs>
              <w:rPr>
                <w:sz w:val="20"/>
                <w:szCs w:val="20"/>
              </w:rPr>
            </w:pPr>
            <w:r w:rsidRPr="00A935AA">
              <w:rPr>
                <w:sz w:val="20"/>
                <w:szCs w:val="20"/>
              </w:rPr>
              <w:tab/>
            </w:r>
            <w:r>
              <w:rPr>
                <w:sz w:val="20"/>
                <w:szCs w:val="20"/>
              </w:rPr>
              <w:t>British Columbia Teachers’ Federation</w:t>
            </w:r>
          </w:p>
          <w:p w:rsidR="002C671E" w:rsidRPr="00A935AA" w:rsidRDefault="002C671E" w:rsidP="002C671E">
            <w:pPr>
              <w:tabs>
                <w:tab w:val="left" w:pos="-1440"/>
                <w:tab w:val="left" w:pos="-720"/>
              </w:tabs>
              <w:rPr>
                <w:sz w:val="20"/>
                <w:szCs w:val="20"/>
              </w:rPr>
            </w:pPr>
          </w:p>
          <w:p w:rsidR="002C671E" w:rsidRPr="00A935AA" w:rsidRDefault="002C671E" w:rsidP="002C671E">
            <w:pPr>
              <w:tabs>
                <w:tab w:val="left" w:pos="-1440"/>
                <w:tab w:val="left" w:pos="-720"/>
              </w:tabs>
              <w:rPr>
                <w:sz w:val="20"/>
                <w:szCs w:val="20"/>
              </w:rPr>
            </w:pPr>
            <w:r w:rsidRPr="00A935AA">
              <w:rPr>
                <w:sz w:val="20"/>
                <w:szCs w:val="20"/>
              </w:rPr>
              <w:tab/>
              <w:t>v. (3</w:t>
            </w:r>
            <w:r>
              <w:rPr>
                <w:sz w:val="20"/>
                <w:szCs w:val="20"/>
              </w:rPr>
              <w:t>6500</w:t>
            </w:r>
            <w:r w:rsidRPr="00A935AA">
              <w:rPr>
                <w:sz w:val="20"/>
                <w:szCs w:val="20"/>
              </w:rPr>
              <w:t>)</w:t>
            </w:r>
          </w:p>
          <w:p w:rsidR="002C671E" w:rsidRPr="00A935AA" w:rsidRDefault="002C671E" w:rsidP="002C671E">
            <w:pPr>
              <w:tabs>
                <w:tab w:val="left" w:pos="-1440"/>
                <w:tab w:val="left" w:pos="-720"/>
              </w:tabs>
              <w:rPr>
                <w:sz w:val="20"/>
                <w:szCs w:val="20"/>
              </w:rPr>
            </w:pPr>
          </w:p>
          <w:p w:rsidR="002C671E" w:rsidRPr="00A935AA" w:rsidRDefault="002C671E" w:rsidP="002C671E">
            <w:pPr>
              <w:tabs>
                <w:tab w:val="left" w:pos="-1440"/>
                <w:tab w:val="left" w:pos="-720"/>
              </w:tabs>
              <w:rPr>
                <w:b/>
                <w:sz w:val="20"/>
                <w:szCs w:val="20"/>
              </w:rPr>
            </w:pPr>
            <w:r>
              <w:rPr>
                <w:b/>
                <w:sz w:val="20"/>
                <w:szCs w:val="20"/>
              </w:rPr>
              <w:t xml:space="preserve">Her Majesty the Queen in Right of the Province of British Columbia </w:t>
            </w:r>
            <w:r w:rsidRPr="00A935AA">
              <w:rPr>
                <w:b/>
                <w:sz w:val="20"/>
                <w:szCs w:val="20"/>
              </w:rPr>
              <w:t>(</w:t>
            </w:r>
            <w:r w:rsidR="00453A65">
              <w:rPr>
                <w:b/>
                <w:sz w:val="20"/>
                <w:szCs w:val="20"/>
              </w:rPr>
              <w:t>B.C</w:t>
            </w:r>
            <w:r w:rsidRPr="00A935AA">
              <w:rPr>
                <w:b/>
                <w:sz w:val="20"/>
                <w:szCs w:val="20"/>
              </w:rPr>
              <w:t>.)</w:t>
            </w:r>
          </w:p>
          <w:p w:rsidR="002C671E" w:rsidRPr="00A935AA" w:rsidRDefault="002C671E" w:rsidP="002C671E">
            <w:pPr>
              <w:tabs>
                <w:tab w:val="left" w:pos="-1440"/>
                <w:tab w:val="left" w:pos="-720"/>
              </w:tabs>
              <w:rPr>
                <w:sz w:val="20"/>
                <w:szCs w:val="20"/>
              </w:rPr>
            </w:pPr>
            <w:r w:rsidRPr="00A935AA">
              <w:rPr>
                <w:sz w:val="20"/>
                <w:szCs w:val="20"/>
              </w:rPr>
              <w:tab/>
            </w:r>
            <w:r>
              <w:rPr>
                <w:sz w:val="20"/>
                <w:szCs w:val="20"/>
              </w:rPr>
              <w:t>Karen A. Horsman</w:t>
            </w:r>
          </w:p>
          <w:p w:rsidR="002C671E" w:rsidRPr="00A935AA" w:rsidRDefault="002C671E" w:rsidP="002C671E">
            <w:pPr>
              <w:tabs>
                <w:tab w:val="left" w:pos="-1440"/>
                <w:tab w:val="left" w:pos="-720"/>
              </w:tabs>
              <w:rPr>
                <w:sz w:val="20"/>
                <w:szCs w:val="20"/>
              </w:rPr>
            </w:pPr>
            <w:r w:rsidRPr="00A935AA">
              <w:rPr>
                <w:sz w:val="20"/>
                <w:szCs w:val="20"/>
              </w:rPr>
              <w:tab/>
            </w:r>
            <w:r>
              <w:rPr>
                <w:sz w:val="20"/>
                <w:szCs w:val="20"/>
              </w:rPr>
              <w:t>A.G. of British Columbia</w:t>
            </w:r>
          </w:p>
          <w:p w:rsidR="002C671E" w:rsidRPr="00A935AA" w:rsidRDefault="002C671E" w:rsidP="002C671E">
            <w:pPr>
              <w:tabs>
                <w:tab w:val="left" w:pos="-1440"/>
                <w:tab w:val="left" w:pos="-720"/>
              </w:tabs>
              <w:rPr>
                <w:sz w:val="20"/>
                <w:szCs w:val="20"/>
              </w:rPr>
            </w:pPr>
          </w:p>
          <w:p w:rsidR="002C671E" w:rsidRPr="00A935AA" w:rsidRDefault="002C671E" w:rsidP="002C671E">
            <w:pPr>
              <w:rPr>
                <w:sz w:val="20"/>
                <w:szCs w:val="20"/>
              </w:rPr>
            </w:pPr>
            <w:r w:rsidRPr="00A935AA">
              <w:rPr>
                <w:sz w:val="20"/>
                <w:szCs w:val="20"/>
              </w:rPr>
              <w:t>FILING DATE: 2</w:t>
            </w:r>
            <w:r>
              <w:rPr>
                <w:sz w:val="20"/>
                <w:szCs w:val="20"/>
              </w:rPr>
              <w:t>6</w:t>
            </w:r>
            <w:r w:rsidRPr="00A935AA">
              <w:rPr>
                <w:sz w:val="20"/>
                <w:szCs w:val="20"/>
              </w:rPr>
              <w:t>.0</w:t>
            </w:r>
            <w:r>
              <w:rPr>
                <w:sz w:val="20"/>
                <w:szCs w:val="20"/>
              </w:rPr>
              <w:t>6</w:t>
            </w:r>
            <w:r w:rsidRPr="00A935AA">
              <w:rPr>
                <w:sz w:val="20"/>
                <w:szCs w:val="20"/>
              </w:rPr>
              <w:t>.201</w:t>
            </w:r>
            <w:r>
              <w:rPr>
                <w:sz w:val="20"/>
                <w:szCs w:val="20"/>
              </w:rPr>
              <w:t>5</w:t>
            </w:r>
            <w:r w:rsidR="00310DA4">
              <w:rPr>
                <w:sz w:val="20"/>
                <w:szCs w:val="20"/>
                <w:lang w:val="fr-CA"/>
              </w:rPr>
              <w:pict>
                <v:rect id="_x0000_i1036" style="width:108pt;height:1pt" o:hrpct="0" o:hralign="center" o:hrstd="t" o:hrnoshade="t" o:hr="t" fillcolor="black [3213]" stroked="f"/>
              </w:pict>
            </w:r>
          </w:p>
        </w:tc>
        <w:tc>
          <w:tcPr>
            <w:tcW w:w="1181" w:type="dxa"/>
            <w:shd w:val="clear" w:color="auto" w:fill="auto"/>
          </w:tcPr>
          <w:p w:rsidR="002C671E" w:rsidRDefault="002C671E" w:rsidP="00242AEE">
            <w:pPr>
              <w:jc w:val="center"/>
              <w:rPr>
                <w:sz w:val="20"/>
                <w:szCs w:val="20"/>
              </w:rPr>
            </w:pPr>
          </w:p>
          <w:p w:rsidR="002C671E" w:rsidRDefault="002C671E" w:rsidP="00242AEE">
            <w:pPr>
              <w:jc w:val="center"/>
              <w:rPr>
                <w:sz w:val="20"/>
                <w:szCs w:val="20"/>
              </w:rPr>
            </w:pPr>
          </w:p>
          <w:p w:rsidR="002C671E" w:rsidRDefault="002C671E" w:rsidP="00242AEE">
            <w:pPr>
              <w:jc w:val="center"/>
              <w:rPr>
                <w:sz w:val="20"/>
                <w:szCs w:val="20"/>
              </w:rPr>
            </w:pPr>
          </w:p>
          <w:p w:rsidR="002C671E" w:rsidRDefault="002C671E" w:rsidP="00242AEE">
            <w:pPr>
              <w:jc w:val="center"/>
              <w:rPr>
                <w:sz w:val="20"/>
                <w:szCs w:val="20"/>
              </w:rPr>
            </w:pPr>
          </w:p>
          <w:p w:rsidR="002C671E" w:rsidRDefault="002C671E" w:rsidP="00242AEE">
            <w:pPr>
              <w:jc w:val="center"/>
              <w:rPr>
                <w:sz w:val="20"/>
                <w:szCs w:val="20"/>
              </w:rPr>
            </w:pPr>
          </w:p>
          <w:p w:rsidR="002C671E" w:rsidRDefault="002C671E" w:rsidP="00242AEE">
            <w:pPr>
              <w:jc w:val="center"/>
              <w:rPr>
                <w:sz w:val="20"/>
                <w:szCs w:val="20"/>
              </w:rPr>
            </w:pPr>
          </w:p>
          <w:p w:rsidR="002C671E" w:rsidRDefault="002C671E" w:rsidP="00242AEE">
            <w:pPr>
              <w:jc w:val="center"/>
              <w:rPr>
                <w:sz w:val="20"/>
                <w:szCs w:val="20"/>
              </w:rPr>
            </w:pPr>
          </w:p>
          <w:p w:rsidR="002C671E" w:rsidRDefault="002C671E" w:rsidP="00242AEE">
            <w:pPr>
              <w:jc w:val="center"/>
              <w:rPr>
                <w:sz w:val="20"/>
                <w:szCs w:val="20"/>
              </w:rPr>
            </w:pPr>
          </w:p>
          <w:p w:rsidR="002C671E" w:rsidRDefault="002C671E" w:rsidP="00242AEE">
            <w:pPr>
              <w:jc w:val="center"/>
              <w:rPr>
                <w:sz w:val="20"/>
                <w:szCs w:val="20"/>
              </w:rPr>
            </w:pPr>
          </w:p>
          <w:p w:rsidR="002C671E" w:rsidRDefault="002C671E" w:rsidP="00242AEE">
            <w:pPr>
              <w:jc w:val="center"/>
              <w:rPr>
                <w:sz w:val="20"/>
                <w:szCs w:val="20"/>
              </w:rPr>
            </w:pPr>
          </w:p>
          <w:p w:rsidR="002C671E" w:rsidRDefault="002C671E" w:rsidP="00242AEE">
            <w:pPr>
              <w:jc w:val="center"/>
              <w:rPr>
                <w:sz w:val="20"/>
                <w:szCs w:val="20"/>
              </w:rPr>
            </w:pPr>
          </w:p>
          <w:p w:rsidR="002C671E" w:rsidRDefault="002C671E" w:rsidP="00242AEE">
            <w:pPr>
              <w:jc w:val="center"/>
              <w:rPr>
                <w:sz w:val="20"/>
                <w:szCs w:val="20"/>
              </w:rPr>
            </w:pPr>
          </w:p>
          <w:p w:rsidR="00300BFB" w:rsidRDefault="00300BFB" w:rsidP="00242AEE">
            <w:pPr>
              <w:jc w:val="center"/>
              <w:rPr>
                <w:sz w:val="20"/>
                <w:szCs w:val="20"/>
              </w:rPr>
            </w:pPr>
          </w:p>
          <w:p w:rsidR="00300BFB" w:rsidRDefault="00300BFB" w:rsidP="00242AEE">
            <w:pPr>
              <w:jc w:val="center"/>
              <w:rPr>
                <w:sz w:val="20"/>
                <w:szCs w:val="20"/>
              </w:rPr>
            </w:pPr>
          </w:p>
          <w:p w:rsidR="00300BFB" w:rsidRDefault="00300BFB" w:rsidP="00242AEE">
            <w:pPr>
              <w:jc w:val="center"/>
              <w:rPr>
                <w:sz w:val="20"/>
                <w:szCs w:val="20"/>
              </w:rPr>
            </w:pPr>
          </w:p>
          <w:p w:rsidR="002C671E" w:rsidRPr="00A935AA" w:rsidRDefault="002C671E" w:rsidP="00242AEE">
            <w:pPr>
              <w:jc w:val="center"/>
              <w:rPr>
                <w:sz w:val="20"/>
                <w:szCs w:val="20"/>
              </w:rPr>
            </w:pPr>
          </w:p>
        </w:tc>
        <w:tc>
          <w:tcPr>
            <w:tcW w:w="4320" w:type="dxa"/>
            <w:shd w:val="clear" w:color="auto" w:fill="auto"/>
          </w:tcPr>
          <w:p w:rsidR="002C671E" w:rsidRPr="00CE4499" w:rsidRDefault="00E82253" w:rsidP="002C671E">
            <w:pPr>
              <w:rPr>
                <w:b/>
                <w:sz w:val="20"/>
                <w:szCs w:val="20"/>
                <w:lang w:val="fr-CA"/>
              </w:rPr>
            </w:pPr>
            <w:r w:rsidRPr="00CE4499">
              <w:rPr>
                <w:b/>
                <w:sz w:val="20"/>
                <w:szCs w:val="20"/>
                <w:lang w:val="fr-CA"/>
              </w:rPr>
              <w:t>Robbie Richard Erasmo</w:t>
            </w:r>
          </w:p>
          <w:p w:rsidR="002C671E" w:rsidRPr="00CE4499" w:rsidRDefault="002C671E" w:rsidP="002C671E">
            <w:pPr>
              <w:tabs>
                <w:tab w:val="left" w:pos="-1440"/>
                <w:tab w:val="left" w:pos="-720"/>
              </w:tabs>
              <w:rPr>
                <w:sz w:val="20"/>
                <w:szCs w:val="20"/>
                <w:lang w:val="fr-CA"/>
              </w:rPr>
            </w:pPr>
            <w:r w:rsidRPr="00CE4499">
              <w:rPr>
                <w:sz w:val="20"/>
                <w:szCs w:val="20"/>
                <w:lang w:val="fr-CA"/>
              </w:rPr>
              <w:tab/>
            </w:r>
            <w:r w:rsidR="00300BFB" w:rsidRPr="00CE4499">
              <w:rPr>
                <w:sz w:val="20"/>
                <w:szCs w:val="20"/>
                <w:lang w:val="fr-CA"/>
              </w:rPr>
              <w:t>Leonard J.W. Tailleur</w:t>
            </w:r>
          </w:p>
          <w:p w:rsidR="002C671E" w:rsidRPr="00CE4499" w:rsidRDefault="002C671E" w:rsidP="002C671E">
            <w:pPr>
              <w:tabs>
                <w:tab w:val="left" w:pos="-1440"/>
                <w:tab w:val="left" w:pos="-720"/>
              </w:tabs>
              <w:rPr>
                <w:sz w:val="20"/>
                <w:szCs w:val="20"/>
                <w:lang w:val="fr-CA"/>
              </w:rPr>
            </w:pPr>
          </w:p>
          <w:p w:rsidR="002C671E" w:rsidRPr="00A935AA" w:rsidRDefault="002C671E" w:rsidP="002C671E">
            <w:pPr>
              <w:tabs>
                <w:tab w:val="left" w:pos="-1440"/>
                <w:tab w:val="left" w:pos="-720"/>
              </w:tabs>
              <w:rPr>
                <w:sz w:val="20"/>
                <w:szCs w:val="20"/>
              </w:rPr>
            </w:pPr>
            <w:r w:rsidRPr="00CE4499">
              <w:rPr>
                <w:sz w:val="20"/>
                <w:szCs w:val="20"/>
                <w:lang w:val="fr-CA"/>
              </w:rPr>
              <w:tab/>
            </w:r>
            <w:r w:rsidRPr="00A935AA">
              <w:rPr>
                <w:sz w:val="20"/>
                <w:szCs w:val="20"/>
              </w:rPr>
              <w:t>v. (3</w:t>
            </w:r>
            <w:r w:rsidR="00300BFB">
              <w:rPr>
                <w:sz w:val="20"/>
                <w:szCs w:val="20"/>
              </w:rPr>
              <w:t>6</w:t>
            </w:r>
            <w:r>
              <w:rPr>
                <w:sz w:val="20"/>
                <w:szCs w:val="20"/>
              </w:rPr>
              <w:t>5</w:t>
            </w:r>
            <w:r w:rsidR="00300BFB">
              <w:rPr>
                <w:sz w:val="20"/>
                <w:szCs w:val="20"/>
              </w:rPr>
              <w:t>10</w:t>
            </w:r>
            <w:r w:rsidRPr="00A935AA">
              <w:rPr>
                <w:sz w:val="20"/>
                <w:szCs w:val="20"/>
              </w:rPr>
              <w:t>)</w:t>
            </w:r>
          </w:p>
          <w:p w:rsidR="002C671E" w:rsidRPr="00A935AA" w:rsidRDefault="002C671E" w:rsidP="002C671E">
            <w:pPr>
              <w:tabs>
                <w:tab w:val="left" w:pos="-1440"/>
                <w:tab w:val="left" w:pos="-720"/>
              </w:tabs>
              <w:rPr>
                <w:sz w:val="20"/>
                <w:szCs w:val="20"/>
              </w:rPr>
            </w:pPr>
          </w:p>
          <w:p w:rsidR="002C671E" w:rsidRPr="00A935AA" w:rsidRDefault="00E82253" w:rsidP="002C671E">
            <w:pPr>
              <w:tabs>
                <w:tab w:val="left" w:pos="-1440"/>
                <w:tab w:val="left" w:pos="-720"/>
              </w:tabs>
              <w:rPr>
                <w:b/>
                <w:sz w:val="20"/>
                <w:szCs w:val="20"/>
              </w:rPr>
            </w:pPr>
            <w:r>
              <w:rPr>
                <w:b/>
                <w:sz w:val="20"/>
                <w:szCs w:val="20"/>
              </w:rPr>
              <w:t xml:space="preserve">Attorney General of Canada </w:t>
            </w:r>
            <w:r w:rsidR="002C671E" w:rsidRPr="00A935AA">
              <w:rPr>
                <w:b/>
                <w:sz w:val="20"/>
                <w:szCs w:val="20"/>
              </w:rPr>
              <w:t>(</w:t>
            </w:r>
            <w:r>
              <w:rPr>
                <w:b/>
                <w:sz w:val="20"/>
                <w:szCs w:val="20"/>
              </w:rPr>
              <w:t>F.C</w:t>
            </w:r>
            <w:r w:rsidR="002C671E" w:rsidRPr="00A935AA">
              <w:rPr>
                <w:b/>
                <w:sz w:val="20"/>
                <w:szCs w:val="20"/>
              </w:rPr>
              <w:t>.)</w:t>
            </w:r>
          </w:p>
          <w:p w:rsidR="002C671E" w:rsidRPr="00A935AA" w:rsidRDefault="002C671E" w:rsidP="002C671E">
            <w:pPr>
              <w:tabs>
                <w:tab w:val="left" w:pos="-1440"/>
                <w:tab w:val="left" w:pos="-720"/>
              </w:tabs>
              <w:rPr>
                <w:sz w:val="20"/>
                <w:szCs w:val="20"/>
              </w:rPr>
            </w:pPr>
            <w:r w:rsidRPr="00A935AA">
              <w:rPr>
                <w:sz w:val="20"/>
                <w:szCs w:val="20"/>
              </w:rPr>
              <w:tab/>
            </w:r>
            <w:r w:rsidR="00300BFB">
              <w:rPr>
                <w:sz w:val="20"/>
                <w:szCs w:val="20"/>
              </w:rPr>
              <w:t>William F. Pentney</w:t>
            </w:r>
          </w:p>
          <w:p w:rsidR="002C671E" w:rsidRPr="00A935AA" w:rsidRDefault="002C671E" w:rsidP="002C671E">
            <w:pPr>
              <w:tabs>
                <w:tab w:val="left" w:pos="-1440"/>
                <w:tab w:val="left" w:pos="-720"/>
              </w:tabs>
              <w:rPr>
                <w:sz w:val="20"/>
                <w:szCs w:val="20"/>
              </w:rPr>
            </w:pPr>
            <w:r w:rsidRPr="00A935AA">
              <w:rPr>
                <w:sz w:val="20"/>
                <w:szCs w:val="20"/>
              </w:rPr>
              <w:tab/>
            </w:r>
            <w:r w:rsidR="00300BFB">
              <w:rPr>
                <w:sz w:val="20"/>
                <w:szCs w:val="20"/>
              </w:rPr>
              <w:t>A.G. of Canada</w:t>
            </w:r>
          </w:p>
          <w:p w:rsidR="002C671E" w:rsidRPr="00A935AA" w:rsidRDefault="002C671E" w:rsidP="002C671E">
            <w:pPr>
              <w:tabs>
                <w:tab w:val="left" w:pos="-1440"/>
                <w:tab w:val="left" w:pos="-720"/>
              </w:tabs>
              <w:rPr>
                <w:sz w:val="20"/>
                <w:szCs w:val="20"/>
              </w:rPr>
            </w:pPr>
          </w:p>
          <w:p w:rsidR="002C671E" w:rsidRPr="00A935AA" w:rsidRDefault="002C671E" w:rsidP="00300BFB">
            <w:pPr>
              <w:rPr>
                <w:sz w:val="20"/>
                <w:szCs w:val="20"/>
              </w:rPr>
            </w:pPr>
            <w:r w:rsidRPr="00A935AA">
              <w:rPr>
                <w:sz w:val="20"/>
                <w:szCs w:val="20"/>
              </w:rPr>
              <w:t xml:space="preserve">FILING DATE: </w:t>
            </w:r>
            <w:r w:rsidR="00300BFB">
              <w:rPr>
                <w:sz w:val="20"/>
                <w:szCs w:val="20"/>
              </w:rPr>
              <w:t>09</w:t>
            </w:r>
            <w:r w:rsidRPr="00A935AA">
              <w:rPr>
                <w:sz w:val="20"/>
                <w:szCs w:val="20"/>
              </w:rPr>
              <w:t>.0</w:t>
            </w:r>
            <w:r w:rsidR="00300BFB">
              <w:rPr>
                <w:sz w:val="20"/>
                <w:szCs w:val="20"/>
              </w:rPr>
              <w:t>7</w:t>
            </w:r>
            <w:r w:rsidRPr="00A935AA">
              <w:rPr>
                <w:sz w:val="20"/>
                <w:szCs w:val="20"/>
              </w:rPr>
              <w:t>.201</w:t>
            </w:r>
            <w:r>
              <w:rPr>
                <w:sz w:val="20"/>
                <w:szCs w:val="20"/>
              </w:rPr>
              <w:t>5</w:t>
            </w:r>
            <w:r w:rsidR="00310DA4">
              <w:rPr>
                <w:sz w:val="20"/>
                <w:szCs w:val="20"/>
                <w:lang w:val="fr-CA"/>
              </w:rPr>
              <w:pict>
                <v:rect id="_x0000_i1037" style="width:108pt;height:1pt" o:hrpct="0" o:hralign="center" o:hrstd="t" o:hrnoshade="t" o:hr="t" fillcolor="black [3213]" stroked="f"/>
              </w:pict>
            </w:r>
          </w:p>
        </w:tc>
      </w:tr>
    </w:tbl>
    <w:p w:rsidR="006C3F47" w:rsidRDefault="006C3F47" w:rsidP="0095096B">
      <w:pPr>
        <w:tabs>
          <w:tab w:val="right" w:pos="9360"/>
        </w:tabs>
        <w:rPr>
          <w:sz w:val="20"/>
          <w:szCs w:val="20"/>
        </w:rPr>
      </w:pPr>
    </w:p>
    <w:p w:rsidR="00D94028" w:rsidRDefault="00D94028"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300BFB">
          <w:headerReference w:type="default" r:id="rId16"/>
          <w:footerReference w:type="default" r:id="rId17"/>
          <w:headerReference w:type="first" r:id="rId18"/>
          <w:footerReference w:type="first" r:id="rId19"/>
          <w:pgSz w:w="12240" w:h="15840"/>
          <w:pgMar w:top="720" w:right="965" w:bottom="1080" w:left="1656" w:header="706" w:footer="706" w:gutter="0"/>
          <w:pgNumType w:start="1174"/>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310DA4"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CB3520" w:rsidRPr="00C50A5C" w:rsidRDefault="00CB3520" w:rsidP="00CB3520">
      <w:pPr>
        <w:widowControl w:val="0"/>
        <w:rPr>
          <w:b/>
          <w:sz w:val="20"/>
          <w:szCs w:val="20"/>
        </w:rPr>
      </w:pPr>
      <w:r>
        <w:rPr>
          <w:b/>
          <w:sz w:val="20"/>
          <w:szCs w:val="20"/>
        </w:rPr>
        <w:t>JU</w:t>
      </w:r>
      <w:r w:rsidR="00660C7A">
        <w:rPr>
          <w:b/>
          <w:sz w:val="20"/>
          <w:szCs w:val="20"/>
        </w:rPr>
        <w:t>L</w:t>
      </w:r>
      <w:r>
        <w:rPr>
          <w:b/>
          <w:sz w:val="20"/>
          <w:szCs w:val="20"/>
        </w:rPr>
        <w:t>Y 2</w:t>
      </w:r>
      <w:r w:rsidR="00660C7A">
        <w:rPr>
          <w:b/>
          <w:sz w:val="20"/>
          <w:szCs w:val="20"/>
        </w:rPr>
        <w:t>0</w:t>
      </w:r>
      <w:r w:rsidRPr="00C50A5C">
        <w:rPr>
          <w:b/>
          <w:sz w:val="20"/>
          <w:szCs w:val="20"/>
        </w:rPr>
        <w:t>, 201</w:t>
      </w:r>
      <w:r w:rsidR="00020DC3">
        <w:rPr>
          <w:b/>
          <w:sz w:val="20"/>
          <w:szCs w:val="20"/>
        </w:rPr>
        <w:t>5</w:t>
      </w:r>
      <w:r w:rsidRPr="00C50A5C">
        <w:rPr>
          <w:b/>
          <w:sz w:val="20"/>
          <w:szCs w:val="20"/>
        </w:rPr>
        <w:t xml:space="preserve"> / LE </w:t>
      </w:r>
      <w:r>
        <w:rPr>
          <w:b/>
          <w:sz w:val="20"/>
          <w:szCs w:val="20"/>
        </w:rPr>
        <w:t>2</w:t>
      </w:r>
      <w:r w:rsidR="00660C7A">
        <w:rPr>
          <w:b/>
          <w:sz w:val="20"/>
          <w:szCs w:val="20"/>
        </w:rPr>
        <w:t>0</w:t>
      </w:r>
      <w:r>
        <w:rPr>
          <w:b/>
          <w:sz w:val="20"/>
          <w:szCs w:val="20"/>
        </w:rPr>
        <w:t xml:space="preserve"> J</w:t>
      </w:r>
      <w:r w:rsidR="00660C7A">
        <w:rPr>
          <w:b/>
          <w:sz w:val="20"/>
          <w:szCs w:val="20"/>
        </w:rPr>
        <w:t>U</w:t>
      </w:r>
      <w:r>
        <w:rPr>
          <w:b/>
          <w:sz w:val="20"/>
          <w:szCs w:val="20"/>
        </w:rPr>
        <w:t>I</w:t>
      </w:r>
      <w:r w:rsidR="00660C7A">
        <w:rPr>
          <w:b/>
          <w:sz w:val="20"/>
          <w:szCs w:val="20"/>
        </w:rPr>
        <w:t>LL</w:t>
      </w:r>
      <w:r>
        <w:rPr>
          <w:b/>
          <w:sz w:val="20"/>
          <w:szCs w:val="20"/>
        </w:rPr>
        <w:t>E</w:t>
      </w:r>
      <w:r w:rsidR="00660C7A">
        <w:rPr>
          <w:b/>
          <w:sz w:val="20"/>
          <w:szCs w:val="20"/>
        </w:rPr>
        <w:t>T</w:t>
      </w:r>
      <w:r w:rsidRPr="00C50A5C">
        <w:rPr>
          <w:b/>
          <w:sz w:val="20"/>
          <w:szCs w:val="20"/>
        </w:rPr>
        <w:t xml:space="preserve"> 201</w:t>
      </w:r>
      <w:r w:rsidR="00020DC3">
        <w:rPr>
          <w:b/>
          <w:sz w:val="20"/>
          <w:szCs w:val="20"/>
        </w:rPr>
        <w:t>5</w:t>
      </w:r>
    </w:p>
    <w:p w:rsidR="00CB3520" w:rsidRPr="00C50A5C" w:rsidRDefault="00CB3520" w:rsidP="00CB3520">
      <w:pPr>
        <w:widowControl w:val="0"/>
        <w:rPr>
          <w:b/>
          <w:sz w:val="20"/>
          <w:szCs w:val="20"/>
        </w:rPr>
      </w:pPr>
    </w:p>
    <w:p w:rsidR="00CB3520" w:rsidRPr="00C50A5C" w:rsidRDefault="00CB3520" w:rsidP="00CB3520">
      <w:pPr>
        <w:widowControl w:val="0"/>
        <w:jc w:val="center"/>
        <w:rPr>
          <w:b/>
          <w:sz w:val="20"/>
          <w:szCs w:val="20"/>
        </w:rPr>
      </w:pPr>
      <w:r w:rsidRPr="00C50A5C">
        <w:rPr>
          <w:b/>
          <w:sz w:val="20"/>
          <w:szCs w:val="20"/>
        </w:rPr>
        <w:t xml:space="preserve">CORAM:  Chief Justice McLachlin and </w:t>
      </w:r>
      <w:r w:rsidR="00FA3373">
        <w:rPr>
          <w:b/>
          <w:sz w:val="20"/>
          <w:szCs w:val="20"/>
        </w:rPr>
        <w:t>Wagner</w:t>
      </w:r>
      <w:r w:rsidRPr="00C50A5C">
        <w:rPr>
          <w:b/>
          <w:sz w:val="20"/>
          <w:szCs w:val="20"/>
        </w:rPr>
        <w:t xml:space="preserve"> and </w:t>
      </w:r>
      <w:r w:rsidR="00FA3373">
        <w:rPr>
          <w:b/>
          <w:sz w:val="20"/>
          <w:szCs w:val="20"/>
        </w:rPr>
        <w:t xml:space="preserve">Gascon </w:t>
      </w:r>
      <w:r w:rsidRPr="00C50A5C">
        <w:rPr>
          <w:b/>
          <w:sz w:val="20"/>
          <w:szCs w:val="20"/>
        </w:rPr>
        <w:t>JJ.</w:t>
      </w:r>
    </w:p>
    <w:p w:rsidR="00CB3520" w:rsidRPr="00C50A5C" w:rsidRDefault="00CB3520" w:rsidP="00CB3520">
      <w:pPr>
        <w:widowControl w:val="0"/>
        <w:jc w:val="center"/>
        <w:rPr>
          <w:sz w:val="20"/>
          <w:szCs w:val="20"/>
          <w:lang w:val="fr-CA"/>
        </w:rPr>
      </w:pPr>
      <w:r w:rsidRPr="00C50A5C">
        <w:rPr>
          <w:b/>
          <w:sz w:val="20"/>
          <w:szCs w:val="20"/>
          <w:lang w:val="fr-CA"/>
        </w:rPr>
        <w:t xml:space="preserve">La juge en chef McLachlin et les juges </w:t>
      </w:r>
      <w:r w:rsidR="00FA3373">
        <w:rPr>
          <w:b/>
          <w:sz w:val="20"/>
          <w:szCs w:val="20"/>
          <w:lang w:val="fr-CA"/>
        </w:rPr>
        <w:t>Wagner</w:t>
      </w:r>
      <w:r w:rsidRPr="00C50A5C">
        <w:rPr>
          <w:b/>
          <w:sz w:val="20"/>
          <w:szCs w:val="20"/>
          <w:lang w:val="fr-CA"/>
        </w:rPr>
        <w:t xml:space="preserve"> et </w:t>
      </w:r>
      <w:r w:rsidR="00FA3373">
        <w:rPr>
          <w:b/>
          <w:sz w:val="20"/>
          <w:szCs w:val="20"/>
          <w:lang w:val="fr-CA"/>
        </w:rPr>
        <w:t>Gascon</w:t>
      </w:r>
    </w:p>
    <w:p w:rsidR="00CB3520" w:rsidRPr="00C50A5C" w:rsidRDefault="00CB3520" w:rsidP="00CB3520">
      <w:pPr>
        <w:widowControl w:val="0"/>
        <w:rPr>
          <w:sz w:val="20"/>
          <w:szCs w:val="20"/>
          <w:lang w:val="fr-CA"/>
        </w:rPr>
      </w:pPr>
    </w:p>
    <w:p w:rsidR="00CB3520" w:rsidRPr="00C50A5C" w:rsidRDefault="00661691" w:rsidP="00CB3520">
      <w:pPr>
        <w:pStyle w:val="ListParagraph"/>
        <w:widowControl w:val="0"/>
        <w:numPr>
          <w:ilvl w:val="0"/>
          <w:numId w:val="1"/>
        </w:numPr>
        <w:ind w:hanging="720"/>
        <w:jc w:val="both"/>
        <w:rPr>
          <w:sz w:val="20"/>
          <w:szCs w:val="20"/>
        </w:rPr>
      </w:pPr>
      <w:r w:rsidRPr="00661691">
        <w:rPr>
          <w:i/>
          <w:sz w:val="20"/>
          <w:szCs w:val="20"/>
        </w:rPr>
        <w:t>D.J.S. v. Her Majesty the Queen</w:t>
      </w:r>
      <w:r w:rsidRPr="00661691">
        <w:rPr>
          <w:sz w:val="20"/>
          <w:szCs w:val="20"/>
        </w:rPr>
        <w:t xml:space="preserve"> (B.C.) (Crim.) (By Leave)</w:t>
      </w:r>
      <w:r w:rsidRPr="00C50A5C">
        <w:rPr>
          <w:sz w:val="20"/>
          <w:szCs w:val="20"/>
        </w:rPr>
        <w:t xml:space="preserve"> </w:t>
      </w:r>
      <w:r w:rsidR="00CB3520" w:rsidRPr="00C50A5C">
        <w:rPr>
          <w:sz w:val="20"/>
          <w:szCs w:val="20"/>
        </w:rPr>
        <w:t>(3</w:t>
      </w:r>
      <w:r w:rsidR="00CB3520">
        <w:rPr>
          <w:sz w:val="20"/>
          <w:szCs w:val="20"/>
        </w:rPr>
        <w:t>6</w:t>
      </w:r>
      <w:r>
        <w:rPr>
          <w:sz w:val="20"/>
          <w:szCs w:val="20"/>
        </w:rPr>
        <w:t>444</w:t>
      </w:r>
      <w:r w:rsidR="00CB3520" w:rsidRPr="00C50A5C">
        <w:rPr>
          <w:sz w:val="20"/>
          <w:szCs w:val="20"/>
        </w:rPr>
        <w:t>)</w:t>
      </w:r>
    </w:p>
    <w:p w:rsidR="00CB3520" w:rsidRPr="00C50A5C" w:rsidRDefault="00CB3520" w:rsidP="00CB3520">
      <w:pPr>
        <w:widowControl w:val="0"/>
        <w:jc w:val="both"/>
        <w:rPr>
          <w:sz w:val="20"/>
          <w:szCs w:val="20"/>
        </w:rPr>
      </w:pPr>
    </w:p>
    <w:p w:rsidR="00CB3520" w:rsidRPr="00C612D0" w:rsidRDefault="00661691" w:rsidP="00CB3520">
      <w:pPr>
        <w:pStyle w:val="ListParagraph"/>
        <w:widowControl w:val="0"/>
        <w:numPr>
          <w:ilvl w:val="0"/>
          <w:numId w:val="1"/>
        </w:numPr>
        <w:ind w:hanging="720"/>
        <w:jc w:val="both"/>
        <w:rPr>
          <w:sz w:val="20"/>
          <w:szCs w:val="20"/>
        </w:rPr>
      </w:pPr>
      <w:r w:rsidRPr="00661691">
        <w:rPr>
          <w:i/>
          <w:sz w:val="20"/>
          <w:szCs w:val="20"/>
        </w:rPr>
        <w:t>Lynne M. Quarmby et al. v. Attorney General of Canada et al.</w:t>
      </w:r>
      <w:r w:rsidRPr="00661691">
        <w:rPr>
          <w:sz w:val="20"/>
          <w:szCs w:val="20"/>
        </w:rPr>
        <w:t xml:space="preserve"> (F.C.) (Civil) (By Leave)</w:t>
      </w:r>
      <w:r w:rsidRPr="00C612D0">
        <w:rPr>
          <w:sz w:val="20"/>
          <w:szCs w:val="20"/>
        </w:rPr>
        <w:t xml:space="preserve"> </w:t>
      </w:r>
      <w:r w:rsidR="00CB3520" w:rsidRPr="00C612D0">
        <w:rPr>
          <w:sz w:val="20"/>
          <w:szCs w:val="20"/>
        </w:rPr>
        <w:t>(3</w:t>
      </w:r>
      <w:r w:rsidR="00CB3520">
        <w:rPr>
          <w:sz w:val="20"/>
          <w:szCs w:val="20"/>
        </w:rPr>
        <w:t>6</w:t>
      </w:r>
      <w:r>
        <w:rPr>
          <w:sz w:val="20"/>
          <w:szCs w:val="20"/>
        </w:rPr>
        <w:t>353</w:t>
      </w:r>
      <w:r w:rsidR="00CB3520" w:rsidRPr="00C612D0">
        <w:rPr>
          <w:sz w:val="20"/>
          <w:szCs w:val="20"/>
        </w:rPr>
        <w:t>)</w:t>
      </w:r>
    </w:p>
    <w:p w:rsidR="00CB3520" w:rsidRPr="00C612D0" w:rsidRDefault="00CB3520" w:rsidP="00CB3520">
      <w:pPr>
        <w:widowControl w:val="0"/>
        <w:jc w:val="both"/>
        <w:rPr>
          <w:sz w:val="20"/>
          <w:szCs w:val="20"/>
        </w:rPr>
      </w:pPr>
    </w:p>
    <w:p w:rsidR="00CB3520" w:rsidRPr="00C50A5C" w:rsidRDefault="00661691" w:rsidP="00CB3520">
      <w:pPr>
        <w:pStyle w:val="ListParagraph"/>
        <w:widowControl w:val="0"/>
        <w:numPr>
          <w:ilvl w:val="0"/>
          <w:numId w:val="1"/>
        </w:numPr>
        <w:ind w:hanging="720"/>
        <w:jc w:val="both"/>
        <w:rPr>
          <w:sz w:val="20"/>
          <w:szCs w:val="20"/>
        </w:rPr>
      </w:pPr>
      <w:r w:rsidRPr="00661691">
        <w:rPr>
          <w:i/>
          <w:sz w:val="20"/>
          <w:szCs w:val="20"/>
        </w:rPr>
        <w:t>Robert Semenoff, Executor of the Estate of Bill Semenoff, Deceased v. Lewis J. Bridgeman et al.</w:t>
      </w:r>
      <w:r w:rsidRPr="00661691">
        <w:rPr>
          <w:sz w:val="20"/>
          <w:szCs w:val="20"/>
        </w:rPr>
        <w:t xml:space="preserve"> (B.C.) </w:t>
      </w:r>
      <w:r w:rsidRPr="00661691">
        <w:rPr>
          <w:sz w:val="20"/>
          <w:szCs w:val="20"/>
          <w:lang w:val="fr-CA"/>
        </w:rPr>
        <w:t>(Civil) (By Leave)</w:t>
      </w:r>
      <w:r w:rsidRPr="00940CAD">
        <w:rPr>
          <w:sz w:val="20"/>
          <w:szCs w:val="20"/>
        </w:rPr>
        <w:t xml:space="preserve"> </w:t>
      </w:r>
      <w:r w:rsidR="00CB3520" w:rsidRPr="00940CAD">
        <w:rPr>
          <w:sz w:val="20"/>
          <w:szCs w:val="20"/>
        </w:rPr>
        <w:t>(3</w:t>
      </w:r>
      <w:r>
        <w:rPr>
          <w:sz w:val="20"/>
          <w:szCs w:val="20"/>
        </w:rPr>
        <w:t>6</w:t>
      </w:r>
      <w:r w:rsidR="00CB3520">
        <w:rPr>
          <w:sz w:val="20"/>
          <w:szCs w:val="20"/>
        </w:rPr>
        <w:t>4</w:t>
      </w:r>
      <w:r>
        <w:rPr>
          <w:sz w:val="20"/>
          <w:szCs w:val="20"/>
        </w:rPr>
        <w:t>61</w:t>
      </w:r>
      <w:r w:rsidR="00CB3520" w:rsidRPr="00940CAD">
        <w:rPr>
          <w:sz w:val="20"/>
          <w:szCs w:val="20"/>
        </w:rPr>
        <w:t>)</w:t>
      </w:r>
    </w:p>
    <w:p w:rsidR="00CB3520" w:rsidRPr="00C50A5C" w:rsidRDefault="00CB3520" w:rsidP="00CB3520">
      <w:pPr>
        <w:widowControl w:val="0"/>
        <w:rPr>
          <w:sz w:val="20"/>
          <w:szCs w:val="20"/>
        </w:rPr>
      </w:pPr>
    </w:p>
    <w:p w:rsidR="00CB3520" w:rsidRPr="00661691" w:rsidRDefault="00661691" w:rsidP="00CB3520">
      <w:pPr>
        <w:pStyle w:val="ListParagraph"/>
        <w:widowControl w:val="0"/>
        <w:numPr>
          <w:ilvl w:val="0"/>
          <w:numId w:val="1"/>
        </w:numPr>
        <w:ind w:hanging="720"/>
        <w:jc w:val="both"/>
        <w:rPr>
          <w:sz w:val="20"/>
          <w:szCs w:val="20"/>
          <w:lang w:val="fr-CA"/>
        </w:rPr>
      </w:pPr>
      <w:r w:rsidRPr="00661691">
        <w:rPr>
          <w:i/>
          <w:sz w:val="20"/>
          <w:szCs w:val="20"/>
          <w:lang w:val="fr-CA"/>
        </w:rPr>
        <w:t>Steve Côté et autres c. Fédération des producteurs acéricoles du Québec et autre</w:t>
      </w:r>
      <w:r>
        <w:rPr>
          <w:sz w:val="20"/>
          <w:szCs w:val="20"/>
          <w:lang w:val="fr-CA"/>
        </w:rPr>
        <w:t xml:space="preserve"> </w:t>
      </w:r>
      <w:r w:rsidRPr="00661691">
        <w:rPr>
          <w:sz w:val="20"/>
          <w:szCs w:val="20"/>
          <w:lang w:val="fr-CA"/>
        </w:rPr>
        <w:t xml:space="preserve">(Qc) (Civile) (Autorisation) </w:t>
      </w:r>
      <w:r w:rsidR="00CB3520" w:rsidRPr="00661691">
        <w:rPr>
          <w:sz w:val="20"/>
          <w:szCs w:val="20"/>
          <w:lang w:val="fr-CA"/>
        </w:rPr>
        <w:t>(36</w:t>
      </w:r>
      <w:r w:rsidRPr="00661691">
        <w:rPr>
          <w:sz w:val="20"/>
          <w:szCs w:val="20"/>
          <w:lang w:val="fr-CA"/>
        </w:rPr>
        <w:t>367</w:t>
      </w:r>
      <w:r w:rsidR="00CB3520" w:rsidRPr="00661691">
        <w:rPr>
          <w:sz w:val="20"/>
          <w:szCs w:val="20"/>
          <w:lang w:val="fr-CA"/>
        </w:rPr>
        <w:t>)</w:t>
      </w:r>
    </w:p>
    <w:p w:rsidR="00CB3520" w:rsidRPr="00661691" w:rsidRDefault="00CB3520" w:rsidP="00CB3520">
      <w:pPr>
        <w:widowControl w:val="0"/>
        <w:jc w:val="both"/>
        <w:rPr>
          <w:sz w:val="20"/>
          <w:szCs w:val="20"/>
          <w:lang w:val="fr-CA"/>
        </w:rPr>
      </w:pPr>
    </w:p>
    <w:p w:rsidR="00CB3520" w:rsidRPr="00661691" w:rsidRDefault="00661691" w:rsidP="00CB3520">
      <w:pPr>
        <w:pStyle w:val="ListParagraph"/>
        <w:widowControl w:val="0"/>
        <w:numPr>
          <w:ilvl w:val="0"/>
          <w:numId w:val="1"/>
        </w:numPr>
        <w:ind w:hanging="720"/>
        <w:jc w:val="both"/>
        <w:rPr>
          <w:sz w:val="20"/>
          <w:szCs w:val="20"/>
        </w:rPr>
      </w:pPr>
      <w:r w:rsidRPr="00661691">
        <w:rPr>
          <w:i/>
          <w:sz w:val="20"/>
          <w:szCs w:val="20"/>
        </w:rPr>
        <w:t>Frederic Ntibarimungu v. Insurance Corporation of British Columbia</w:t>
      </w:r>
      <w:r w:rsidRPr="00661691">
        <w:rPr>
          <w:sz w:val="20"/>
          <w:szCs w:val="20"/>
        </w:rPr>
        <w:t xml:space="preserve"> (B.C.) (Civil) (By Leave) </w:t>
      </w:r>
      <w:r w:rsidR="00CB3520" w:rsidRPr="00661691">
        <w:rPr>
          <w:sz w:val="20"/>
          <w:szCs w:val="20"/>
        </w:rPr>
        <w:t>(36</w:t>
      </w:r>
      <w:r w:rsidRPr="00661691">
        <w:rPr>
          <w:sz w:val="20"/>
          <w:szCs w:val="20"/>
        </w:rPr>
        <w:t>42</w:t>
      </w:r>
      <w:r w:rsidR="00CB3520" w:rsidRPr="00661691">
        <w:rPr>
          <w:sz w:val="20"/>
          <w:szCs w:val="20"/>
        </w:rPr>
        <w:t>3)</w:t>
      </w:r>
    </w:p>
    <w:p w:rsidR="00CB3520" w:rsidRPr="00661691" w:rsidRDefault="00CB3520" w:rsidP="00CB3520">
      <w:pPr>
        <w:widowControl w:val="0"/>
        <w:rPr>
          <w:sz w:val="20"/>
          <w:szCs w:val="20"/>
        </w:rPr>
      </w:pPr>
    </w:p>
    <w:p w:rsidR="00CB3520" w:rsidRPr="00661691" w:rsidRDefault="00CB3520" w:rsidP="00CB3520">
      <w:pPr>
        <w:widowControl w:val="0"/>
        <w:rPr>
          <w:sz w:val="20"/>
          <w:szCs w:val="20"/>
        </w:rPr>
      </w:pPr>
    </w:p>
    <w:p w:rsidR="00CB3520" w:rsidRPr="00661691" w:rsidRDefault="00CB3520" w:rsidP="00CB3520">
      <w:pPr>
        <w:widowControl w:val="0"/>
        <w:jc w:val="center"/>
        <w:rPr>
          <w:b/>
          <w:sz w:val="20"/>
          <w:szCs w:val="20"/>
          <w:lang w:val="fr-CA"/>
        </w:rPr>
      </w:pPr>
      <w:r w:rsidRPr="00661691">
        <w:rPr>
          <w:b/>
          <w:sz w:val="20"/>
          <w:szCs w:val="20"/>
          <w:lang w:val="fr-CA"/>
        </w:rPr>
        <w:t xml:space="preserve">CORAM: </w:t>
      </w:r>
      <w:r w:rsidR="00FA3373" w:rsidRPr="00661691">
        <w:rPr>
          <w:b/>
          <w:sz w:val="20"/>
          <w:szCs w:val="20"/>
          <w:lang w:val="fr-CA"/>
        </w:rPr>
        <w:t>Abella</w:t>
      </w:r>
      <w:r w:rsidRPr="00661691">
        <w:rPr>
          <w:b/>
          <w:sz w:val="20"/>
          <w:szCs w:val="20"/>
          <w:lang w:val="fr-CA"/>
        </w:rPr>
        <w:t xml:space="preserve">, Karakatsanis and </w:t>
      </w:r>
      <w:r w:rsidR="00FA3373" w:rsidRPr="00661691">
        <w:rPr>
          <w:b/>
          <w:sz w:val="20"/>
          <w:szCs w:val="20"/>
          <w:lang w:val="fr-CA"/>
        </w:rPr>
        <w:t>Côté</w:t>
      </w:r>
      <w:r w:rsidRPr="00661691">
        <w:rPr>
          <w:b/>
          <w:sz w:val="20"/>
          <w:szCs w:val="20"/>
          <w:lang w:val="fr-CA"/>
        </w:rPr>
        <w:t xml:space="preserve"> JJ.</w:t>
      </w:r>
    </w:p>
    <w:p w:rsidR="00CB3520" w:rsidRPr="00C50A5C" w:rsidRDefault="00CB3520" w:rsidP="00CB3520">
      <w:pPr>
        <w:widowControl w:val="0"/>
        <w:jc w:val="center"/>
        <w:rPr>
          <w:b/>
          <w:sz w:val="20"/>
          <w:szCs w:val="20"/>
          <w:lang w:val="fr-CA"/>
        </w:rPr>
      </w:pPr>
      <w:r w:rsidRPr="00C50A5C">
        <w:rPr>
          <w:b/>
          <w:sz w:val="20"/>
          <w:szCs w:val="20"/>
          <w:lang w:val="fr-CA"/>
        </w:rPr>
        <w:t xml:space="preserve">Les juges </w:t>
      </w:r>
      <w:r w:rsidR="00FA3373">
        <w:rPr>
          <w:b/>
          <w:sz w:val="20"/>
          <w:szCs w:val="20"/>
          <w:lang w:val="fr-CA"/>
        </w:rPr>
        <w:t>Abella</w:t>
      </w:r>
      <w:r w:rsidRPr="00C50A5C">
        <w:rPr>
          <w:b/>
          <w:sz w:val="20"/>
          <w:szCs w:val="20"/>
          <w:lang w:val="fr-CA"/>
        </w:rPr>
        <w:t xml:space="preserve">, </w:t>
      </w:r>
      <w:r>
        <w:rPr>
          <w:b/>
          <w:sz w:val="20"/>
          <w:szCs w:val="20"/>
          <w:lang w:val="fr-CA"/>
        </w:rPr>
        <w:t>Karakatsanis</w:t>
      </w:r>
      <w:r w:rsidRPr="00C50A5C">
        <w:rPr>
          <w:b/>
          <w:sz w:val="20"/>
          <w:szCs w:val="20"/>
          <w:lang w:val="fr-CA"/>
        </w:rPr>
        <w:t xml:space="preserve"> et </w:t>
      </w:r>
      <w:r w:rsidR="00FA3373">
        <w:rPr>
          <w:b/>
          <w:sz w:val="20"/>
          <w:szCs w:val="20"/>
          <w:lang w:val="fr-CA"/>
        </w:rPr>
        <w:t>Côté</w:t>
      </w:r>
    </w:p>
    <w:p w:rsidR="00CB3520" w:rsidRPr="00C16CB3" w:rsidRDefault="00CB3520" w:rsidP="00CB3520">
      <w:pPr>
        <w:widowControl w:val="0"/>
        <w:jc w:val="both"/>
        <w:rPr>
          <w:sz w:val="20"/>
          <w:szCs w:val="20"/>
          <w:lang w:val="fr-CA"/>
        </w:rPr>
      </w:pPr>
    </w:p>
    <w:p w:rsidR="00CB3520" w:rsidRPr="00115C9E" w:rsidRDefault="00661691" w:rsidP="00CB3520">
      <w:pPr>
        <w:pStyle w:val="ListParagraph"/>
        <w:widowControl w:val="0"/>
        <w:numPr>
          <w:ilvl w:val="0"/>
          <w:numId w:val="1"/>
        </w:numPr>
        <w:ind w:hanging="720"/>
        <w:jc w:val="both"/>
        <w:rPr>
          <w:sz w:val="20"/>
          <w:szCs w:val="20"/>
          <w:lang w:val="fr-CA"/>
        </w:rPr>
      </w:pPr>
      <w:r w:rsidRPr="00661691">
        <w:rPr>
          <w:i/>
          <w:sz w:val="20"/>
          <w:szCs w:val="20"/>
          <w:lang w:val="fr-CA"/>
        </w:rPr>
        <w:t>Stéphane Marleau c. Sa Majesté la Reine</w:t>
      </w:r>
      <w:r w:rsidRPr="00661691">
        <w:rPr>
          <w:sz w:val="20"/>
          <w:szCs w:val="20"/>
          <w:lang w:val="fr-CA"/>
        </w:rPr>
        <w:t xml:space="preserve"> (Qc) (Crim.) (Autorisation)</w:t>
      </w:r>
      <w:r w:rsidRPr="00115C9E">
        <w:rPr>
          <w:sz w:val="20"/>
          <w:szCs w:val="20"/>
          <w:lang w:val="fr-CA"/>
        </w:rPr>
        <w:t xml:space="preserve"> </w:t>
      </w:r>
      <w:r w:rsidR="00CB3520" w:rsidRPr="00115C9E">
        <w:rPr>
          <w:sz w:val="20"/>
          <w:szCs w:val="20"/>
          <w:lang w:val="fr-CA"/>
        </w:rPr>
        <w:t>(3</w:t>
      </w:r>
      <w:r w:rsidR="00CB3520">
        <w:rPr>
          <w:sz w:val="20"/>
          <w:szCs w:val="20"/>
          <w:lang w:val="fr-CA"/>
        </w:rPr>
        <w:t>64</w:t>
      </w:r>
      <w:r>
        <w:rPr>
          <w:sz w:val="20"/>
          <w:szCs w:val="20"/>
          <w:lang w:val="fr-CA"/>
        </w:rPr>
        <w:t>36</w:t>
      </w:r>
      <w:r w:rsidR="00CB3520" w:rsidRPr="00115C9E">
        <w:rPr>
          <w:sz w:val="20"/>
          <w:szCs w:val="20"/>
          <w:lang w:val="fr-CA"/>
        </w:rPr>
        <w:t>)</w:t>
      </w:r>
    </w:p>
    <w:p w:rsidR="00CB3520" w:rsidRPr="00115C9E" w:rsidRDefault="00CB3520" w:rsidP="00CB3520">
      <w:pPr>
        <w:widowControl w:val="0"/>
        <w:jc w:val="both"/>
        <w:rPr>
          <w:sz w:val="20"/>
          <w:szCs w:val="20"/>
          <w:lang w:val="fr-CA"/>
        </w:rPr>
      </w:pPr>
    </w:p>
    <w:p w:rsidR="00CB3520" w:rsidRPr="009C5D38" w:rsidRDefault="00661691" w:rsidP="00CB3520">
      <w:pPr>
        <w:pStyle w:val="ListParagraph"/>
        <w:widowControl w:val="0"/>
        <w:numPr>
          <w:ilvl w:val="0"/>
          <w:numId w:val="1"/>
        </w:numPr>
        <w:ind w:hanging="720"/>
        <w:jc w:val="both"/>
        <w:rPr>
          <w:sz w:val="20"/>
          <w:szCs w:val="20"/>
        </w:rPr>
      </w:pPr>
      <w:r w:rsidRPr="00661691">
        <w:rPr>
          <w:i/>
          <w:sz w:val="20"/>
          <w:szCs w:val="20"/>
        </w:rPr>
        <w:t>Tong Sang Lai v. Minister of Public Safety and Emergency Preparedness</w:t>
      </w:r>
      <w:r w:rsidRPr="00661691">
        <w:rPr>
          <w:sz w:val="20"/>
          <w:szCs w:val="20"/>
        </w:rPr>
        <w:t xml:space="preserve"> (F.C.) (Civil) (By Leave)</w:t>
      </w:r>
      <w:r w:rsidRPr="009C5D38">
        <w:rPr>
          <w:sz w:val="20"/>
          <w:szCs w:val="20"/>
        </w:rPr>
        <w:t xml:space="preserve"> </w:t>
      </w:r>
      <w:r w:rsidR="00CB3520" w:rsidRPr="009C5D38">
        <w:rPr>
          <w:sz w:val="20"/>
          <w:szCs w:val="20"/>
        </w:rPr>
        <w:t>(363</w:t>
      </w:r>
      <w:r>
        <w:rPr>
          <w:sz w:val="20"/>
          <w:szCs w:val="20"/>
        </w:rPr>
        <w:t>61</w:t>
      </w:r>
      <w:r w:rsidR="00CB3520" w:rsidRPr="009C5D38">
        <w:rPr>
          <w:sz w:val="20"/>
          <w:szCs w:val="20"/>
        </w:rPr>
        <w:t>)</w:t>
      </w:r>
    </w:p>
    <w:p w:rsidR="00CB3520" w:rsidRPr="009C5D38" w:rsidRDefault="00CB3520" w:rsidP="00CB3520">
      <w:pPr>
        <w:widowControl w:val="0"/>
        <w:jc w:val="both"/>
        <w:rPr>
          <w:sz w:val="20"/>
          <w:szCs w:val="20"/>
        </w:rPr>
      </w:pPr>
    </w:p>
    <w:p w:rsidR="00CB3520" w:rsidRPr="00661691" w:rsidRDefault="00661691" w:rsidP="00CB3520">
      <w:pPr>
        <w:pStyle w:val="ListParagraph"/>
        <w:widowControl w:val="0"/>
        <w:numPr>
          <w:ilvl w:val="0"/>
          <w:numId w:val="1"/>
        </w:numPr>
        <w:ind w:hanging="720"/>
        <w:jc w:val="both"/>
        <w:rPr>
          <w:sz w:val="20"/>
          <w:szCs w:val="20"/>
        </w:rPr>
      </w:pPr>
      <w:r w:rsidRPr="00661691">
        <w:rPr>
          <w:i/>
          <w:sz w:val="20"/>
          <w:szCs w:val="20"/>
        </w:rPr>
        <w:t>Peterborough Regional Health Centre et al. v. Heike Hesse and Erkenraadje Wensvoort on behalf of themselves and all others similarly situated</w:t>
      </w:r>
      <w:r w:rsidRPr="00661691">
        <w:rPr>
          <w:sz w:val="20"/>
          <w:szCs w:val="20"/>
        </w:rPr>
        <w:t xml:space="preserve"> (Ont.) (Civil) (By Leave) </w:t>
      </w:r>
      <w:r w:rsidR="00CB3520" w:rsidRPr="00661691">
        <w:rPr>
          <w:sz w:val="20"/>
          <w:szCs w:val="20"/>
        </w:rPr>
        <w:t>(36</w:t>
      </w:r>
      <w:r w:rsidRPr="00661691">
        <w:rPr>
          <w:sz w:val="20"/>
          <w:szCs w:val="20"/>
        </w:rPr>
        <w:t>3</w:t>
      </w:r>
      <w:r w:rsidR="00CB3520" w:rsidRPr="00661691">
        <w:rPr>
          <w:sz w:val="20"/>
          <w:szCs w:val="20"/>
        </w:rPr>
        <w:t>9</w:t>
      </w:r>
      <w:r w:rsidRPr="00661691">
        <w:rPr>
          <w:sz w:val="20"/>
          <w:szCs w:val="20"/>
        </w:rPr>
        <w:t>3</w:t>
      </w:r>
      <w:r w:rsidR="00CB3520" w:rsidRPr="00661691">
        <w:rPr>
          <w:sz w:val="20"/>
          <w:szCs w:val="20"/>
        </w:rPr>
        <w:t>)</w:t>
      </w:r>
    </w:p>
    <w:p w:rsidR="00CB3520" w:rsidRPr="00661691" w:rsidRDefault="00CB3520" w:rsidP="00CB3520">
      <w:pPr>
        <w:widowControl w:val="0"/>
        <w:rPr>
          <w:sz w:val="20"/>
          <w:szCs w:val="20"/>
        </w:rPr>
      </w:pPr>
    </w:p>
    <w:p w:rsidR="00CB3520" w:rsidRPr="00661691" w:rsidRDefault="00661691" w:rsidP="00CB3520">
      <w:pPr>
        <w:pStyle w:val="ListParagraph"/>
        <w:widowControl w:val="0"/>
        <w:numPr>
          <w:ilvl w:val="0"/>
          <w:numId w:val="1"/>
        </w:numPr>
        <w:ind w:hanging="720"/>
        <w:jc w:val="both"/>
        <w:rPr>
          <w:sz w:val="20"/>
          <w:szCs w:val="20"/>
        </w:rPr>
      </w:pPr>
      <w:r w:rsidRPr="00661691">
        <w:rPr>
          <w:i/>
          <w:sz w:val="20"/>
          <w:szCs w:val="20"/>
        </w:rPr>
        <w:t>Keith Glen Mckinnon v. Attorney General of Québec</w:t>
      </w:r>
      <w:r w:rsidRPr="00661691">
        <w:rPr>
          <w:sz w:val="20"/>
          <w:szCs w:val="20"/>
        </w:rPr>
        <w:t xml:space="preserve"> (Que.) (Civil) (By Leave) </w:t>
      </w:r>
      <w:r w:rsidR="00CB3520" w:rsidRPr="00661691">
        <w:rPr>
          <w:sz w:val="20"/>
          <w:szCs w:val="20"/>
        </w:rPr>
        <w:t>(36</w:t>
      </w:r>
      <w:r w:rsidRPr="00661691">
        <w:rPr>
          <w:sz w:val="20"/>
          <w:szCs w:val="20"/>
        </w:rPr>
        <w:t>397</w:t>
      </w:r>
      <w:r w:rsidR="00CB3520" w:rsidRPr="00661691">
        <w:rPr>
          <w:sz w:val="20"/>
          <w:szCs w:val="20"/>
        </w:rPr>
        <w:t>)</w:t>
      </w:r>
    </w:p>
    <w:p w:rsidR="00CB3520" w:rsidRPr="00661691" w:rsidRDefault="00CB3520" w:rsidP="00CB3520">
      <w:pPr>
        <w:widowControl w:val="0"/>
        <w:jc w:val="both"/>
        <w:rPr>
          <w:sz w:val="20"/>
          <w:szCs w:val="20"/>
        </w:rPr>
      </w:pPr>
    </w:p>
    <w:p w:rsidR="00CB3520" w:rsidRPr="00115C9E" w:rsidRDefault="00661691" w:rsidP="00CB3520">
      <w:pPr>
        <w:pStyle w:val="ListParagraph"/>
        <w:widowControl w:val="0"/>
        <w:numPr>
          <w:ilvl w:val="0"/>
          <w:numId w:val="1"/>
        </w:numPr>
        <w:ind w:hanging="720"/>
        <w:jc w:val="both"/>
        <w:rPr>
          <w:sz w:val="20"/>
          <w:szCs w:val="20"/>
        </w:rPr>
      </w:pPr>
      <w:r w:rsidRPr="00661691">
        <w:rPr>
          <w:i/>
          <w:sz w:val="20"/>
          <w:szCs w:val="20"/>
          <w:lang w:val="fr-CA"/>
        </w:rPr>
        <w:t>Mary Hodutu v. Joseph Bulger et al.</w:t>
      </w:r>
      <w:r w:rsidRPr="00661691">
        <w:rPr>
          <w:sz w:val="20"/>
          <w:szCs w:val="20"/>
          <w:lang w:val="fr-CA"/>
        </w:rPr>
        <w:t xml:space="preserve"> </w:t>
      </w:r>
      <w:r w:rsidRPr="00661691">
        <w:rPr>
          <w:sz w:val="20"/>
          <w:szCs w:val="20"/>
        </w:rPr>
        <w:t>(Ont.) (Civil) (By Leave)</w:t>
      </w:r>
      <w:r w:rsidRPr="00115C9E">
        <w:rPr>
          <w:sz w:val="20"/>
          <w:szCs w:val="20"/>
        </w:rPr>
        <w:t xml:space="preserve"> </w:t>
      </w:r>
      <w:r w:rsidR="00CB3520" w:rsidRPr="00115C9E">
        <w:rPr>
          <w:sz w:val="20"/>
          <w:szCs w:val="20"/>
        </w:rPr>
        <w:t>(3</w:t>
      </w:r>
      <w:r>
        <w:rPr>
          <w:sz w:val="20"/>
          <w:szCs w:val="20"/>
        </w:rPr>
        <w:t>6432</w:t>
      </w:r>
      <w:r w:rsidR="00CB3520" w:rsidRPr="00115C9E">
        <w:rPr>
          <w:sz w:val="20"/>
          <w:szCs w:val="20"/>
        </w:rPr>
        <w:t>)</w:t>
      </w:r>
    </w:p>
    <w:p w:rsidR="00CB3520" w:rsidRDefault="00CB3520" w:rsidP="00CB3520">
      <w:pPr>
        <w:widowControl w:val="0"/>
        <w:jc w:val="both"/>
        <w:rPr>
          <w:sz w:val="20"/>
          <w:szCs w:val="20"/>
        </w:rPr>
      </w:pPr>
    </w:p>
    <w:p w:rsidR="00CB3520" w:rsidRDefault="00CB3520" w:rsidP="00CB3520">
      <w:pPr>
        <w:widowControl w:val="0"/>
        <w:jc w:val="both"/>
        <w:rPr>
          <w:sz w:val="20"/>
          <w:szCs w:val="20"/>
        </w:rPr>
      </w:pPr>
    </w:p>
    <w:p w:rsidR="00CB3520" w:rsidRPr="00C50A5C" w:rsidRDefault="00CB3520" w:rsidP="00CB3520">
      <w:pPr>
        <w:widowControl w:val="0"/>
        <w:jc w:val="center"/>
        <w:rPr>
          <w:b/>
          <w:sz w:val="20"/>
          <w:szCs w:val="20"/>
        </w:rPr>
      </w:pPr>
      <w:r w:rsidRPr="00C50A5C">
        <w:rPr>
          <w:b/>
          <w:sz w:val="20"/>
          <w:szCs w:val="20"/>
        </w:rPr>
        <w:t xml:space="preserve">CORAM: </w:t>
      </w:r>
      <w:r w:rsidR="00FA3373">
        <w:rPr>
          <w:b/>
          <w:sz w:val="20"/>
          <w:szCs w:val="20"/>
        </w:rPr>
        <w:t>Rothstein</w:t>
      </w:r>
      <w:r>
        <w:rPr>
          <w:b/>
          <w:sz w:val="20"/>
          <w:szCs w:val="20"/>
        </w:rPr>
        <w:t>,</w:t>
      </w:r>
      <w:r w:rsidRPr="00C50A5C">
        <w:rPr>
          <w:b/>
          <w:sz w:val="20"/>
          <w:szCs w:val="20"/>
        </w:rPr>
        <w:t xml:space="preserve"> </w:t>
      </w:r>
      <w:r w:rsidR="00FA3373">
        <w:rPr>
          <w:b/>
          <w:sz w:val="20"/>
          <w:szCs w:val="20"/>
        </w:rPr>
        <w:t xml:space="preserve">Cromwell </w:t>
      </w:r>
      <w:r w:rsidRPr="00C50A5C">
        <w:rPr>
          <w:b/>
          <w:sz w:val="20"/>
          <w:szCs w:val="20"/>
        </w:rPr>
        <w:t xml:space="preserve">and </w:t>
      </w:r>
      <w:r>
        <w:rPr>
          <w:b/>
          <w:sz w:val="20"/>
          <w:szCs w:val="20"/>
        </w:rPr>
        <w:t>Moldaver</w:t>
      </w:r>
      <w:r w:rsidRPr="00C50A5C">
        <w:rPr>
          <w:b/>
          <w:sz w:val="20"/>
          <w:szCs w:val="20"/>
        </w:rPr>
        <w:t xml:space="preserve"> JJ.</w:t>
      </w:r>
    </w:p>
    <w:p w:rsidR="00CB3520" w:rsidRPr="00C50A5C" w:rsidRDefault="00CB3520" w:rsidP="00CB3520">
      <w:pPr>
        <w:widowControl w:val="0"/>
        <w:jc w:val="center"/>
        <w:rPr>
          <w:b/>
          <w:sz w:val="20"/>
          <w:szCs w:val="20"/>
          <w:lang w:val="fr-CA"/>
        </w:rPr>
      </w:pPr>
      <w:r w:rsidRPr="00C50A5C">
        <w:rPr>
          <w:b/>
          <w:sz w:val="20"/>
          <w:szCs w:val="20"/>
          <w:lang w:val="fr-CA"/>
        </w:rPr>
        <w:t xml:space="preserve">Les juges </w:t>
      </w:r>
      <w:r w:rsidR="00FA3373">
        <w:rPr>
          <w:b/>
          <w:sz w:val="20"/>
          <w:szCs w:val="20"/>
          <w:lang w:val="fr-CA"/>
        </w:rPr>
        <w:t>Rothstein</w:t>
      </w:r>
      <w:r w:rsidRPr="00C50A5C">
        <w:rPr>
          <w:b/>
          <w:sz w:val="20"/>
          <w:szCs w:val="20"/>
          <w:lang w:val="fr-CA"/>
        </w:rPr>
        <w:t xml:space="preserve">, </w:t>
      </w:r>
      <w:r w:rsidR="00FA3373">
        <w:rPr>
          <w:b/>
          <w:sz w:val="20"/>
          <w:szCs w:val="20"/>
          <w:lang w:val="fr-CA"/>
        </w:rPr>
        <w:t xml:space="preserve">Cromwell </w:t>
      </w:r>
      <w:r w:rsidRPr="00C50A5C">
        <w:rPr>
          <w:b/>
          <w:sz w:val="20"/>
          <w:szCs w:val="20"/>
          <w:lang w:val="fr-CA"/>
        </w:rPr>
        <w:t xml:space="preserve">et </w:t>
      </w:r>
      <w:r>
        <w:rPr>
          <w:b/>
          <w:sz w:val="20"/>
          <w:szCs w:val="20"/>
          <w:lang w:val="fr-CA"/>
        </w:rPr>
        <w:t>Moldaver</w:t>
      </w:r>
    </w:p>
    <w:p w:rsidR="00CB3520" w:rsidRPr="00A8251C" w:rsidRDefault="00CB3520" w:rsidP="00CB3520">
      <w:pPr>
        <w:widowControl w:val="0"/>
        <w:jc w:val="both"/>
        <w:rPr>
          <w:sz w:val="20"/>
          <w:szCs w:val="20"/>
          <w:lang w:val="fr-CA"/>
        </w:rPr>
      </w:pPr>
    </w:p>
    <w:p w:rsidR="00CB3520" w:rsidRPr="00115C9E" w:rsidRDefault="00661691" w:rsidP="00CB3520">
      <w:pPr>
        <w:pStyle w:val="ListParagraph"/>
        <w:widowControl w:val="0"/>
        <w:numPr>
          <w:ilvl w:val="0"/>
          <w:numId w:val="1"/>
        </w:numPr>
        <w:ind w:hanging="720"/>
        <w:jc w:val="both"/>
        <w:rPr>
          <w:sz w:val="20"/>
          <w:szCs w:val="20"/>
        </w:rPr>
      </w:pPr>
      <w:r w:rsidRPr="00661691">
        <w:rPr>
          <w:i/>
          <w:sz w:val="20"/>
          <w:szCs w:val="20"/>
        </w:rPr>
        <w:t xml:space="preserve">Her Majesty the Queen v. Oswald Oliver Villaroman </w:t>
      </w:r>
      <w:r w:rsidRPr="00661691">
        <w:rPr>
          <w:sz w:val="20"/>
          <w:szCs w:val="20"/>
        </w:rPr>
        <w:t>(Alta.) (Crim.) (By Leave)</w:t>
      </w:r>
      <w:r w:rsidRPr="00115C9E">
        <w:rPr>
          <w:sz w:val="20"/>
          <w:szCs w:val="20"/>
        </w:rPr>
        <w:t xml:space="preserve"> </w:t>
      </w:r>
      <w:r w:rsidR="00CB3520" w:rsidRPr="00115C9E">
        <w:rPr>
          <w:sz w:val="20"/>
          <w:szCs w:val="20"/>
        </w:rPr>
        <w:t>(3</w:t>
      </w:r>
      <w:r w:rsidR="00CB3520">
        <w:rPr>
          <w:sz w:val="20"/>
          <w:szCs w:val="20"/>
        </w:rPr>
        <w:t>6</w:t>
      </w:r>
      <w:r>
        <w:rPr>
          <w:sz w:val="20"/>
          <w:szCs w:val="20"/>
        </w:rPr>
        <w:t>43</w:t>
      </w:r>
      <w:r w:rsidR="00CB3520">
        <w:rPr>
          <w:sz w:val="20"/>
          <w:szCs w:val="20"/>
        </w:rPr>
        <w:t>5</w:t>
      </w:r>
      <w:r w:rsidR="00CB3520" w:rsidRPr="00115C9E">
        <w:rPr>
          <w:sz w:val="20"/>
          <w:szCs w:val="20"/>
        </w:rPr>
        <w:t>)</w:t>
      </w:r>
    </w:p>
    <w:p w:rsidR="00CB3520" w:rsidRPr="00115C9E" w:rsidRDefault="00CB3520" w:rsidP="00CB3520">
      <w:pPr>
        <w:widowControl w:val="0"/>
        <w:jc w:val="both"/>
        <w:rPr>
          <w:sz w:val="20"/>
          <w:szCs w:val="20"/>
        </w:rPr>
      </w:pPr>
    </w:p>
    <w:p w:rsidR="00CB3520" w:rsidRDefault="00661691" w:rsidP="00CB3520">
      <w:pPr>
        <w:pStyle w:val="ListParagraph"/>
        <w:widowControl w:val="0"/>
        <w:numPr>
          <w:ilvl w:val="0"/>
          <w:numId w:val="1"/>
        </w:numPr>
        <w:ind w:hanging="720"/>
        <w:jc w:val="both"/>
        <w:rPr>
          <w:sz w:val="20"/>
          <w:szCs w:val="20"/>
        </w:rPr>
      </w:pPr>
      <w:r w:rsidRPr="00661691">
        <w:rPr>
          <w:i/>
          <w:sz w:val="20"/>
          <w:szCs w:val="20"/>
        </w:rPr>
        <w:t>Oluwarotimi Fashoranti v. College of Physicians and Surgeons of Nova Scotia et al.</w:t>
      </w:r>
      <w:r w:rsidRPr="00661691">
        <w:rPr>
          <w:sz w:val="20"/>
          <w:szCs w:val="20"/>
        </w:rPr>
        <w:t xml:space="preserve"> (N.S.) (Civil) (By Leave)</w:t>
      </w:r>
      <w:r w:rsidRPr="00C50A5C">
        <w:rPr>
          <w:sz w:val="20"/>
          <w:szCs w:val="20"/>
        </w:rPr>
        <w:t xml:space="preserve"> </w:t>
      </w:r>
      <w:r w:rsidR="00CB3520" w:rsidRPr="00C50A5C">
        <w:rPr>
          <w:sz w:val="20"/>
          <w:szCs w:val="20"/>
        </w:rPr>
        <w:t>(3</w:t>
      </w:r>
      <w:r w:rsidR="00CB3520">
        <w:rPr>
          <w:sz w:val="20"/>
          <w:szCs w:val="20"/>
        </w:rPr>
        <w:t>6</w:t>
      </w:r>
      <w:r>
        <w:rPr>
          <w:sz w:val="20"/>
          <w:szCs w:val="20"/>
        </w:rPr>
        <w:t>428</w:t>
      </w:r>
      <w:r w:rsidR="00CB3520" w:rsidRPr="00C50A5C">
        <w:rPr>
          <w:sz w:val="20"/>
          <w:szCs w:val="20"/>
        </w:rPr>
        <w:t>)</w:t>
      </w:r>
    </w:p>
    <w:p w:rsidR="00CB3520" w:rsidRPr="009C5D38" w:rsidRDefault="00CB3520" w:rsidP="00CB3520">
      <w:pPr>
        <w:widowControl w:val="0"/>
        <w:rPr>
          <w:i/>
          <w:sz w:val="20"/>
          <w:szCs w:val="20"/>
        </w:rPr>
      </w:pPr>
    </w:p>
    <w:p w:rsidR="00CB3520" w:rsidRPr="009C5D38" w:rsidRDefault="00661691" w:rsidP="00CB3520">
      <w:pPr>
        <w:pStyle w:val="ListParagraph"/>
        <w:widowControl w:val="0"/>
        <w:numPr>
          <w:ilvl w:val="0"/>
          <w:numId w:val="1"/>
        </w:numPr>
        <w:ind w:hanging="720"/>
        <w:jc w:val="both"/>
        <w:rPr>
          <w:sz w:val="20"/>
          <w:szCs w:val="20"/>
        </w:rPr>
      </w:pPr>
      <w:r w:rsidRPr="00661691">
        <w:rPr>
          <w:i/>
          <w:sz w:val="20"/>
          <w:szCs w:val="20"/>
        </w:rPr>
        <w:t>City of Edmonton v. Edmonton East (Capilano) Shopping Centres Limited (as represented by AEC International Inc.) et al.</w:t>
      </w:r>
      <w:r w:rsidRPr="00661691">
        <w:rPr>
          <w:sz w:val="20"/>
          <w:szCs w:val="20"/>
        </w:rPr>
        <w:t xml:space="preserve"> (Alta.) (Civil) (By Leave)</w:t>
      </w:r>
      <w:r w:rsidRPr="009C5D38">
        <w:rPr>
          <w:sz w:val="20"/>
          <w:szCs w:val="20"/>
        </w:rPr>
        <w:t xml:space="preserve"> </w:t>
      </w:r>
      <w:r w:rsidR="00CB3520" w:rsidRPr="009C5D38">
        <w:rPr>
          <w:sz w:val="20"/>
          <w:szCs w:val="20"/>
        </w:rPr>
        <w:t>(36</w:t>
      </w:r>
      <w:r>
        <w:rPr>
          <w:sz w:val="20"/>
          <w:szCs w:val="20"/>
        </w:rPr>
        <w:t>403</w:t>
      </w:r>
      <w:r w:rsidR="00CB3520" w:rsidRPr="009C5D38">
        <w:rPr>
          <w:sz w:val="20"/>
          <w:szCs w:val="20"/>
        </w:rPr>
        <w:t>)</w:t>
      </w:r>
    </w:p>
    <w:p w:rsidR="00CB3520" w:rsidRPr="009C5D38" w:rsidRDefault="00CB3520" w:rsidP="00CB3520">
      <w:pPr>
        <w:widowControl w:val="0"/>
        <w:jc w:val="both"/>
        <w:rPr>
          <w:sz w:val="20"/>
          <w:szCs w:val="20"/>
        </w:rPr>
      </w:pPr>
    </w:p>
    <w:p w:rsidR="00CB3520" w:rsidRPr="00661691" w:rsidRDefault="00661691" w:rsidP="00CB3520">
      <w:pPr>
        <w:pStyle w:val="ListParagraph"/>
        <w:widowControl w:val="0"/>
        <w:numPr>
          <w:ilvl w:val="0"/>
          <w:numId w:val="1"/>
        </w:numPr>
        <w:ind w:hanging="720"/>
        <w:jc w:val="both"/>
        <w:rPr>
          <w:sz w:val="20"/>
          <w:szCs w:val="20"/>
        </w:rPr>
      </w:pPr>
      <w:r w:rsidRPr="0097541E">
        <w:rPr>
          <w:i/>
          <w:sz w:val="20"/>
          <w:szCs w:val="20"/>
        </w:rPr>
        <w:t>City of Calgary v. Altus Group Limited on behalf of Various Owners</w:t>
      </w:r>
      <w:r w:rsidRPr="00661691">
        <w:rPr>
          <w:sz w:val="20"/>
          <w:szCs w:val="20"/>
        </w:rPr>
        <w:t xml:space="preserve"> (Alta.) (Civil) (By Leave) </w:t>
      </w:r>
      <w:r w:rsidR="00CB3520" w:rsidRPr="00661691">
        <w:rPr>
          <w:sz w:val="20"/>
          <w:szCs w:val="20"/>
        </w:rPr>
        <w:t>(3</w:t>
      </w:r>
      <w:r w:rsidRPr="00661691">
        <w:rPr>
          <w:sz w:val="20"/>
          <w:szCs w:val="20"/>
        </w:rPr>
        <w:t>6407</w:t>
      </w:r>
      <w:r w:rsidR="00CB3520" w:rsidRPr="00661691">
        <w:rPr>
          <w:sz w:val="20"/>
          <w:szCs w:val="20"/>
        </w:rPr>
        <w:t>)</w:t>
      </w:r>
    </w:p>
    <w:p w:rsidR="00CB3520" w:rsidRPr="00661691" w:rsidRDefault="00CB3520" w:rsidP="00CB3520">
      <w:pPr>
        <w:widowControl w:val="0"/>
        <w:jc w:val="both"/>
        <w:rPr>
          <w:sz w:val="20"/>
          <w:szCs w:val="20"/>
        </w:rPr>
      </w:pPr>
    </w:p>
    <w:p w:rsidR="00CB3520" w:rsidRPr="009C5D38" w:rsidRDefault="00661691" w:rsidP="00CB3520">
      <w:pPr>
        <w:pStyle w:val="ListParagraph"/>
        <w:widowControl w:val="0"/>
        <w:numPr>
          <w:ilvl w:val="0"/>
          <w:numId w:val="1"/>
        </w:numPr>
        <w:ind w:hanging="720"/>
        <w:jc w:val="both"/>
        <w:rPr>
          <w:sz w:val="20"/>
          <w:szCs w:val="20"/>
        </w:rPr>
      </w:pPr>
      <w:r w:rsidRPr="00661691">
        <w:rPr>
          <w:i/>
          <w:sz w:val="20"/>
          <w:szCs w:val="20"/>
        </w:rPr>
        <w:t>Hakima Bakiri v. Commission of Occupational Injuries et al.</w:t>
      </w:r>
      <w:r w:rsidRPr="00661691">
        <w:rPr>
          <w:sz w:val="20"/>
          <w:szCs w:val="20"/>
        </w:rPr>
        <w:t xml:space="preserve"> (Que.) (Civil) (By Leave)</w:t>
      </w:r>
      <w:r w:rsidRPr="009C5D38">
        <w:rPr>
          <w:sz w:val="20"/>
          <w:szCs w:val="20"/>
        </w:rPr>
        <w:t xml:space="preserve"> </w:t>
      </w:r>
      <w:r w:rsidR="00CB3520" w:rsidRPr="009C5D38">
        <w:rPr>
          <w:sz w:val="20"/>
          <w:szCs w:val="20"/>
        </w:rPr>
        <w:t>(3</w:t>
      </w:r>
      <w:r>
        <w:rPr>
          <w:sz w:val="20"/>
          <w:szCs w:val="20"/>
        </w:rPr>
        <w:t>636</w:t>
      </w:r>
      <w:r w:rsidR="00CB3520" w:rsidRPr="009C5D38">
        <w:rPr>
          <w:sz w:val="20"/>
          <w:szCs w:val="20"/>
        </w:rPr>
        <w:t>5)</w:t>
      </w:r>
    </w:p>
    <w:p w:rsidR="002E2327" w:rsidRPr="00CB3520" w:rsidRDefault="002E2327" w:rsidP="002E2327">
      <w:pPr>
        <w:widowControl w:val="0"/>
        <w:rPr>
          <w:sz w:val="20"/>
          <w:szCs w:val="20"/>
        </w:rPr>
      </w:pPr>
    </w:p>
    <w:p w:rsidR="002E2327" w:rsidRDefault="00310DA4" w:rsidP="002E2327">
      <w:pPr>
        <w:widowControl w:val="0"/>
        <w:rPr>
          <w:sz w:val="20"/>
          <w:szCs w:val="20"/>
        </w:rPr>
      </w:pPr>
      <w:r>
        <w:rPr>
          <w:sz w:val="20"/>
          <w:szCs w:val="20"/>
        </w:rPr>
        <w:pict>
          <v:rect id="_x0000_i1040" style="width:2in;height:1pt" o:hrpct="0" o:hralign="center" o:hrstd="t" o:hrnoshade="t" o:hr="t" fillcolor="black [3213]" stroked="f"/>
        </w:pict>
      </w:r>
    </w:p>
    <w:p w:rsidR="00D94028" w:rsidRDefault="00D94028" w:rsidP="002E2327">
      <w:pPr>
        <w:widowControl w:val="0"/>
        <w:rPr>
          <w:sz w:val="20"/>
          <w:szCs w:val="20"/>
        </w:rPr>
      </w:pPr>
    </w:p>
    <w:p w:rsidR="00661691" w:rsidRPr="00661691" w:rsidRDefault="00661691" w:rsidP="00661691">
      <w:pPr>
        <w:widowControl w:val="0"/>
        <w:rPr>
          <w:sz w:val="20"/>
          <w:szCs w:val="20"/>
        </w:rPr>
      </w:pP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20"/>
          <w:footerReference w:type="default" r:id="rId21"/>
          <w:headerReference w:type="first" r:id="rId22"/>
          <w:footerReference w:type="first" r:id="rId23"/>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310DA4" w:rsidTr="00ED7E83">
        <w:tc>
          <w:tcPr>
            <w:tcW w:w="4200" w:type="dxa"/>
            <w:tcMar>
              <w:left w:w="0" w:type="dxa"/>
              <w:right w:w="0" w:type="dxa"/>
            </w:tcMar>
          </w:tcPr>
          <w:p w:rsidR="008D292F" w:rsidRPr="001D0D5F" w:rsidRDefault="008D292F" w:rsidP="00ED7E83">
            <w:pPr>
              <w:keepNext/>
              <w:keepLines/>
              <w:jc w:val="both"/>
              <w:rPr>
                <w:b/>
                <w:szCs w:val="24"/>
              </w:rPr>
            </w:pPr>
            <w:bookmarkStart w:id="1" w:name="QuickMark_1"/>
            <w:bookmarkEnd w:id="1"/>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0E2959" w:rsidRPr="00C50A5C" w:rsidRDefault="00681F61" w:rsidP="000E2959">
      <w:pPr>
        <w:rPr>
          <w:b/>
          <w:sz w:val="20"/>
          <w:szCs w:val="20"/>
        </w:rPr>
      </w:pPr>
      <w:r>
        <w:rPr>
          <w:b/>
          <w:sz w:val="20"/>
          <w:szCs w:val="20"/>
        </w:rPr>
        <w:t>JU</w:t>
      </w:r>
      <w:r w:rsidR="00CE4499">
        <w:rPr>
          <w:b/>
          <w:sz w:val="20"/>
          <w:szCs w:val="20"/>
        </w:rPr>
        <w:t>L</w:t>
      </w:r>
      <w:r w:rsidR="000E2959">
        <w:rPr>
          <w:b/>
          <w:sz w:val="20"/>
          <w:szCs w:val="20"/>
        </w:rPr>
        <w:t>Y</w:t>
      </w:r>
      <w:r w:rsidR="000E2959" w:rsidRPr="00C50A5C">
        <w:rPr>
          <w:b/>
          <w:sz w:val="20"/>
          <w:szCs w:val="20"/>
        </w:rPr>
        <w:t xml:space="preserve"> 2</w:t>
      </w:r>
      <w:r w:rsidR="00CE4499">
        <w:rPr>
          <w:b/>
          <w:sz w:val="20"/>
          <w:szCs w:val="20"/>
        </w:rPr>
        <w:t>3</w:t>
      </w:r>
      <w:r w:rsidR="000E2959" w:rsidRPr="00C50A5C">
        <w:rPr>
          <w:b/>
          <w:sz w:val="20"/>
          <w:szCs w:val="20"/>
        </w:rPr>
        <w:t>, 201</w:t>
      </w:r>
      <w:r>
        <w:rPr>
          <w:b/>
          <w:sz w:val="20"/>
          <w:szCs w:val="20"/>
        </w:rPr>
        <w:t>5</w:t>
      </w:r>
      <w:r w:rsidR="000E2959" w:rsidRPr="00C50A5C">
        <w:rPr>
          <w:b/>
          <w:sz w:val="20"/>
          <w:szCs w:val="20"/>
        </w:rPr>
        <w:t xml:space="preserve"> / LE 2</w:t>
      </w:r>
      <w:r w:rsidR="00CE4499">
        <w:rPr>
          <w:b/>
          <w:sz w:val="20"/>
          <w:szCs w:val="20"/>
        </w:rPr>
        <w:t>3</w:t>
      </w:r>
      <w:r w:rsidR="000E2959" w:rsidRPr="00C50A5C">
        <w:rPr>
          <w:b/>
          <w:sz w:val="20"/>
          <w:szCs w:val="20"/>
        </w:rPr>
        <w:t xml:space="preserve"> </w:t>
      </w:r>
      <w:r>
        <w:rPr>
          <w:b/>
          <w:sz w:val="20"/>
          <w:szCs w:val="20"/>
        </w:rPr>
        <w:t>J</w:t>
      </w:r>
      <w:r w:rsidR="00CE4499">
        <w:rPr>
          <w:b/>
          <w:sz w:val="20"/>
          <w:szCs w:val="20"/>
        </w:rPr>
        <w:t>U</w:t>
      </w:r>
      <w:r w:rsidR="000E2959" w:rsidRPr="00C50A5C">
        <w:rPr>
          <w:b/>
          <w:sz w:val="20"/>
          <w:szCs w:val="20"/>
        </w:rPr>
        <w:t>I</w:t>
      </w:r>
      <w:r w:rsidR="00CE4499">
        <w:rPr>
          <w:b/>
          <w:sz w:val="20"/>
          <w:szCs w:val="20"/>
        </w:rPr>
        <w:t>LL</w:t>
      </w:r>
      <w:r>
        <w:rPr>
          <w:b/>
          <w:sz w:val="20"/>
          <w:szCs w:val="20"/>
        </w:rPr>
        <w:t>E</w:t>
      </w:r>
      <w:r w:rsidR="00CE4499">
        <w:rPr>
          <w:b/>
          <w:sz w:val="20"/>
          <w:szCs w:val="20"/>
        </w:rPr>
        <w:t>T</w:t>
      </w:r>
      <w:r w:rsidR="000E2959" w:rsidRPr="00C50A5C">
        <w:rPr>
          <w:b/>
          <w:sz w:val="20"/>
          <w:szCs w:val="20"/>
        </w:rPr>
        <w:t xml:space="preserve"> 201</w:t>
      </w:r>
      <w:r>
        <w:rPr>
          <w:b/>
          <w:sz w:val="20"/>
          <w:szCs w:val="20"/>
        </w:rPr>
        <w:t>5</w:t>
      </w:r>
    </w:p>
    <w:p w:rsidR="000E2959" w:rsidRDefault="000E2959" w:rsidP="000E2959">
      <w:pPr>
        <w:rPr>
          <w:sz w:val="20"/>
          <w:szCs w:val="20"/>
        </w:rPr>
      </w:pPr>
    </w:p>
    <w:tbl>
      <w:tblPr>
        <w:tblStyle w:val="TableGrid4"/>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71F47" w:rsidRPr="00871F47" w:rsidTr="00871F47">
        <w:trPr>
          <w:cantSplit/>
        </w:trPr>
        <w:tc>
          <w:tcPr>
            <w:tcW w:w="1458" w:type="dxa"/>
          </w:tcPr>
          <w:p w:rsidR="00871F47" w:rsidRPr="00871F47" w:rsidRDefault="00871F47" w:rsidP="00871F47">
            <w:pPr>
              <w:rPr>
                <w:sz w:val="20"/>
              </w:rPr>
            </w:pPr>
            <w:r w:rsidRPr="00871F47">
              <w:rPr>
                <w:b/>
                <w:sz w:val="20"/>
                <w:lang w:val="fr-CA"/>
              </w:rPr>
              <w:t>36115</w:t>
            </w:r>
          </w:p>
          <w:p w:rsidR="00871F47" w:rsidRPr="00871F47" w:rsidRDefault="00871F47" w:rsidP="00871F47">
            <w:pPr>
              <w:rPr>
                <w:b/>
                <w:sz w:val="20"/>
                <w:lang w:val="fr-CA"/>
              </w:rPr>
            </w:pPr>
          </w:p>
        </w:tc>
        <w:tc>
          <w:tcPr>
            <w:tcW w:w="8118" w:type="dxa"/>
          </w:tcPr>
          <w:p w:rsidR="00871F47" w:rsidRPr="00871F47" w:rsidRDefault="00871F47" w:rsidP="00871F47">
            <w:pPr>
              <w:jc w:val="both"/>
              <w:rPr>
                <w:sz w:val="20"/>
              </w:rPr>
            </w:pPr>
            <w:r w:rsidRPr="00871F47">
              <w:rPr>
                <w:b/>
                <w:sz w:val="20"/>
                <w:u w:val="single"/>
              </w:rPr>
              <w:t>Romandale Farms Limited, Angela Maria Roman, Anne Catherine Ruth Roman, David Andrew Roman, Stephen George Roman and Helen Elizabeth Roman-Barber v. First Elgin Mills Developments Inc.</w:t>
            </w:r>
            <w:r w:rsidRPr="00871F47">
              <w:rPr>
                <w:sz w:val="20"/>
              </w:rPr>
              <w:t xml:space="preserve"> (Ont.) (Civil) (By Leave)</w:t>
            </w:r>
          </w:p>
          <w:p w:rsidR="00871F47" w:rsidRPr="00871F47" w:rsidRDefault="00871F47" w:rsidP="00871F47">
            <w:pPr>
              <w:jc w:val="both"/>
              <w:rPr>
                <w:sz w:val="20"/>
              </w:rPr>
            </w:pPr>
          </w:p>
        </w:tc>
      </w:tr>
      <w:tr w:rsidR="00871F47" w:rsidRPr="00871F47" w:rsidTr="00871F47">
        <w:trPr>
          <w:cantSplit/>
        </w:trPr>
        <w:tc>
          <w:tcPr>
            <w:tcW w:w="1458" w:type="dxa"/>
          </w:tcPr>
          <w:p w:rsidR="00871F47" w:rsidRPr="00871F47" w:rsidRDefault="00871F47" w:rsidP="00871F47">
            <w:pPr>
              <w:rPr>
                <w:sz w:val="20"/>
              </w:rPr>
            </w:pPr>
            <w:r w:rsidRPr="00871F47">
              <w:rPr>
                <w:sz w:val="20"/>
              </w:rPr>
              <w:t>Coram :</w:t>
            </w:r>
          </w:p>
        </w:tc>
        <w:tc>
          <w:tcPr>
            <w:tcW w:w="8118" w:type="dxa"/>
          </w:tcPr>
          <w:p w:rsidR="00871F47" w:rsidRPr="00871F47" w:rsidRDefault="00871F47" w:rsidP="00871F47">
            <w:pPr>
              <w:rPr>
                <w:sz w:val="20"/>
              </w:rPr>
            </w:pPr>
            <w:r w:rsidRPr="00871F47">
              <w:rPr>
                <w:sz w:val="20"/>
                <w:u w:val="single"/>
              </w:rPr>
              <w:t>Rothstein, Cromwell and Moldaver JJ.</w:t>
            </w:r>
          </w:p>
          <w:p w:rsidR="00871F47" w:rsidRPr="00871F47" w:rsidRDefault="00871F47" w:rsidP="00871F47">
            <w:pPr>
              <w:rPr>
                <w:sz w:val="20"/>
                <w:u w:val="single"/>
              </w:rPr>
            </w:pPr>
          </w:p>
        </w:tc>
      </w:tr>
      <w:tr w:rsidR="00871F47" w:rsidRPr="00310DA4" w:rsidTr="00871F47">
        <w:trPr>
          <w:cantSplit/>
        </w:trPr>
        <w:tc>
          <w:tcPr>
            <w:tcW w:w="9576" w:type="dxa"/>
            <w:gridSpan w:val="2"/>
          </w:tcPr>
          <w:p w:rsidR="00871F47" w:rsidRPr="00871F47" w:rsidRDefault="00871F47" w:rsidP="00871F47">
            <w:pPr>
              <w:ind w:firstLine="720"/>
              <w:jc w:val="both"/>
              <w:rPr>
                <w:sz w:val="20"/>
              </w:rPr>
            </w:pPr>
            <w:r w:rsidRPr="00871F47">
              <w:rPr>
                <w:sz w:val="20"/>
              </w:rPr>
              <w:t>The application for leave to appeal from the judgment of the Court of Appeal for Ontario, Number C57028, 2014 ONCA 573, dated August 6, 2014, is dismissed with costs.</w:t>
            </w:r>
          </w:p>
          <w:p w:rsidR="00871F47" w:rsidRPr="00871F47" w:rsidRDefault="00871F47" w:rsidP="00871F47">
            <w:pPr>
              <w:jc w:val="both"/>
              <w:rPr>
                <w:sz w:val="20"/>
              </w:rPr>
            </w:pPr>
          </w:p>
          <w:p w:rsidR="00871F47" w:rsidRPr="00871F47" w:rsidRDefault="00871F47" w:rsidP="00871F47">
            <w:pPr>
              <w:ind w:firstLine="720"/>
              <w:jc w:val="both"/>
              <w:rPr>
                <w:sz w:val="20"/>
                <w:lang w:val="fr-CA"/>
              </w:rPr>
            </w:pPr>
            <w:r w:rsidRPr="00871F47">
              <w:rPr>
                <w:sz w:val="20"/>
                <w:lang w:val="fr-CA"/>
              </w:rPr>
              <w:t>La demande d’autorisation d’appel de l’arrêt de la Cour d’appel de l’Ontario, numéro C57028, 2014 ONCA 573, daté du 6 août 2014, est rejetée avec dépens.</w:t>
            </w:r>
          </w:p>
        </w:tc>
      </w:tr>
    </w:tbl>
    <w:p w:rsidR="00CE4499" w:rsidRPr="00871F47" w:rsidRDefault="00CE4499" w:rsidP="000E2959">
      <w:pPr>
        <w:rPr>
          <w:sz w:val="20"/>
          <w:szCs w:val="20"/>
          <w:lang w:val="fr-CA"/>
        </w:rPr>
      </w:pPr>
    </w:p>
    <w:p w:rsidR="00CE4499" w:rsidRPr="001B157C" w:rsidRDefault="00CE4499" w:rsidP="00CE4499">
      <w:pPr>
        <w:rPr>
          <w:sz w:val="20"/>
          <w:szCs w:val="20"/>
          <w:u w:val="single"/>
        </w:rPr>
      </w:pPr>
      <w:r w:rsidRPr="001B157C">
        <w:rPr>
          <w:sz w:val="20"/>
          <w:szCs w:val="20"/>
          <w:u w:val="single"/>
        </w:rPr>
        <w:t>CASE SUMMARY</w:t>
      </w:r>
    </w:p>
    <w:p w:rsidR="00CE4499" w:rsidRDefault="00CE4499" w:rsidP="00CE449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F10E6" w:rsidRPr="000729DC" w:rsidTr="00871F47">
        <w:tc>
          <w:tcPr>
            <w:tcW w:w="5000" w:type="pct"/>
            <w:gridSpan w:val="3"/>
          </w:tcPr>
          <w:p w:rsidR="001F10E6" w:rsidRPr="000729DC" w:rsidRDefault="001F10E6" w:rsidP="00871F47">
            <w:pPr>
              <w:jc w:val="both"/>
              <w:rPr>
                <w:sz w:val="20"/>
              </w:rPr>
            </w:pPr>
            <w:r w:rsidRPr="000729DC">
              <w:rPr>
                <w:sz w:val="20"/>
              </w:rPr>
              <w:t>Sale of land — Agreement of purchase and sale — Interpretation — Agreement containing price adjustment clause by which purchase price could be reduced if amount of developable land less than expected — Respondent applying for a declaration that, as a result of operation of price adjustment clause, nothing was owed on account of purchase price — Applicants cross-applying for declaration that price adjustment clause would not operate to reduce purchase price because it expired and respondent obliged to pay remaining balance — Application judge dismissing respondent’s application and allowing applicants’ cross-application — Court of Appeal allowing respondent’s appeal and allowing purchase price reduction in the contract — Whether appellate court may substitute its interpretation of written agreement for interpretation of application judge on grounds application judge was incorrect — To which provisions in written agreement does “time is of the essence” provision apply?</w:t>
            </w:r>
          </w:p>
        </w:tc>
      </w:tr>
      <w:tr w:rsidR="001F10E6" w:rsidRPr="000729DC" w:rsidTr="00871F47">
        <w:tc>
          <w:tcPr>
            <w:tcW w:w="5000" w:type="pct"/>
            <w:gridSpan w:val="3"/>
          </w:tcPr>
          <w:p w:rsidR="001F10E6" w:rsidRPr="000729DC" w:rsidRDefault="001F10E6" w:rsidP="00871F47">
            <w:pPr>
              <w:jc w:val="both"/>
              <w:rPr>
                <w:sz w:val="20"/>
              </w:rPr>
            </w:pPr>
          </w:p>
        </w:tc>
      </w:tr>
      <w:tr w:rsidR="001F10E6" w:rsidRPr="000729DC" w:rsidTr="00871F47">
        <w:tc>
          <w:tcPr>
            <w:tcW w:w="5000" w:type="pct"/>
            <w:gridSpan w:val="3"/>
          </w:tcPr>
          <w:p w:rsidR="001F10E6" w:rsidRPr="000729DC" w:rsidRDefault="001F10E6" w:rsidP="00871F47">
            <w:pPr>
              <w:shd w:val="clear" w:color="auto" w:fill="FFFFFF"/>
              <w:jc w:val="both"/>
              <w:rPr>
                <w:sz w:val="20"/>
              </w:rPr>
            </w:pPr>
            <w:r w:rsidRPr="000729DC">
              <w:rPr>
                <w:sz w:val="20"/>
              </w:rPr>
              <w:t xml:space="preserve">The respondent, First Elgin Mills Developments Inc., purchased development land from the applicants for approximately $12.5 million, secured by an interest-free vendor take-back mortgage payable over seven years.  The agreement of purchase and sale contained a price adjustment clause by which the purchase price could be reduced if the amount of developable land was less than expected.  First Elgin applied for a declaration that, as a result of the operation of the price adjustment clause, nothing was owed on account of the purchase price.  First Elgin also sought a consequential order discharging the mortgage. </w:t>
            </w:r>
          </w:p>
          <w:p w:rsidR="001F10E6" w:rsidRPr="000729DC" w:rsidRDefault="001F10E6" w:rsidP="00871F47">
            <w:pPr>
              <w:shd w:val="clear" w:color="auto" w:fill="FFFFFF"/>
              <w:jc w:val="both"/>
              <w:rPr>
                <w:sz w:val="20"/>
              </w:rPr>
            </w:pPr>
          </w:p>
          <w:p w:rsidR="001F10E6" w:rsidRPr="000729DC" w:rsidRDefault="001F10E6" w:rsidP="00871F47">
            <w:pPr>
              <w:shd w:val="clear" w:color="auto" w:fill="FFFFFF"/>
              <w:jc w:val="both"/>
              <w:rPr>
                <w:sz w:val="20"/>
              </w:rPr>
            </w:pPr>
            <w:r w:rsidRPr="000729DC">
              <w:rPr>
                <w:sz w:val="20"/>
              </w:rPr>
              <w:t xml:space="preserve">The applicants cross-applied for a declaration that the price adjustment clause would not operate to reduce the purchase price because it had expired and, as a result, First Elgin was obliged to pay the remaining balance of about $1.4 million to the applicants. </w:t>
            </w:r>
          </w:p>
          <w:p w:rsidR="001F10E6" w:rsidRPr="000729DC" w:rsidRDefault="001F10E6" w:rsidP="00871F47">
            <w:pPr>
              <w:shd w:val="clear" w:color="auto" w:fill="FFFFFF"/>
              <w:jc w:val="both"/>
              <w:rPr>
                <w:sz w:val="20"/>
              </w:rPr>
            </w:pPr>
          </w:p>
          <w:p w:rsidR="001F10E6" w:rsidRPr="000729DC" w:rsidRDefault="001F10E6" w:rsidP="00871F47">
            <w:pPr>
              <w:jc w:val="both"/>
              <w:rPr>
                <w:sz w:val="20"/>
              </w:rPr>
            </w:pPr>
            <w:r w:rsidRPr="000729DC">
              <w:rPr>
                <w:sz w:val="20"/>
              </w:rPr>
              <w:t>The application judge dismissed First Elgin’s application and allowed the applicants’ cross-application. The Court of Appeal allowed First Elgin’s appeal and allowed the purchase price reduction in the contract.  A re-hearing request at the Court of Appeal was dismissed.</w:t>
            </w:r>
          </w:p>
          <w:p w:rsidR="001F10E6" w:rsidRPr="000729DC" w:rsidRDefault="001F10E6" w:rsidP="00871F47">
            <w:pPr>
              <w:jc w:val="both"/>
              <w:rPr>
                <w:sz w:val="20"/>
              </w:rPr>
            </w:pPr>
          </w:p>
        </w:tc>
      </w:tr>
      <w:tr w:rsidR="001F10E6" w:rsidRPr="000729DC" w:rsidTr="00871F47">
        <w:tc>
          <w:tcPr>
            <w:tcW w:w="2427" w:type="pct"/>
          </w:tcPr>
          <w:p w:rsidR="001F10E6" w:rsidRPr="000729DC" w:rsidRDefault="001F10E6" w:rsidP="00871F47">
            <w:pPr>
              <w:jc w:val="both"/>
              <w:rPr>
                <w:sz w:val="20"/>
              </w:rPr>
            </w:pPr>
            <w:r w:rsidRPr="000729DC">
              <w:rPr>
                <w:sz w:val="20"/>
              </w:rPr>
              <w:t>June 19, 2013</w:t>
            </w:r>
          </w:p>
          <w:p w:rsidR="001F10E6" w:rsidRPr="000729DC" w:rsidRDefault="001F10E6" w:rsidP="00871F47">
            <w:pPr>
              <w:jc w:val="both"/>
              <w:rPr>
                <w:sz w:val="20"/>
              </w:rPr>
            </w:pPr>
            <w:r w:rsidRPr="000729DC">
              <w:rPr>
                <w:sz w:val="20"/>
              </w:rPr>
              <w:t>Ontario Superior Court of Justice</w:t>
            </w:r>
          </w:p>
          <w:p w:rsidR="001F10E6" w:rsidRPr="000729DC" w:rsidRDefault="001F10E6" w:rsidP="00871F47">
            <w:pPr>
              <w:jc w:val="both"/>
              <w:rPr>
                <w:sz w:val="20"/>
              </w:rPr>
            </w:pPr>
            <w:r w:rsidRPr="000729DC">
              <w:rPr>
                <w:sz w:val="20"/>
              </w:rPr>
              <w:t>(Morgan J.)</w:t>
            </w:r>
          </w:p>
          <w:p w:rsidR="001F10E6" w:rsidRPr="000729DC" w:rsidRDefault="00310DA4" w:rsidP="00871F47">
            <w:pPr>
              <w:jc w:val="both"/>
              <w:rPr>
                <w:sz w:val="20"/>
              </w:rPr>
            </w:pPr>
            <w:hyperlink r:id="rId24" w:history="1">
              <w:r w:rsidR="001F10E6" w:rsidRPr="000729DC">
                <w:rPr>
                  <w:color w:val="0000FF" w:themeColor="hyperlink"/>
                  <w:sz w:val="20"/>
                  <w:u w:val="single"/>
                </w:rPr>
                <w:t>2013 ONSC 4220</w:t>
              </w:r>
            </w:hyperlink>
          </w:p>
          <w:p w:rsidR="001F10E6" w:rsidRPr="000729DC" w:rsidRDefault="001F10E6" w:rsidP="00871F47">
            <w:pPr>
              <w:jc w:val="both"/>
              <w:rPr>
                <w:sz w:val="20"/>
              </w:rPr>
            </w:pPr>
          </w:p>
        </w:tc>
        <w:tc>
          <w:tcPr>
            <w:tcW w:w="243" w:type="pct"/>
          </w:tcPr>
          <w:p w:rsidR="001F10E6" w:rsidRPr="000729DC" w:rsidRDefault="001F10E6" w:rsidP="00871F47">
            <w:pPr>
              <w:jc w:val="both"/>
              <w:rPr>
                <w:sz w:val="20"/>
              </w:rPr>
            </w:pPr>
          </w:p>
        </w:tc>
        <w:tc>
          <w:tcPr>
            <w:tcW w:w="2330" w:type="pct"/>
          </w:tcPr>
          <w:p w:rsidR="001F10E6" w:rsidRPr="000729DC" w:rsidRDefault="001F10E6" w:rsidP="00871F47">
            <w:pPr>
              <w:jc w:val="both"/>
              <w:rPr>
                <w:sz w:val="20"/>
              </w:rPr>
            </w:pPr>
            <w:r w:rsidRPr="000729DC">
              <w:rPr>
                <w:sz w:val="20"/>
              </w:rPr>
              <w:t>Application by respondent, First Elgin Mills Developments Inc. for declaration determining amount currently outstanding to applicants, dismissed.</w:t>
            </w:r>
          </w:p>
          <w:p w:rsidR="001F10E6" w:rsidRPr="000729DC" w:rsidRDefault="001F10E6" w:rsidP="00871F47">
            <w:pPr>
              <w:jc w:val="both"/>
              <w:rPr>
                <w:sz w:val="20"/>
              </w:rPr>
            </w:pPr>
          </w:p>
          <w:p w:rsidR="001F10E6" w:rsidRPr="000729DC" w:rsidRDefault="001F10E6" w:rsidP="00871F47">
            <w:pPr>
              <w:jc w:val="both"/>
              <w:rPr>
                <w:sz w:val="20"/>
              </w:rPr>
            </w:pPr>
            <w:r w:rsidRPr="000729DC">
              <w:rPr>
                <w:sz w:val="20"/>
              </w:rPr>
              <w:t xml:space="preserve">Cross-application by applicants for a declaration that time for adjusting purchase price of property expired and respondent required to make full payment, granted. </w:t>
            </w:r>
          </w:p>
          <w:p w:rsidR="001F10E6" w:rsidRPr="000729DC" w:rsidRDefault="001F10E6" w:rsidP="00871F47">
            <w:pPr>
              <w:jc w:val="both"/>
              <w:rPr>
                <w:sz w:val="20"/>
              </w:rPr>
            </w:pPr>
          </w:p>
        </w:tc>
      </w:tr>
      <w:tr w:rsidR="001F10E6" w:rsidRPr="000729DC" w:rsidTr="00871F47">
        <w:tc>
          <w:tcPr>
            <w:tcW w:w="2427" w:type="pct"/>
          </w:tcPr>
          <w:p w:rsidR="001F10E6" w:rsidRPr="000729DC" w:rsidRDefault="001F10E6" w:rsidP="00871F47">
            <w:pPr>
              <w:jc w:val="both"/>
              <w:rPr>
                <w:sz w:val="20"/>
              </w:rPr>
            </w:pPr>
            <w:r w:rsidRPr="000729DC">
              <w:rPr>
                <w:sz w:val="20"/>
              </w:rPr>
              <w:lastRenderedPageBreak/>
              <w:t>August 6, 2014</w:t>
            </w:r>
          </w:p>
          <w:p w:rsidR="001F10E6" w:rsidRPr="000729DC" w:rsidRDefault="001F10E6" w:rsidP="00871F47">
            <w:pPr>
              <w:jc w:val="both"/>
              <w:rPr>
                <w:sz w:val="20"/>
              </w:rPr>
            </w:pPr>
            <w:r w:rsidRPr="000729DC">
              <w:rPr>
                <w:sz w:val="20"/>
              </w:rPr>
              <w:t>Court of Appeal for Ontario</w:t>
            </w:r>
          </w:p>
          <w:p w:rsidR="001F10E6" w:rsidRPr="000729DC" w:rsidRDefault="001F10E6" w:rsidP="00871F47">
            <w:pPr>
              <w:jc w:val="both"/>
              <w:rPr>
                <w:sz w:val="20"/>
              </w:rPr>
            </w:pPr>
            <w:r w:rsidRPr="000729DC">
              <w:rPr>
                <w:sz w:val="20"/>
              </w:rPr>
              <w:t>(Epstein, Lauwers and Pardu JJ.A.)</w:t>
            </w:r>
          </w:p>
          <w:p w:rsidR="001F10E6" w:rsidRPr="000729DC" w:rsidRDefault="00310DA4" w:rsidP="00871F47">
            <w:pPr>
              <w:jc w:val="both"/>
              <w:rPr>
                <w:sz w:val="20"/>
              </w:rPr>
            </w:pPr>
            <w:hyperlink r:id="rId25" w:history="1">
              <w:r w:rsidR="001F10E6" w:rsidRPr="000729DC">
                <w:rPr>
                  <w:color w:val="0000FF" w:themeColor="hyperlink"/>
                  <w:sz w:val="20"/>
                  <w:u w:val="single"/>
                </w:rPr>
                <w:t>2014 ONCA 573</w:t>
              </w:r>
            </w:hyperlink>
          </w:p>
          <w:p w:rsidR="001F10E6" w:rsidRPr="000729DC" w:rsidRDefault="001F10E6" w:rsidP="00871F47">
            <w:pPr>
              <w:jc w:val="both"/>
              <w:rPr>
                <w:sz w:val="20"/>
              </w:rPr>
            </w:pPr>
            <w:r w:rsidRPr="000729DC">
              <w:rPr>
                <w:sz w:val="20"/>
              </w:rPr>
              <w:t xml:space="preserve">File No.: C57028 </w:t>
            </w:r>
          </w:p>
          <w:p w:rsidR="001F10E6" w:rsidRPr="000729DC" w:rsidRDefault="001F10E6" w:rsidP="00871F47">
            <w:pPr>
              <w:jc w:val="both"/>
              <w:rPr>
                <w:sz w:val="20"/>
              </w:rPr>
            </w:pPr>
          </w:p>
        </w:tc>
        <w:tc>
          <w:tcPr>
            <w:tcW w:w="243" w:type="pct"/>
          </w:tcPr>
          <w:p w:rsidR="001F10E6" w:rsidRPr="000729DC" w:rsidRDefault="001F10E6" w:rsidP="00871F47">
            <w:pPr>
              <w:jc w:val="both"/>
              <w:rPr>
                <w:sz w:val="20"/>
              </w:rPr>
            </w:pPr>
          </w:p>
        </w:tc>
        <w:tc>
          <w:tcPr>
            <w:tcW w:w="2330" w:type="pct"/>
          </w:tcPr>
          <w:p w:rsidR="001F10E6" w:rsidRPr="000729DC" w:rsidRDefault="001F10E6" w:rsidP="00871F47">
            <w:pPr>
              <w:jc w:val="both"/>
              <w:rPr>
                <w:sz w:val="20"/>
              </w:rPr>
            </w:pPr>
            <w:r w:rsidRPr="000729DC">
              <w:rPr>
                <w:sz w:val="20"/>
              </w:rPr>
              <w:t>Judgment of application judge set aside; Respondent entitled to a purchase price reduction in accordance with Agreement.</w:t>
            </w:r>
          </w:p>
          <w:p w:rsidR="001F10E6" w:rsidRPr="000729DC" w:rsidRDefault="001F10E6" w:rsidP="00871F47">
            <w:pPr>
              <w:jc w:val="both"/>
              <w:rPr>
                <w:sz w:val="20"/>
              </w:rPr>
            </w:pPr>
          </w:p>
        </w:tc>
      </w:tr>
      <w:tr w:rsidR="001F10E6" w:rsidRPr="000729DC" w:rsidTr="00871F47">
        <w:tc>
          <w:tcPr>
            <w:tcW w:w="2427" w:type="pct"/>
          </w:tcPr>
          <w:p w:rsidR="001F10E6" w:rsidRPr="000729DC" w:rsidRDefault="001F10E6" w:rsidP="00871F47">
            <w:pPr>
              <w:jc w:val="both"/>
              <w:rPr>
                <w:sz w:val="20"/>
              </w:rPr>
            </w:pPr>
            <w:r w:rsidRPr="000729DC">
              <w:rPr>
                <w:sz w:val="20"/>
              </w:rPr>
              <w:t>October 6, 2014</w:t>
            </w:r>
          </w:p>
          <w:p w:rsidR="001F10E6" w:rsidRPr="000729DC" w:rsidRDefault="001F10E6" w:rsidP="00871F47">
            <w:pPr>
              <w:jc w:val="both"/>
              <w:rPr>
                <w:sz w:val="20"/>
              </w:rPr>
            </w:pPr>
            <w:r w:rsidRPr="000729DC">
              <w:rPr>
                <w:sz w:val="20"/>
              </w:rPr>
              <w:t>Supreme Court of Canada</w:t>
            </w:r>
          </w:p>
          <w:p w:rsidR="001F10E6" w:rsidRPr="000729DC" w:rsidRDefault="001F10E6" w:rsidP="00871F47">
            <w:pPr>
              <w:jc w:val="both"/>
              <w:rPr>
                <w:sz w:val="20"/>
              </w:rPr>
            </w:pPr>
          </w:p>
        </w:tc>
        <w:tc>
          <w:tcPr>
            <w:tcW w:w="243" w:type="pct"/>
          </w:tcPr>
          <w:p w:rsidR="001F10E6" w:rsidRPr="000729DC" w:rsidRDefault="001F10E6" w:rsidP="00871F47">
            <w:pPr>
              <w:jc w:val="both"/>
              <w:rPr>
                <w:sz w:val="20"/>
              </w:rPr>
            </w:pPr>
          </w:p>
        </w:tc>
        <w:tc>
          <w:tcPr>
            <w:tcW w:w="2330" w:type="pct"/>
          </w:tcPr>
          <w:p w:rsidR="001F10E6" w:rsidRPr="000729DC" w:rsidRDefault="001F10E6" w:rsidP="00871F47">
            <w:pPr>
              <w:jc w:val="both"/>
              <w:rPr>
                <w:sz w:val="20"/>
              </w:rPr>
            </w:pPr>
            <w:r w:rsidRPr="000729DC">
              <w:rPr>
                <w:sz w:val="20"/>
              </w:rPr>
              <w:t>Application for leave to appeal filed.</w:t>
            </w:r>
          </w:p>
          <w:p w:rsidR="001F10E6" w:rsidRPr="000729DC" w:rsidRDefault="001F10E6" w:rsidP="00871F47">
            <w:pPr>
              <w:jc w:val="both"/>
              <w:rPr>
                <w:sz w:val="20"/>
              </w:rPr>
            </w:pPr>
          </w:p>
        </w:tc>
      </w:tr>
      <w:tr w:rsidR="001F10E6" w:rsidRPr="000729DC" w:rsidTr="00871F47">
        <w:tc>
          <w:tcPr>
            <w:tcW w:w="2427" w:type="pct"/>
          </w:tcPr>
          <w:p w:rsidR="001F10E6" w:rsidRPr="000729DC" w:rsidRDefault="001F10E6" w:rsidP="00871F47">
            <w:pPr>
              <w:jc w:val="both"/>
              <w:rPr>
                <w:sz w:val="20"/>
              </w:rPr>
            </w:pPr>
            <w:r w:rsidRPr="000729DC">
              <w:rPr>
                <w:sz w:val="20"/>
              </w:rPr>
              <w:t>November 13, 2014</w:t>
            </w:r>
          </w:p>
          <w:p w:rsidR="001F10E6" w:rsidRPr="000729DC" w:rsidRDefault="001F10E6" w:rsidP="00871F47">
            <w:pPr>
              <w:jc w:val="both"/>
              <w:rPr>
                <w:sz w:val="20"/>
              </w:rPr>
            </w:pPr>
            <w:r w:rsidRPr="000729DC">
              <w:rPr>
                <w:sz w:val="20"/>
              </w:rPr>
              <w:t xml:space="preserve">Supreme Court of Canada </w:t>
            </w:r>
          </w:p>
          <w:p w:rsidR="001F10E6" w:rsidRPr="000729DC" w:rsidRDefault="001F10E6" w:rsidP="00871F47">
            <w:pPr>
              <w:jc w:val="both"/>
              <w:rPr>
                <w:sz w:val="20"/>
              </w:rPr>
            </w:pPr>
          </w:p>
        </w:tc>
        <w:tc>
          <w:tcPr>
            <w:tcW w:w="243" w:type="pct"/>
          </w:tcPr>
          <w:p w:rsidR="001F10E6" w:rsidRPr="000729DC" w:rsidRDefault="001F10E6" w:rsidP="00871F47">
            <w:pPr>
              <w:jc w:val="both"/>
              <w:rPr>
                <w:sz w:val="20"/>
              </w:rPr>
            </w:pPr>
          </w:p>
        </w:tc>
        <w:tc>
          <w:tcPr>
            <w:tcW w:w="2330" w:type="pct"/>
          </w:tcPr>
          <w:p w:rsidR="001F10E6" w:rsidRPr="000729DC" w:rsidRDefault="001F10E6" w:rsidP="00871F47">
            <w:pPr>
              <w:jc w:val="both"/>
              <w:rPr>
                <w:sz w:val="20"/>
              </w:rPr>
            </w:pPr>
            <w:r w:rsidRPr="000729DC">
              <w:rPr>
                <w:sz w:val="20"/>
              </w:rPr>
              <w:t>Respondent’s motion for an extension of time to file and/or serve response granted.</w:t>
            </w:r>
          </w:p>
        </w:tc>
      </w:tr>
      <w:tr w:rsidR="001F10E6" w:rsidRPr="000729DC" w:rsidTr="00871F47">
        <w:tc>
          <w:tcPr>
            <w:tcW w:w="2427" w:type="pct"/>
          </w:tcPr>
          <w:p w:rsidR="001F10E6" w:rsidRPr="000729DC" w:rsidRDefault="001F10E6" w:rsidP="00871F47">
            <w:pPr>
              <w:jc w:val="both"/>
              <w:rPr>
                <w:sz w:val="20"/>
              </w:rPr>
            </w:pPr>
            <w:r w:rsidRPr="000729DC">
              <w:rPr>
                <w:sz w:val="20"/>
              </w:rPr>
              <w:t xml:space="preserve">January 28, 2015 </w:t>
            </w:r>
          </w:p>
          <w:p w:rsidR="001F10E6" w:rsidRPr="000729DC" w:rsidRDefault="001F10E6" w:rsidP="00871F47">
            <w:pPr>
              <w:jc w:val="both"/>
              <w:rPr>
                <w:sz w:val="20"/>
              </w:rPr>
            </w:pPr>
            <w:r w:rsidRPr="000729DC">
              <w:rPr>
                <w:sz w:val="20"/>
              </w:rPr>
              <w:t>Court of Appeal for Ontario</w:t>
            </w:r>
          </w:p>
          <w:p w:rsidR="001F10E6" w:rsidRPr="000729DC" w:rsidRDefault="001F10E6" w:rsidP="00871F47">
            <w:pPr>
              <w:jc w:val="both"/>
              <w:rPr>
                <w:sz w:val="20"/>
              </w:rPr>
            </w:pPr>
            <w:r w:rsidRPr="000729DC">
              <w:rPr>
                <w:sz w:val="20"/>
              </w:rPr>
              <w:t>(Epstein, Lauwers and Pardu JJ.A.)</w:t>
            </w:r>
          </w:p>
          <w:p w:rsidR="001F10E6" w:rsidRPr="000729DC" w:rsidRDefault="00310DA4" w:rsidP="00871F47">
            <w:pPr>
              <w:jc w:val="both"/>
              <w:rPr>
                <w:sz w:val="20"/>
              </w:rPr>
            </w:pPr>
            <w:hyperlink r:id="rId26" w:history="1">
              <w:r w:rsidR="001F10E6" w:rsidRPr="000729DC">
                <w:rPr>
                  <w:color w:val="0000FF" w:themeColor="hyperlink"/>
                  <w:sz w:val="20"/>
                  <w:u w:val="single"/>
                </w:rPr>
                <w:t>2015 ONCA 54</w:t>
              </w:r>
            </w:hyperlink>
          </w:p>
        </w:tc>
        <w:tc>
          <w:tcPr>
            <w:tcW w:w="243" w:type="pct"/>
          </w:tcPr>
          <w:p w:rsidR="001F10E6" w:rsidRPr="000729DC" w:rsidRDefault="001F10E6" w:rsidP="00871F47">
            <w:pPr>
              <w:jc w:val="both"/>
              <w:rPr>
                <w:sz w:val="20"/>
              </w:rPr>
            </w:pPr>
          </w:p>
        </w:tc>
        <w:tc>
          <w:tcPr>
            <w:tcW w:w="2330" w:type="pct"/>
          </w:tcPr>
          <w:p w:rsidR="001F10E6" w:rsidRPr="000729DC" w:rsidRDefault="001F10E6" w:rsidP="00871F47">
            <w:pPr>
              <w:jc w:val="both"/>
              <w:rPr>
                <w:sz w:val="20"/>
              </w:rPr>
            </w:pPr>
            <w:r w:rsidRPr="000729DC">
              <w:rPr>
                <w:sz w:val="20"/>
              </w:rPr>
              <w:t>Motion for re-hearing of appeal dismissed.</w:t>
            </w:r>
          </w:p>
        </w:tc>
      </w:tr>
    </w:tbl>
    <w:p w:rsidR="00CE4499" w:rsidRDefault="00CE4499" w:rsidP="00CE4499">
      <w:pPr>
        <w:rPr>
          <w:sz w:val="20"/>
          <w:szCs w:val="20"/>
        </w:rPr>
      </w:pPr>
    </w:p>
    <w:p w:rsidR="00CE4499" w:rsidRPr="00C50A5C" w:rsidRDefault="00310DA4" w:rsidP="00CE4499">
      <w:pPr>
        <w:rPr>
          <w:sz w:val="20"/>
          <w:szCs w:val="20"/>
        </w:rPr>
      </w:pPr>
      <w:r>
        <w:rPr>
          <w:sz w:val="20"/>
          <w:szCs w:val="20"/>
          <w:lang w:val="fr-CA"/>
        </w:rPr>
        <w:pict>
          <v:rect id="_x0000_i1043" style="width:2in;height:1pt" o:hrpct="0" o:hralign="center" o:hrstd="t" o:hrnoshade="t" o:hr="t" fillcolor="black [3213]" stroked="f"/>
        </w:pict>
      </w:r>
    </w:p>
    <w:p w:rsidR="00CE4499" w:rsidRDefault="00CE4499" w:rsidP="00CE4499">
      <w:pPr>
        <w:rPr>
          <w:sz w:val="20"/>
          <w:szCs w:val="20"/>
        </w:rPr>
      </w:pPr>
    </w:p>
    <w:p w:rsidR="00CE4499" w:rsidRPr="001B157C" w:rsidRDefault="00CE4499" w:rsidP="00CE4499">
      <w:pPr>
        <w:rPr>
          <w:sz w:val="20"/>
          <w:szCs w:val="20"/>
          <w:u w:val="single"/>
          <w:lang w:val="fr-CA"/>
        </w:rPr>
      </w:pPr>
      <w:r w:rsidRPr="001B157C">
        <w:rPr>
          <w:sz w:val="20"/>
          <w:szCs w:val="20"/>
          <w:u w:val="single"/>
          <w:lang w:val="fr-CA"/>
        </w:rPr>
        <w:t>RÉSUMÉ DE L’AFFAIRE</w:t>
      </w:r>
    </w:p>
    <w:p w:rsidR="00CE4499" w:rsidRDefault="00CE4499" w:rsidP="00CE449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F10E6" w:rsidRPr="00310DA4" w:rsidTr="00871F47">
        <w:tc>
          <w:tcPr>
            <w:tcW w:w="5000" w:type="pct"/>
            <w:gridSpan w:val="3"/>
          </w:tcPr>
          <w:p w:rsidR="001F10E6" w:rsidRPr="000729DC" w:rsidRDefault="001F10E6" w:rsidP="00871F47">
            <w:pPr>
              <w:jc w:val="both"/>
              <w:rPr>
                <w:sz w:val="20"/>
                <w:lang w:val="fr-CA"/>
              </w:rPr>
            </w:pPr>
            <w:r w:rsidRPr="000729DC">
              <w:rPr>
                <w:sz w:val="20"/>
                <w:lang w:val="fr-CA"/>
              </w:rPr>
              <w:t>Vente d’un terrain — Contrat d’achat et de vente — Interprétation — Le contrat renfermait une clause d’ajustement du prix en vertu de laquelle le prix d’achat pouvait être réduit si la superficie aménageable du terrain était moindre que ce qui était prévu — L’intimée a sollicité un jugement déclarant qu’en application de la clause d’ajustement du prix, il n’y avait aucun solde à payer sur le prix d’achat — En demande reconventionnelle, les demandeurs ont sollicité un jugement déclarant que la clause d’ajustement du prix n’avait pas pour effet de réduire le prix d’achat, puisque la clause était venue à échéance, si bien que l’intimée était obligée de payer le solde résiduel — Le juge de première instance a rejeté la demande de l’intimée et accueilli la demande reconventionnelle des demandeurs — La Cour d’appel a accueilli l’appel de l’intimée et autorisé la réduction du prix d’achat prévu dans le contrat — La cour d’appel peut-elle substituer son interprétation du contrat écrit à l’interprétation donnée par le juge de première instance au motif que ce dernier aurait commis une erreur? — À quelles dispositions du contrat écrit s’applique la clause de rigueur des délais?</w:t>
            </w:r>
          </w:p>
        </w:tc>
      </w:tr>
      <w:tr w:rsidR="001F10E6" w:rsidRPr="00310DA4" w:rsidTr="00871F47">
        <w:tc>
          <w:tcPr>
            <w:tcW w:w="5000" w:type="pct"/>
            <w:gridSpan w:val="3"/>
          </w:tcPr>
          <w:p w:rsidR="001F10E6" w:rsidRPr="000729DC" w:rsidRDefault="001F10E6" w:rsidP="00871F47">
            <w:pPr>
              <w:jc w:val="both"/>
              <w:rPr>
                <w:sz w:val="20"/>
                <w:lang w:val="fr-CA"/>
              </w:rPr>
            </w:pPr>
          </w:p>
        </w:tc>
      </w:tr>
      <w:tr w:rsidR="001F10E6" w:rsidRPr="00310DA4" w:rsidTr="00871F47">
        <w:tc>
          <w:tcPr>
            <w:tcW w:w="5000" w:type="pct"/>
            <w:gridSpan w:val="3"/>
          </w:tcPr>
          <w:p w:rsidR="001F10E6" w:rsidRPr="000729DC" w:rsidRDefault="001F10E6" w:rsidP="00871F47">
            <w:pPr>
              <w:shd w:val="clear" w:color="auto" w:fill="FFFFFF"/>
              <w:jc w:val="both"/>
              <w:rPr>
                <w:sz w:val="20"/>
                <w:lang w:val="fr-CA"/>
              </w:rPr>
            </w:pPr>
            <w:r w:rsidRPr="000729DC">
              <w:rPr>
                <w:sz w:val="20"/>
                <w:lang w:val="fr-CA"/>
              </w:rPr>
              <w:t xml:space="preserve">L’intimée, First Elgin Mills Developments Inc., a acheté des demandeurs un terrain non aménagé pour la somme d’environ 12,5 millions de dollars, garantie par un prêt hypothécaire accordé par le vendeur, sans intérêt, payable sur sept ans.  Le contrat renfermait une clause d’ajustement du prix en vertu de laquelle le prix d’achat pouvait être réduit si la superficie aménageable du terrain était moindre que ce qui était prévu.  First Elgin a sollicité un jugement déclarant qu’en application de la clause d’ajustement du prix, il n’y avait aucun solde à payer sur le prix d’achat.  First Elgin a également demandé une ordonnance corrélative de mainlevée de l’hypothèque. </w:t>
            </w:r>
          </w:p>
          <w:p w:rsidR="001F10E6" w:rsidRPr="000729DC" w:rsidRDefault="001F10E6" w:rsidP="00871F47">
            <w:pPr>
              <w:shd w:val="clear" w:color="auto" w:fill="FFFFFF"/>
              <w:jc w:val="both"/>
              <w:rPr>
                <w:sz w:val="20"/>
                <w:lang w:val="fr-CA"/>
              </w:rPr>
            </w:pPr>
          </w:p>
          <w:p w:rsidR="001F10E6" w:rsidRPr="000729DC" w:rsidRDefault="001F10E6" w:rsidP="00871F47">
            <w:pPr>
              <w:shd w:val="clear" w:color="auto" w:fill="FFFFFF"/>
              <w:jc w:val="both"/>
              <w:rPr>
                <w:sz w:val="20"/>
                <w:lang w:val="fr-CA"/>
              </w:rPr>
            </w:pPr>
            <w:r w:rsidRPr="000729DC">
              <w:rPr>
                <w:sz w:val="20"/>
                <w:lang w:val="fr-CA"/>
              </w:rPr>
              <w:t xml:space="preserve">En demande reconventionnelle, les demandeurs ont sollicité un jugement déclarant que la clause d’ajustement du prix n’avait pas pour effet de réduire le prix d’achat, puisque la clause était venue à échéance, si bien que First Elgin était obligée de payer aux demandeurs le solde résiduel d’environ 1,4 million de dollars. </w:t>
            </w:r>
          </w:p>
          <w:p w:rsidR="001F10E6" w:rsidRPr="000729DC" w:rsidRDefault="001F10E6" w:rsidP="00871F47">
            <w:pPr>
              <w:shd w:val="clear" w:color="auto" w:fill="FFFFFF"/>
              <w:jc w:val="both"/>
              <w:rPr>
                <w:sz w:val="20"/>
                <w:lang w:val="fr-CA"/>
              </w:rPr>
            </w:pPr>
          </w:p>
          <w:p w:rsidR="001F10E6" w:rsidRPr="000729DC" w:rsidRDefault="001F10E6" w:rsidP="00871F47">
            <w:pPr>
              <w:jc w:val="both"/>
              <w:rPr>
                <w:sz w:val="20"/>
                <w:lang w:val="fr-CA"/>
              </w:rPr>
            </w:pPr>
            <w:r w:rsidRPr="000729DC">
              <w:rPr>
                <w:sz w:val="20"/>
                <w:lang w:val="fr-CA"/>
              </w:rPr>
              <w:t>Le juge de première instance a rejeté la demande de First Elgin et accueilli la demande reconventionnelle des demandeurs — La Cour d’appel a accueilli l’appel de First Elgin et autorisé la réduction du prix d’achat prévu dans le contrat.  La Cour d’appel a rejeté une demande en nouvelle instruction de l’appel.</w:t>
            </w:r>
          </w:p>
          <w:p w:rsidR="001F10E6" w:rsidRPr="000729DC" w:rsidRDefault="001F10E6" w:rsidP="00871F47">
            <w:pPr>
              <w:jc w:val="both"/>
              <w:rPr>
                <w:sz w:val="20"/>
                <w:lang w:val="fr-CA"/>
              </w:rPr>
            </w:pPr>
          </w:p>
        </w:tc>
      </w:tr>
      <w:tr w:rsidR="001F10E6" w:rsidRPr="00310DA4" w:rsidTr="00871F47">
        <w:trPr>
          <w:cantSplit/>
        </w:trPr>
        <w:tc>
          <w:tcPr>
            <w:tcW w:w="2427" w:type="pct"/>
          </w:tcPr>
          <w:p w:rsidR="001F10E6" w:rsidRPr="000729DC" w:rsidRDefault="001F10E6" w:rsidP="00871F47">
            <w:pPr>
              <w:jc w:val="both"/>
              <w:rPr>
                <w:sz w:val="20"/>
                <w:lang w:val="fr-CA"/>
              </w:rPr>
            </w:pPr>
            <w:r w:rsidRPr="000729DC">
              <w:rPr>
                <w:sz w:val="20"/>
                <w:lang w:val="fr-CA"/>
              </w:rPr>
              <w:lastRenderedPageBreak/>
              <w:t>19 juin 2013</w:t>
            </w:r>
          </w:p>
          <w:p w:rsidR="001F10E6" w:rsidRPr="000729DC" w:rsidRDefault="001F10E6" w:rsidP="00871F47">
            <w:pPr>
              <w:jc w:val="both"/>
              <w:rPr>
                <w:sz w:val="20"/>
                <w:lang w:val="fr-CA"/>
              </w:rPr>
            </w:pPr>
            <w:r w:rsidRPr="000729DC">
              <w:rPr>
                <w:sz w:val="20"/>
                <w:lang w:val="fr-CA"/>
              </w:rPr>
              <w:t>Cour supérieure de justice de l’Ontario</w:t>
            </w:r>
          </w:p>
          <w:p w:rsidR="001F10E6" w:rsidRPr="000729DC" w:rsidRDefault="001F10E6" w:rsidP="00871F47">
            <w:pPr>
              <w:jc w:val="both"/>
              <w:rPr>
                <w:sz w:val="20"/>
                <w:lang w:val="fr-CA"/>
              </w:rPr>
            </w:pPr>
            <w:r w:rsidRPr="000729DC">
              <w:rPr>
                <w:sz w:val="20"/>
                <w:lang w:val="fr-CA"/>
              </w:rPr>
              <w:t>(Juge Morgan)</w:t>
            </w:r>
          </w:p>
          <w:p w:rsidR="001F10E6" w:rsidRPr="000729DC" w:rsidRDefault="00310DA4" w:rsidP="00871F47">
            <w:pPr>
              <w:jc w:val="both"/>
              <w:rPr>
                <w:sz w:val="20"/>
                <w:lang w:val="fr-CA"/>
              </w:rPr>
            </w:pPr>
            <w:hyperlink r:id="rId27" w:history="1">
              <w:r w:rsidR="001F10E6" w:rsidRPr="000729DC">
                <w:rPr>
                  <w:color w:val="0000FF" w:themeColor="hyperlink"/>
                  <w:sz w:val="20"/>
                  <w:u w:val="single"/>
                  <w:lang w:val="fr-CA"/>
                </w:rPr>
                <w:t>2013 ONSC 4220</w:t>
              </w:r>
            </w:hyperlink>
          </w:p>
          <w:p w:rsidR="001F10E6" w:rsidRPr="000729DC" w:rsidRDefault="001F10E6" w:rsidP="00871F47">
            <w:pPr>
              <w:jc w:val="both"/>
              <w:rPr>
                <w:sz w:val="20"/>
                <w:lang w:val="fr-CA"/>
              </w:rPr>
            </w:pPr>
          </w:p>
        </w:tc>
        <w:tc>
          <w:tcPr>
            <w:tcW w:w="243" w:type="pct"/>
          </w:tcPr>
          <w:p w:rsidR="001F10E6" w:rsidRPr="000729DC" w:rsidRDefault="001F10E6" w:rsidP="00871F47">
            <w:pPr>
              <w:jc w:val="both"/>
              <w:rPr>
                <w:sz w:val="20"/>
                <w:lang w:val="fr-CA"/>
              </w:rPr>
            </w:pPr>
          </w:p>
        </w:tc>
        <w:tc>
          <w:tcPr>
            <w:tcW w:w="2330" w:type="pct"/>
          </w:tcPr>
          <w:p w:rsidR="001F10E6" w:rsidRPr="000729DC" w:rsidRDefault="001F10E6" w:rsidP="00871F47">
            <w:pPr>
              <w:jc w:val="both"/>
              <w:rPr>
                <w:sz w:val="20"/>
                <w:lang w:val="fr-CA"/>
              </w:rPr>
            </w:pPr>
            <w:r w:rsidRPr="000729DC">
              <w:rPr>
                <w:sz w:val="20"/>
                <w:lang w:val="fr-CA"/>
              </w:rPr>
              <w:t>Rejet de la demande de l’intimée, First Elgin Mills Developments Inc., en jugement déclaratoire du montant actuellement dû aux demandeurs.</w:t>
            </w:r>
          </w:p>
          <w:p w:rsidR="001F10E6" w:rsidRPr="000729DC" w:rsidRDefault="001F10E6" w:rsidP="00871F47">
            <w:pPr>
              <w:jc w:val="both"/>
              <w:rPr>
                <w:sz w:val="20"/>
                <w:lang w:val="fr-CA"/>
              </w:rPr>
            </w:pPr>
          </w:p>
          <w:p w:rsidR="001F10E6" w:rsidRPr="000729DC" w:rsidRDefault="001F10E6" w:rsidP="00871F47">
            <w:pPr>
              <w:jc w:val="both"/>
              <w:rPr>
                <w:sz w:val="20"/>
                <w:lang w:val="fr-CA"/>
              </w:rPr>
            </w:pPr>
            <w:r w:rsidRPr="000729DC">
              <w:rPr>
                <w:sz w:val="20"/>
                <w:lang w:val="fr-CA"/>
              </w:rPr>
              <w:t xml:space="preserve">Décision accueillant la demande reconventionnelle des demandeurs en jugement déclarant que le délai d’ajustement du prix du bien-fonds était venu à échéance et que l’intimée était tenue de payer le montant intégral du prix d’achat. </w:t>
            </w:r>
          </w:p>
          <w:p w:rsidR="001F10E6" w:rsidRPr="000729DC" w:rsidRDefault="001F10E6" w:rsidP="00871F47">
            <w:pPr>
              <w:jc w:val="both"/>
              <w:rPr>
                <w:sz w:val="20"/>
                <w:lang w:val="fr-CA"/>
              </w:rPr>
            </w:pPr>
          </w:p>
        </w:tc>
      </w:tr>
      <w:tr w:rsidR="001F10E6" w:rsidRPr="00310DA4" w:rsidTr="00871F47">
        <w:trPr>
          <w:cantSplit/>
        </w:trPr>
        <w:tc>
          <w:tcPr>
            <w:tcW w:w="2427" w:type="pct"/>
          </w:tcPr>
          <w:p w:rsidR="001F10E6" w:rsidRPr="000729DC" w:rsidRDefault="001F10E6" w:rsidP="00871F47">
            <w:pPr>
              <w:jc w:val="both"/>
              <w:rPr>
                <w:sz w:val="20"/>
                <w:lang w:val="fr-CA"/>
              </w:rPr>
            </w:pPr>
            <w:r w:rsidRPr="000729DC">
              <w:rPr>
                <w:sz w:val="20"/>
                <w:lang w:val="fr-CA"/>
              </w:rPr>
              <w:t>6 août 2014</w:t>
            </w:r>
          </w:p>
          <w:p w:rsidR="001F10E6" w:rsidRPr="000729DC" w:rsidRDefault="001F10E6" w:rsidP="00871F47">
            <w:pPr>
              <w:jc w:val="both"/>
              <w:rPr>
                <w:sz w:val="20"/>
                <w:lang w:val="fr-CA"/>
              </w:rPr>
            </w:pPr>
            <w:r w:rsidRPr="000729DC">
              <w:rPr>
                <w:sz w:val="20"/>
                <w:lang w:val="fr-CA"/>
              </w:rPr>
              <w:t>Cour d’appel de l’Ontario</w:t>
            </w:r>
          </w:p>
          <w:p w:rsidR="001F10E6" w:rsidRPr="000729DC" w:rsidRDefault="001F10E6" w:rsidP="00871F47">
            <w:pPr>
              <w:jc w:val="both"/>
              <w:rPr>
                <w:sz w:val="20"/>
                <w:lang w:val="fr-CA"/>
              </w:rPr>
            </w:pPr>
            <w:r w:rsidRPr="000729DC">
              <w:rPr>
                <w:sz w:val="20"/>
                <w:lang w:val="fr-CA"/>
              </w:rPr>
              <w:t>(Juges Epstein, Lauwers et Pardu)</w:t>
            </w:r>
          </w:p>
          <w:p w:rsidR="001F10E6" w:rsidRPr="000729DC" w:rsidRDefault="00310DA4" w:rsidP="00871F47">
            <w:pPr>
              <w:jc w:val="both"/>
              <w:rPr>
                <w:sz w:val="20"/>
                <w:lang w:val="fr-CA"/>
              </w:rPr>
            </w:pPr>
            <w:hyperlink r:id="rId28" w:history="1">
              <w:r w:rsidR="001F10E6" w:rsidRPr="000729DC">
                <w:rPr>
                  <w:color w:val="0000FF" w:themeColor="hyperlink"/>
                  <w:sz w:val="20"/>
                  <w:u w:val="single"/>
                  <w:lang w:val="fr-CA"/>
                </w:rPr>
                <w:t>2014 ONCA 573</w:t>
              </w:r>
            </w:hyperlink>
          </w:p>
          <w:p w:rsidR="001F10E6" w:rsidRPr="000729DC" w:rsidRDefault="001F10E6" w:rsidP="00871F47">
            <w:pPr>
              <w:jc w:val="both"/>
              <w:rPr>
                <w:sz w:val="20"/>
                <w:lang w:val="fr-CA"/>
              </w:rPr>
            </w:pPr>
            <w:r w:rsidRPr="000729DC">
              <w:rPr>
                <w:sz w:val="20"/>
                <w:lang w:val="fr-CA"/>
              </w:rPr>
              <w:t>N</w:t>
            </w:r>
            <w:r w:rsidRPr="000729DC">
              <w:rPr>
                <w:sz w:val="20"/>
                <w:vertAlign w:val="superscript"/>
                <w:lang w:val="fr-CA"/>
              </w:rPr>
              <w:t>o</w:t>
            </w:r>
            <w:r w:rsidRPr="000729DC">
              <w:rPr>
                <w:sz w:val="20"/>
                <w:lang w:val="fr-CA"/>
              </w:rPr>
              <w:t xml:space="preserve"> du greffe : C57028 </w:t>
            </w:r>
          </w:p>
          <w:p w:rsidR="001F10E6" w:rsidRPr="000729DC" w:rsidRDefault="001F10E6" w:rsidP="00871F47">
            <w:pPr>
              <w:jc w:val="both"/>
              <w:rPr>
                <w:sz w:val="20"/>
                <w:lang w:val="fr-CA"/>
              </w:rPr>
            </w:pPr>
          </w:p>
        </w:tc>
        <w:tc>
          <w:tcPr>
            <w:tcW w:w="243" w:type="pct"/>
          </w:tcPr>
          <w:p w:rsidR="001F10E6" w:rsidRPr="000729DC" w:rsidRDefault="001F10E6" w:rsidP="00871F47">
            <w:pPr>
              <w:jc w:val="both"/>
              <w:rPr>
                <w:sz w:val="20"/>
                <w:lang w:val="fr-CA"/>
              </w:rPr>
            </w:pPr>
          </w:p>
        </w:tc>
        <w:tc>
          <w:tcPr>
            <w:tcW w:w="2330" w:type="pct"/>
          </w:tcPr>
          <w:p w:rsidR="001F10E6" w:rsidRPr="000729DC" w:rsidRDefault="001F10E6" w:rsidP="00871F47">
            <w:pPr>
              <w:jc w:val="both"/>
              <w:rPr>
                <w:sz w:val="20"/>
                <w:lang w:val="fr-CA"/>
              </w:rPr>
            </w:pPr>
            <w:r w:rsidRPr="000729DC">
              <w:rPr>
                <w:sz w:val="20"/>
                <w:lang w:val="fr-CA"/>
              </w:rPr>
              <w:t>Annulation du jugement du juge de première instance; arrêt portant que l’intimée a droit à la réduction du prix d’achat conformément au contrat.</w:t>
            </w:r>
          </w:p>
          <w:p w:rsidR="001F10E6" w:rsidRPr="000729DC" w:rsidRDefault="001F10E6" w:rsidP="00871F47">
            <w:pPr>
              <w:jc w:val="both"/>
              <w:rPr>
                <w:sz w:val="20"/>
                <w:lang w:val="fr-CA"/>
              </w:rPr>
            </w:pPr>
          </w:p>
        </w:tc>
      </w:tr>
      <w:tr w:rsidR="001F10E6" w:rsidRPr="00310DA4" w:rsidTr="00871F47">
        <w:trPr>
          <w:cantSplit/>
        </w:trPr>
        <w:tc>
          <w:tcPr>
            <w:tcW w:w="2427" w:type="pct"/>
          </w:tcPr>
          <w:p w:rsidR="001F10E6" w:rsidRPr="000729DC" w:rsidRDefault="001F10E6" w:rsidP="00871F47">
            <w:pPr>
              <w:jc w:val="both"/>
              <w:rPr>
                <w:sz w:val="20"/>
                <w:lang w:val="fr-CA"/>
              </w:rPr>
            </w:pPr>
            <w:r w:rsidRPr="000729DC">
              <w:rPr>
                <w:sz w:val="20"/>
                <w:lang w:val="fr-CA"/>
              </w:rPr>
              <w:t>6 octobre 2014</w:t>
            </w:r>
          </w:p>
          <w:p w:rsidR="001F10E6" w:rsidRPr="000729DC" w:rsidRDefault="001F10E6" w:rsidP="00871F47">
            <w:pPr>
              <w:jc w:val="both"/>
              <w:rPr>
                <w:sz w:val="20"/>
                <w:lang w:val="fr-CA"/>
              </w:rPr>
            </w:pPr>
            <w:r w:rsidRPr="000729DC">
              <w:rPr>
                <w:sz w:val="20"/>
                <w:lang w:val="fr-CA"/>
              </w:rPr>
              <w:t>Cour suprême du Canada</w:t>
            </w:r>
          </w:p>
          <w:p w:rsidR="001F10E6" w:rsidRPr="000729DC" w:rsidRDefault="001F10E6" w:rsidP="00871F47">
            <w:pPr>
              <w:jc w:val="both"/>
              <w:rPr>
                <w:sz w:val="20"/>
                <w:lang w:val="fr-CA"/>
              </w:rPr>
            </w:pPr>
          </w:p>
        </w:tc>
        <w:tc>
          <w:tcPr>
            <w:tcW w:w="243" w:type="pct"/>
          </w:tcPr>
          <w:p w:rsidR="001F10E6" w:rsidRPr="000729DC" w:rsidRDefault="001F10E6" w:rsidP="00871F47">
            <w:pPr>
              <w:jc w:val="both"/>
              <w:rPr>
                <w:sz w:val="20"/>
                <w:lang w:val="fr-CA"/>
              </w:rPr>
            </w:pPr>
          </w:p>
        </w:tc>
        <w:tc>
          <w:tcPr>
            <w:tcW w:w="2330" w:type="pct"/>
          </w:tcPr>
          <w:p w:rsidR="001F10E6" w:rsidRPr="000729DC" w:rsidRDefault="001F10E6" w:rsidP="00871F47">
            <w:pPr>
              <w:jc w:val="both"/>
              <w:rPr>
                <w:sz w:val="20"/>
                <w:lang w:val="fr-CA"/>
              </w:rPr>
            </w:pPr>
            <w:r w:rsidRPr="000729DC">
              <w:rPr>
                <w:sz w:val="20"/>
                <w:lang w:val="fr-CA"/>
              </w:rPr>
              <w:t>Dépôt de la demande d’autorisation d’appel.</w:t>
            </w:r>
          </w:p>
          <w:p w:rsidR="001F10E6" w:rsidRPr="000729DC" w:rsidRDefault="001F10E6" w:rsidP="00871F47">
            <w:pPr>
              <w:jc w:val="both"/>
              <w:rPr>
                <w:sz w:val="20"/>
                <w:lang w:val="fr-CA"/>
              </w:rPr>
            </w:pPr>
          </w:p>
        </w:tc>
      </w:tr>
      <w:tr w:rsidR="001F10E6" w:rsidRPr="00310DA4" w:rsidTr="00871F47">
        <w:trPr>
          <w:cantSplit/>
        </w:trPr>
        <w:tc>
          <w:tcPr>
            <w:tcW w:w="2427" w:type="pct"/>
          </w:tcPr>
          <w:p w:rsidR="001F10E6" w:rsidRPr="000729DC" w:rsidRDefault="001F10E6" w:rsidP="00871F47">
            <w:pPr>
              <w:jc w:val="both"/>
              <w:rPr>
                <w:sz w:val="20"/>
                <w:lang w:val="fr-CA"/>
              </w:rPr>
            </w:pPr>
            <w:r w:rsidRPr="000729DC">
              <w:rPr>
                <w:sz w:val="20"/>
                <w:lang w:val="fr-CA"/>
              </w:rPr>
              <w:t>13 novembre 2014</w:t>
            </w:r>
          </w:p>
          <w:p w:rsidR="001F10E6" w:rsidRPr="000729DC" w:rsidRDefault="001F10E6" w:rsidP="00871F47">
            <w:pPr>
              <w:jc w:val="both"/>
              <w:rPr>
                <w:sz w:val="20"/>
                <w:lang w:val="fr-CA"/>
              </w:rPr>
            </w:pPr>
            <w:r w:rsidRPr="000729DC">
              <w:rPr>
                <w:sz w:val="20"/>
                <w:lang w:val="fr-CA"/>
              </w:rPr>
              <w:t xml:space="preserve">Cour suprême du Canada </w:t>
            </w:r>
          </w:p>
          <w:p w:rsidR="001F10E6" w:rsidRPr="000729DC" w:rsidRDefault="001F10E6" w:rsidP="00871F47">
            <w:pPr>
              <w:jc w:val="both"/>
              <w:rPr>
                <w:sz w:val="20"/>
                <w:lang w:val="fr-CA"/>
              </w:rPr>
            </w:pPr>
          </w:p>
        </w:tc>
        <w:tc>
          <w:tcPr>
            <w:tcW w:w="243" w:type="pct"/>
          </w:tcPr>
          <w:p w:rsidR="001F10E6" w:rsidRPr="000729DC" w:rsidRDefault="001F10E6" w:rsidP="00871F47">
            <w:pPr>
              <w:jc w:val="both"/>
              <w:rPr>
                <w:sz w:val="20"/>
                <w:lang w:val="fr-CA"/>
              </w:rPr>
            </w:pPr>
          </w:p>
        </w:tc>
        <w:tc>
          <w:tcPr>
            <w:tcW w:w="2330" w:type="pct"/>
          </w:tcPr>
          <w:p w:rsidR="001F10E6" w:rsidRDefault="001F10E6" w:rsidP="00871F47">
            <w:pPr>
              <w:jc w:val="both"/>
              <w:rPr>
                <w:sz w:val="20"/>
                <w:lang w:val="fr-CA"/>
              </w:rPr>
            </w:pPr>
            <w:r w:rsidRPr="000729DC">
              <w:rPr>
                <w:sz w:val="20"/>
                <w:lang w:val="fr-CA"/>
              </w:rPr>
              <w:t>Arrêt accueillant la requête de l’intimée en prorogation du délai de dépôt et de signification de la réponse.</w:t>
            </w:r>
          </w:p>
          <w:p w:rsidR="001F10E6" w:rsidRPr="000729DC" w:rsidRDefault="001F10E6" w:rsidP="00871F47">
            <w:pPr>
              <w:jc w:val="both"/>
              <w:rPr>
                <w:sz w:val="20"/>
                <w:lang w:val="fr-CA"/>
              </w:rPr>
            </w:pPr>
          </w:p>
        </w:tc>
      </w:tr>
      <w:tr w:rsidR="001F10E6" w:rsidRPr="00310DA4" w:rsidTr="00871F47">
        <w:trPr>
          <w:cantSplit/>
        </w:trPr>
        <w:tc>
          <w:tcPr>
            <w:tcW w:w="2427" w:type="pct"/>
          </w:tcPr>
          <w:p w:rsidR="001F10E6" w:rsidRPr="000729DC" w:rsidRDefault="001F10E6" w:rsidP="00871F47">
            <w:pPr>
              <w:jc w:val="both"/>
              <w:rPr>
                <w:sz w:val="20"/>
                <w:lang w:val="fr-CA"/>
              </w:rPr>
            </w:pPr>
            <w:r w:rsidRPr="000729DC">
              <w:rPr>
                <w:sz w:val="20"/>
                <w:lang w:val="fr-CA"/>
              </w:rPr>
              <w:t xml:space="preserve">28 janvier 2015 </w:t>
            </w:r>
          </w:p>
          <w:p w:rsidR="001F10E6" w:rsidRPr="000729DC" w:rsidRDefault="001F10E6" w:rsidP="00871F47">
            <w:pPr>
              <w:jc w:val="both"/>
              <w:rPr>
                <w:sz w:val="20"/>
                <w:lang w:val="fr-CA"/>
              </w:rPr>
            </w:pPr>
            <w:r w:rsidRPr="000729DC">
              <w:rPr>
                <w:sz w:val="20"/>
                <w:lang w:val="fr-CA"/>
              </w:rPr>
              <w:t>Cour d’appel de l’Ontario</w:t>
            </w:r>
          </w:p>
          <w:p w:rsidR="001F10E6" w:rsidRPr="000729DC" w:rsidRDefault="001F10E6" w:rsidP="00871F47">
            <w:pPr>
              <w:jc w:val="both"/>
              <w:rPr>
                <w:sz w:val="20"/>
                <w:lang w:val="fr-CA"/>
              </w:rPr>
            </w:pPr>
            <w:r w:rsidRPr="000729DC">
              <w:rPr>
                <w:sz w:val="20"/>
                <w:lang w:val="fr-CA"/>
              </w:rPr>
              <w:t>(Juges Epstein, Lauwers et Pardu)</w:t>
            </w:r>
          </w:p>
          <w:p w:rsidR="001F10E6" w:rsidRPr="000729DC" w:rsidRDefault="00310DA4" w:rsidP="00871F47">
            <w:pPr>
              <w:jc w:val="both"/>
              <w:rPr>
                <w:sz w:val="20"/>
                <w:lang w:val="fr-CA"/>
              </w:rPr>
            </w:pPr>
            <w:hyperlink r:id="rId29" w:history="1">
              <w:r w:rsidR="001F10E6" w:rsidRPr="000729DC">
                <w:rPr>
                  <w:color w:val="0000FF" w:themeColor="hyperlink"/>
                  <w:sz w:val="20"/>
                  <w:u w:val="single"/>
                  <w:lang w:val="fr-CA"/>
                </w:rPr>
                <w:t>2015 ONCA 54</w:t>
              </w:r>
            </w:hyperlink>
          </w:p>
        </w:tc>
        <w:tc>
          <w:tcPr>
            <w:tcW w:w="243" w:type="pct"/>
          </w:tcPr>
          <w:p w:rsidR="001F10E6" w:rsidRPr="000729DC" w:rsidRDefault="001F10E6" w:rsidP="00871F47">
            <w:pPr>
              <w:jc w:val="both"/>
              <w:rPr>
                <w:sz w:val="20"/>
                <w:lang w:val="fr-CA"/>
              </w:rPr>
            </w:pPr>
          </w:p>
        </w:tc>
        <w:tc>
          <w:tcPr>
            <w:tcW w:w="2330" w:type="pct"/>
          </w:tcPr>
          <w:p w:rsidR="001F10E6" w:rsidRPr="000729DC" w:rsidRDefault="001F10E6" w:rsidP="00871F47">
            <w:pPr>
              <w:jc w:val="both"/>
              <w:rPr>
                <w:sz w:val="20"/>
                <w:lang w:val="fr-CA"/>
              </w:rPr>
            </w:pPr>
            <w:r w:rsidRPr="000729DC">
              <w:rPr>
                <w:sz w:val="20"/>
                <w:lang w:val="fr-CA"/>
              </w:rPr>
              <w:t>Rejet de la motion en nouvelle instruction de l’appel.</w:t>
            </w:r>
          </w:p>
        </w:tc>
      </w:tr>
    </w:tbl>
    <w:p w:rsidR="00CE4499" w:rsidRPr="001F10E6" w:rsidRDefault="00CE4499" w:rsidP="00CE4499">
      <w:pPr>
        <w:rPr>
          <w:sz w:val="20"/>
          <w:szCs w:val="20"/>
          <w:lang w:val="fr-CA"/>
        </w:rPr>
      </w:pPr>
    </w:p>
    <w:p w:rsidR="00CE4499" w:rsidRDefault="00310DA4" w:rsidP="00CE4499">
      <w:pPr>
        <w:rPr>
          <w:sz w:val="20"/>
          <w:szCs w:val="20"/>
        </w:rPr>
      </w:pPr>
      <w:r>
        <w:rPr>
          <w:sz w:val="20"/>
          <w:szCs w:val="20"/>
          <w:lang w:val="fr-CA"/>
        </w:rPr>
        <w:pict>
          <v:rect id="_x0000_i1044" style="width:2in;height:1pt" o:hrpct="0" o:hralign="center" o:hrstd="t" o:hrnoshade="t" o:hr="t" fillcolor="black [3213]" stroked="f"/>
        </w:pict>
      </w:r>
    </w:p>
    <w:p w:rsidR="00CE4499" w:rsidRDefault="00CE4499" w:rsidP="00CE4499">
      <w:pPr>
        <w:rPr>
          <w:sz w:val="20"/>
          <w:szCs w:val="20"/>
        </w:rPr>
      </w:pPr>
    </w:p>
    <w:tbl>
      <w:tblPr>
        <w:tblStyle w:val="TableGrid5"/>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71F47" w:rsidRPr="00871F47" w:rsidTr="00871F47">
        <w:trPr>
          <w:cantSplit/>
        </w:trPr>
        <w:tc>
          <w:tcPr>
            <w:tcW w:w="1458" w:type="dxa"/>
          </w:tcPr>
          <w:p w:rsidR="00871F47" w:rsidRPr="00871F47" w:rsidRDefault="00871F47" w:rsidP="00871F47">
            <w:pPr>
              <w:rPr>
                <w:sz w:val="20"/>
              </w:rPr>
            </w:pPr>
            <w:r w:rsidRPr="00871F47">
              <w:rPr>
                <w:b/>
                <w:sz w:val="20"/>
                <w:lang w:val="fr-CA"/>
              </w:rPr>
              <w:t>36395</w:t>
            </w:r>
          </w:p>
          <w:p w:rsidR="00871F47" w:rsidRPr="00871F47" w:rsidRDefault="00871F47" w:rsidP="00871F47">
            <w:pPr>
              <w:rPr>
                <w:b/>
                <w:sz w:val="20"/>
                <w:lang w:val="fr-CA"/>
              </w:rPr>
            </w:pPr>
          </w:p>
        </w:tc>
        <w:tc>
          <w:tcPr>
            <w:tcW w:w="8118" w:type="dxa"/>
          </w:tcPr>
          <w:p w:rsidR="00871F47" w:rsidRPr="00871F47" w:rsidRDefault="00871F47" w:rsidP="00871F47">
            <w:pPr>
              <w:rPr>
                <w:sz w:val="20"/>
              </w:rPr>
            </w:pPr>
            <w:r w:rsidRPr="00871F47">
              <w:rPr>
                <w:b/>
                <w:sz w:val="20"/>
                <w:u w:val="single"/>
              </w:rPr>
              <w:t>John H. Ho v. Alberta Association of Architects</w:t>
            </w:r>
            <w:r w:rsidRPr="00871F47">
              <w:rPr>
                <w:sz w:val="20"/>
              </w:rPr>
              <w:t xml:space="preserve"> (Alta.) (Civil) (By Leave)</w:t>
            </w:r>
          </w:p>
          <w:p w:rsidR="00871F47" w:rsidRPr="00871F47" w:rsidRDefault="00871F47" w:rsidP="00871F47">
            <w:pPr>
              <w:rPr>
                <w:sz w:val="20"/>
              </w:rPr>
            </w:pPr>
          </w:p>
        </w:tc>
      </w:tr>
      <w:tr w:rsidR="00871F47" w:rsidRPr="00310DA4" w:rsidTr="00871F47">
        <w:trPr>
          <w:cantSplit/>
        </w:trPr>
        <w:tc>
          <w:tcPr>
            <w:tcW w:w="1458" w:type="dxa"/>
          </w:tcPr>
          <w:p w:rsidR="00871F47" w:rsidRPr="00871F47" w:rsidRDefault="00871F47" w:rsidP="00871F47">
            <w:pPr>
              <w:rPr>
                <w:sz w:val="20"/>
              </w:rPr>
            </w:pPr>
            <w:r w:rsidRPr="00871F47">
              <w:rPr>
                <w:sz w:val="20"/>
              </w:rPr>
              <w:t>Coram :</w:t>
            </w:r>
          </w:p>
        </w:tc>
        <w:tc>
          <w:tcPr>
            <w:tcW w:w="8118" w:type="dxa"/>
          </w:tcPr>
          <w:p w:rsidR="00871F47" w:rsidRPr="00871F47" w:rsidRDefault="00871F47" w:rsidP="00871F47">
            <w:pPr>
              <w:rPr>
                <w:sz w:val="20"/>
                <w:lang w:val="fr-CA"/>
              </w:rPr>
            </w:pPr>
            <w:r w:rsidRPr="00871F47">
              <w:rPr>
                <w:sz w:val="20"/>
                <w:u w:val="single"/>
                <w:lang w:val="fr-CA"/>
              </w:rPr>
              <w:t>Abella, Karakatsanis and Côté JJ.</w:t>
            </w:r>
          </w:p>
          <w:p w:rsidR="00871F47" w:rsidRPr="00871F47" w:rsidRDefault="00871F47" w:rsidP="00871F47">
            <w:pPr>
              <w:rPr>
                <w:sz w:val="20"/>
                <w:u w:val="single"/>
                <w:lang w:val="fr-CA"/>
              </w:rPr>
            </w:pPr>
          </w:p>
        </w:tc>
      </w:tr>
      <w:tr w:rsidR="00871F47" w:rsidRPr="00310DA4" w:rsidTr="00871F47">
        <w:trPr>
          <w:cantSplit/>
        </w:trPr>
        <w:tc>
          <w:tcPr>
            <w:tcW w:w="9576" w:type="dxa"/>
            <w:gridSpan w:val="2"/>
          </w:tcPr>
          <w:p w:rsidR="00871F47" w:rsidRPr="00871F47" w:rsidRDefault="00871F47" w:rsidP="00871F47">
            <w:pPr>
              <w:ind w:firstLine="720"/>
              <w:jc w:val="both"/>
              <w:rPr>
                <w:sz w:val="20"/>
              </w:rPr>
            </w:pPr>
            <w:r w:rsidRPr="00871F47">
              <w:rPr>
                <w:sz w:val="20"/>
              </w:rPr>
              <w:t>The application for leave to appeal from the judgment of the Court of Appeal of Alberta (Edmonton) Number 1403-0030-AC, 2015 ABCA 68, dated February 18, 2015, is dismissed with costs.</w:t>
            </w:r>
          </w:p>
          <w:p w:rsidR="00871F47" w:rsidRPr="00871F47" w:rsidRDefault="00871F47" w:rsidP="00871F47">
            <w:pPr>
              <w:jc w:val="both"/>
              <w:rPr>
                <w:sz w:val="20"/>
              </w:rPr>
            </w:pPr>
          </w:p>
          <w:p w:rsidR="00871F47" w:rsidRPr="00871F47" w:rsidRDefault="00871F47" w:rsidP="00871F47">
            <w:pPr>
              <w:ind w:firstLine="720"/>
              <w:jc w:val="both"/>
              <w:rPr>
                <w:sz w:val="20"/>
                <w:lang w:val="fr-CA"/>
              </w:rPr>
            </w:pPr>
            <w:r w:rsidRPr="00871F47">
              <w:rPr>
                <w:sz w:val="20"/>
                <w:lang w:val="fr-CA"/>
              </w:rPr>
              <w:t>La demande d’autorisation d’appel de l’arrêt de la Cour d’appel de l’Alberta (Edmonton), numéro 1403-0030-AC, 2015 ABCA 68, daté du 18 février 2015, est rejetée avec dépens.</w:t>
            </w:r>
          </w:p>
        </w:tc>
      </w:tr>
    </w:tbl>
    <w:p w:rsidR="00CE4499" w:rsidRPr="00871F47" w:rsidRDefault="00CE4499" w:rsidP="00CE4499">
      <w:pPr>
        <w:rPr>
          <w:sz w:val="20"/>
          <w:szCs w:val="20"/>
          <w:lang w:val="fr-CA"/>
        </w:rPr>
      </w:pPr>
    </w:p>
    <w:p w:rsidR="00CE4499" w:rsidRPr="001B157C" w:rsidRDefault="00CE4499" w:rsidP="00CE4499">
      <w:pPr>
        <w:rPr>
          <w:sz w:val="20"/>
          <w:szCs w:val="20"/>
          <w:u w:val="single"/>
        </w:rPr>
      </w:pPr>
      <w:r w:rsidRPr="001B157C">
        <w:rPr>
          <w:sz w:val="20"/>
          <w:szCs w:val="20"/>
          <w:u w:val="single"/>
        </w:rPr>
        <w:t>CASE SUMMARY</w:t>
      </w:r>
    </w:p>
    <w:p w:rsidR="00CE4499" w:rsidRDefault="00CE4499" w:rsidP="00CE449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F10E6" w:rsidRPr="000729DC" w:rsidTr="00871F47">
        <w:tc>
          <w:tcPr>
            <w:tcW w:w="5000" w:type="pct"/>
            <w:gridSpan w:val="3"/>
          </w:tcPr>
          <w:p w:rsidR="001F10E6" w:rsidRPr="000729DC" w:rsidRDefault="001F10E6" w:rsidP="00871F47">
            <w:pPr>
              <w:jc w:val="both"/>
              <w:rPr>
                <w:sz w:val="20"/>
              </w:rPr>
            </w:pPr>
            <w:r w:rsidRPr="000729DC">
              <w:rPr>
                <w:sz w:val="20"/>
              </w:rPr>
              <w:t xml:space="preserve">Administrative law — Appeals — Alberta Association of Architects — Complaint Review Committee — Bias — New evidence — Witnesses — Interpretation — </w:t>
            </w:r>
            <w:r w:rsidRPr="000729DC">
              <w:rPr>
                <w:i/>
                <w:sz w:val="20"/>
              </w:rPr>
              <w:t>Architects Act of Alberta</w:t>
            </w:r>
            <w:r w:rsidRPr="000729DC">
              <w:rPr>
                <w:sz w:val="20"/>
              </w:rPr>
              <w:t xml:space="preserve">, R.S.A. 2000, c. A-44 — Whether the Chair of the Review Committee had a direct financial interest in the outcome of the hearing — Whether a member of the hearing Committee was biased in that he employed a member of the project’s volunteer building committee — Whether the Court of Appeal failed to apply the correct test for bias — Whether the Council’s refusal to summon the applicant’s proposed witnesses to testify on the appeal to Council was a denial of procedural fairness — Whether the Court of Appeal failed to interpret the relevant provision of the Act correctly — Whether the Court of Appeal failed to interpret the section of the Act allowing for engagement of out of province architects properly — Whether the Court of Appeal erred in deferring to the finding of Committee and Council that the applicant was guilty of unprofessional </w:t>
            </w:r>
            <w:r w:rsidRPr="000729DC">
              <w:rPr>
                <w:sz w:val="20"/>
              </w:rPr>
              <w:lastRenderedPageBreak/>
              <w:t>conduct when the facts clearly did not warrant such a finding.</w:t>
            </w:r>
          </w:p>
        </w:tc>
      </w:tr>
      <w:tr w:rsidR="001F10E6" w:rsidRPr="000729DC" w:rsidTr="00871F47">
        <w:tc>
          <w:tcPr>
            <w:tcW w:w="5000" w:type="pct"/>
            <w:gridSpan w:val="3"/>
          </w:tcPr>
          <w:p w:rsidR="001F10E6" w:rsidRPr="000729DC" w:rsidRDefault="001F10E6" w:rsidP="00871F47">
            <w:pPr>
              <w:jc w:val="both"/>
              <w:rPr>
                <w:sz w:val="20"/>
              </w:rPr>
            </w:pPr>
          </w:p>
        </w:tc>
      </w:tr>
      <w:tr w:rsidR="001F10E6" w:rsidRPr="000729DC" w:rsidTr="00871F47">
        <w:tc>
          <w:tcPr>
            <w:tcW w:w="5000" w:type="pct"/>
            <w:gridSpan w:val="3"/>
          </w:tcPr>
          <w:p w:rsidR="001F10E6" w:rsidRPr="000729DC" w:rsidRDefault="001F10E6" w:rsidP="00871F47">
            <w:pPr>
              <w:jc w:val="both"/>
              <w:rPr>
                <w:sz w:val="20"/>
              </w:rPr>
            </w:pPr>
            <w:r w:rsidRPr="000729DC">
              <w:rPr>
                <w:sz w:val="20"/>
              </w:rPr>
              <w:t xml:space="preserve">Mr. Ho, an architect in British Columbia, acknowledged that he prepared plans, drawings and specifications for a Buddhist temple in Edmonton under the terms of a contract dated March 1, 2004, between Mr. Ho and the temple. Those activities are clearly included in the practice of architecture within the meaning of s. 1(1) of the </w:t>
            </w:r>
            <w:r w:rsidRPr="000729DC">
              <w:rPr>
                <w:i/>
                <w:sz w:val="20"/>
              </w:rPr>
              <w:t>Architects Act of Alberta</w:t>
            </w:r>
            <w:r w:rsidRPr="000729DC">
              <w:rPr>
                <w:sz w:val="20"/>
              </w:rPr>
              <w:t>, R.S.A. 2000, c. A-44. Mr. Ho was not registered with the Association until June 20, 2011. The membership of the Alberta architect listed as a field review architect for the project ceased to be a member in November 2005, and it was later found that he had passed away. Mr. Ho failed to complete the contract and his actions impeded the temple’s ability to engage the services of a different registered architect to complete the work after relations between Mr. Ho and the temple soured. The temple Master complained to the Association about Mr. Ho’s conduct. Mr. Ho later indicated that he would not be renewing his annual membership when it expired. The complaint was investigated by the Chair of the Complaint Review Committee, who referred the complaint to a hearing Committee. He rephrased the complaint into three distinct counts. The Committee heard the complaint on January 16, 2013, and, by operation of s. 24 of the Act, Mr. Ho’s application to de-register became effective when it was approved by Council on January 18, 2013. The Committee found that the Association had established two of the three counts of unprofessional conduct, and ordered Mr. Ho to pay $10,000 penalty for each count, plus costs. It also ordered Mr. Ho to take a course, and a summary of the case was to be published. The Council dismissed Mr. Ho’s appeal, confirmed the Committee’s findings of unprofessional conduct and the sanctions imposed, plus costs. The Court of Appeal dismissed Mr. Ho’s appeal.</w:t>
            </w:r>
          </w:p>
          <w:p w:rsidR="001F10E6" w:rsidRPr="000729DC" w:rsidRDefault="001F10E6" w:rsidP="00871F47">
            <w:pPr>
              <w:jc w:val="both"/>
              <w:rPr>
                <w:sz w:val="20"/>
              </w:rPr>
            </w:pPr>
          </w:p>
        </w:tc>
      </w:tr>
      <w:tr w:rsidR="001F10E6" w:rsidRPr="000729DC" w:rsidTr="00871F47">
        <w:tc>
          <w:tcPr>
            <w:tcW w:w="2427" w:type="pct"/>
          </w:tcPr>
          <w:p w:rsidR="001F10E6" w:rsidRPr="000729DC" w:rsidRDefault="001F10E6" w:rsidP="00871F47">
            <w:pPr>
              <w:jc w:val="both"/>
              <w:rPr>
                <w:sz w:val="20"/>
              </w:rPr>
            </w:pPr>
            <w:r w:rsidRPr="000729DC">
              <w:rPr>
                <w:sz w:val="20"/>
              </w:rPr>
              <w:t>January 3, 2014</w:t>
            </w:r>
          </w:p>
          <w:p w:rsidR="001F10E6" w:rsidRPr="000729DC" w:rsidRDefault="001F10E6" w:rsidP="00871F47">
            <w:pPr>
              <w:jc w:val="both"/>
              <w:rPr>
                <w:sz w:val="20"/>
              </w:rPr>
            </w:pPr>
            <w:r w:rsidRPr="000729DC">
              <w:rPr>
                <w:sz w:val="20"/>
              </w:rPr>
              <w:t>Council of the Alberta Association of Architects</w:t>
            </w:r>
          </w:p>
          <w:p w:rsidR="001F10E6" w:rsidRPr="000729DC" w:rsidRDefault="001F10E6" w:rsidP="00871F47">
            <w:pPr>
              <w:jc w:val="both"/>
              <w:rPr>
                <w:sz w:val="20"/>
              </w:rPr>
            </w:pPr>
            <w:r w:rsidRPr="000729DC">
              <w:rPr>
                <w:sz w:val="20"/>
              </w:rPr>
              <w:t>(Chambers J.)</w:t>
            </w:r>
          </w:p>
          <w:p w:rsidR="001F10E6" w:rsidRPr="000729DC" w:rsidRDefault="001F10E6" w:rsidP="00871F47">
            <w:pPr>
              <w:jc w:val="both"/>
              <w:rPr>
                <w:sz w:val="20"/>
              </w:rPr>
            </w:pPr>
          </w:p>
        </w:tc>
        <w:tc>
          <w:tcPr>
            <w:tcW w:w="243" w:type="pct"/>
          </w:tcPr>
          <w:p w:rsidR="001F10E6" w:rsidRPr="000729DC" w:rsidRDefault="001F10E6" w:rsidP="00871F47">
            <w:pPr>
              <w:jc w:val="both"/>
              <w:rPr>
                <w:sz w:val="20"/>
              </w:rPr>
            </w:pPr>
          </w:p>
        </w:tc>
        <w:tc>
          <w:tcPr>
            <w:tcW w:w="2330" w:type="pct"/>
          </w:tcPr>
          <w:p w:rsidR="001F10E6" w:rsidRPr="000729DC" w:rsidRDefault="001F10E6" w:rsidP="00871F47">
            <w:pPr>
              <w:jc w:val="both"/>
              <w:rPr>
                <w:sz w:val="20"/>
              </w:rPr>
            </w:pPr>
            <w:r w:rsidRPr="000729DC">
              <w:rPr>
                <w:sz w:val="20"/>
              </w:rPr>
              <w:t>Appeal of Committee’s finding that the Association had established two counts of unprofessional conduct and its award of costs dismissed with costs</w:t>
            </w:r>
          </w:p>
          <w:p w:rsidR="001F10E6" w:rsidRPr="000729DC" w:rsidRDefault="001F10E6" w:rsidP="00871F47">
            <w:pPr>
              <w:jc w:val="both"/>
              <w:rPr>
                <w:sz w:val="20"/>
              </w:rPr>
            </w:pPr>
          </w:p>
        </w:tc>
      </w:tr>
      <w:tr w:rsidR="001F10E6" w:rsidRPr="000729DC" w:rsidTr="00871F47">
        <w:tc>
          <w:tcPr>
            <w:tcW w:w="2427" w:type="pct"/>
          </w:tcPr>
          <w:p w:rsidR="001F10E6" w:rsidRPr="000729DC" w:rsidRDefault="001F10E6" w:rsidP="00871F47">
            <w:pPr>
              <w:jc w:val="both"/>
              <w:rPr>
                <w:sz w:val="20"/>
              </w:rPr>
            </w:pPr>
            <w:r w:rsidRPr="000729DC">
              <w:rPr>
                <w:sz w:val="20"/>
              </w:rPr>
              <w:t>February 18, 2015</w:t>
            </w:r>
          </w:p>
          <w:p w:rsidR="001F10E6" w:rsidRPr="000729DC" w:rsidRDefault="001F10E6" w:rsidP="00871F47">
            <w:pPr>
              <w:jc w:val="both"/>
              <w:rPr>
                <w:sz w:val="20"/>
              </w:rPr>
            </w:pPr>
            <w:r w:rsidRPr="000729DC">
              <w:rPr>
                <w:sz w:val="20"/>
              </w:rPr>
              <w:t>Court of Appeal of Alberta (Edmonton)</w:t>
            </w:r>
          </w:p>
          <w:p w:rsidR="001F10E6" w:rsidRPr="000729DC" w:rsidRDefault="001F10E6" w:rsidP="00871F47">
            <w:pPr>
              <w:jc w:val="both"/>
              <w:rPr>
                <w:sz w:val="20"/>
              </w:rPr>
            </w:pPr>
            <w:r w:rsidRPr="000729DC">
              <w:rPr>
                <w:sz w:val="20"/>
              </w:rPr>
              <w:t>(Watson, Veldhuis, Brown JJ.A.)</w:t>
            </w:r>
          </w:p>
          <w:p w:rsidR="001F10E6" w:rsidRPr="000729DC" w:rsidRDefault="00310DA4" w:rsidP="00871F47">
            <w:pPr>
              <w:jc w:val="both"/>
              <w:rPr>
                <w:sz w:val="20"/>
              </w:rPr>
            </w:pPr>
            <w:hyperlink r:id="rId30" w:history="1">
              <w:r w:rsidR="001F10E6" w:rsidRPr="000729DC">
                <w:rPr>
                  <w:color w:val="0000FF" w:themeColor="hyperlink"/>
                  <w:sz w:val="20"/>
                  <w:u w:val="single"/>
                </w:rPr>
                <w:t>2015 ABCA 68</w:t>
              </w:r>
            </w:hyperlink>
          </w:p>
          <w:p w:rsidR="001F10E6" w:rsidRPr="000729DC" w:rsidRDefault="001F10E6" w:rsidP="00871F47">
            <w:pPr>
              <w:jc w:val="both"/>
              <w:rPr>
                <w:sz w:val="20"/>
              </w:rPr>
            </w:pPr>
          </w:p>
        </w:tc>
        <w:tc>
          <w:tcPr>
            <w:tcW w:w="243" w:type="pct"/>
          </w:tcPr>
          <w:p w:rsidR="001F10E6" w:rsidRPr="000729DC" w:rsidRDefault="001F10E6" w:rsidP="00871F47">
            <w:pPr>
              <w:jc w:val="both"/>
              <w:rPr>
                <w:sz w:val="20"/>
              </w:rPr>
            </w:pPr>
          </w:p>
        </w:tc>
        <w:tc>
          <w:tcPr>
            <w:tcW w:w="2330" w:type="pct"/>
          </w:tcPr>
          <w:p w:rsidR="001F10E6" w:rsidRPr="000729DC" w:rsidRDefault="001F10E6" w:rsidP="00871F47">
            <w:pPr>
              <w:jc w:val="both"/>
              <w:rPr>
                <w:sz w:val="20"/>
              </w:rPr>
            </w:pPr>
            <w:r w:rsidRPr="000729DC">
              <w:rPr>
                <w:sz w:val="20"/>
              </w:rPr>
              <w:t>Appeal dismissed</w:t>
            </w:r>
          </w:p>
          <w:p w:rsidR="001F10E6" w:rsidRPr="000729DC" w:rsidRDefault="001F10E6" w:rsidP="00871F47">
            <w:pPr>
              <w:jc w:val="both"/>
              <w:rPr>
                <w:sz w:val="20"/>
              </w:rPr>
            </w:pPr>
          </w:p>
        </w:tc>
      </w:tr>
      <w:tr w:rsidR="001F10E6" w:rsidRPr="000729DC" w:rsidTr="00871F47">
        <w:tc>
          <w:tcPr>
            <w:tcW w:w="2427" w:type="pct"/>
          </w:tcPr>
          <w:p w:rsidR="001F10E6" w:rsidRPr="000729DC" w:rsidRDefault="001F10E6" w:rsidP="00871F47">
            <w:pPr>
              <w:jc w:val="both"/>
              <w:rPr>
                <w:sz w:val="20"/>
              </w:rPr>
            </w:pPr>
            <w:r w:rsidRPr="000729DC">
              <w:rPr>
                <w:sz w:val="20"/>
              </w:rPr>
              <w:t>April 20, 2015</w:t>
            </w:r>
          </w:p>
          <w:p w:rsidR="001F10E6" w:rsidRPr="000729DC" w:rsidRDefault="001F10E6" w:rsidP="00871F47">
            <w:pPr>
              <w:jc w:val="both"/>
              <w:rPr>
                <w:sz w:val="20"/>
              </w:rPr>
            </w:pPr>
            <w:r w:rsidRPr="000729DC">
              <w:rPr>
                <w:sz w:val="20"/>
              </w:rPr>
              <w:t>Supreme Court of Canada</w:t>
            </w:r>
          </w:p>
        </w:tc>
        <w:tc>
          <w:tcPr>
            <w:tcW w:w="243" w:type="pct"/>
          </w:tcPr>
          <w:p w:rsidR="001F10E6" w:rsidRPr="000729DC" w:rsidRDefault="001F10E6" w:rsidP="00871F47">
            <w:pPr>
              <w:jc w:val="both"/>
              <w:rPr>
                <w:sz w:val="20"/>
              </w:rPr>
            </w:pPr>
          </w:p>
        </w:tc>
        <w:tc>
          <w:tcPr>
            <w:tcW w:w="2330" w:type="pct"/>
          </w:tcPr>
          <w:p w:rsidR="001F10E6" w:rsidRPr="000729DC" w:rsidRDefault="001F10E6" w:rsidP="00871F47">
            <w:pPr>
              <w:jc w:val="both"/>
              <w:rPr>
                <w:sz w:val="20"/>
              </w:rPr>
            </w:pPr>
            <w:r w:rsidRPr="000729DC">
              <w:rPr>
                <w:sz w:val="20"/>
              </w:rPr>
              <w:t>Application for leave to appeal filed</w:t>
            </w:r>
          </w:p>
        </w:tc>
      </w:tr>
    </w:tbl>
    <w:p w:rsidR="00CE4499" w:rsidRDefault="00CE4499" w:rsidP="00CE4499">
      <w:pPr>
        <w:rPr>
          <w:sz w:val="20"/>
          <w:szCs w:val="20"/>
        </w:rPr>
      </w:pPr>
    </w:p>
    <w:p w:rsidR="00CE4499" w:rsidRPr="00C50A5C" w:rsidRDefault="00310DA4" w:rsidP="00CE4499">
      <w:pPr>
        <w:rPr>
          <w:sz w:val="20"/>
          <w:szCs w:val="20"/>
        </w:rPr>
      </w:pPr>
      <w:r>
        <w:rPr>
          <w:sz w:val="20"/>
          <w:szCs w:val="20"/>
          <w:lang w:val="fr-CA"/>
        </w:rPr>
        <w:pict>
          <v:rect id="_x0000_i1045" style="width:2in;height:1pt" o:hrpct="0" o:hralign="center" o:hrstd="t" o:hrnoshade="t" o:hr="t" fillcolor="black [3213]" stroked="f"/>
        </w:pict>
      </w:r>
    </w:p>
    <w:p w:rsidR="00CE4499" w:rsidRDefault="00CE4499" w:rsidP="00CE4499">
      <w:pPr>
        <w:rPr>
          <w:sz w:val="20"/>
          <w:szCs w:val="20"/>
        </w:rPr>
      </w:pPr>
    </w:p>
    <w:p w:rsidR="00CE4499" w:rsidRPr="001B157C" w:rsidRDefault="00CE4499" w:rsidP="00CE4499">
      <w:pPr>
        <w:rPr>
          <w:sz w:val="20"/>
          <w:szCs w:val="20"/>
          <w:u w:val="single"/>
          <w:lang w:val="fr-CA"/>
        </w:rPr>
      </w:pPr>
      <w:r w:rsidRPr="001B157C">
        <w:rPr>
          <w:sz w:val="20"/>
          <w:szCs w:val="20"/>
          <w:u w:val="single"/>
          <w:lang w:val="fr-CA"/>
        </w:rPr>
        <w:t>RÉSUMÉ DE L’AFFAIRE</w:t>
      </w:r>
    </w:p>
    <w:p w:rsidR="00CE4499" w:rsidRDefault="00CE4499" w:rsidP="00CE449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F10E6" w:rsidRPr="00310DA4" w:rsidTr="00871F47">
        <w:tc>
          <w:tcPr>
            <w:tcW w:w="5000" w:type="pct"/>
            <w:gridSpan w:val="3"/>
          </w:tcPr>
          <w:p w:rsidR="001F10E6" w:rsidRPr="000729DC" w:rsidRDefault="001F10E6" w:rsidP="00871F47">
            <w:pPr>
              <w:jc w:val="both"/>
              <w:rPr>
                <w:sz w:val="20"/>
                <w:lang w:val="fr-CA"/>
              </w:rPr>
            </w:pPr>
            <w:r w:rsidRPr="000729DC">
              <w:rPr>
                <w:sz w:val="20"/>
                <w:lang w:val="fr-CA"/>
              </w:rPr>
              <w:t xml:space="preserve">Droit administratif — Appels — Ordre des architectes de l’Alberta — Comité d’examen des plaintes — Partialité — Preuve nouvelle — Témoins — Interprétation — </w:t>
            </w:r>
            <w:r w:rsidRPr="000729DC">
              <w:rPr>
                <w:i/>
                <w:sz w:val="20"/>
                <w:lang w:val="fr-CA"/>
              </w:rPr>
              <w:t>Architects Act of Alberta</w:t>
            </w:r>
            <w:r w:rsidRPr="000729DC">
              <w:rPr>
                <w:sz w:val="20"/>
                <w:lang w:val="fr-CA"/>
              </w:rPr>
              <w:t>, R.S.A. 2000, ch. A-44 — Le président du comité d’examen avait-il un intérêt financier direct dans l’issue de l’audience? — Un membre du comité d’examen avait-il un parti-pris du fait qu’il avait à son service un membre du comité bénévole chargé de la construction du projet? — La Cour d’appel a-t-elle omis d’appliquer le bon critère en matière de partialité? — Le refus du comité d’assigner les témoins proposés par le demandeur en appel au conseil constituait-il un manquement à l’équité procédurale? — La Cour d’appel a-t-elle mal interprété la disposition pertinente de la Loi? — La Cour d’appel a-t-elle mal interprété l’article de la Loi qui autorise l’engagement d’architectes de l’extérieur de la province? — La Cour d’appel a-t-elle eu tort de faire preuve de déférence à l’égard de la conclusion du comité et du conseil selon laquelle le demandeur était coupable d’une faute professionnelle alors que les faits ne permettaient manifestement pas de tirer une telle conclusion?</w:t>
            </w:r>
          </w:p>
        </w:tc>
      </w:tr>
      <w:tr w:rsidR="001F10E6" w:rsidRPr="00310DA4" w:rsidTr="00871F47">
        <w:tc>
          <w:tcPr>
            <w:tcW w:w="5000" w:type="pct"/>
            <w:gridSpan w:val="3"/>
          </w:tcPr>
          <w:p w:rsidR="001F10E6" w:rsidRPr="000729DC" w:rsidRDefault="001F10E6" w:rsidP="00871F47">
            <w:pPr>
              <w:jc w:val="both"/>
              <w:rPr>
                <w:sz w:val="20"/>
                <w:lang w:val="fr-CA"/>
              </w:rPr>
            </w:pPr>
          </w:p>
        </w:tc>
      </w:tr>
      <w:tr w:rsidR="001F10E6" w:rsidRPr="000729DC" w:rsidTr="00871F47">
        <w:tc>
          <w:tcPr>
            <w:tcW w:w="5000" w:type="pct"/>
            <w:gridSpan w:val="3"/>
          </w:tcPr>
          <w:p w:rsidR="001F10E6" w:rsidRPr="000729DC" w:rsidRDefault="001F10E6" w:rsidP="00871F47">
            <w:pPr>
              <w:jc w:val="both"/>
              <w:rPr>
                <w:sz w:val="20"/>
                <w:lang w:val="fr-CA"/>
              </w:rPr>
            </w:pPr>
            <w:r w:rsidRPr="000729DC">
              <w:rPr>
                <w:sz w:val="20"/>
                <w:lang w:val="fr-CA"/>
              </w:rPr>
              <w:t>Monsieur Ho, un architecte de la Colombie-Britannique, a reconnu avoir préparé les plans et devis pour un temple bouddhiste d’Edmonton en exécution d’un contrat daté du 1</w:t>
            </w:r>
            <w:r w:rsidRPr="000729DC">
              <w:rPr>
                <w:sz w:val="20"/>
                <w:vertAlign w:val="superscript"/>
                <w:lang w:val="fr-CA"/>
              </w:rPr>
              <w:t>er</w:t>
            </w:r>
            <w:r w:rsidRPr="000729DC">
              <w:rPr>
                <w:sz w:val="20"/>
                <w:lang w:val="fr-CA"/>
              </w:rPr>
              <w:t xml:space="preserve"> mars 2004, conclu entre M. Ho et le temple. Ces </w:t>
            </w:r>
            <w:r w:rsidRPr="000729DC">
              <w:rPr>
                <w:sz w:val="20"/>
                <w:lang w:val="fr-CA"/>
              </w:rPr>
              <w:lastRenderedPageBreak/>
              <w:t>activités sont clairement comprises dans l’exercice de la profession d’architecte au sens du par. 1(1) de l’</w:t>
            </w:r>
            <w:r w:rsidRPr="000729DC">
              <w:rPr>
                <w:i/>
                <w:sz w:val="20"/>
                <w:lang w:val="fr-CA"/>
              </w:rPr>
              <w:t>Architects Act of Alberta</w:t>
            </w:r>
            <w:r w:rsidRPr="000729DC">
              <w:rPr>
                <w:sz w:val="20"/>
                <w:lang w:val="fr-CA"/>
              </w:rPr>
              <w:t>, R.S.A. 2000, ch. A-44. Ce n’est que le 20 juin 2011 que M. Ho a été inscrit au tableau de l’Ordre. L’architecte albertain désigné comme architecte-surveillant du chantier a cessé d’être membre de l’Ordre en novembre 2005 et on a découvert par la suite qu’il était décédé. Monsieur Ho n’a pas exécuté le contrat au complet et ses gestes ont empêché le temple de retenir les services d’un autre architecte inscrit pour achever les travaux après que les relations entre M. Ho et le temple se sont détériorées. Le maître du temple s’est plaint à l’Ordre de la conduite de M. Ho. Monsieur Ho a fait savoir par la suite qu’il ne renouvellerait pas son inscription annuelle au tableau de l’Ordre lorsque celle-ci arriverait à échéance. La plainte a été examinée par le président du comité d’examen des plaintes, qui a renvoyé la plainte à un comité d’audience. Il a reformulé la plainte en la divisant en trois chefs distincts. Le comité a entendu la plainte le 16 janvier 2013, et, en application de l’art. 24 de la Loi, la demande de désinscription de M. Ho a pris effet lorsqu’elle a été accueillie par le conseil le 18 janvier 2013. Le comité a conclu que l’Ordre avait établi deux des trois chefs de faute professionnelle, et a condamné M. Ho à payer une pénalité de 10 000 $ relativement à chaque chef, plus les dépens. Il a également ordonné à M. Ho de suivre un cours et un résumé de l’affaire devait être publié. Le conseil a rejeté l’appel de M. Ho, confirmé les conclusions de faute professionnelle tirées par le comité et les sanctions imposées, et l’a condamné aux dépens. La Cour d’appel a rejeté l’appel de M. Ho.</w:t>
            </w:r>
          </w:p>
          <w:p w:rsidR="001F10E6" w:rsidRPr="000729DC" w:rsidRDefault="001F10E6" w:rsidP="00871F47">
            <w:pPr>
              <w:jc w:val="both"/>
              <w:rPr>
                <w:sz w:val="20"/>
                <w:lang w:val="fr-CA"/>
              </w:rPr>
            </w:pPr>
          </w:p>
        </w:tc>
      </w:tr>
      <w:tr w:rsidR="001F10E6" w:rsidRPr="00310DA4" w:rsidTr="00871F47">
        <w:tc>
          <w:tcPr>
            <w:tcW w:w="2427" w:type="pct"/>
          </w:tcPr>
          <w:p w:rsidR="001F10E6" w:rsidRPr="000729DC" w:rsidRDefault="001F10E6" w:rsidP="00871F47">
            <w:pPr>
              <w:jc w:val="both"/>
              <w:rPr>
                <w:sz w:val="20"/>
              </w:rPr>
            </w:pPr>
            <w:r w:rsidRPr="000729DC">
              <w:rPr>
                <w:sz w:val="20"/>
              </w:rPr>
              <w:lastRenderedPageBreak/>
              <w:t>3 janvier 2014</w:t>
            </w:r>
          </w:p>
          <w:p w:rsidR="001F10E6" w:rsidRPr="000729DC" w:rsidRDefault="001F10E6" w:rsidP="00871F47">
            <w:pPr>
              <w:jc w:val="both"/>
              <w:rPr>
                <w:sz w:val="20"/>
              </w:rPr>
            </w:pPr>
            <w:r w:rsidRPr="000729DC">
              <w:rPr>
                <w:sz w:val="20"/>
              </w:rPr>
              <w:t>Council of the Alberta Association of Architects</w:t>
            </w:r>
          </w:p>
          <w:p w:rsidR="001F10E6" w:rsidRPr="000729DC" w:rsidRDefault="001F10E6" w:rsidP="00871F47">
            <w:pPr>
              <w:jc w:val="both"/>
              <w:rPr>
                <w:sz w:val="20"/>
                <w:lang w:val="fr-CA"/>
              </w:rPr>
            </w:pPr>
            <w:r w:rsidRPr="000729DC">
              <w:rPr>
                <w:sz w:val="20"/>
                <w:lang w:val="fr-CA"/>
              </w:rPr>
              <w:t>(Juge Chambers)</w:t>
            </w:r>
          </w:p>
          <w:p w:rsidR="001F10E6" w:rsidRPr="000729DC" w:rsidRDefault="001F10E6" w:rsidP="00871F47">
            <w:pPr>
              <w:jc w:val="both"/>
              <w:rPr>
                <w:sz w:val="20"/>
                <w:lang w:val="fr-CA"/>
              </w:rPr>
            </w:pPr>
          </w:p>
        </w:tc>
        <w:tc>
          <w:tcPr>
            <w:tcW w:w="243" w:type="pct"/>
          </w:tcPr>
          <w:p w:rsidR="001F10E6" w:rsidRPr="000729DC" w:rsidRDefault="001F10E6" w:rsidP="00871F47">
            <w:pPr>
              <w:jc w:val="both"/>
              <w:rPr>
                <w:sz w:val="20"/>
                <w:lang w:val="fr-CA"/>
              </w:rPr>
            </w:pPr>
          </w:p>
        </w:tc>
        <w:tc>
          <w:tcPr>
            <w:tcW w:w="2330" w:type="pct"/>
          </w:tcPr>
          <w:p w:rsidR="001F10E6" w:rsidRPr="000729DC" w:rsidRDefault="001F10E6" w:rsidP="00871F47">
            <w:pPr>
              <w:jc w:val="both"/>
              <w:rPr>
                <w:sz w:val="20"/>
                <w:lang w:val="fr-CA"/>
              </w:rPr>
            </w:pPr>
            <w:r w:rsidRPr="000729DC">
              <w:rPr>
                <w:sz w:val="20"/>
                <w:lang w:val="fr-CA"/>
              </w:rPr>
              <w:t>Rejet avec dépens de l’appel de la conclusion du comité selon laquelle l’Ordre avait établi deux chefs de faute professionnelle et de sa condamnation aux dépens</w:t>
            </w:r>
          </w:p>
          <w:p w:rsidR="001F10E6" w:rsidRPr="000729DC" w:rsidRDefault="001F10E6" w:rsidP="00871F47">
            <w:pPr>
              <w:jc w:val="both"/>
              <w:rPr>
                <w:sz w:val="20"/>
                <w:lang w:val="fr-CA"/>
              </w:rPr>
            </w:pPr>
          </w:p>
        </w:tc>
      </w:tr>
      <w:tr w:rsidR="001F10E6" w:rsidRPr="000729DC" w:rsidTr="00871F47">
        <w:tc>
          <w:tcPr>
            <w:tcW w:w="2427" w:type="pct"/>
          </w:tcPr>
          <w:p w:rsidR="001F10E6" w:rsidRPr="000729DC" w:rsidRDefault="001F10E6" w:rsidP="00871F47">
            <w:pPr>
              <w:jc w:val="both"/>
              <w:rPr>
                <w:sz w:val="20"/>
                <w:lang w:val="fr-CA"/>
              </w:rPr>
            </w:pPr>
            <w:r w:rsidRPr="000729DC">
              <w:rPr>
                <w:sz w:val="20"/>
                <w:lang w:val="fr-CA"/>
              </w:rPr>
              <w:t>18 février 2015</w:t>
            </w:r>
          </w:p>
          <w:p w:rsidR="001F10E6" w:rsidRPr="000729DC" w:rsidRDefault="001F10E6" w:rsidP="00871F47">
            <w:pPr>
              <w:jc w:val="both"/>
              <w:rPr>
                <w:sz w:val="20"/>
                <w:lang w:val="fr-CA"/>
              </w:rPr>
            </w:pPr>
            <w:r w:rsidRPr="000729DC">
              <w:rPr>
                <w:sz w:val="20"/>
                <w:lang w:val="fr-CA"/>
              </w:rPr>
              <w:t>Cour d’appel de l’Alberta (Edmonton)</w:t>
            </w:r>
          </w:p>
          <w:p w:rsidR="001F10E6" w:rsidRPr="000729DC" w:rsidRDefault="001F10E6" w:rsidP="00871F47">
            <w:pPr>
              <w:jc w:val="both"/>
              <w:rPr>
                <w:sz w:val="20"/>
                <w:lang w:val="fr-CA"/>
              </w:rPr>
            </w:pPr>
            <w:r w:rsidRPr="000729DC">
              <w:rPr>
                <w:sz w:val="20"/>
                <w:lang w:val="fr-CA"/>
              </w:rPr>
              <w:t>(Juges Watson, Veldhuis et Brown)</w:t>
            </w:r>
          </w:p>
          <w:p w:rsidR="001F10E6" w:rsidRPr="000729DC" w:rsidRDefault="00310DA4" w:rsidP="00871F47">
            <w:pPr>
              <w:jc w:val="both"/>
              <w:rPr>
                <w:sz w:val="20"/>
                <w:lang w:val="fr-CA"/>
              </w:rPr>
            </w:pPr>
            <w:hyperlink r:id="rId31" w:history="1">
              <w:r w:rsidR="001F10E6" w:rsidRPr="000729DC">
                <w:rPr>
                  <w:color w:val="0000FF" w:themeColor="hyperlink"/>
                  <w:sz w:val="20"/>
                  <w:u w:val="single"/>
                  <w:lang w:val="fr-CA"/>
                </w:rPr>
                <w:t>2015 ABCA 68</w:t>
              </w:r>
            </w:hyperlink>
          </w:p>
          <w:p w:rsidR="001F10E6" w:rsidRPr="000729DC" w:rsidRDefault="001F10E6" w:rsidP="00871F47">
            <w:pPr>
              <w:jc w:val="both"/>
              <w:rPr>
                <w:sz w:val="20"/>
                <w:lang w:val="fr-CA"/>
              </w:rPr>
            </w:pPr>
          </w:p>
        </w:tc>
        <w:tc>
          <w:tcPr>
            <w:tcW w:w="243" w:type="pct"/>
          </w:tcPr>
          <w:p w:rsidR="001F10E6" w:rsidRPr="000729DC" w:rsidRDefault="001F10E6" w:rsidP="00871F47">
            <w:pPr>
              <w:jc w:val="both"/>
              <w:rPr>
                <w:sz w:val="20"/>
                <w:lang w:val="fr-CA"/>
              </w:rPr>
            </w:pPr>
          </w:p>
        </w:tc>
        <w:tc>
          <w:tcPr>
            <w:tcW w:w="2330" w:type="pct"/>
          </w:tcPr>
          <w:p w:rsidR="001F10E6" w:rsidRPr="000729DC" w:rsidRDefault="001F10E6" w:rsidP="00871F47">
            <w:pPr>
              <w:jc w:val="both"/>
              <w:rPr>
                <w:sz w:val="20"/>
                <w:lang w:val="fr-CA"/>
              </w:rPr>
            </w:pPr>
            <w:r w:rsidRPr="000729DC">
              <w:rPr>
                <w:sz w:val="20"/>
                <w:lang w:val="fr-CA"/>
              </w:rPr>
              <w:t>Rejet de l’appel</w:t>
            </w:r>
          </w:p>
          <w:p w:rsidR="001F10E6" w:rsidRPr="000729DC" w:rsidRDefault="001F10E6" w:rsidP="00871F47">
            <w:pPr>
              <w:jc w:val="both"/>
              <w:rPr>
                <w:sz w:val="20"/>
                <w:lang w:val="fr-CA"/>
              </w:rPr>
            </w:pPr>
          </w:p>
        </w:tc>
      </w:tr>
      <w:tr w:rsidR="001F10E6" w:rsidRPr="00310DA4" w:rsidTr="00871F47">
        <w:tc>
          <w:tcPr>
            <w:tcW w:w="2427" w:type="pct"/>
          </w:tcPr>
          <w:p w:rsidR="001F10E6" w:rsidRPr="000729DC" w:rsidRDefault="001F10E6" w:rsidP="00871F47">
            <w:pPr>
              <w:jc w:val="both"/>
              <w:rPr>
                <w:sz w:val="20"/>
                <w:lang w:val="fr-CA"/>
              </w:rPr>
            </w:pPr>
            <w:r w:rsidRPr="000729DC">
              <w:rPr>
                <w:sz w:val="20"/>
                <w:lang w:val="fr-CA"/>
              </w:rPr>
              <w:t>20 avril 2015</w:t>
            </w:r>
          </w:p>
          <w:p w:rsidR="001F10E6" w:rsidRPr="000729DC" w:rsidRDefault="001F10E6" w:rsidP="00871F47">
            <w:pPr>
              <w:jc w:val="both"/>
              <w:rPr>
                <w:sz w:val="20"/>
                <w:lang w:val="fr-CA"/>
              </w:rPr>
            </w:pPr>
            <w:r w:rsidRPr="000729DC">
              <w:rPr>
                <w:sz w:val="20"/>
                <w:lang w:val="fr-CA"/>
              </w:rPr>
              <w:t>Cour suprême du Canada</w:t>
            </w:r>
          </w:p>
        </w:tc>
        <w:tc>
          <w:tcPr>
            <w:tcW w:w="243" w:type="pct"/>
          </w:tcPr>
          <w:p w:rsidR="001F10E6" w:rsidRPr="000729DC" w:rsidRDefault="001F10E6" w:rsidP="00871F47">
            <w:pPr>
              <w:jc w:val="both"/>
              <w:rPr>
                <w:sz w:val="20"/>
                <w:lang w:val="fr-CA"/>
              </w:rPr>
            </w:pPr>
          </w:p>
        </w:tc>
        <w:tc>
          <w:tcPr>
            <w:tcW w:w="2330" w:type="pct"/>
          </w:tcPr>
          <w:p w:rsidR="001F10E6" w:rsidRPr="000729DC" w:rsidRDefault="001F10E6" w:rsidP="00871F47">
            <w:pPr>
              <w:jc w:val="both"/>
              <w:rPr>
                <w:sz w:val="20"/>
                <w:lang w:val="fr-CA"/>
              </w:rPr>
            </w:pPr>
            <w:r w:rsidRPr="000729DC">
              <w:rPr>
                <w:sz w:val="20"/>
                <w:lang w:val="fr-CA"/>
              </w:rPr>
              <w:t>Dépôt de la demande d’autorisation d’appel</w:t>
            </w:r>
          </w:p>
        </w:tc>
      </w:tr>
    </w:tbl>
    <w:p w:rsidR="00CE4499" w:rsidRPr="001F10E6" w:rsidRDefault="00CE4499" w:rsidP="00CE4499">
      <w:pPr>
        <w:rPr>
          <w:sz w:val="20"/>
          <w:szCs w:val="20"/>
          <w:lang w:val="fr-CA"/>
        </w:rPr>
      </w:pPr>
    </w:p>
    <w:p w:rsidR="00CE4499" w:rsidRDefault="00310DA4" w:rsidP="00CE4499">
      <w:pPr>
        <w:rPr>
          <w:sz w:val="20"/>
          <w:szCs w:val="20"/>
        </w:rPr>
      </w:pPr>
      <w:r>
        <w:rPr>
          <w:sz w:val="20"/>
          <w:szCs w:val="20"/>
          <w:lang w:val="fr-CA"/>
        </w:rPr>
        <w:pict>
          <v:rect id="_x0000_i1046" style="width:2in;height:1pt" o:hrpct="0" o:hralign="center" o:hrstd="t" o:hrnoshade="t" o:hr="t" fillcolor="black [3213]" stroked="f"/>
        </w:pict>
      </w:r>
    </w:p>
    <w:p w:rsidR="00CE4499" w:rsidRDefault="00CE4499" w:rsidP="00CE4499">
      <w:pPr>
        <w:rPr>
          <w:sz w:val="20"/>
          <w:szCs w:val="20"/>
        </w:rPr>
      </w:pPr>
    </w:p>
    <w:tbl>
      <w:tblPr>
        <w:tblStyle w:val="TableGrid6"/>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71F47" w:rsidRPr="00871F47" w:rsidTr="00871F47">
        <w:trPr>
          <w:cantSplit/>
        </w:trPr>
        <w:tc>
          <w:tcPr>
            <w:tcW w:w="1458" w:type="dxa"/>
          </w:tcPr>
          <w:p w:rsidR="00871F47" w:rsidRPr="00871F47" w:rsidRDefault="00871F47" w:rsidP="00871F47">
            <w:pPr>
              <w:rPr>
                <w:sz w:val="20"/>
              </w:rPr>
            </w:pPr>
            <w:r w:rsidRPr="00871F47">
              <w:rPr>
                <w:b/>
                <w:sz w:val="20"/>
                <w:lang w:val="fr-CA"/>
              </w:rPr>
              <w:t>36398</w:t>
            </w:r>
          </w:p>
          <w:p w:rsidR="00871F47" w:rsidRPr="00871F47" w:rsidRDefault="00871F47" w:rsidP="00871F47">
            <w:pPr>
              <w:rPr>
                <w:b/>
                <w:sz w:val="20"/>
                <w:lang w:val="fr-CA"/>
              </w:rPr>
            </w:pPr>
          </w:p>
        </w:tc>
        <w:tc>
          <w:tcPr>
            <w:tcW w:w="8118" w:type="dxa"/>
          </w:tcPr>
          <w:p w:rsidR="00871F47" w:rsidRPr="00871F47" w:rsidRDefault="00871F47" w:rsidP="00871F47">
            <w:pPr>
              <w:jc w:val="both"/>
              <w:rPr>
                <w:sz w:val="20"/>
              </w:rPr>
            </w:pPr>
            <w:r w:rsidRPr="00871F47">
              <w:rPr>
                <w:b/>
                <w:sz w:val="20"/>
                <w:u w:val="single"/>
              </w:rPr>
              <w:t>Canadian National Railway Company v. Corporation of the City of Kitchener, Public Utilities Commission of Kitchener and Hogg Fuel &amp; Supply Limited</w:t>
            </w:r>
            <w:r w:rsidRPr="00871F47">
              <w:rPr>
                <w:sz w:val="20"/>
              </w:rPr>
              <w:t xml:space="preserve"> (Ont.) (Civil) (By Leave)</w:t>
            </w:r>
          </w:p>
          <w:p w:rsidR="00871F47" w:rsidRPr="00871F47" w:rsidRDefault="00871F47" w:rsidP="00871F47">
            <w:pPr>
              <w:jc w:val="both"/>
              <w:rPr>
                <w:sz w:val="20"/>
              </w:rPr>
            </w:pPr>
          </w:p>
        </w:tc>
      </w:tr>
      <w:tr w:rsidR="00871F47" w:rsidRPr="00310DA4" w:rsidTr="00871F47">
        <w:trPr>
          <w:cantSplit/>
        </w:trPr>
        <w:tc>
          <w:tcPr>
            <w:tcW w:w="1458" w:type="dxa"/>
          </w:tcPr>
          <w:p w:rsidR="00871F47" w:rsidRPr="00871F47" w:rsidRDefault="00871F47" w:rsidP="00871F47">
            <w:pPr>
              <w:rPr>
                <w:sz w:val="20"/>
              </w:rPr>
            </w:pPr>
            <w:r w:rsidRPr="00871F47">
              <w:rPr>
                <w:sz w:val="20"/>
              </w:rPr>
              <w:t>Coram :</w:t>
            </w:r>
          </w:p>
        </w:tc>
        <w:tc>
          <w:tcPr>
            <w:tcW w:w="8118" w:type="dxa"/>
          </w:tcPr>
          <w:p w:rsidR="00871F47" w:rsidRPr="00871F47" w:rsidRDefault="00871F47" w:rsidP="00871F47">
            <w:pPr>
              <w:rPr>
                <w:sz w:val="20"/>
                <w:lang w:val="fr-CA"/>
              </w:rPr>
            </w:pPr>
            <w:r w:rsidRPr="00871F47">
              <w:rPr>
                <w:sz w:val="20"/>
                <w:u w:val="single"/>
                <w:lang w:val="fr-CA"/>
              </w:rPr>
              <w:t>Abella, Karakatsanis and Côté JJ.</w:t>
            </w:r>
          </w:p>
          <w:p w:rsidR="00871F47" w:rsidRPr="00871F47" w:rsidRDefault="00871F47" w:rsidP="00871F47">
            <w:pPr>
              <w:rPr>
                <w:sz w:val="20"/>
                <w:u w:val="single"/>
                <w:lang w:val="fr-CA"/>
              </w:rPr>
            </w:pPr>
          </w:p>
        </w:tc>
      </w:tr>
      <w:tr w:rsidR="00871F47" w:rsidRPr="00310DA4" w:rsidTr="00871F47">
        <w:trPr>
          <w:cantSplit/>
        </w:trPr>
        <w:tc>
          <w:tcPr>
            <w:tcW w:w="9576" w:type="dxa"/>
            <w:gridSpan w:val="2"/>
          </w:tcPr>
          <w:p w:rsidR="00871F47" w:rsidRPr="00871F47" w:rsidRDefault="00871F47" w:rsidP="00871F47">
            <w:pPr>
              <w:ind w:firstLine="720"/>
              <w:jc w:val="both"/>
              <w:rPr>
                <w:sz w:val="20"/>
              </w:rPr>
            </w:pPr>
            <w:r w:rsidRPr="00871F47">
              <w:rPr>
                <w:sz w:val="20"/>
              </w:rPr>
              <w:t>The application for leave to appeal from the judgment of the Court of Appeal for Ontario, Number C59372, 2015 ONCA 131, dated February 26, 2015, is dismissed with costs.</w:t>
            </w:r>
          </w:p>
          <w:p w:rsidR="00871F47" w:rsidRPr="00871F47" w:rsidRDefault="00871F47" w:rsidP="00871F47">
            <w:pPr>
              <w:jc w:val="both"/>
              <w:rPr>
                <w:sz w:val="20"/>
              </w:rPr>
            </w:pPr>
          </w:p>
          <w:p w:rsidR="00871F47" w:rsidRPr="00871F47" w:rsidRDefault="00871F47" w:rsidP="00871F47">
            <w:pPr>
              <w:ind w:firstLine="720"/>
              <w:jc w:val="both"/>
              <w:rPr>
                <w:sz w:val="20"/>
                <w:lang w:val="fr-CA"/>
              </w:rPr>
            </w:pPr>
            <w:r w:rsidRPr="00871F47">
              <w:rPr>
                <w:sz w:val="20"/>
                <w:lang w:val="fr-CA"/>
              </w:rPr>
              <w:t>La demande d’autorisation d’appel de l’arrêt de la Cour d’appel de l’Ontario, numéro C59372, 2015 ONCA 131, daté du 26 février 2015, est rejetée avec dépens.</w:t>
            </w:r>
          </w:p>
        </w:tc>
      </w:tr>
    </w:tbl>
    <w:p w:rsidR="00CE4499" w:rsidRPr="00871F47" w:rsidRDefault="00CE4499" w:rsidP="00CE4499">
      <w:pPr>
        <w:rPr>
          <w:sz w:val="20"/>
          <w:szCs w:val="20"/>
          <w:lang w:val="fr-CA"/>
        </w:rPr>
      </w:pPr>
    </w:p>
    <w:p w:rsidR="00CE4499" w:rsidRPr="001B157C" w:rsidRDefault="00CE4499" w:rsidP="00CE4499">
      <w:pPr>
        <w:rPr>
          <w:sz w:val="20"/>
          <w:szCs w:val="20"/>
          <w:u w:val="single"/>
        </w:rPr>
      </w:pPr>
      <w:r w:rsidRPr="001B157C">
        <w:rPr>
          <w:sz w:val="20"/>
          <w:szCs w:val="20"/>
          <w:u w:val="single"/>
        </w:rPr>
        <w:t>CASE SUMMARY</w:t>
      </w:r>
    </w:p>
    <w:p w:rsidR="00CE4499" w:rsidRDefault="00CE4499" w:rsidP="00CE449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F10E6" w:rsidRPr="000729DC" w:rsidTr="00871F47">
        <w:tc>
          <w:tcPr>
            <w:tcW w:w="5000" w:type="pct"/>
            <w:gridSpan w:val="3"/>
          </w:tcPr>
          <w:p w:rsidR="001F10E6" w:rsidRPr="000729DC" w:rsidRDefault="001F10E6" w:rsidP="00871F47">
            <w:pPr>
              <w:jc w:val="both"/>
              <w:rPr>
                <w:sz w:val="20"/>
              </w:rPr>
            </w:pPr>
            <w:r w:rsidRPr="000729DC">
              <w:rPr>
                <w:sz w:val="20"/>
              </w:rPr>
              <w:t>Civil procedure – Time – Motion to dismiss action for delay – Presumption of prejudice – Is it just for a court to presume prejudice based solely on a period of delay, and to dismiss actions on the basis of presumed prejudice, in the absence of any finding that the delay caused any actual prejudice –  In determining presumed or actual prejudice, should a court consider only the period of inexcusable delay or may it consider the entire period of delay – How should a court determine whether a plaintiff has shown that all necessary witnesses are available for the purposes of rebutting a presumption of prejudice.</w:t>
            </w:r>
          </w:p>
        </w:tc>
      </w:tr>
      <w:tr w:rsidR="001F10E6" w:rsidRPr="000729DC" w:rsidTr="00871F47">
        <w:tc>
          <w:tcPr>
            <w:tcW w:w="5000" w:type="pct"/>
            <w:gridSpan w:val="3"/>
          </w:tcPr>
          <w:p w:rsidR="001F10E6" w:rsidRPr="000729DC" w:rsidRDefault="001F10E6" w:rsidP="00871F47">
            <w:pPr>
              <w:jc w:val="both"/>
              <w:rPr>
                <w:sz w:val="20"/>
              </w:rPr>
            </w:pPr>
          </w:p>
        </w:tc>
      </w:tr>
      <w:tr w:rsidR="001F10E6" w:rsidRPr="000729DC" w:rsidTr="00871F47">
        <w:tc>
          <w:tcPr>
            <w:tcW w:w="5000" w:type="pct"/>
            <w:gridSpan w:val="3"/>
          </w:tcPr>
          <w:p w:rsidR="001F10E6" w:rsidRPr="000729DC" w:rsidRDefault="001F10E6" w:rsidP="00871F47">
            <w:pPr>
              <w:jc w:val="both"/>
              <w:rPr>
                <w:sz w:val="20"/>
              </w:rPr>
            </w:pPr>
            <w:r w:rsidRPr="000729DC">
              <w:rPr>
                <w:sz w:val="20"/>
              </w:rPr>
              <w:t>In 1989, the applicant (“CN”) commenced an action alleging that from 1924 to 1958 coal tar was dumped on land now owned by the respondent Hogg Fuel &amp; Supply Limited (“Hogg Fuel”), some of which migrated onto CN’s lands. The CN and the respondents embarked on a cooperative process of exploring remediation options and jointly retaining experts. In November 1994, CN demanded statements of defence, which were filed by the City and Hogg Fuel in 1996 and 1997 respectively. The parties continued to cooperate, however by 2001 a new case management master required adherence to a tighter schedule to complete discoveries and proceed to trial. Despite this, there were further postponements and delays. CN set the matter down for trial on December 16, 2011, while advising the Court of the steps not yet complete.</w:t>
            </w:r>
          </w:p>
          <w:p w:rsidR="001F10E6" w:rsidRPr="000729DC" w:rsidRDefault="001F10E6" w:rsidP="00871F47">
            <w:pPr>
              <w:jc w:val="both"/>
              <w:rPr>
                <w:sz w:val="20"/>
              </w:rPr>
            </w:pPr>
          </w:p>
          <w:p w:rsidR="001F10E6" w:rsidRPr="000729DC" w:rsidRDefault="001F10E6" w:rsidP="00871F47">
            <w:pPr>
              <w:jc w:val="both"/>
              <w:rPr>
                <w:sz w:val="20"/>
              </w:rPr>
            </w:pPr>
            <w:r w:rsidRPr="000729DC">
              <w:rPr>
                <w:sz w:val="20"/>
              </w:rPr>
              <w:t xml:space="preserve">The respondents brought a motion to dismiss the action for delay under Rule 24.01 of the </w:t>
            </w:r>
            <w:r w:rsidRPr="000729DC">
              <w:rPr>
                <w:i/>
                <w:sz w:val="20"/>
              </w:rPr>
              <w:t>Rules of Civil Procedure</w:t>
            </w:r>
            <w:r w:rsidRPr="000729DC">
              <w:rPr>
                <w:sz w:val="20"/>
              </w:rPr>
              <w:t>, RRO 1990, Reg. 194. Ultimately, steps that had been undertaken by CN to be completed by February 2005, were not delivered until just before the motion to dismiss for delay. The Ontario Superior Court of Justice granted the respondents’ motion, holding that while the first 14 years of delay were excusable, the delay between the years 2003 and 2014 was inordinate and inexcusable, creating a substantial risk that there could not be a fair trial of the issues. While the court did not make a finding of actual prejudice to the respondents, it held that the “presumption or inference of prejudice is very strong in this case”, being 25 years old, and  had not been rebutted by CN. The Court of Appeal for Ontario dismissed the appeal.</w:t>
            </w:r>
          </w:p>
          <w:p w:rsidR="001F10E6" w:rsidRPr="000729DC" w:rsidRDefault="001F10E6" w:rsidP="00871F47">
            <w:pPr>
              <w:jc w:val="both"/>
              <w:rPr>
                <w:sz w:val="20"/>
              </w:rPr>
            </w:pPr>
          </w:p>
        </w:tc>
      </w:tr>
      <w:tr w:rsidR="001F10E6" w:rsidRPr="000729DC" w:rsidTr="00871F47">
        <w:tc>
          <w:tcPr>
            <w:tcW w:w="2427" w:type="pct"/>
          </w:tcPr>
          <w:p w:rsidR="001F10E6" w:rsidRPr="000729DC" w:rsidRDefault="001F10E6" w:rsidP="00871F47">
            <w:pPr>
              <w:jc w:val="both"/>
              <w:rPr>
                <w:sz w:val="20"/>
              </w:rPr>
            </w:pPr>
            <w:r w:rsidRPr="000729DC">
              <w:rPr>
                <w:sz w:val="20"/>
              </w:rPr>
              <w:t>August 25, 2014</w:t>
            </w:r>
          </w:p>
          <w:p w:rsidR="001F10E6" w:rsidRPr="000729DC" w:rsidRDefault="001F10E6" w:rsidP="00871F47">
            <w:pPr>
              <w:jc w:val="both"/>
              <w:rPr>
                <w:sz w:val="20"/>
              </w:rPr>
            </w:pPr>
            <w:r w:rsidRPr="000729DC">
              <w:rPr>
                <w:sz w:val="20"/>
              </w:rPr>
              <w:t>Ontario Superior Court of Justice</w:t>
            </w:r>
          </w:p>
          <w:p w:rsidR="001F10E6" w:rsidRPr="000729DC" w:rsidRDefault="001F10E6" w:rsidP="00871F47">
            <w:pPr>
              <w:jc w:val="both"/>
              <w:rPr>
                <w:sz w:val="20"/>
              </w:rPr>
            </w:pPr>
            <w:r w:rsidRPr="000729DC">
              <w:rPr>
                <w:sz w:val="20"/>
              </w:rPr>
              <w:t>(Myers J.)</w:t>
            </w:r>
          </w:p>
          <w:p w:rsidR="001F10E6" w:rsidRPr="000729DC" w:rsidRDefault="00310DA4" w:rsidP="00871F47">
            <w:pPr>
              <w:jc w:val="both"/>
              <w:rPr>
                <w:sz w:val="20"/>
              </w:rPr>
            </w:pPr>
            <w:hyperlink r:id="rId32" w:history="1">
              <w:r w:rsidR="001F10E6" w:rsidRPr="000729DC">
                <w:rPr>
                  <w:sz w:val="20"/>
                  <w:u w:val="single"/>
                </w:rPr>
                <w:t>2014 ONSC 4929</w:t>
              </w:r>
            </w:hyperlink>
          </w:p>
          <w:p w:rsidR="001F10E6" w:rsidRPr="000729DC" w:rsidRDefault="001F10E6" w:rsidP="00871F47">
            <w:pPr>
              <w:jc w:val="both"/>
              <w:rPr>
                <w:sz w:val="20"/>
              </w:rPr>
            </w:pPr>
          </w:p>
        </w:tc>
        <w:tc>
          <w:tcPr>
            <w:tcW w:w="243" w:type="pct"/>
          </w:tcPr>
          <w:p w:rsidR="001F10E6" w:rsidRPr="000729DC" w:rsidRDefault="001F10E6" w:rsidP="00871F47">
            <w:pPr>
              <w:jc w:val="both"/>
              <w:rPr>
                <w:sz w:val="20"/>
              </w:rPr>
            </w:pPr>
          </w:p>
        </w:tc>
        <w:tc>
          <w:tcPr>
            <w:tcW w:w="2330" w:type="pct"/>
          </w:tcPr>
          <w:p w:rsidR="001F10E6" w:rsidRPr="000729DC" w:rsidRDefault="001F10E6" w:rsidP="00871F47">
            <w:pPr>
              <w:jc w:val="both"/>
              <w:rPr>
                <w:sz w:val="20"/>
              </w:rPr>
            </w:pPr>
            <w:r w:rsidRPr="000729DC">
              <w:rPr>
                <w:sz w:val="20"/>
              </w:rPr>
              <w:t>Respondents’ motion to dismiss applicant’s action for delay, granted</w:t>
            </w:r>
          </w:p>
          <w:p w:rsidR="001F10E6" w:rsidRPr="000729DC" w:rsidRDefault="001F10E6" w:rsidP="00871F47">
            <w:pPr>
              <w:jc w:val="both"/>
              <w:rPr>
                <w:sz w:val="20"/>
              </w:rPr>
            </w:pPr>
          </w:p>
        </w:tc>
      </w:tr>
      <w:tr w:rsidR="001F10E6" w:rsidRPr="000729DC" w:rsidTr="00871F47">
        <w:tc>
          <w:tcPr>
            <w:tcW w:w="2427" w:type="pct"/>
          </w:tcPr>
          <w:p w:rsidR="001F10E6" w:rsidRPr="000729DC" w:rsidRDefault="001F10E6" w:rsidP="00871F47">
            <w:pPr>
              <w:jc w:val="both"/>
              <w:rPr>
                <w:sz w:val="20"/>
              </w:rPr>
            </w:pPr>
            <w:r w:rsidRPr="000729DC">
              <w:rPr>
                <w:sz w:val="20"/>
              </w:rPr>
              <w:t>February 26, 2015</w:t>
            </w:r>
          </w:p>
          <w:p w:rsidR="001F10E6" w:rsidRPr="000729DC" w:rsidRDefault="001F10E6" w:rsidP="00871F47">
            <w:pPr>
              <w:jc w:val="both"/>
              <w:rPr>
                <w:sz w:val="20"/>
              </w:rPr>
            </w:pPr>
            <w:r w:rsidRPr="000729DC">
              <w:rPr>
                <w:sz w:val="20"/>
              </w:rPr>
              <w:t>Court of Appeal for Ontario</w:t>
            </w:r>
          </w:p>
          <w:p w:rsidR="001F10E6" w:rsidRPr="000729DC" w:rsidRDefault="001F10E6" w:rsidP="00871F47">
            <w:pPr>
              <w:jc w:val="both"/>
              <w:rPr>
                <w:sz w:val="20"/>
              </w:rPr>
            </w:pPr>
            <w:r w:rsidRPr="000729DC">
              <w:rPr>
                <w:sz w:val="20"/>
              </w:rPr>
              <w:t>(Rouleau, Watt and Pardu JJ.A.)</w:t>
            </w:r>
          </w:p>
          <w:p w:rsidR="001F10E6" w:rsidRPr="000729DC" w:rsidRDefault="00310DA4" w:rsidP="00871F47">
            <w:pPr>
              <w:jc w:val="both"/>
              <w:rPr>
                <w:sz w:val="20"/>
              </w:rPr>
            </w:pPr>
            <w:hyperlink r:id="rId33" w:history="1">
              <w:r w:rsidR="001F10E6" w:rsidRPr="000729DC">
                <w:rPr>
                  <w:sz w:val="20"/>
                  <w:u w:val="single"/>
                </w:rPr>
                <w:t>2015 ONCA 131</w:t>
              </w:r>
            </w:hyperlink>
            <w:r w:rsidR="001F10E6" w:rsidRPr="000729DC">
              <w:rPr>
                <w:sz w:val="20"/>
              </w:rPr>
              <w:t>; C59372</w:t>
            </w:r>
          </w:p>
          <w:p w:rsidR="001F10E6" w:rsidRPr="000729DC" w:rsidRDefault="001F10E6" w:rsidP="00871F47">
            <w:pPr>
              <w:jc w:val="both"/>
              <w:rPr>
                <w:sz w:val="20"/>
                <w:lang w:val="fr-CA"/>
              </w:rPr>
            </w:pPr>
          </w:p>
        </w:tc>
        <w:tc>
          <w:tcPr>
            <w:tcW w:w="243" w:type="pct"/>
          </w:tcPr>
          <w:p w:rsidR="001F10E6" w:rsidRPr="000729DC" w:rsidRDefault="001F10E6" w:rsidP="00871F47">
            <w:pPr>
              <w:jc w:val="both"/>
              <w:rPr>
                <w:sz w:val="20"/>
                <w:lang w:val="fr-CA"/>
              </w:rPr>
            </w:pPr>
          </w:p>
        </w:tc>
        <w:tc>
          <w:tcPr>
            <w:tcW w:w="2330" w:type="pct"/>
          </w:tcPr>
          <w:p w:rsidR="001F10E6" w:rsidRPr="000729DC" w:rsidRDefault="001F10E6" w:rsidP="00871F47">
            <w:pPr>
              <w:jc w:val="both"/>
              <w:rPr>
                <w:sz w:val="20"/>
              </w:rPr>
            </w:pPr>
            <w:r w:rsidRPr="000729DC">
              <w:rPr>
                <w:sz w:val="20"/>
              </w:rPr>
              <w:t>Appeal dismissed</w:t>
            </w:r>
          </w:p>
          <w:p w:rsidR="001F10E6" w:rsidRPr="000729DC" w:rsidRDefault="001F10E6" w:rsidP="00871F47">
            <w:pPr>
              <w:jc w:val="both"/>
              <w:rPr>
                <w:sz w:val="20"/>
              </w:rPr>
            </w:pPr>
          </w:p>
        </w:tc>
      </w:tr>
      <w:tr w:rsidR="001F10E6" w:rsidRPr="000729DC" w:rsidTr="00871F47">
        <w:tc>
          <w:tcPr>
            <w:tcW w:w="2427" w:type="pct"/>
          </w:tcPr>
          <w:p w:rsidR="001F10E6" w:rsidRPr="000729DC" w:rsidRDefault="001F10E6" w:rsidP="00871F47">
            <w:pPr>
              <w:jc w:val="both"/>
              <w:rPr>
                <w:sz w:val="20"/>
              </w:rPr>
            </w:pPr>
            <w:r w:rsidRPr="000729DC">
              <w:rPr>
                <w:sz w:val="20"/>
              </w:rPr>
              <w:t>April 23, 2015</w:t>
            </w:r>
          </w:p>
          <w:p w:rsidR="001F10E6" w:rsidRPr="000729DC" w:rsidRDefault="001F10E6" w:rsidP="00871F47">
            <w:pPr>
              <w:jc w:val="both"/>
              <w:rPr>
                <w:sz w:val="20"/>
              </w:rPr>
            </w:pPr>
            <w:r w:rsidRPr="000729DC">
              <w:rPr>
                <w:sz w:val="20"/>
              </w:rPr>
              <w:t>Supreme Court of Canada</w:t>
            </w:r>
          </w:p>
        </w:tc>
        <w:tc>
          <w:tcPr>
            <w:tcW w:w="243" w:type="pct"/>
          </w:tcPr>
          <w:p w:rsidR="001F10E6" w:rsidRPr="000729DC" w:rsidRDefault="001F10E6" w:rsidP="00871F47">
            <w:pPr>
              <w:jc w:val="both"/>
              <w:rPr>
                <w:sz w:val="20"/>
              </w:rPr>
            </w:pPr>
          </w:p>
        </w:tc>
        <w:tc>
          <w:tcPr>
            <w:tcW w:w="2330" w:type="pct"/>
          </w:tcPr>
          <w:p w:rsidR="001F10E6" w:rsidRPr="000729DC" w:rsidRDefault="001F10E6" w:rsidP="00871F47">
            <w:pPr>
              <w:jc w:val="both"/>
              <w:rPr>
                <w:sz w:val="20"/>
              </w:rPr>
            </w:pPr>
            <w:r w:rsidRPr="000729DC">
              <w:rPr>
                <w:sz w:val="20"/>
              </w:rPr>
              <w:t>Application for leave to appeal filed</w:t>
            </w:r>
          </w:p>
          <w:p w:rsidR="001F10E6" w:rsidRPr="000729DC" w:rsidRDefault="001F10E6" w:rsidP="00871F47">
            <w:pPr>
              <w:jc w:val="both"/>
              <w:rPr>
                <w:sz w:val="20"/>
              </w:rPr>
            </w:pPr>
          </w:p>
        </w:tc>
      </w:tr>
    </w:tbl>
    <w:p w:rsidR="00CE4499" w:rsidRDefault="00CE4499" w:rsidP="00CE4499">
      <w:pPr>
        <w:rPr>
          <w:sz w:val="20"/>
          <w:szCs w:val="20"/>
        </w:rPr>
      </w:pPr>
    </w:p>
    <w:p w:rsidR="00CE4499" w:rsidRPr="00C50A5C" w:rsidRDefault="00310DA4" w:rsidP="00CE4499">
      <w:pPr>
        <w:rPr>
          <w:sz w:val="20"/>
          <w:szCs w:val="20"/>
        </w:rPr>
      </w:pPr>
      <w:r>
        <w:rPr>
          <w:sz w:val="20"/>
          <w:szCs w:val="20"/>
          <w:lang w:val="fr-CA"/>
        </w:rPr>
        <w:pict>
          <v:rect id="_x0000_i1047" style="width:2in;height:1pt" o:hrpct="0" o:hralign="center" o:hrstd="t" o:hrnoshade="t" o:hr="t" fillcolor="black [3213]" stroked="f"/>
        </w:pict>
      </w:r>
    </w:p>
    <w:p w:rsidR="00CE4499" w:rsidRDefault="00CE4499" w:rsidP="00CE4499">
      <w:pPr>
        <w:rPr>
          <w:sz w:val="20"/>
          <w:szCs w:val="20"/>
        </w:rPr>
      </w:pPr>
    </w:p>
    <w:p w:rsidR="00CE4499" w:rsidRPr="001B157C" w:rsidRDefault="00CE4499" w:rsidP="00CE4499">
      <w:pPr>
        <w:rPr>
          <w:sz w:val="20"/>
          <w:szCs w:val="20"/>
          <w:u w:val="single"/>
          <w:lang w:val="fr-CA"/>
        </w:rPr>
      </w:pPr>
      <w:r w:rsidRPr="001B157C">
        <w:rPr>
          <w:sz w:val="20"/>
          <w:szCs w:val="20"/>
          <w:u w:val="single"/>
          <w:lang w:val="fr-CA"/>
        </w:rPr>
        <w:t>RÉSUMÉ DE L’AFFAIRE</w:t>
      </w:r>
    </w:p>
    <w:p w:rsidR="00CE4499" w:rsidRDefault="00CE4499" w:rsidP="00CE449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F10E6" w:rsidRPr="00310DA4" w:rsidTr="00871F47">
        <w:tc>
          <w:tcPr>
            <w:tcW w:w="5000" w:type="pct"/>
            <w:gridSpan w:val="3"/>
          </w:tcPr>
          <w:p w:rsidR="001F10E6" w:rsidRPr="000729DC" w:rsidRDefault="001F10E6" w:rsidP="00871F47">
            <w:pPr>
              <w:jc w:val="both"/>
              <w:rPr>
                <w:sz w:val="20"/>
                <w:lang w:val="fr-CA"/>
              </w:rPr>
            </w:pPr>
            <w:r w:rsidRPr="000729DC">
              <w:rPr>
                <w:sz w:val="20"/>
                <w:lang w:val="fr-CA"/>
              </w:rPr>
              <w:t>Procédure civile – Délais – Motion en rejet de l’action pour cause de retard – Présomption de préjudice – Est-il juste qu’un tribunal présume de l’existence d’un préjudice sur le seul fondement d’un retard et rejette une action sur le fondement d’un préjudice présumé, en l’absence de toute conclusion selon laquelle le retard avait causé un préjudice réel? – En déterminant le préjudice présumé ou réel, le tribunal doit-il se limiter à prendre en considération la période de retard injustifiable ou lui est-il loisible de prendre en considération la durée totale du retard? – Comment le tribunal doit-il déterminer si le demandeur a fait la preuve que tous les témoins nécessaires étaient disponibles pour réfuter la présomption de préjudice?</w:t>
            </w:r>
          </w:p>
        </w:tc>
      </w:tr>
      <w:tr w:rsidR="001F10E6" w:rsidRPr="00310DA4" w:rsidTr="00871F47">
        <w:tc>
          <w:tcPr>
            <w:tcW w:w="5000" w:type="pct"/>
            <w:gridSpan w:val="3"/>
          </w:tcPr>
          <w:p w:rsidR="001F10E6" w:rsidRPr="000729DC" w:rsidRDefault="001F10E6" w:rsidP="00871F47">
            <w:pPr>
              <w:jc w:val="both"/>
              <w:rPr>
                <w:sz w:val="20"/>
                <w:lang w:val="fr-CA"/>
              </w:rPr>
            </w:pPr>
          </w:p>
        </w:tc>
      </w:tr>
      <w:tr w:rsidR="001F10E6" w:rsidRPr="000729DC" w:rsidTr="00871F47">
        <w:tc>
          <w:tcPr>
            <w:tcW w:w="5000" w:type="pct"/>
            <w:gridSpan w:val="3"/>
          </w:tcPr>
          <w:p w:rsidR="001F10E6" w:rsidRPr="000729DC" w:rsidRDefault="001F10E6" w:rsidP="00871F47">
            <w:pPr>
              <w:jc w:val="both"/>
              <w:rPr>
                <w:sz w:val="20"/>
                <w:lang w:val="fr-CA"/>
              </w:rPr>
            </w:pPr>
            <w:r w:rsidRPr="000729DC">
              <w:rPr>
                <w:sz w:val="20"/>
                <w:lang w:val="fr-CA"/>
              </w:rPr>
              <w:t xml:space="preserve">En 1989, la demanderesse (« CN ») a intenté une action alléguant que de 1924 à 1958, du goudron de houille avait été déversé sur un terrain appartenant maintenant à l’intimée Hogg Fuel &amp; Supply Limited (« Hogg Fuel ») et qu’une partie de ce goudron était passée sur des terrains de CN. Le CN et les intimés ont entrepris un processus collaboratif pour explorer des options de remédiation et retenir conjointement les services d’experts. En novembre 1994, CN a exigé la production de défenses, qui ont été déposées par la Ville et Hogg Fuel en 1996 et 1997, respectivement. Les parties ont continué à collaborer, mais en 2001, un nouveau protonotaire chargé de la gestion de l’instance a exigé que les parties respectent un échéancier plus serré pour compléter les communications préalables et aller à procès. Malgré </w:t>
            </w:r>
            <w:r w:rsidRPr="000729DC">
              <w:rPr>
                <w:sz w:val="20"/>
                <w:lang w:val="fr-CA"/>
              </w:rPr>
              <w:lastRenderedPageBreak/>
              <w:t>ces directives, il y a eu d’autres remises et retards. CN a inscrit la demande pour procès le 16 décembre 2011, tout en informant la Cour des démarches incomplètes.</w:t>
            </w:r>
          </w:p>
          <w:p w:rsidR="001F10E6" w:rsidRPr="000729DC" w:rsidRDefault="001F10E6" w:rsidP="00871F47">
            <w:pPr>
              <w:jc w:val="both"/>
              <w:rPr>
                <w:sz w:val="20"/>
                <w:lang w:val="fr-CA"/>
              </w:rPr>
            </w:pPr>
          </w:p>
          <w:p w:rsidR="001F10E6" w:rsidRPr="000729DC" w:rsidRDefault="001F10E6" w:rsidP="00871F47">
            <w:pPr>
              <w:jc w:val="both"/>
              <w:rPr>
                <w:sz w:val="20"/>
                <w:lang w:val="fr-CA"/>
              </w:rPr>
            </w:pPr>
            <w:r w:rsidRPr="000729DC">
              <w:rPr>
                <w:sz w:val="20"/>
                <w:lang w:val="fr-CA"/>
              </w:rPr>
              <w:t xml:space="preserve">Les intimés ont présenté une motion en rejet de l’action pour cause de retard en application de la règle 24.01 des </w:t>
            </w:r>
            <w:r w:rsidRPr="000729DC">
              <w:rPr>
                <w:i/>
                <w:sz w:val="20"/>
                <w:lang w:val="fr-CA"/>
              </w:rPr>
              <w:t>Règles de procédure civile</w:t>
            </w:r>
            <w:r w:rsidRPr="000729DC">
              <w:rPr>
                <w:sz w:val="20"/>
                <w:lang w:val="fr-CA"/>
              </w:rPr>
              <w:t>, RRO 1990, règl. 194. En définitive, les démarches qu’avaient entreprises CN et qui devaient être complétées au plus tard le 5 février 2005 n’ont été terminées que peu de temps avant la motion en rejet pour cause de retard. La Cour supérieure de justice de l’Ontario a accueilli la motion des intimés, statuant que si les quatorze premières années de retard étaient justifiables, le retard entre les années 2003 et 2014 était excessif et injustifiable, créant un risque important que le procès ne soit pas équitable à l’égard des questions. Bien que le tribunal n’ait pas conclu que les intimés avaient subi un préjudice réel, il a statué que [</w:t>
            </w:r>
            <w:r w:rsidRPr="000729DC">
              <w:rPr>
                <w:smallCaps/>
                <w:sz w:val="20"/>
                <w:lang w:val="fr-CA"/>
              </w:rPr>
              <w:t>traduction</w:t>
            </w:r>
            <w:r w:rsidRPr="000729DC">
              <w:rPr>
                <w:sz w:val="20"/>
                <w:lang w:val="fr-CA"/>
              </w:rPr>
              <w:t>] « la présomption ou inférence de préjudice était très forte en l’espèce » – l’affaire remontant à vingt-cinq ans – et que CN ne l’avait pas réfutée. La Cour d’appel de l’Ontario a rejeté l’appel.</w:t>
            </w:r>
          </w:p>
          <w:p w:rsidR="001F10E6" w:rsidRPr="000729DC" w:rsidRDefault="001F10E6" w:rsidP="00871F47">
            <w:pPr>
              <w:jc w:val="both"/>
              <w:rPr>
                <w:sz w:val="20"/>
                <w:lang w:val="fr-CA"/>
              </w:rPr>
            </w:pPr>
          </w:p>
        </w:tc>
      </w:tr>
      <w:tr w:rsidR="001F10E6" w:rsidRPr="00310DA4" w:rsidTr="00871F47">
        <w:tc>
          <w:tcPr>
            <w:tcW w:w="2427" w:type="pct"/>
          </w:tcPr>
          <w:p w:rsidR="001F10E6" w:rsidRPr="000729DC" w:rsidRDefault="001F10E6" w:rsidP="00871F47">
            <w:pPr>
              <w:jc w:val="both"/>
              <w:rPr>
                <w:sz w:val="20"/>
                <w:lang w:val="fr-CA"/>
              </w:rPr>
            </w:pPr>
            <w:r w:rsidRPr="000729DC">
              <w:rPr>
                <w:sz w:val="20"/>
                <w:lang w:val="fr-CA"/>
              </w:rPr>
              <w:lastRenderedPageBreak/>
              <w:t>25 août 2014</w:t>
            </w:r>
          </w:p>
          <w:p w:rsidR="001F10E6" w:rsidRPr="000729DC" w:rsidRDefault="001F10E6" w:rsidP="00871F47">
            <w:pPr>
              <w:jc w:val="both"/>
              <w:rPr>
                <w:sz w:val="20"/>
                <w:lang w:val="fr-CA"/>
              </w:rPr>
            </w:pPr>
            <w:r w:rsidRPr="000729DC">
              <w:rPr>
                <w:sz w:val="20"/>
                <w:lang w:val="fr-CA"/>
              </w:rPr>
              <w:t>Cour supérieure de justice de l’Ontario</w:t>
            </w:r>
          </w:p>
          <w:p w:rsidR="001F10E6" w:rsidRPr="000729DC" w:rsidRDefault="001F10E6" w:rsidP="00871F47">
            <w:pPr>
              <w:jc w:val="both"/>
              <w:rPr>
                <w:sz w:val="20"/>
                <w:lang w:val="fr-CA"/>
              </w:rPr>
            </w:pPr>
            <w:r w:rsidRPr="000729DC">
              <w:rPr>
                <w:sz w:val="20"/>
                <w:lang w:val="fr-CA"/>
              </w:rPr>
              <w:t>(Juge Myers)</w:t>
            </w:r>
          </w:p>
          <w:p w:rsidR="001F10E6" w:rsidRPr="000729DC" w:rsidRDefault="00310DA4" w:rsidP="00871F47">
            <w:pPr>
              <w:jc w:val="both"/>
              <w:rPr>
                <w:sz w:val="20"/>
                <w:lang w:val="fr-CA"/>
              </w:rPr>
            </w:pPr>
            <w:hyperlink r:id="rId34" w:history="1">
              <w:r w:rsidR="001F10E6" w:rsidRPr="000729DC">
                <w:rPr>
                  <w:color w:val="0000FF" w:themeColor="hyperlink"/>
                  <w:sz w:val="20"/>
                  <w:u w:val="single"/>
                  <w:lang w:val="fr-CA"/>
                </w:rPr>
                <w:t>2014 ONSC 4929</w:t>
              </w:r>
            </w:hyperlink>
          </w:p>
          <w:p w:rsidR="001F10E6" w:rsidRPr="000729DC" w:rsidRDefault="001F10E6" w:rsidP="00871F47">
            <w:pPr>
              <w:jc w:val="both"/>
              <w:rPr>
                <w:sz w:val="20"/>
                <w:lang w:val="fr-CA"/>
              </w:rPr>
            </w:pPr>
          </w:p>
        </w:tc>
        <w:tc>
          <w:tcPr>
            <w:tcW w:w="243" w:type="pct"/>
          </w:tcPr>
          <w:p w:rsidR="001F10E6" w:rsidRPr="000729DC" w:rsidRDefault="001F10E6" w:rsidP="00871F47">
            <w:pPr>
              <w:jc w:val="both"/>
              <w:rPr>
                <w:sz w:val="20"/>
                <w:lang w:val="fr-CA"/>
              </w:rPr>
            </w:pPr>
          </w:p>
        </w:tc>
        <w:tc>
          <w:tcPr>
            <w:tcW w:w="2330" w:type="pct"/>
          </w:tcPr>
          <w:p w:rsidR="001F10E6" w:rsidRPr="000729DC" w:rsidRDefault="001F10E6" w:rsidP="00871F47">
            <w:pPr>
              <w:jc w:val="both"/>
              <w:rPr>
                <w:sz w:val="20"/>
                <w:lang w:val="fr-CA"/>
              </w:rPr>
            </w:pPr>
            <w:r w:rsidRPr="000729DC">
              <w:rPr>
                <w:sz w:val="20"/>
                <w:lang w:val="fr-CA"/>
              </w:rPr>
              <w:t>Rejet de l’action de la demanderesse pour cause de retard, sur motion des intimés</w:t>
            </w:r>
          </w:p>
          <w:p w:rsidR="001F10E6" w:rsidRPr="000729DC" w:rsidRDefault="001F10E6" w:rsidP="00871F47">
            <w:pPr>
              <w:jc w:val="both"/>
              <w:rPr>
                <w:sz w:val="20"/>
                <w:lang w:val="fr-CA"/>
              </w:rPr>
            </w:pPr>
          </w:p>
        </w:tc>
      </w:tr>
      <w:tr w:rsidR="001F10E6" w:rsidRPr="000729DC" w:rsidTr="00871F47">
        <w:tc>
          <w:tcPr>
            <w:tcW w:w="2427" w:type="pct"/>
          </w:tcPr>
          <w:p w:rsidR="001F10E6" w:rsidRPr="000729DC" w:rsidRDefault="001F10E6" w:rsidP="00871F47">
            <w:pPr>
              <w:jc w:val="both"/>
              <w:rPr>
                <w:sz w:val="20"/>
                <w:lang w:val="fr-CA"/>
              </w:rPr>
            </w:pPr>
            <w:r w:rsidRPr="000729DC">
              <w:rPr>
                <w:sz w:val="20"/>
                <w:lang w:val="fr-CA"/>
              </w:rPr>
              <w:t>26 février 2015</w:t>
            </w:r>
          </w:p>
          <w:p w:rsidR="001F10E6" w:rsidRPr="000729DC" w:rsidRDefault="001F10E6" w:rsidP="00871F47">
            <w:pPr>
              <w:jc w:val="both"/>
              <w:rPr>
                <w:sz w:val="20"/>
                <w:lang w:val="fr-CA"/>
              </w:rPr>
            </w:pPr>
            <w:r w:rsidRPr="000729DC">
              <w:rPr>
                <w:sz w:val="20"/>
                <w:lang w:val="fr-CA"/>
              </w:rPr>
              <w:t>Cour d’appel de l’Ontario</w:t>
            </w:r>
          </w:p>
          <w:p w:rsidR="001F10E6" w:rsidRPr="000729DC" w:rsidRDefault="001F10E6" w:rsidP="00871F47">
            <w:pPr>
              <w:jc w:val="both"/>
              <w:rPr>
                <w:sz w:val="20"/>
                <w:lang w:val="fr-CA"/>
              </w:rPr>
            </w:pPr>
            <w:r w:rsidRPr="000729DC">
              <w:rPr>
                <w:sz w:val="20"/>
                <w:lang w:val="fr-CA"/>
              </w:rPr>
              <w:t>(Juges Rouleau, Watt et Pardu)</w:t>
            </w:r>
          </w:p>
          <w:p w:rsidR="001F10E6" w:rsidRPr="000729DC" w:rsidRDefault="00310DA4" w:rsidP="00871F47">
            <w:pPr>
              <w:jc w:val="both"/>
              <w:rPr>
                <w:sz w:val="20"/>
                <w:lang w:val="fr-CA"/>
              </w:rPr>
            </w:pPr>
            <w:hyperlink r:id="rId35" w:history="1">
              <w:r w:rsidR="001F10E6" w:rsidRPr="000729DC">
                <w:rPr>
                  <w:color w:val="0000FF" w:themeColor="hyperlink"/>
                  <w:sz w:val="20"/>
                  <w:u w:val="single"/>
                  <w:lang w:val="fr-CA"/>
                </w:rPr>
                <w:t>2015 ONCA 131</w:t>
              </w:r>
            </w:hyperlink>
            <w:r w:rsidR="001F10E6" w:rsidRPr="000729DC">
              <w:rPr>
                <w:sz w:val="20"/>
                <w:lang w:val="fr-CA"/>
              </w:rPr>
              <w:t>; C59372</w:t>
            </w:r>
          </w:p>
          <w:p w:rsidR="001F10E6" w:rsidRPr="000729DC" w:rsidRDefault="001F10E6" w:rsidP="00871F47">
            <w:pPr>
              <w:jc w:val="both"/>
              <w:rPr>
                <w:sz w:val="20"/>
                <w:lang w:val="fr-CA"/>
              </w:rPr>
            </w:pPr>
          </w:p>
        </w:tc>
        <w:tc>
          <w:tcPr>
            <w:tcW w:w="243" w:type="pct"/>
          </w:tcPr>
          <w:p w:rsidR="001F10E6" w:rsidRPr="000729DC" w:rsidRDefault="001F10E6" w:rsidP="00871F47">
            <w:pPr>
              <w:jc w:val="both"/>
              <w:rPr>
                <w:sz w:val="20"/>
                <w:lang w:val="fr-CA"/>
              </w:rPr>
            </w:pPr>
          </w:p>
        </w:tc>
        <w:tc>
          <w:tcPr>
            <w:tcW w:w="2330" w:type="pct"/>
          </w:tcPr>
          <w:p w:rsidR="001F10E6" w:rsidRPr="000729DC" w:rsidRDefault="001F10E6" w:rsidP="00871F47">
            <w:pPr>
              <w:jc w:val="both"/>
              <w:rPr>
                <w:sz w:val="20"/>
                <w:lang w:val="fr-CA"/>
              </w:rPr>
            </w:pPr>
            <w:r w:rsidRPr="000729DC">
              <w:rPr>
                <w:sz w:val="20"/>
                <w:lang w:val="fr-CA"/>
              </w:rPr>
              <w:t>Rejet de l’appel</w:t>
            </w:r>
          </w:p>
          <w:p w:rsidR="001F10E6" w:rsidRPr="000729DC" w:rsidRDefault="001F10E6" w:rsidP="00871F47">
            <w:pPr>
              <w:jc w:val="both"/>
              <w:rPr>
                <w:sz w:val="20"/>
                <w:lang w:val="fr-CA"/>
              </w:rPr>
            </w:pPr>
          </w:p>
        </w:tc>
      </w:tr>
      <w:tr w:rsidR="001F10E6" w:rsidRPr="00310DA4" w:rsidTr="00871F47">
        <w:tc>
          <w:tcPr>
            <w:tcW w:w="2427" w:type="pct"/>
          </w:tcPr>
          <w:p w:rsidR="001F10E6" w:rsidRPr="000729DC" w:rsidRDefault="001F10E6" w:rsidP="00871F47">
            <w:pPr>
              <w:jc w:val="both"/>
              <w:rPr>
                <w:sz w:val="20"/>
                <w:lang w:val="fr-CA"/>
              </w:rPr>
            </w:pPr>
            <w:r w:rsidRPr="000729DC">
              <w:rPr>
                <w:sz w:val="20"/>
                <w:lang w:val="fr-CA"/>
              </w:rPr>
              <w:t>23 avril 2015</w:t>
            </w:r>
          </w:p>
          <w:p w:rsidR="001F10E6" w:rsidRPr="000729DC" w:rsidRDefault="001F10E6" w:rsidP="00871F47">
            <w:pPr>
              <w:jc w:val="both"/>
              <w:rPr>
                <w:sz w:val="20"/>
                <w:lang w:val="fr-CA"/>
              </w:rPr>
            </w:pPr>
            <w:r w:rsidRPr="000729DC">
              <w:rPr>
                <w:sz w:val="20"/>
                <w:lang w:val="fr-CA"/>
              </w:rPr>
              <w:t>Cour suprême du Canada</w:t>
            </w:r>
          </w:p>
        </w:tc>
        <w:tc>
          <w:tcPr>
            <w:tcW w:w="243" w:type="pct"/>
          </w:tcPr>
          <w:p w:rsidR="001F10E6" w:rsidRPr="000729DC" w:rsidRDefault="001F10E6" w:rsidP="00871F47">
            <w:pPr>
              <w:jc w:val="both"/>
              <w:rPr>
                <w:sz w:val="20"/>
                <w:lang w:val="fr-CA"/>
              </w:rPr>
            </w:pPr>
          </w:p>
        </w:tc>
        <w:tc>
          <w:tcPr>
            <w:tcW w:w="2330" w:type="pct"/>
          </w:tcPr>
          <w:p w:rsidR="001F10E6" w:rsidRPr="000729DC" w:rsidRDefault="001F10E6" w:rsidP="00871F47">
            <w:pPr>
              <w:jc w:val="both"/>
              <w:rPr>
                <w:sz w:val="20"/>
                <w:lang w:val="fr-CA"/>
              </w:rPr>
            </w:pPr>
            <w:r w:rsidRPr="000729DC">
              <w:rPr>
                <w:sz w:val="20"/>
                <w:lang w:val="fr-CA"/>
              </w:rPr>
              <w:t>Dépôt de la demande d’autorisation d’appel</w:t>
            </w:r>
          </w:p>
          <w:p w:rsidR="001F10E6" w:rsidRPr="000729DC" w:rsidRDefault="001F10E6" w:rsidP="00871F47">
            <w:pPr>
              <w:jc w:val="both"/>
              <w:rPr>
                <w:sz w:val="20"/>
                <w:lang w:val="fr-CA"/>
              </w:rPr>
            </w:pPr>
          </w:p>
        </w:tc>
      </w:tr>
    </w:tbl>
    <w:p w:rsidR="00CE4499" w:rsidRPr="001F10E6" w:rsidRDefault="00CE4499" w:rsidP="00CE4499">
      <w:pPr>
        <w:rPr>
          <w:sz w:val="20"/>
          <w:szCs w:val="20"/>
          <w:lang w:val="fr-CA"/>
        </w:rPr>
      </w:pPr>
    </w:p>
    <w:p w:rsidR="00CE4499" w:rsidRDefault="00310DA4" w:rsidP="00CE4499">
      <w:pPr>
        <w:rPr>
          <w:sz w:val="20"/>
          <w:szCs w:val="20"/>
        </w:rPr>
      </w:pPr>
      <w:r>
        <w:rPr>
          <w:sz w:val="20"/>
          <w:szCs w:val="20"/>
          <w:lang w:val="fr-CA"/>
        </w:rPr>
        <w:pict>
          <v:rect id="_x0000_i1048" style="width:2in;height:1pt" o:hrpct="0" o:hralign="center" o:hrstd="t" o:hrnoshade="t" o:hr="t" fillcolor="black [3213]" stroked="f"/>
        </w:pict>
      </w:r>
    </w:p>
    <w:p w:rsidR="00CE4499" w:rsidRDefault="00CE4499" w:rsidP="00CE4499">
      <w:pPr>
        <w:rPr>
          <w:sz w:val="20"/>
          <w:szCs w:val="20"/>
        </w:rPr>
      </w:pPr>
    </w:p>
    <w:tbl>
      <w:tblPr>
        <w:tblStyle w:val="TableGrid7"/>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71F47" w:rsidRPr="00871F47" w:rsidTr="00871F47">
        <w:trPr>
          <w:cantSplit/>
        </w:trPr>
        <w:tc>
          <w:tcPr>
            <w:tcW w:w="1458" w:type="dxa"/>
          </w:tcPr>
          <w:p w:rsidR="00871F47" w:rsidRPr="00871F47" w:rsidRDefault="00871F47" w:rsidP="00871F47">
            <w:pPr>
              <w:rPr>
                <w:sz w:val="20"/>
              </w:rPr>
            </w:pPr>
            <w:r w:rsidRPr="00871F47">
              <w:rPr>
                <w:b/>
                <w:sz w:val="20"/>
                <w:lang w:val="fr-CA"/>
              </w:rPr>
              <w:t>36411</w:t>
            </w:r>
          </w:p>
          <w:p w:rsidR="00871F47" w:rsidRPr="00871F47" w:rsidRDefault="00871F47" w:rsidP="00871F47">
            <w:pPr>
              <w:rPr>
                <w:b/>
                <w:sz w:val="20"/>
                <w:lang w:val="fr-CA"/>
              </w:rPr>
            </w:pPr>
          </w:p>
        </w:tc>
        <w:tc>
          <w:tcPr>
            <w:tcW w:w="8118" w:type="dxa"/>
          </w:tcPr>
          <w:p w:rsidR="00871F47" w:rsidRPr="00871F47" w:rsidRDefault="00871F47" w:rsidP="00871F47">
            <w:pPr>
              <w:rPr>
                <w:sz w:val="20"/>
              </w:rPr>
            </w:pPr>
            <w:r w:rsidRPr="00871F47">
              <w:rPr>
                <w:b/>
                <w:sz w:val="20"/>
                <w:u w:val="single"/>
              </w:rPr>
              <w:t>Peter Rowe v. Corporation of the Township of St. Joseph</w:t>
            </w:r>
            <w:r w:rsidRPr="00871F47">
              <w:rPr>
                <w:sz w:val="20"/>
              </w:rPr>
              <w:t xml:space="preserve"> (Ont.) (Civil) (By Leave)</w:t>
            </w:r>
          </w:p>
          <w:p w:rsidR="00871F47" w:rsidRPr="00871F47" w:rsidRDefault="00871F47" w:rsidP="00871F47">
            <w:pPr>
              <w:rPr>
                <w:sz w:val="20"/>
              </w:rPr>
            </w:pPr>
          </w:p>
        </w:tc>
      </w:tr>
      <w:tr w:rsidR="00871F47" w:rsidRPr="00310DA4" w:rsidTr="00871F47">
        <w:trPr>
          <w:cantSplit/>
        </w:trPr>
        <w:tc>
          <w:tcPr>
            <w:tcW w:w="1458" w:type="dxa"/>
          </w:tcPr>
          <w:p w:rsidR="00871F47" w:rsidRPr="00871F47" w:rsidRDefault="00871F47" w:rsidP="00871F47">
            <w:pPr>
              <w:rPr>
                <w:sz w:val="20"/>
              </w:rPr>
            </w:pPr>
            <w:r w:rsidRPr="00871F47">
              <w:rPr>
                <w:sz w:val="20"/>
              </w:rPr>
              <w:t>Coram :</w:t>
            </w:r>
          </w:p>
        </w:tc>
        <w:tc>
          <w:tcPr>
            <w:tcW w:w="8118" w:type="dxa"/>
          </w:tcPr>
          <w:p w:rsidR="00871F47" w:rsidRPr="00871F47" w:rsidRDefault="00871F47" w:rsidP="00871F47">
            <w:pPr>
              <w:rPr>
                <w:sz w:val="20"/>
                <w:lang w:val="fr-CA"/>
              </w:rPr>
            </w:pPr>
            <w:r w:rsidRPr="00871F47">
              <w:rPr>
                <w:sz w:val="20"/>
                <w:u w:val="single"/>
                <w:lang w:val="fr-CA"/>
              </w:rPr>
              <w:t>Abella, Karakatsanis and Côté JJ.</w:t>
            </w:r>
          </w:p>
          <w:p w:rsidR="00871F47" w:rsidRPr="00871F47" w:rsidRDefault="00871F47" w:rsidP="00871F47">
            <w:pPr>
              <w:rPr>
                <w:sz w:val="20"/>
                <w:u w:val="single"/>
                <w:lang w:val="fr-CA"/>
              </w:rPr>
            </w:pPr>
          </w:p>
        </w:tc>
      </w:tr>
      <w:tr w:rsidR="00871F47" w:rsidRPr="00310DA4" w:rsidTr="00871F47">
        <w:trPr>
          <w:cantSplit/>
        </w:trPr>
        <w:tc>
          <w:tcPr>
            <w:tcW w:w="9576" w:type="dxa"/>
            <w:gridSpan w:val="2"/>
          </w:tcPr>
          <w:p w:rsidR="00871F47" w:rsidRPr="00871F47" w:rsidRDefault="00871F47" w:rsidP="00871F47">
            <w:pPr>
              <w:ind w:firstLine="720"/>
              <w:jc w:val="both"/>
              <w:rPr>
                <w:sz w:val="20"/>
              </w:rPr>
            </w:pPr>
            <w:r w:rsidRPr="00871F47">
              <w:rPr>
                <w:sz w:val="20"/>
              </w:rPr>
              <w:t>The application for leave to appeal from the judgment of the Court of Appeal for Ontario, Number C58251, 2015 ONCA 128, dated February 25, 2015, is dismissed with costs.</w:t>
            </w:r>
          </w:p>
          <w:p w:rsidR="00871F47" w:rsidRPr="00871F47" w:rsidRDefault="00871F47" w:rsidP="00871F47">
            <w:pPr>
              <w:jc w:val="both"/>
              <w:rPr>
                <w:sz w:val="20"/>
              </w:rPr>
            </w:pPr>
          </w:p>
          <w:p w:rsidR="00871F47" w:rsidRPr="00871F47" w:rsidRDefault="00871F47" w:rsidP="00871F47">
            <w:pPr>
              <w:ind w:firstLine="720"/>
              <w:jc w:val="both"/>
              <w:rPr>
                <w:sz w:val="20"/>
                <w:lang w:val="fr-CA"/>
              </w:rPr>
            </w:pPr>
            <w:r w:rsidRPr="00871F47">
              <w:rPr>
                <w:sz w:val="20"/>
                <w:lang w:val="fr-CA"/>
              </w:rPr>
              <w:t>La demande d’autorisation d’appel de l’arrêt de la Cour d’appel de l’Ontario, numéro C58251, 2015 ONCA 128, daté du 25 février 2015, est rejetée avec dépens.</w:t>
            </w:r>
          </w:p>
        </w:tc>
      </w:tr>
    </w:tbl>
    <w:p w:rsidR="00CE4499" w:rsidRPr="00871F47" w:rsidRDefault="00CE4499" w:rsidP="00CE4499">
      <w:pPr>
        <w:rPr>
          <w:sz w:val="20"/>
          <w:szCs w:val="20"/>
          <w:lang w:val="fr-CA"/>
        </w:rPr>
      </w:pPr>
    </w:p>
    <w:p w:rsidR="00CE4499" w:rsidRPr="001B157C" w:rsidRDefault="00CE4499" w:rsidP="00CE4499">
      <w:pPr>
        <w:rPr>
          <w:sz w:val="20"/>
          <w:szCs w:val="20"/>
          <w:u w:val="single"/>
        </w:rPr>
      </w:pPr>
      <w:r w:rsidRPr="001B157C">
        <w:rPr>
          <w:sz w:val="20"/>
          <w:szCs w:val="20"/>
          <w:u w:val="single"/>
        </w:rPr>
        <w:t>CASE SUMMARY</w:t>
      </w:r>
    </w:p>
    <w:p w:rsidR="00CE4499" w:rsidRDefault="00CE4499" w:rsidP="00CE449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A599C" w:rsidRPr="000729DC" w:rsidTr="00871F47">
        <w:tc>
          <w:tcPr>
            <w:tcW w:w="5000" w:type="pct"/>
            <w:gridSpan w:val="3"/>
          </w:tcPr>
          <w:p w:rsidR="008A599C" w:rsidRPr="000729DC" w:rsidRDefault="008A599C" w:rsidP="00871F47">
            <w:pPr>
              <w:jc w:val="both"/>
              <w:rPr>
                <w:sz w:val="20"/>
              </w:rPr>
            </w:pPr>
            <w:r w:rsidRPr="000729DC">
              <w:rPr>
                <w:sz w:val="20"/>
              </w:rPr>
              <w:t>Municipal law – Taxation – Property assessments – Whether Court of appeal erred in limiting applicant’s appeal to the tax arrears – Whether Court of Appeal erred in failing to consider timing and effect of realty taxes, the duty to the public owed by MCAP and Township in assessing and applying realty taxes, the statutory duty to provide notice by Township and MCAP in applying the MCAP realty tax assessment; and in finding realty tax clause valid.</w:t>
            </w:r>
          </w:p>
        </w:tc>
      </w:tr>
      <w:tr w:rsidR="008A599C" w:rsidRPr="000729DC" w:rsidTr="00871F47">
        <w:tc>
          <w:tcPr>
            <w:tcW w:w="5000" w:type="pct"/>
            <w:gridSpan w:val="3"/>
          </w:tcPr>
          <w:p w:rsidR="008A599C" w:rsidRPr="000729DC" w:rsidRDefault="008A599C" w:rsidP="00871F47">
            <w:pPr>
              <w:jc w:val="both"/>
              <w:rPr>
                <w:sz w:val="20"/>
              </w:rPr>
            </w:pPr>
          </w:p>
        </w:tc>
      </w:tr>
      <w:tr w:rsidR="008A599C" w:rsidRPr="000729DC" w:rsidTr="00871F47">
        <w:tc>
          <w:tcPr>
            <w:tcW w:w="5000" w:type="pct"/>
            <w:gridSpan w:val="3"/>
          </w:tcPr>
          <w:p w:rsidR="008A599C" w:rsidRPr="000729DC" w:rsidRDefault="008A599C" w:rsidP="00871F47">
            <w:pPr>
              <w:shd w:val="clear" w:color="auto" w:fill="FFFFFF"/>
              <w:jc w:val="both"/>
              <w:rPr>
                <w:sz w:val="20"/>
                <w:lang w:eastAsia="en-CA"/>
              </w:rPr>
            </w:pPr>
            <w:r w:rsidRPr="000729DC">
              <w:rPr>
                <w:sz w:val="20"/>
                <w:lang w:eastAsia="en-CA"/>
              </w:rPr>
              <w:t xml:space="preserve">In April, 2004, Mr. Rowe and the respondent Township entered into an offer to lease for restaurant space located at the Richards Landing Municipal Marina.  The marina lands were owned by the federal Crown and leased by the Township.   The offer provided that the tenant would be “responsible to pay any and all realty taxes and assessments applicable to the leased premises”.  At the time, the Marina had not yet been assessed for municipal realty taxes.   In June, 2004, Mr. Rowe’s lawyer advised him by letter that: “You should determine in advance what those realty taxes </w:t>
            </w:r>
            <w:r w:rsidRPr="000729DC">
              <w:rPr>
                <w:sz w:val="20"/>
                <w:lang w:eastAsia="en-CA"/>
              </w:rPr>
              <w:lastRenderedPageBreak/>
              <w:t xml:space="preserve">are so you can determine whether you can afford to lease the premises”.  Rowe did not do so.  The formal sublease signed on May 19, 2005 provided that the subtenant would be “responsible to pay all realty taxes and assessments applicable to the subject property”.  The Municipal Property Assessment Corporation did not provide the Township with a property assessment notice until November, 2007. The following month, the Township sent Mr. Rowe tax notices for the years 2005, 2006 and 2007 in the principal amount of $11,345.68.  Mr. Rowe did not pay the Township any amount for realty taxes. The Township gave Mr. Rowe notice that unless he paid the arrears due under the sublease, including the realty tax arrears, the subtenancy would be terminated and the Township would sue for the arrears.  Mr. Rowe vacated the leased premises in September, 2008 without paying the arrears.  </w:t>
            </w:r>
          </w:p>
          <w:p w:rsidR="008A599C" w:rsidRPr="000729DC" w:rsidRDefault="008A599C" w:rsidP="00871F47">
            <w:pPr>
              <w:shd w:val="clear" w:color="auto" w:fill="FFFFFF"/>
              <w:jc w:val="both"/>
              <w:rPr>
                <w:sz w:val="20"/>
                <w:lang w:eastAsia="en-CA"/>
              </w:rPr>
            </w:pPr>
          </w:p>
        </w:tc>
      </w:tr>
      <w:tr w:rsidR="008A599C" w:rsidRPr="000729DC" w:rsidTr="00871F47">
        <w:tc>
          <w:tcPr>
            <w:tcW w:w="2427" w:type="pct"/>
          </w:tcPr>
          <w:p w:rsidR="008A599C" w:rsidRPr="000729DC" w:rsidRDefault="008A599C" w:rsidP="00871F47">
            <w:pPr>
              <w:jc w:val="both"/>
              <w:rPr>
                <w:sz w:val="20"/>
              </w:rPr>
            </w:pPr>
            <w:r w:rsidRPr="000729DC">
              <w:rPr>
                <w:sz w:val="20"/>
              </w:rPr>
              <w:lastRenderedPageBreak/>
              <w:t>September 4, 2013</w:t>
            </w:r>
          </w:p>
          <w:p w:rsidR="008A599C" w:rsidRPr="000729DC" w:rsidRDefault="008A599C" w:rsidP="00871F47">
            <w:pPr>
              <w:jc w:val="both"/>
              <w:rPr>
                <w:sz w:val="20"/>
              </w:rPr>
            </w:pPr>
            <w:r w:rsidRPr="000729DC">
              <w:rPr>
                <w:sz w:val="20"/>
              </w:rPr>
              <w:t>Ontario Superior Court of Justice</w:t>
            </w:r>
          </w:p>
          <w:p w:rsidR="008A599C" w:rsidRPr="000729DC" w:rsidRDefault="008A599C" w:rsidP="00871F47">
            <w:pPr>
              <w:jc w:val="both"/>
              <w:rPr>
                <w:sz w:val="20"/>
              </w:rPr>
            </w:pPr>
            <w:r w:rsidRPr="000729DC">
              <w:rPr>
                <w:sz w:val="20"/>
              </w:rPr>
              <w:t>(Gareau J.)</w:t>
            </w:r>
          </w:p>
          <w:p w:rsidR="008A599C" w:rsidRPr="000729DC" w:rsidRDefault="008A599C" w:rsidP="00871F47">
            <w:pPr>
              <w:jc w:val="both"/>
              <w:rPr>
                <w:sz w:val="20"/>
              </w:rPr>
            </w:pPr>
            <w:r w:rsidRPr="000729DC">
              <w:rPr>
                <w:sz w:val="20"/>
              </w:rPr>
              <w:t>2013 ONSC 5259</w:t>
            </w:r>
          </w:p>
          <w:p w:rsidR="008A599C" w:rsidRPr="000729DC" w:rsidRDefault="008A599C" w:rsidP="00871F47">
            <w:pPr>
              <w:jc w:val="both"/>
              <w:rPr>
                <w:sz w:val="20"/>
              </w:rPr>
            </w:pPr>
          </w:p>
        </w:tc>
        <w:tc>
          <w:tcPr>
            <w:tcW w:w="243" w:type="pct"/>
          </w:tcPr>
          <w:p w:rsidR="008A599C" w:rsidRPr="000729DC" w:rsidRDefault="008A599C" w:rsidP="00871F47">
            <w:pPr>
              <w:jc w:val="both"/>
              <w:rPr>
                <w:sz w:val="20"/>
              </w:rPr>
            </w:pPr>
          </w:p>
        </w:tc>
        <w:tc>
          <w:tcPr>
            <w:tcW w:w="2330" w:type="pct"/>
          </w:tcPr>
          <w:p w:rsidR="008A599C" w:rsidRPr="000729DC" w:rsidRDefault="008A599C" w:rsidP="00871F47">
            <w:pPr>
              <w:jc w:val="both"/>
              <w:rPr>
                <w:sz w:val="20"/>
              </w:rPr>
            </w:pPr>
            <w:r w:rsidRPr="000729DC">
              <w:rPr>
                <w:sz w:val="20"/>
              </w:rPr>
              <w:t>Judgment for Township in the amount of $35,176.41; Applicant’s claims and counterclaims dismissed</w:t>
            </w:r>
          </w:p>
          <w:p w:rsidR="008A599C" w:rsidRPr="000729DC" w:rsidRDefault="008A599C" w:rsidP="00871F47">
            <w:pPr>
              <w:jc w:val="both"/>
              <w:rPr>
                <w:sz w:val="20"/>
              </w:rPr>
            </w:pPr>
          </w:p>
          <w:p w:rsidR="008A599C" w:rsidRPr="000729DC" w:rsidRDefault="008A599C" w:rsidP="00871F47">
            <w:pPr>
              <w:jc w:val="both"/>
              <w:rPr>
                <w:sz w:val="20"/>
              </w:rPr>
            </w:pPr>
          </w:p>
        </w:tc>
      </w:tr>
      <w:tr w:rsidR="008A599C" w:rsidRPr="000729DC" w:rsidTr="00871F47">
        <w:tc>
          <w:tcPr>
            <w:tcW w:w="2427" w:type="pct"/>
          </w:tcPr>
          <w:p w:rsidR="008A599C" w:rsidRPr="000729DC" w:rsidRDefault="008A599C" w:rsidP="00871F47">
            <w:pPr>
              <w:jc w:val="both"/>
              <w:rPr>
                <w:sz w:val="20"/>
              </w:rPr>
            </w:pPr>
            <w:r w:rsidRPr="000729DC">
              <w:rPr>
                <w:sz w:val="20"/>
              </w:rPr>
              <w:t>February 25, 2015</w:t>
            </w:r>
          </w:p>
          <w:p w:rsidR="008A599C" w:rsidRPr="000729DC" w:rsidRDefault="008A599C" w:rsidP="00871F47">
            <w:pPr>
              <w:jc w:val="both"/>
              <w:rPr>
                <w:sz w:val="20"/>
              </w:rPr>
            </w:pPr>
            <w:r w:rsidRPr="000729DC">
              <w:rPr>
                <w:sz w:val="20"/>
              </w:rPr>
              <w:t>Court of Appeal for Ontario</w:t>
            </w:r>
          </w:p>
          <w:p w:rsidR="008A599C" w:rsidRPr="000729DC" w:rsidRDefault="008A599C" w:rsidP="00871F47">
            <w:pPr>
              <w:jc w:val="both"/>
              <w:rPr>
                <w:sz w:val="20"/>
              </w:rPr>
            </w:pPr>
            <w:r w:rsidRPr="000729DC">
              <w:rPr>
                <w:sz w:val="20"/>
              </w:rPr>
              <w:t>(Weiler, Epstein and Brown JJ.A.)</w:t>
            </w:r>
          </w:p>
          <w:p w:rsidR="008A599C" w:rsidRPr="000729DC" w:rsidRDefault="00310DA4" w:rsidP="00871F47">
            <w:pPr>
              <w:jc w:val="both"/>
              <w:rPr>
                <w:sz w:val="20"/>
              </w:rPr>
            </w:pPr>
            <w:hyperlink r:id="rId36" w:history="1">
              <w:r w:rsidR="008A599C" w:rsidRPr="000729DC">
                <w:rPr>
                  <w:color w:val="0000FF" w:themeColor="hyperlink"/>
                  <w:sz w:val="20"/>
                  <w:u w:val="single"/>
                </w:rPr>
                <w:t>2015 ONCA 128</w:t>
              </w:r>
            </w:hyperlink>
          </w:p>
          <w:p w:rsidR="008A599C" w:rsidRPr="000729DC" w:rsidRDefault="008A599C" w:rsidP="00871F47">
            <w:pPr>
              <w:jc w:val="both"/>
              <w:rPr>
                <w:sz w:val="20"/>
              </w:rPr>
            </w:pPr>
          </w:p>
        </w:tc>
        <w:tc>
          <w:tcPr>
            <w:tcW w:w="243" w:type="pct"/>
          </w:tcPr>
          <w:p w:rsidR="008A599C" w:rsidRPr="000729DC" w:rsidRDefault="008A599C" w:rsidP="00871F47">
            <w:pPr>
              <w:jc w:val="both"/>
              <w:rPr>
                <w:sz w:val="20"/>
              </w:rPr>
            </w:pPr>
          </w:p>
        </w:tc>
        <w:tc>
          <w:tcPr>
            <w:tcW w:w="2330" w:type="pct"/>
          </w:tcPr>
          <w:p w:rsidR="008A599C" w:rsidRPr="000729DC" w:rsidRDefault="008A599C" w:rsidP="00871F47">
            <w:pPr>
              <w:jc w:val="both"/>
              <w:rPr>
                <w:sz w:val="20"/>
              </w:rPr>
            </w:pPr>
            <w:r w:rsidRPr="000729DC">
              <w:rPr>
                <w:sz w:val="20"/>
              </w:rPr>
              <w:t>Applicant’s appeal dismissed</w:t>
            </w:r>
          </w:p>
          <w:p w:rsidR="008A599C" w:rsidRPr="000729DC" w:rsidRDefault="008A599C" w:rsidP="00871F47">
            <w:pPr>
              <w:jc w:val="both"/>
              <w:rPr>
                <w:sz w:val="20"/>
              </w:rPr>
            </w:pPr>
          </w:p>
        </w:tc>
      </w:tr>
      <w:tr w:rsidR="008A599C" w:rsidRPr="000729DC" w:rsidTr="00871F47">
        <w:tc>
          <w:tcPr>
            <w:tcW w:w="2427" w:type="pct"/>
          </w:tcPr>
          <w:p w:rsidR="008A599C" w:rsidRPr="000729DC" w:rsidRDefault="008A599C" w:rsidP="00871F47">
            <w:pPr>
              <w:jc w:val="both"/>
              <w:rPr>
                <w:sz w:val="20"/>
              </w:rPr>
            </w:pPr>
            <w:r w:rsidRPr="000729DC">
              <w:rPr>
                <w:sz w:val="20"/>
              </w:rPr>
              <w:t>April 27, 2015</w:t>
            </w:r>
          </w:p>
          <w:p w:rsidR="008A599C" w:rsidRPr="000729DC" w:rsidRDefault="008A599C" w:rsidP="00871F47">
            <w:pPr>
              <w:jc w:val="both"/>
              <w:rPr>
                <w:sz w:val="20"/>
              </w:rPr>
            </w:pPr>
            <w:r w:rsidRPr="000729DC">
              <w:rPr>
                <w:sz w:val="20"/>
              </w:rPr>
              <w:t>Supreme Court of Canada</w:t>
            </w:r>
          </w:p>
        </w:tc>
        <w:tc>
          <w:tcPr>
            <w:tcW w:w="243" w:type="pct"/>
          </w:tcPr>
          <w:p w:rsidR="008A599C" w:rsidRPr="000729DC" w:rsidRDefault="008A599C" w:rsidP="00871F47">
            <w:pPr>
              <w:jc w:val="both"/>
              <w:rPr>
                <w:sz w:val="20"/>
              </w:rPr>
            </w:pPr>
          </w:p>
        </w:tc>
        <w:tc>
          <w:tcPr>
            <w:tcW w:w="2330" w:type="pct"/>
          </w:tcPr>
          <w:p w:rsidR="008A599C" w:rsidRPr="000729DC" w:rsidRDefault="008A599C" w:rsidP="00871F47">
            <w:pPr>
              <w:jc w:val="both"/>
              <w:rPr>
                <w:sz w:val="20"/>
              </w:rPr>
            </w:pPr>
            <w:r w:rsidRPr="000729DC">
              <w:rPr>
                <w:sz w:val="20"/>
              </w:rPr>
              <w:t>Application for leave to appeal filed</w:t>
            </w:r>
          </w:p>
          <w:p w:rsidR="008A599C" w:rsidRPr="000729DC" w:rsidRDefault="008A599C" w:rsidP="00871F47">
            <w:pPr>
              <w:jc w:val="both"/>
              <w:rPr>
                <w:sz w:val="20"/>
              </w:rPr>
            </w:pPr>
          </w:p>
        </w:tc>
      </w:tr>
    </w:tbl>
    <w:p w:rsidR="00CE4499" w:rsidRDefault="00CE4499" w:rsidP="00CE4499">
      <w:pPr>
        <w:rPr>
          <w:sz w:val="20"/>
          <w:szCs w:val="20"/>
        </w:rPr>
      </w:pPr>
    </w:p>
    <w:p w:rsidR="00CE4499" w:rsidRPr="00C50A5C" w:rsidRDefault="00310DA4" w:rsidP="00CE4499">
      <w:pPr>
        <w:rPr>
          <w:sz w:val="20"/>
          <w:szCs w:val="20"/>
        </w:rPr>
      </w:pPr>
      <w:r>
        <w:rPr>
          <w:sz w:val="20"/>
          <w:szCs w:val="20"/>
          <w:lang w:val="fr-CA"/>
        </w:rPr>
        <w:pict>
          <v:rect id="_x0000_i1049" style="width:2in;height:1pt" o:hrpct="0" o:hralign="center" o:hrstd="t" o:hrnoshade="t" o:hr="t" fillcolor="black [3213]" stroked="f"/>
        </w:pict>
      </w:r>
    </w:p>
    <w:p w:rsidR="00CE4499" w:rsidRDefault="00CE4499" w:rsidP="00CE4499">
      <w:pPr>
        <w:rPr>
          <w:sz w:val="20"/>
          <w:szCs w:val="20"/>
        </w:rPr>
      </w:pPr>
    </w:p>
    <w:p w:rsidR="00CE4499" w:rsidRPr="001B157C" w:rsidRDefault="00CE4499" w:rsidP="00CE4499">
      <w:pPr>
        <w:rPr>
          <w:sz w:val="20"/>
          <w:szCs w:val="20"/>
          <w:u w:val="single"/>
          <w:lang w:val="fr-CA"/>
        </w:rPr>
      </w:pPr>
      <w:r w:rsidRPr="001B157C">
        <w:rPr>
          <w:sz w:val="20"/>
          <w:szCs w:val="20"/>
          <w:u w:val="single"/>
          <w:lang w:val="fr-CA"/>
        </w:rPr>
        <w:t>RÉSUMÉ DE L’AFFAIRE</w:t>
      </w:r>
    </w:p>
    <w:p w:rsidR="00CE4499" w:rsidRDefault="00CE4499" w:rsidP="00CE449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A599C" w:rsidRPr="00310DA4" w:rsidTr="00871F47">
        <w:tc>
          <w:tcPr>
            <w:tcW w:w="5000" w:type="pct"/>
            <w:gridSpan w:val="3"/>
          </w:tcPr>
          <w:p w:rsidR="008A599C" w:rsidRPr="000729DC" w:rsidRDefault="008A599C" w:rsidP="00871F47">
            <w:pPr>
              <w:jc w:val="both"/>
              <w:rPr>
                <w:sz w:val="20"/>
                <w:lang w:val="fr-CA"/>
              </w:rPr>
            </w:pPr>
            <w:r w:rsidRPr="000729DC">
              <w:rPr>
                <w:sz w:val="20"/>
                <w:lang w:val="fr-CA"/>
              </w:rPr>
              <w:t>Droit municipal – Fiscalité – Évaluation foncière – La Cour d’appel a-t-elle eu tort de limiter l’appel du demandeur aux seuls arriérés d’impôt? – La Cour d’appel a-t-elle eu tort de ne pas avoir pris en considération la chronologie et l’effet des impôts fonciers, le devoir envers le public qu’ont la SEFM et le Canton dans l’évaluation foncière et l’application des impôts fonciers et l’obligation d’origine législative qu’ont le Canton et la SEFM de donner un avis dans l’application de l’impôt foncier fixé par la SEFM, et de conclure à la validité de la clause d’impôt foncier?</w:t>
            </w:r>
          </w:p>
        </w:tc>
      </w:tr>
      <w:tr w:rsidR="008A599C" w:rsidRPr="00310DA4" w:rsidTr="00871F47">
        <w:tc>
          <w:tcPr>
            <w:tcW w:w="5000" w:type="pct"/>
            <w:gridSpan w:val="3"/>
          </w:tcPr>
          <w:p w:rsidR="008A599C" w:rsidRPr="000729DC" w:rsidRDefault="008A599C" w:rsidP="00871F47">
            <w:pPr>
              <w:jc w:val="both"/>
              <w:rPr>
                <w:sz w:val="20"/>
                <w:lang w:val="fr-CA"/>
              </w:rPr>
            </w:pPr>
          </w:p>
        </w:tc>
      </w:tr>
      <w:tr w:rsidR="008A599C" w:rsidRPr="00310DA4" w:rsidTr="00871F47">
        <w:tc>
          <w:tcPr>
            <w:tcW w:w="5000" w:type="pct"/>
            <w:gridSpan w:val="3"/>
          </w:tcPr>
          <w:p w:rsidR="008A599C" w:rsidRPr="000729DC" w:rsidRDefault="008A599C" w:rsidP="00871F47">
            <w:pPr>
              <w:shd w:val="clear" w:color="auto" w:fill="FFFFFF"/>
              <w:jc w:val="both"/>
              <w:rPr>
                <w:sz w:val="20"/>
                <w:lang w:val="fr-CA" w:eastAsia="en-CA"/>
              </w:rPr>
            </w:pPr>
            <w:r w:rsidRPr="000729DC">
              <w:rPr>
                <w:sz w:val="20"/>
                <w:lang w:val="fr-CA" w:eastAsia="en-CA"/>
              </w:rPr>
              <w:t>En avril 2004, M. Rowe et le Canton intimé ont conclu une offre de location d’un espace de restaurant situé à la marina municipale de Richards Landing. Le bien-fonds sur lequel la marina était aménagée appartenait à l’État fédéral et était loué par le Canton.  L’offre prévoyait que le locataire allait être [</w:t>
            </w:r>
            <w:r w:rsidRPr="000729DC">
              <w:rPr>
                <w:smallCaps/>
                <w:sz w:val="20"/>
                <w:lang w:val="fr-CA" w:eastAsia="en-CA"/>
              </w:rPr>
              <w:t>traduction</w:t>
            </w:r>
            <w:r w:rsidRPr="000729DC">
              <w:rPr>
                <w:sz w:val="20"/>
                <w:lang w:val="fr-CA" w:eastAsia="en-CA"/>
              </w:rPr>
              <w:t>] « chargé de payer tous les impôts fonciers et cotisations imputables aux lieux loués ». À l’époque, la marina n’avait pas encore fait l’objet d’une évaluation aux fins de l’impôt foncier municipal.  En juin 2004, l’avocat de M. Rowe a conseillé à ce dernier par lettre de [</w:t>
            </w:r>
            <w:r w:rsidRPr="000729DC">
              <w:rPr>
                <w:smallCaps/>
                <w:sz w:val="20"/>
                <w:lang w:val="fr-CA" w:eastAsia="en-CA"/>
              </w:rPr>
              <w:t>traduction</w:t>
            </w:r>
            <w:r w:rsidRPr="000729DC">
              <w:rPr>
                <w:sz w:val="20"/>
                <w:lang w:val="fr-CA" w:eastAsia="en-CA"/>
              </w:rPr>
              <w:t>] « déterminer à l’avance le montant de ces impôts fonciers pour qu’[il sache] [s’il avait] les moyens de louer les lieux ». Monsieur Rowe ne l’a pas fait. Le sous-bail officiel signé le 19 mai 2005 prévoyait que le sous-locataire allait être [</w:t>
            </w:r>
            <w:r w:rsidRPr="000729DC">
              <w:rPr>
                <w:smallCaps/>
                <w:sz w:val="20"/>
                <w:lang w:val="fr-CA" w:eastAsia="en-CA"/>
              </w:rPr>
              <w:t>traduction</w:t>
            </w:r>
            <w:r w:rsidRPr="000729DC">
              <w:rPr>
                <w:sz w:val="20"/>
                <w:lang w:val="fr-CA" w:eastAsia="en-CA"/>
              </w:rPr>
              <w:t xml:space="preserve">] « chargé de payer tous les impôts fonciers et cotisations imputables aux lieux sous-loués ». Ce n’est qu’en novembre 2007 que la Société d’évaluation foncière des municipalités a fourni au Canton un avis d’évaluation foncière. Le mois suivant, le Canton a envoyé à M. Rowe des avis d’imposition pour les années 2005, 2006 et 2007 pour un montant en capital de 11 345,68 $. Monsieur Rowe n’a versé aucun impôt foncier au Canton. Le Canton a avisé M. Rowe qu’à défaut pour lui de payer les arriérés exigibles en exécution du sous-bail, y compris les arriérés d’impôts fonciers, la sous-location serait résiliée et le Canton intenterait une poursuite pour récupérer les arriérés. Monsieur Rowe a quitté les lieux loués en septembre 2008, sans payer les arriérés. </w:t>
            </w:r>
          </w:p>
          <w:p w:rsidR="008A599C" w:rsidRPr="000729DC" w:rsidRDefault="008A599C" w:rsidP="00871F47">
            <w:pPr>
              <w:shd w:val="clear" w:color="auto" w:fill="FFFFFF"/>
              <w:jc w:val="both"/>
              <w:rPr>
                <w:sz w:val="20"/>
                <w:lang w:val="fr-CA" w:eastAsia="en-CA"/>
              </w:rPr>
            </w:pPr>
          </w:p>
        </w:tc>
      </w:tr>
      <w:tr w:rsidR="008A599C" w:rsidRPr="00310DA4" w:rsidTr="00871F47">
        <w:tc>
          <w:tcPr>
            <w:tcW w:w="2427" w:type="pct"/>
          </w:tcPr>
          <w:p w:rsidR="008A599C" w:rsidRPr="000729DC" w:rsidRDefault="008A599C" w:rsidP="00871F47">
            <w:pPr>
              <w:jc w:val="both"/>
              <w:rPr>
                <w:sz w:val="20"/>
                <w:lang w:val="fr-CA"/>
              </w:rPr>
            </w:pPr>
            <w:r w:rsidRPr="000729DC">
              <w:rPr>
                <w:sz w:val="20"/>
                <w:lang w:val="fr-CA"/>
              </w:rPr>
              <w:t>4 septembre 2013</w:t>
            </w:r>
          </w:p>
          <w:p w:rsidR="008A599C" w:rsidRPr="000729DC" w:rsidRDefault="008A599C" w:rsidP="00871F47">
            <w:pPr>
              <w:jc w:val="both"/>
              <w:rPr>
                <w:sz w:val="20"/>
                <w:lang w:val="fr-CA"/>
              </w:rPr>
            </w:pPr>
            <w:r w:rsidRPr="000729DC">
              <w:rPr>
                <w:sz w:val="20"/>
                <w:lang w:val="fr-CA"/>
              </w:rPr>
              <w:t>Cour supérieure de justice de l’Ontario</w:t>
            </w:r>
          </w:p>
          <w:p w:rsidR="008A599C" w:rsidRPr="000729DC" w:rsidRDefault="008A599C" w:rsidP="00871F47">
            <w:pPr>
              <w:jc w:val="both"/>
              <w:rPr>
                <w:sz w:val="20"/>
                <w:lang w:val="fr-CA"/>
              </w:rPr>
            </w:pPr>
            <w:r w:rsidRPr="000729DC">
              <w:rPr>
                <w:sz w:val="20"/>
                <w:lang w:val="fr-CA"/>
              </w:rPr>
              <w:t>(Juge Gareau)</w:t>
            </w:r>
          </w:p>
          <w:p w:rsidR="008A599C" w:rsidRPr="000729DC" w:rsidRDefault="008A599C" w:rsidP="00871F47">
            <w:pPr>
              <w:jc w:val="both"/>
              <w:rPr>
                <w:sz w:val="20"/>
                <w:lang w:val="fr-CA"/>
              </w:rPr>
            </w:pPr>
            <w:r w:rsidRPr="000729DC">
              <w:rPr>
                <w:sz w:val="20"/>
                <w:lang w:val="fr-CA"/>
              </w:rPr>
              <w:t>2013 ONSC 5259</w:t>
            </w:r>
          </w:p>
          <w:p w:rsidR="008A599C" w:rsidRPr="000729DC" w:rsidRDefault="008A599C" w:rsidP="00871F47">
            <w:pPr>
              <w:jc w:val="both"/>
              <w:rPr>
                <w:sz w:val="20"/>
                <w:lang w:val="fr-CA"/>
              </w:rPr>
            </w:pPr>
          </w:p>
        </w:tc>
        <w:tc>
          <w:tcPr>
            <w:tcW w:w="243" w:type="pct"/>
          </w:tcPr>
          <w:p w:rsidR="008A599C" w:rsidRPr="000729DC" w:rsidRDefault="008A599C" w:rsidP="00871F47">
            <w:pPr>
              <w:jc w:val="both"/>
              <w:rPr>
                <w:sz w:val="20"/>
                <w:lang w:val="fr-CA"/>
              </w:rPr>
            </w:pPr>
          </w:p>
        </w:tc>
        <w:tc>
          <w:tcPr>
            <w:tcW w:w="2330" w:type="pct"/>
          </w:tcPr>
          <w:p w:rsidR="008A599C" w:rsidRPr="000729DC" w:rsidRDefault="008A599C" w:rsidP="00871F47">
            <w:pPr>
              <w:jc w:val="both"/>
              <w:rPr>
                <w:sz w:val="20"/>
                <w:lang w:val="fr-CA"/>
              </w:rPr>
            </w:pPr>
            <w:r w:rsidRPr="000729DC">
              <w:rPr>
                <w:sz w:val="20"/>
                <w:lang w:val="fr-CA"/>
              </w:rPr>
              <w:t>Jugement de 35 176,41 $ en faveur du Canton; rejet des demandes principales et reconventionnelles du demandeur</w:t>
            </w:r>
          </w:p>
          <w:p w:rsidR="008A599C" w:rsidRPr="000729DC" w:rsidRDefault="008A599C" w:rsidP="00871F47">
            <w:pPr>
              <w:jc w:val="both"/>
              <w:rPr>
                <w:sz w:val="20"/>
                <w:lang w:val="fr-CA"/>
              </w:rPr>
            </w:pPr>
          </w:p>
          <w:p w:rsidR="008A599C" w:rsidRPr="000729DC" w:rsidRDefault="008A599C" w:rsidP="00871F47">
            <w:pPr>
              <w:jc w:val="both"/>
              <w:rPr>
                <w:sz w:val="20"/>
                <w:lang w:val="fr-CA"/>
              </w:rPr>
            </w:pPr>
          </w:p>
        </w:tc>
      </w:tr>
      <w:tr w:rsidR="008A599C" w:rsidRPr="000729DC" w:rsidTr="00871F47">
        <w:tc>
          <w:tcPr>
            <w:tcW w:w="2427" w:type="pct"/>
          </w:tcPr>
          <w:p w:rsidR="008A599C" w:rsidRPr="000729DC" w:rsidRDefault="008A599C" w:rsidP="00871F47">
            <w:pPr>
              <w:jc w:val="both"/>
              <w:rPr>
                <w:sz w:val="20"/>
                <w:lang w:val="fr-CA"/>
              </w:rPr>
            </w:pPr>
            <w:r w:rsidRPr="000729DC">
              <w:rPr>
                <w:sz w:val="20"/>
                <w:lang w:val="fr-CA"/>
              </w:rPr>
              <w:lastRenderedPageBreak/>
              <w:t>25 février 2015</w:t>
            </w:r>
          </w:p>
          <w:p w:rsidR="008A599C" w:rsidRPr="000729DC" w:rsidRDefault="008A599C" w:rsidP="00871F47">
            <w:pPr>
              <w:jc w:val="both"/>
              <w:rPr>
                <w:sz w:val="20"/>
                <w:lang w:val="fr-CA"/>
              </w:rPr>
            </w:pPr>
            <w:r w:rsidRPr="000729DC">
              <w:rPr>
                <w:sz w:val="20"/>
                <w:lang w:val="fr-CA"/>
              </w:rPr>
              <w:t>Cour d’appel de l’Ontario</w:t>
            </w:r>
          </w:p>
          <w:p w:rsidR="008A599C" w:rsidRPr="000729DC" w:rsidRDefault="008A599C" w:rsidP="00871F47">
            <w:pPr>
              <w:jc w:val="both"/>
              <w:rPr>
                <w:sz w:val="20"/>
                <w:lang w:val="fr-CA"/>
              </w:rPr>
            </w:pPr>
            <w:r w:rsidRPr="000729DC">
              <w:rPr>
                <w:sz w:val="20"/>
                <w:lang w:val="fr-CA"/>
              </w:rPr>
              <w:t>(Juges Weiler, Epstein et Brown)</w:t>
            </w:r>
          </w:p>
          <w:p w:rsidR="008A599C" w:rsidRPr="000729DC" w:rsidRDefault="00310DA4" w:rsidP="00871F47">
            <w:pPr>
              <w:jc w:val="both"/>
              <w:rPr>
                <w:sz w:val="20"/>
                <w:lang w:val="fr-CA"/>
              </w:rPr>
            </w:pPr>
            <w:hyperlink r:id="rId37" w:history="1">
              <w:r w:rsidR="008A599C" w:rsidRPr="000729DC">
                <w:rPr>
                  <w:color w:val="0000FF" w:themeColor="hyperlink"/>
                  <w:sz w:val="20"/>
                  <w:u w:val="single"/>
                  <w:lang w:val="fr-CA"/>
                </w:rPr>
                <w:t>2015 ONCA 128</w:t>
              </w:r>
            </w:hyperlink>
          </w:p>
          <w:p w:rsidR="008A599C" w:rsidRPr="000729DC" w:rsidRDefault="008A599C" w:rsidP="00871F47">
            <w:pPr>
              <w:jc w:val="both"/>
              <w:rPr>
                <w:sz w:val="20"/>
                <w:lang w:val="fr-CA"/>
              </w:rPr>
            </w:pPr>
          </w:p>
        </w:tc>
        <w:tc>
          <w:tcPr>
            <w:tcW w:w="243" w:type="pct"/>
          </w:tcPr>
          <w:p w:rsidR="008A599C" w:rsidRPr="000729DC" w:rsidRDefault="008A599C" w:rsidP="00871F47">
            <w:pPr>
              <w:jc w:val="both"/>
              <w:rPr>
                <w:sz w:val="20"/>
                <w:lang w:val="fr-CA"/>
              </w:rPr>
            </w:pPr>
          </w:p>
        </w:tc>
        <w:tc>
          <w:tcPr>
            <w:tcW w:w="2330" w:type="pct"/>
          </w:tcPr>
          <w:p w:rsidR="008A599C" w:rsidRPr="000729DC" w:rsidRDefault="008A599C" w:rsidP="00871F47">
            <w:pPr>
              <w:jc w:val="both"/>
              <w:rPr>
                <w:sz w:val="20"/>
                <w:lang w:val="fr-CA"/>
              </w:rPr>
            </w:pPr>
            <w:r w:rsidRPr="000729DC">
              <w:rPr>
                <w:sz w:val="20"/>
                <w:lang w:val="fr-CA"/>
              </w:rPr>
              <w:t>Rejet de l’appel du demandeur</w:t>
            </w:r>
          </w:p>
          <w:p w:rsidR="008A599C" w:rsidRPr="000729DC" w:rsidRDefault="008A599C" w:rsidP="00871F47">
            <w:pPr>
              <w:jc w:val="both"/>
              <w:rPr>
                <w:sz w:val="20"/>
                <w:lang w:val="fr-CA"/>
              </w:rPr>
            </w:pPr>
          </w:p>
        </w:tc>
      </w:tr>
      <w:tr w:rsidR="008A599C" w:rsidRPr="00310DA4" w:rsidTr="00871F47">
        <w:tc>
          <w:tcPr>
            <w:tcW w:w="2427" w:type="pct"/>
          </w:tcPr>
          <w:p w:rsidR="008A599C" w:rsidRPr="000729DC" w:rsidRDefault="008A599C" w:rsidP="00871F47">
            <w:pPr>
              <w:jc w:val="both"/>
              <w:rPr>
                <w:sz w:val="20"/>
                <w:lang w:val="fr-CA"/>
              </w:rPr>
            </w:pPr>
            <w:r w:rsidRPr="000729DC">
              <w:rPr>
                <w:sz w:val="20"/>
                <w:lang w:val="fr-CA"/>
              </w:rPr>
              <w:t>27 avril 2015</w:t>
            </w:r>
          </w:p>
          <w:p w:rsidR="008A599C" w:rsidRPr="000729DC" w:rsidRDefault="008A599C" w:rsidP="00871F47">
            <w:pPr>
              <w:jc w:val="both"/>
              <w:rPr>
                <w:sz w:val="20"/>
                <w:lang w:val="fr-CA"/>
              </w:rPr>
            </w:pPr>
            <w:r w:rsidRPr="000729DC">
              <w:rPr>
                <w:sz w:val="20"/>
                <w:lang w:val="fr-CA"/>
              </w:rPr>
              <w:t>Cour suprême du Canada</w:t>
            </w:r>
          </w:p>
        </w:tc>
        <w:tc>
          <w:tcPr>
            <w:tcW w:w="243" w:type="pct"/>
          </w:tcPr>
          <w:p w:rsidR="008A599C" w:rsidRPr="000729DC" w:rsidRDefault="008A599C" w:rsidP="00871F47">
            <w:pPr>
              <w:jc w:val="both"/>
              <w:rPr>
                <w:sz w:val="20"/>
                <w:lang w:val="fr-CA"/>
              </w:rPr>
            </w:pPr>
          </w:p>
        </w:tc>
        <w:tc>
          <w:tcPr>
            <w:tcW w:w="2330" w:type="pct"/>
          </w:tcPr>
          <w:p w:rsidR="008A599C" w:rsidRPr="000729DC" w:rsidRDefault="008A599C" w:rsidP="00871F47">
            <w:pPr>
              <w:jc w:val="both"/>
              <w:rPr>
                <w:sz w:val="20"/>
                <w:lang w:val="fr-CA"/>
              </w:rPr>
            </w:pPr>
            <w:r w:rsidRPr="000729DC">
              <w:rPr>
                <w:sz w:val="20"/>
                <w:lang w:val="fr-CA"/>
              </w:rPr>
              <w:t>Dépôt de la demande d’autorisation d’appel</w:t>
            </w:r>
          </w:p>
          <w:p w:rsidR="008A599C" w:rsidRPr="000729DC" w:rsidRDefault="008A599C" w:rsidP="00871F47">
            <w:pPr>
              <w:jc w:val="both"/>
              <w:rPr>
                <w:sz w:val="20"/>
                <w:lang w:val="fr-CA"/>
              </w:rPr>
            </w:pPr>
          </w:p>
        </w:tc>
      </w:tr>
    </w:tbl>
    <w:p w:rsidR="00CE4499" w:rsidRPr="008A599C" w:rsidRDefault="00CE4499" w:rsidP="00CE4499">
      <w:pPr>
        <w:rPr>
          <w:sz w:val="20"/>
          <w:szCs w:val="20"/>
          <w:lang w:val="fr-CA"/>
        </w:rPr>
      </w:pPr>
    </w:p>
    <w:p w:rsidR="00CE4499" w:rsidRDefault="00310DA4" w:rsidP="00CE4499">
      <w:pPr>
        <w:rPr>
          <w:sz w:val="20"/>
          <w:szCs w:val="20"/>
        </w:rPr>
      </w:pPr>
      <w:r>
        <w:rPr>
          <w:sz w:val="20"/>
          <w:szCs w:val="20"/>
          <w:lang w:val="fr-CA"/>
        </w:rPr>
        <w:pict>
          <v:rect id="_x0000_i1050" style="width:2in;height:1pt" o:hrpct="0" o:hralign="center" o:hrstd="t" o:hrnoshade="t" o:hr="t" fillcolor="black [3213]" stroked="f"/>
        </w:pict>
      </w:r>
    </w:p>
    <w:p w:rsidR="00CE4499" w:rsidRDefault="00CE4499" w:rsidP="00CE4499">
      <w:pPr>
        <w:rPr>
          <w:sz w:val="20"/>
          <w:szCs w:val="20"/>
        </w:rPr>
      </w:pPr>
    </w:p>
    <w:tbl>
      <w:tblPr>
        <w:tblStyle w:val="TableGrid8"/>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71F47" w:rsidRPr="00871F47" w:rsidTr="00871F47">
        <w:trPr>
          <w:cantSplit/>
        </w:trPr>
        <w:tc>
          <w:tcPr>
            <w:tcW w:w="1458" w:type="dxa"/>
          </w:tcPr>
          <w:p w:rsidR="00871F47" w:rsidRPr="00871F47" w:rsidRDefault="00871F47" w:rsidP="00871F47">
            <w:pPr>
              <w:rPr>
                <w:sz w:val="20"/>
              </w:rPr>
            </w:pPr>
            <w:r w:rsidRPr="00871F47">
              <w:rPr>
                <w:b/>
                <w:sz w:val="20"/>
                <w:lang w:val="fr-CA"/>
              </w:rPr>
              <w:t>36431</w:t>
            </w:r>
          </w:p>
          <w:p w:rsidR="00871F47" w:rsidRPr="00871F47" w:rsidRDefault="00871F47" w:rsidP="00871F47">
            <w:pPr>
              <w:rPr>
                <w:b/>
                <w:sz w:val="20"/>
                <w:lang w:val="fr-CA"/>
              </w:rPr>
            </w:pPr>
          </w:p>
        </w:tc>
        <w:tc>
          <w:tcPr>
            <w:tcW w:w="8118" w:type="dxa"/>
          </w:tcPr>
          <w:p w:rsidR="00871F47" w:rsidRPr="00871F47" w:rsidRDefault="00871F47" w:rsidP="00871F47">
            <w:pPr>
              <w:rPr>
                <w:sz w:val="20"/>
              </w:rPr>
            </w:pPr>
            <w:r w:rsidRPr="00871F47">
              <w:rPr>
                <w:b/>
                <w:sz w:val="20"/>
                <w:u w:val="single"/>
              </w:rPr>
              <w:t>Erich Chemama v. Her Majesty the Queen</w:t>
            </w:r>
            <w:r w:rsidRPr="00871F47">
              <w:rPr>
                <w:sz w:val="20"/>
              </w:rPr>
              <w:t xml:space="preserve"> (Que.) (Criminal) (By Leave)</w:t>
            </w:r>
          </w:p>
          <w:p w:rsidR="00871F47" w:rsidRPr="00871F47" w:rsidRDefault="00871F47" w:rsidP="00871F47">
            <w:pPr>
              <w:rPr>
                <w:sz w:val="20"/>
              </w:rPr>
            </w:pPr>
          </w:p>
        </w:tc>
      </w:tr>
      <w:tr w:rsidR="00871F47" w:rsidRPr="00310DA4" w:rsidTr="00871F47">
        <w:trPr>
          <w:cantSplit/>
        </w:trPr>
        <w:tc>
          <w:tcPr>
            <w:tcW w:w="1458" w:type="dxa"/>
          </w:tcPr>
          <w:p w:rsidR="00871F47" w:rsidRPr="00871F47" w:rsidRDefault="00871F47" w:rsidP="00871F47">
            <w:pPr>
              <w:rPr>
                <w:sz w:val="20"/>
              </w:rPr>
            </w:pPr>
            <w:r w:rsidRPr="00871F47">
              <w:rPr>
                <w:sz w:val="20"/>
              </w:rPr>
              <w:t>Coram :</w:t>
            </w:r>
          </w:p>
        </w:tc>
        <w:tc>
          <w:tcPr>
            <w:tcW w:w="8118" w:type="dxa"/>
          </w:tcPr>
          <w:p w:rsidR="00871F47" w:rsidRPr="00871F47" w:rsidRDefault="00871F47" w:rsidP="00871F47">
            <w:pPr>
              <w:rPr>
                <w:sz w:val="20"/>
                <w:lang w:val="fr-CA"/>
              </w:rPr>
            </w:pPr>
            <w:r w:rsidRPr="00871F47">
              <w:rPr>
                <w:sz w:val="20"/>
                <w:u w:val="single"/>
                <w:lang w:val="fr-CA"/>
              </w:rPr>
              <w:t>Abella, Karakatsanis and Côté JJ.</w:t>
            </w:r>
          </w:p>
          <w:p w:rsidR="00871F47" w:rsidRPr="00871F47" w:rsidRDefault="00871F47" w:rsidP="00871F47">
            <w:pPr>
              <w:rPr>
                <w:sz w:val="20"/>
                <w:u w:val="single"/>
                <w:lang w:val="fr-CA"/>
              </w:rPr>
            </w:pPr>
          </w:p>
        </w:tc>
      </w:tr>
      <w:tr w:rsidR="00871F47" w:rsidRPr="00310DA4" w:rsidTr="00871F47">
        <w:trPr>
          <w:cantSplit/>
        </w:trPr>
        <w:tc>
          <w:tcPr>
            <w:tcW w:w="9576" w:type="dxa"/>
            <w:gridSpan w:val="2"/>
          </w:tcPr>
          <w:p w:rsidR="00871F47" w:rsidRPr="00871F47" w:rsidRDefault="00871F47" w:rsidP="00871F47">
            <w:pPr>
              <w:ind w:firstLine="720"/>
              <w:jc w:val="both"/>
              <w:rPr>
                <w:sz w:val="20"/>
              </w:rPr>
            </w:pPr>
            <w:r w:rsidRPr="00871F47">
              <w:rPr>
                <w:sz w:val="20"/>
              </w:rPr>
              <w:t>The motion to appoint counsel is dismissed. The application for leave to appeal from the judgment of the Court of Appeal of Quebec (Montreal), Numbers  500-10-005357-130, 500-10-005444-136 and 500-10-005556-145, 2015 QCCA 305, dated February 4, 2015, is dismissed with no order as to costs.</w:t>
            </w:r>
          </w:p>
          <w:p w:rsidR="00871F47" w:rsidRPr="00871F47" w:rsidRDefault="00871F47" w:rsidP="00871F47">
            <w:pPr>
              <w:jc w:val="both"/>
              <w:rPr>
                <w:sz w:val="20"/>
              </w:rPr>
            </w:pPr>
          </w:p>
          <w:p w:rsidR="00871F47" w:rsidRPr="00871F47" w:rsidRDefault="00871F47" w:rsidP="00871F47">
            <w:pPr>
              <w:ind w:firstLine="720"/>
              <w:jc w:val="both"/>
              <w:rPr>
                <w:sz w:val="20"/>
                <w:lang w:val="fr-CA"/>
              </w:rPr>
            </w:pPr>
            <w:r w:rsidRPr="00871F47">
              <w:rPr>
                <w:sz w:val="20"/>
                <w:lang w:val="fr-CA"/>
              </w:rPr>
              <w:t>La requête en nomination d’un procureur est rejetée. La demande d’autorisation d’appel de l’arrêt de la Cour d’appel du Québec (Montréal), numéros 500-10-005357-130, 500-10-005444-136 et 500-10-005556-145, 2015 QCCA 305, daté du 4 février 2015, est rejetée sans ordonnance quant aux dépens.</w:t>
            </w:r>
          </w:p>
        </w:tc>
      </w:tr>
    </w:tbl>
    <w:p w:rsidR="00CE4499" w:rsidRPr="00871F47" w:rsidRDefault="00CE4499" w:rsidP="00CE4499">
      <w:pPr>
        <w:rPr>
          <w:sz w:val="20"/>
          <w:szCs w:val="20"/>
          <w:lang w:val="fr-CA"/>
        </w:rPr>
      </w:pPr>
    </w:p>
    <w:p w:rsidR="00CE4499" w:rsidRPr="001B157C" w:rsidRDefault="00CE4499" w:rsidP="00CE4499">
      <w:pPr>
        <w:rPr>
          <w:sz w:val="20"/>
          <w:szCs w:val="20"/>
          <w:u w:val="single"/>
        </w:rPr>
      </w:pPr>
      <w:r w:rsidRPr="001B157C">
        <w:rPr>
          <w:sz w:val="20"/>
          <w:szCs w:val="20"/>
          <w:u w:val="single"/>
        </w:rPr>
        <w:t>CASE SUMMARY</w:t>
      </w:r>
    </w:p>
    <w:p w:rsidR="00CE4499" w:rsidRDefault="00CE4499" w:rsidP="00CE449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554"/>
        <w:gridCol w:w="514"/>
        <w:gridCol w:w="4459"/>
      </w:tblGrid>
      <w:tr w:rsidR="008A599C" w:rsidRPr="000729DC" w:rsidTr="00871F47">
        <w:tc>
          <w:tcPr>
            <w:tcW w:w="5000" w:type="pct"/>
            <w:gridSpan w:val="3"/>
          </w:tcPr>
          <w:p w:rsidR="008A599C" w:rsidRPr="000729DC" w:rsidRDefault="008A599C" w:rsidP="00871F47">
            <w:pPr>
              <w:jc w:val="both"/>
              <w:rPr>
                <w:sz w:val="20"/>
              </w:rPr>
            </w:pPr>
            <w:r w:rsidRPr="000729DC">
              <w:rPr>
                <w:sz w:val="20"/>
              </w:rPr>
              <w:t>Criminal law — Appeals to Supreme Court of Canada — Release pending determination of application for leave to appeal — Court of Appeal dismissed motions for applicant’s release pending determination of leave application by Supreme Court, for review by Court of Appeal of its earlier decision to same effect and for appointment of counsel, because applicant presented no submissions on merit of motions — Whether Court of Appeal erred in not appointing counsel or in denying applicant release pending determination of his leave application by Supreme Court? — Whether there was any miscarriage of justice?</w:t>
            </w:r>
          </w:p>
        </w:tc>
      </w:tr>
      <w:tr w:rsidR="008A599C" w:rsidRPr="000729DC" w:rsidTr="00871F47">
        <w:tc>
          <w:tcPr>
            <w:tcW w:w="5000" w:type="pct"/>
            <w:gridSpan w:val="3"/>
          </w:tcPr>
          <w:p w:rsidR="008A599C" w:rsidRPr="000729DC" w:rsidRDefault="008A599C" w:rsidP="00871F47">
            <w:pPr>
              <w:jc w:val="both"/>
              <w:rPr>
                <w:sz w:val="20"/>
              </w:rPr>
            </w:pPr>
          </w:p>
          <w:p w:rsidR="008A599C" w:rsidRPr="000729DC" w:rsidRDefault="008A599C" w:rsidP="00871F47">
            <w:pPr>
              <w:jc w:val="both"/>
              <w:rPr>
                <w:sz w:val="20"/>
              </w:rPr>
            </w:pPr>
            <w:r w:rsidRPr="000729DC">
              <w:rPr>
                <w:sz w:val="20"/>
              </w:rPr>
              <w:t xml:space="preserve">The applicant, Mr. Chemama, applied pursuant to s. 684 of the </w:t>
            </w:r>
            <w:r w:rsidRPr="000729DC">
              <w:rPr>
                <w:i/>
                <w:sz w:val="20"/>
              </w:rPr>
              <w:t>Criminal Code</w:t>
            </w:r>
            <w:r w:rsidRPr="000729DC">
              <w:rPr>
                <w:sz w:val="20"/>
              </w:rPr>
              <w:t xml:space="preserve"> for Mr. Daniel Brodsky, a member of the Law Society of Upper Canada, to represent him in his various appeals to the Quebec Court of Appeal. The Court of Appeal was willing to appoint Mr. Brodsky, but the latter would not accept the fee schedule agreed upon by the Barreau du Québec and the Minister of Justice. Therefore, the Court of Appeal dismissed the motion to have Mr. Brodsky appointed, and instead ordered that </w:t>
            </w:r>
            <w:r w:rsidRPr="000729DC">
              <w:rPr>
                <w:i/>
                <w:sz w:val="20"/>
              </w:rPr>
              <w:t>amicus curiae</w:t>
            </w:r>
            <w:r w:rsidRPr="000729DC">
              <w:rPr>
                <w:sz w:val="20"/>
              </w:rPr>
              <w:t xml:space="preserve"> be appointed. Savard J.A. of the Court of Appeal granted Mr. Chemama’s subsequent motion to stay the appointment of </w:t>
            </w:r>
            <w:r w:rsidRPr="000729DC">
              <w:rPr>
                <w:i/>
                <w:sz w:val="20"/>
              </w:rPr>
              <w:t>amicus curiae</w:t>
            </w:r>
            <w:r w:rsidRPr="000729DC">
              <w:rPr>
                <w:sz w:val="20"/>
              </w:rPr>
              <w:t xml:space="preserve"> but dismissed his motion for release from custody pending appeal to the Supreme Court. Later, Duval Hesler C.J.Q. dismissed Mr. Chemama’s motions for release pending determination of his leave application in the Supreme Court, for review by the Court of Appeal of Savard J.A.’s decision to the same effect, and for appointment of counsel.</w:t>
            </w:r>
          </w:p>
          <w:p w:rsidR="008A599C" w:rsidRPr="000729DC" w:rsidRDefault="008A599C" w:rsidP="00871F47">
            <w:pPr>
              <w:jc w:val="both"/>
              <w:rPr>
                <w:sz w:val="20"/>
              </w:rPr>
            </w:pPr>
          </w:p>
        </w:tc>
      </w:tr>
      <w:tr w:rsidR="008A599C" w:rsidRPr="000729DC" w:rsidTr="00871F47">
        <w:tblPrEx>
          <w:tblCellMar>
            <w:bottom w:w="0" w:type="dxa"/>
          </w:tblCellMar>
        </w:tblPrEx>
        <w:tc>
          <w:tcPr>
            <w:tcW w:w="2390" w:type="pct"/>
          </w:tcPr>
          <w:p w:rsidR="008A599C" w:rsidRPr="000729DC" w:rsidRDefault="008A599C" w:rsidP="00871F47">
            <w:pPr>
              <w:jc w:val="both"/>
              <w:rPr>
                <w:sz w:val="20"/>
              </w:rPr>
            </w:pPr>
            <w:r w:rsidRPr="000729DC">
              <w:rPr>
                <w:sz w:val="20"/>
              </w:rPr>
              <w:t>June 6, 2014</w:t>
            </w:r>
          </w:p>
          <w:p w:rsidR="008A599C" w:rsidRPr="000729DC" w:rsidRDefault="008A599C" w:rsidP="00871F47">
            <w:pPr>
              <w:jc w:val="both"/>
              <w:rPr>
                <w:sz w:val="20"/>
              </w:rPr>
            </w:pPr>
            <w:r w:rsidRPr="000729DC">
              <w:rPr>
                <w:sz w:val="20"/>
              </w:rPr>
              <w:t>Court of Appeal of Quebec (Montréal)</w:t>
            </w:r>
          </w:p>
          <w:p w:rsidR="008A599C" w:rsidRPr="000729DC" w:rsidRDefault="008A599C" w:rsidP="00871F47">
            <w:pPr>
              <w:jc w:val="both"/>
              <w:rPr>
                <w:sz w:val="20"/>
              </w:rPr>
            </w:pPr>
            <w:r w:rsidRPr="000729DC">
              <w:rPr>
                <w:sz w:val="20"/>
              </w:rPr>
              <w:t>(Hilton, Doyon and Marcotte JJ.A.)</w:t>
            </w:r>
          </w:p>
          <w:p w:rsidR="008A599C" w:rsidRPr="000729DC" w:rsidRDefault="00310DA4" w:rsidP="00871F47">
            <w:pPr>
              <w:jc w:val="both"/>
              <w:rPr>
                <w:sz w:val="20"/>
              </w:rPr>
            </w:pPr>
            <w:hyperlink r:id="rId38" w:history="1">
              <w:r w:rsidR="008A599C" w:rsidRPr="000729DC">
                <w:rPr>
                  <w:color w:val="0000FF" w:themeColor="hyperlink"/>
                  <w:sz w:val="20"/>
                  <w:u w:val="single"/>
                </w:rPr>
                <w:t>2014 QCCA 1269</w:t>
              </w:r>
            </w:hyperlink>
          </w:p>
        </w:tc>
        <w:tc>
          <w:tcPr>
            <w:tcW w:w="270" w:type="pct"/>
          </w:tcPr>
          <w:p w:rsidR="008A599C" w:rsidRPr="000729DC" w:rsidRDefault="008A599C" w:rsidP="00871F47">
            <w:pPr>
              <w:jc w:val="both"/>
              <w:rPr>
                <w:sz w:val="20"/>
              </w:rPr>
            </w:pPr>
          </w:p>
        </w:tc>
        <w:tc>
          <w:tcPr>
            <w:tcW w:w="2340" w:type="pct"/>
          </w:tcPr>
          <w:p w:rsidR="008A599C" w:rsidRPr="000729DC" w:rsidRDefault="008A599C" w:rsidP="00871F47">
            <w:pPr>
              <w:jc w:val="both"/>
              <w:rPr>
                <w:sz w:val="20"/>
              </w:rPr>
            </w:pPr>
            <w:r w:rsidRPr="000729DC">
              <w:rPr>
                <w:sz w:val="20"/>
              </w:rPr>
              <w:t xml:space="preserve">Mr. Chemama’s application pursuant to s. 684 of the </w:t>
            </w:r>
            <w:r w:rsidRPr="000729DC">
              <w:rPr>
                <w:i/>
                <w:sz w:val="20"/>
              </w:rPr>
              <w:t>Criminal Code</w:t>
            </w:r>
            <w:r w:rsidRPr="000729DC">
              <w:rPr>
                <w:sz w:val="20"/>
              </w:rPr>
              <w:t xml:space="preserve"> for the appointment of Mr. Daniel Brodsky to represent him in his various appeals to the Court of Appeal dismissed. Instead, Court of Appeal ordered that </w:t>
            </w:r>
            <w:r w:rsidRPr="000729DC">
              <w:rPr>
                <w:i/>
                <w:sz w:val="20"/>
              </w:rPr>
              <w:t>amicus curiae</w:t>
            </w:r>
            <w:r w:rsidRPr="000729DC">
              <w:rPr>
                <w:sz w:val="20"/>
              </w:rPr>
              <w:t xml:space="preserve"> be appointed.</w:t>
            </w:r>
          </w:p>
          <w:p w:rsidR="008A599C" w:rsidRPr="000729DC" w:rsidRDefault="008A599C" w:rsidP="00871F47">
            <w:pPr>
              <w:jc w:val="both"/>
              <w:rPr>
                <w:sz w:val="20"/>
              </w:rPr>
            </w:pPr>
          </w:p>
        </w:tc>
      </w:tr>
      <w:tr w:rsidR="008A599C" w:rsidRPr="000729DC" w:rsidTr="00871F47">
        <w:tblPrEx>
          <w:tblCellMar>
            <w:bottom w:w="0" w:type="dxa"/>
          </w:tblCellMar>
        </w:tblPrEx>
        <w:trPr>
          <w:cantSplit/>
        </w:trPr>
        <w:tc>
          <w:tcPr>
            <w:tcW w:w="2390" w:type="pct"/>
          </w:tcPr>
          <w:p w:rsidR="008A599C" w:rsidRPr="000729DC" w:rsidRDefault="008A599C" w:rsidP="00871F47">
            <w:pPr>
              <w:jc w:val="both"/>
              <w:rPr>
                <w:sz w:val="20"/>
              </w:rPr>
            </w:pPr>
            <w:r w:rsidRPr="000729DC">
              <w:rPr>
                <w:sz w:val="20"/>
              </w:rPr>
              <w:lastRenderedPageBreak/>
              <w:t>December 10, 2014</w:t>
            </w:r>
          </w:p>
          <w:p w:rsidR="008A599C" w:rsidRPr="000729DC" w:rsidRDefault="008A599C" w:rsidP="00871F47">
            <w:pPr>
              <w:jc w:val="both"/>
              <w:rPr>
                <w:sz w:val="20"/>
              </w:rPr>
            </w:pPr>
            <w:r w:rsidRPr="000729DC">
              <w:rPr>
                <w:sz w:val="20"/>
              </w:rPr>
              <w:t>Court of Appeal of Quebec (Montréal)</w:t>
            </w:r>
          </w:p>
          <w:p w:rsidR="008A599C" w:rsidRPr="000729DC" w:rsidRDefault="008A599C" w:rsidP="00871F47">
            <w:pPr>
              <w:jc w:val="both"/>
              <w:rPr>
                <w:sz w:val="20"/>
              </w:rPr>
            </w:pPr>
            <w:r w:rsidRPr="000729DC">
              <w:rPr>
                <w:sz w:val="20"/>
              </w:rPr>
              <w:t>(Savard J.A.)</w:t>
            </w:r>
          </w:p>
          <w:p w:rsidR="008A599C" w:rsidRPr="000729DC" w:rsidRDefault="00310DA4" w:rsidP="00871F47">
            <w:pPr>
              <w:jc w:val="both"/>
              <w:rPr>
                <w:sz w:val="20"/>
              </w:rPr>
            </w:pPr>
            <w:hyperlink r:id="rId39" w:history="1">
              <w:r w:rsidR="008A599C" w:rsidRPr="000729DC">
                <w:rPr>
                  <w:color w:val="0000FF" w:themeColor="hyperlink"/>
                  <w:sz w:val="20"/>
                  <w:u w:val="single"/>
                </w:rPr>
                <w:t>2014 QCCA 2322</w:t>
              </w:r>
            </w:hyperlink>
          </w:p>
          <w:p w:rsidR="008A599C" w:rsidRPr="000729DC" w:rsidRDefault="008A599C" w:rsidP="00871F47">
            <w:pPr>
              <w:jc w:val="both"/>
              <w:rPr>
                <w:sz w:val="20"/>
              </w:rPr>
            </w:pPr>
          </w:p>
        </w:tc>
        <w:tc>
          <w:tcPr>
            <w:tcW w:w="270" w:type="pct"/>
          </w:tcPr>
          <w:p w:rsidR="008A599C" w:rsidRPr="000729DC" w:rsidRDefault="008A599C" w:rsidP="00871F47">
            <w:pPr>
              <w:jc w:val="both"/>
              <w:rPr>
                <w:sz w:val="20"/>
              </w:rPr>
            </w:pPr>
          </w:p>
        </w:tc>
        <w:tc>
          <w:tcPr>
            <w:tcW w:w="2340" w:type="pct"/>
          </w:tcPr>
          <w:p w:rsidR="008A599C" w:rsidRPr="000729DC" w:rsidRDefault="008A599C" w:rsidP="00871F47">
            <w:pPr>
              <w:jc w:val="both"/>
              <w:rPr>
                <w:sz w:val="20"/>
              </w:rPr>
            </w:pPr>
            <w:r w:rsidRPr="000729DC">
              <w:rPr>
                <w:sz w:val="20"/>
              </w:rPr>
              <w:t xml:space="preserve">Mr. Chemama’s motion to stay appointment of </w:t>
            </w:r>
            <w:r w:rsidRPr="000729DC">
              <w:rPr>
                <w:i/>
                <w:sz w:val="20"/>
              </w:rPr>
              <w:t>amicus curiae</w:t>
            </w:r>
            <w:r w:rsidRPr="000729DC">
              <w:rPr>
                <w:sz w:val="20"/>
              </w:rPr>
              <w:t xml:space="preserve"> granted but motion for his release from custody pending appeal dismissed.</w:t>
            </w:r>
          </w:p>
          <w:p w:rsidR="008A599C" w:rsidRPr="000729DC" w:rsidRDefault="008A599C" w:rsidP="00871F47">
            <w:pPr>
              <w:jc w:val="both"/>
              <w:rPr>
                <w:sz w:val="20"/>
              </w:rPr>
            </w:pPr>
          </w:p>
        </w:tc>
      </w:tr>
      <w:tr w:rsidR="008A599C" w:rsidRPr="000729DC" w:rsidTr="00871F47">
        <w:tblPrEx>
          <w:tblCellMar>
            <w:bottom w:w="0" w:type="dxa"/>
          </w:tblCellMar>
        </w:tblPrEx>
        <w:trPr>
          <w:cantSplit/>
        </w:trPr>
        <w:tc>
          <w:tcPr>
            <w:tcW w:w="2390" w:type="pct"/>
          </w:tcPr>
          <w:p w:rsidR="008A599C" w:rsidRPr="000729DC" w:rsidRDefault="008A599C" w:rsidP="00871F47">
            <w:pPr>
              <w:jc w:val="both"/>
              <w:rPr>
                <w:sz w:val="20"/>
              </w:rPr>
            </w:pPr>
            <w:r w:rsidRPr="000729DC">
              <w:rPr>
                <w:sz w:val="20"/>
              </w:rPr>
              <w:t>February 4, 2015</w:t>
            </w:r>
          </w:p>
          <w:p w:rsidR="008A599C" w:rsidRPr="000729DC" w:rsidRDefault="008A599C" w:rsidP="00871F47">
            <w:pPr>
              <w:jc w:val="both"/>
              <w:rPr>
                <w:sz w:val="20"/>
              </w:rPr>
            </w:pPr>
            <w:r w:rsidRPr="000729DC">
              <w:rPr>
                <w:sz w:val="20"/>
              </w:rPr>
              <w:t>Court of Appeal of Quebec (Montréal)</w:t>
            </w:r>
          </w:p>
          <w:p w:rsidR="008A599C" w:rsidRPr="000729DC" w:rsidRDefault="008A599C" w:rsidP="00871F47">
            <w:pPr>
              <w:jc w:val="both"/>
              <w:rPr>
                <w:sz w:val="20"/>
              </w:rPr>
            </w:pPr>
            <w:r w:rsidRPr="000729DC">
              <w:rPr>
                <w:sz w:val="20"/>
              </w:rPr>
              <w:t>(Duval Hesler C.J.Q.)</w:t>
            </w:r>
          </w:p>
          <w:p w:rsidR="008A599C" w:rsidRPr="000729DC" w:rsidRDefault="00310DA4" w:rsidP="00871F47">
            <w:pPr>
              <w:jc w:val="both"/>
              <w:rPr>
                <w:sz w:val="20"/>
              </w:rPr>
            </w:pPr>
            <w:hyperlink r:id="rId40" w:history="1">
              <w:r w:rsidR="008A599C" w:rsidRPr="000729DC">
                <w:rPr>
                  <w:color w:val="0000FF" w:themeColor="hyperlink"/>
                  <w:sz w:val="20"/>
                  <w:u w:val="single"/>
                </w:rPr>
                <w:t>2015 QCCA 305</w:t>
              </w:r>
            </w:hyperlink>
          </w:p>
          <w:p w:rsidR="008A599C" w:rsidRPr="000729DC" w:rsidRDefault="008A599C" w:rsidP="00871F47">
            <w:pPr>
              <w:jc w:val="both"/>
              <w:rPr>
                <w:sz w:val="20"/>
              </w:rPr>
            </w:pPr>
          </w:p>
        </w:tc>
        <w:tc>
          <w:tcPr>
            <w:tcW w:w="270" w:type="pct"/>
          </w:tcPr>
          <w:p w:rsidR="008A599C" w:rsidRPr="000729DC" w:rsidRDefault="008A599C" w:rsidP="00871F47">
            <w:pPr>
              <w:jc w:val="both"/>
              <w:rPr>
                <w:sz w:val="20"/>
              </w:rPr>
            </w:pPr>
          </w:p>
        </w:tc>
        <w:tc>
          <w:tcPr>
            <w:tcW w:w="2340" w:type="pct"/>
          </w:tcPr>
          <w:p w:rsidR="008A599C" w:rsidRPr="000729DC" w:rsidRDefault="008A599C" w:rsidP="00871F47">
            <w:pPr>
              <w:jc w:val="both"/>
              <w:rPr>
                <w:sz w:val="20"/>
              </w:rPr>
            </w:pPr>
            <w:r w:rsidRPr="000729DC">
              <w:rPr>
                <w:sz w:val="20"/>
              </w:rPr>
              <w:t>Motions for release pending determination of application for leave to appeal to Supreme Court, for review by Court of Appeal of its earlier decision to same effect (see above), and for assignment of counsel dismissed.</w:t>
            </w:r>
          </w:p>
          <w:p w:rsidR="008A599C" w:rsidRPr="000729DC" w:rsidRDefault="008A599C" w:rsidP="00871F47">
            <w:pPr>
              <w:jc w:val="both"/>
              <w:rPr>
                <w:sz w:val="20"/>
              </w:rPr>
            </w:pPr>
          </w:p>
        </w:tc>
      </w:tr>
      <w:tr w:rsidR="008A599C" w:rsidRPr="000729DC" w:rsidTr="00871F47">
        <w:tblPrEx>
          <w:tblCellMar>
            <w:bottom w:w="0" w:type="dxa"/>
          </w:tblCellMar>
        </w:tblPrEx>
        <w:trPr>
          <w:cantSplit/>
        </w:trPr>
        <w:tc>
          <w:tcPr>
            <w:tcW w:w="2390" w:type="pct"/>
          </w:tcPr>
          <w:p w:rsidR="008A599C" w:rsidRPr="000729DC" w:rsidRDefault="008A599C" w:rsidP="00871F47">
            <w:pPr>
              <w:jc w:val="both"/>
              <w:rPr>
                <w:sz w:val="20"/>
              </w:rPr>
            </w:pPr>
            <w:r w:rsidRPr="000729DC">
              <w:rPr>
                <w:sz w:val="20"/>
              </w:rPr>
              <w:t>April 7, 2015</w:t>
            </w:r>
          </w:p>
          <w:p w:rsidR="008A599C" w:rsidRPr="000729DC" w:rsidRDefault="008A599C" w:rsidP="00871F47">
            <w:pPr>
              <w:jc w:val="both"/>
              <w:rPr>
                <w:sz w:val="20"/>
              </w:rPr>
            </w:pPr>
            <w:r w:rsidRPr="000729DC">
              <w:rPr>
                <w:sz w:val="20"/>
              </w:rPr>
              <w:t>Supreme Court of Canada</w:t>
            </w:r>
          </w:p>
        </w:tc>
        <w:tc>
          <w:tcPr>
            <w:tcW w:w="270" w:type="pct"/>
          </w:tcPr>
          <w:p w:rsidR="008A599C" w:rsidRPr="000729DC" w:rsidRDefault="008A599C" w:rsidP="00871F47">
            <w:pPr>
              <w:jc w:val="both"/>
              <w:rPr>
                <w:sz w:val="20"/>
              </w:rPr>
            </w:pPr>
          </w:p>
        </w:tc>
        <w:tc>
          <w:tcPr>
            <w:tcW w:w="2340" w:type="pct"/>
          </w:tcPr>
          <w:p w:rsidR="008A599C" w:rsidRPr="000729DC" w:rsidRDefault="008A599C" w:rsidP="00871F47">
            <w:pPr>
              <w:jc w:val="both"/>
              <w:rPr>
                <w:sz w:val="20"/>
              </w:rPr>
            </w:pPr>
            <w:r w:rsidRPr="000729DC">
              <w:rPr>
                <w:sz w:val="20"/>
              </w:rPr>
              <w:t>Application for leave to appeal filed, together with motion to appoint counsel.</w:t>
            </w:r>
          </w:p>
        </w:tc>
      </w:tr>
    </w:tbl>
    <w:p w:rsidR="00CE4499" w:rsidRDefault="00CE4499" w:rsidP="00CE4499">
      <w:pPr>
        <w:rPr>
          <w:sz w:val="20"/>
          <w:szCs w:val="20"/>
        </w:rPr>
      </w:pPr>
    </w:p>
    <w:p w:rsidR="00CE4499" w:rsidRPr="00C50A5C" w:rsidRDefault="00310DA4" w:rsidP="00CE4499">
      <w:pPr>
        <w:rPr>
          <w:sz w:val="20"/>
          <w:szCs w:val="20"/>
        </w:rPr>
      </w:pPr>
      <w:r>
        <w:rPr>
          <w:sz w:val="20"/>
          <w:szCs w:val="20"/>
          <w:lang w:val="fr-CA"/>
        </w:rPr>
        <w:pict>
          <v:rect id="_x0000_i1051" style="width:2in;height:1pt" o:hrpct="0" o:hralign="center" o:hrstd="t" o:hrnoshade="t" o:hr="t" fillcolor="black [3213]" stroked="f"/>
        </w:pict>
      </w:r>
    </w:p>
    <w:p w:rsidR="00CE4499" w:rsidRDefault="00CE4499" w:rsidP="00CE4499">
      <w:pPr>
        <w:rPr>
          <w:sz w:val="20"/>
          <w:szCs w:val="20"/>
        </w:rPr>
      </w:pPr>
    </w:p>
    <w:p w:rsidR="00CE4499" w:rsidRPr="001B157C" w:rsidRDefault="00CE4499" w:rsidP="00CE4499">
      <w:pPr>
        <w:rPr>
          <w:sz w:val="20"/>
          <w:szCs w:val="20"/>
          <w:u w:val="single"/>
          <w:lang w:val="fr-CA"/>
        </w:rPr>
      </w:pPr>
      <w:r w:rsidRPr="001B157C">
        <w:rPr>
          <w:sz w:val="20"/>
          <w:szCs w:val="20"/>
          <w:u w:val="single"/>
          <w:lang w:val="fr-CA"/>
        </w:rPr>
        <w:t>RÉSUMÉ DE L’AFFAIRE</w:t>
      </w:r>
    </w:p>
    <w:p w:rsidR="00CE4499" w:rsidRDefault="00CE4499" w:rsidP="00CE449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554"/>
        <w:gridCol w:w="514"/>
        <w:gridCol w:w="4459"/>
      </w:tblGrid>
      <w:tr w:rsidR="008A599C" w:rsidRPr="00310DA4" w:rsidTr="00871F47">
        <w:tc>
          <w:tcPr>
            <w:tcW w:w="5000" w:type="pct"/>
            <w:gridSpan w:val="3"/>
          </w:tcPr>
          <w:p w:rsidR="008A599C" w:rsidRPr="000729DC" w:rsidRDefault="008A599C" w:rsidP="00871F47">
            <w:pPr>
              <w:jc w:val="both"/>
              <w:rPr>
                <w:sz w:val="20"/>
                <w:lang w:val="fr-CA"/>
              </w:rPr>
            </w:pPr>
            <w:r w:rsidRPr="000729DC">
              <w:rPr>
                <w:sz w:val="20"/>
                <w:lang w:val="fr-CA"/>
              </w:rPr>
              <w:t>Droit criminel — Appels à la Cour suprême du Canada — Remise en liberté jusqu’à ce qu’il soit statué sur la demande d’autorisation d’appel — Rejet, par la Cour d’appel, des requêtes pour remise en liberté du demandeur en attendant que la Cour suprême statue sur la demande d’autorisation d’appel, pour révision, par la Cour d’appel, de sa décision en ce sens et pour désignation d’un avocat, parce que le demandeur n’a présenté aucune observation sur le bien-fondé des requêtes — La Cour d’appel a-t-elle eu tort de ne pas désigner un avocat ou de refuser au demandeur sa remise en liberté jusqu’à ce que la Cour suprême tranche sa demande d’autorisation d’appel? — Y a-t-il eu erreur judiciaire?</w:t>
            </w:r>
          </w:p>
        </w:tc>
      </w:tr>
      <w:tr w:rsidR="008A599C" w:rsidRPr="00310DA4" w:rsidTr="00871F47">
        <w:tc>
          <w:tcPr>
            <w:tcW w:w="5000" w:type="pct"/>
            <w:gridSpan w:val="3"/>
          </w:tcPr>
          <w:p w:rsidR="008A599C" w:rsidRPr="000729DC" w:rsidRDefault="008A599C" w:rsidP="00871F47">
            <w:pPr>
              <w:jc w:val="both"/>
              <w:rPr>
                <w:sz w:val="20"/>
                <w:lang w:val="fr-CA"/>
              </w:rPr>
            </w:pPr>
          </w:p>
          <w:p w:rsidR="008A599C" w:rsidRPr="000729DC" w:rsidRDefault="008A599C" w:rsidP="00871F47">
            <w:pPr>
              <w:jc w:val="both"/>
              <w:rPr>
                <w:sz w:val="20"/>
                <w:lang w:val="fr-CA"/>
              </w:rPr>
            </w:pPr>
            <w:r w:rsidRPr="000729DC">
              <w:rPr>
                <w:sz w:val="20"/>
                <w:lang w:val="fr-CA"/>
              </w:rPr>
              <w:t xml:space="preserve">Le demandeur, M. Chemama, a demandé, sur le fondement de l’art. 684 du </w:t>
            </w:r>
            <w:r w:rsidRPr="000729DC">
              <w:rPr>
                <w:i/>
                <w:sz w:val="20"/>
                <w:lang w:val="fr-CA"/>
              </w:rPr>
              <w:t>Code criminel</w:t>
            </w:r>
            <w:r w:rsidRPr="000729DC">
              <w:rPr>
                <w:sz w:val="20"/>
                <w:lang w:val="fr-CA"/>
              </w:rPr>
              <w:t>, que M</w:t>
            </w:r>
            <w:r w:rsidRPr="000729DC">
              <w:rPr>
                <w:sz w:val="20"/>
                <w:vertAlign w:val="superscript"/>
                <w:lang w:val="fr-CA"/>
              </w:rPr>
              <w:t>e</w:t>
            </w:r>
            <w:r w:rsidRPr="000729DC">
              <w:rPr>
                <w:sz w:val="20"/>
                <w:lang w:val="fr-CA"/>
              </w:rPr>
              <w:t> Daniel Brodsky, membre du Barreau du Haut-Canada, le représente dans le cadre de ses divers appels à la Cour d’appel du Québec. La Cour d’appel était disposée à désigner M</w:t>
            </w:r>
            <w:r w:rsidRPr="000729DC">
              <w:rPr>
                <w:sz w:val="20"/>
                <w:vertAlign w:val="superscript"/>
                <w:lang w:val="fr-CA"/>
              </w:rPr>
              <w:t>e</w:t>
            </w:r>
            <w:r w:rsidRPr="000729DC">
              <w:rPr>
                <w:sz w:val="20"/>
                <w:lang w:val="fr-CA"/>
              </w:rPr>
              <w:t> Brodsky, mais ce dernier n’acceptait pas le barème de frais et honoraires sur lequel se sont entendus le Barreau du Québec et la ministre de la Justice. En conséquence, la Cour d’appel a rejeté la requête pour faire désigner M</w:t>
            </w:r>
            <w:r w:rsidRPr="000729DC">
              <w:rPr>
                <w:sz w:val="20"/>
                <w:vertAlign w:val="superscript"/>
                <w:lang w:val="fr-CA"/>
              </w:rPr>
              <w:t>e</w:t>
            </w:r>
            <w:r w:rsidRPr="000729DC">
              <w:rPr>
                <w:sz w:val="20"/>
                <w:lang w:val="fr-CA"/>
              </w:rPr>
              <w:t xml:space="preserve"> Brodsky et a plutôt ordonné la nomination d’un </w:t>
            </w:r>
            <w:r w:rsidRPr="000729DC">
              <w:rPr>
                <w:i/>
                <w:sz w:val="20"/>
                <w:lang w:val="fr-CA"/>
              </w:rPr>
              <w:t>amicus curiae</w:t>
            </w:r>
            <w:r w:rsidRPr="000729DC">
              <w:rPr>
                <w:sz w:val="20"/>
                <w:lang w:val="fr-CA"/>
              </w:rPr>
              <w:t xml:space="preserve">. La juge Savard, de la Cour d’appel, a fait droit à la requête subséquente de M. Chemama visant à suspendre la nomination d’un </w:t>
            </w:r>
            <w:r w:rsidRPr="000729DC">
              <w:rPr>
                <w:i/>
                <w:sz w:val="20"/>
                <w:lang w:val="fr-CA"/>
              </w:rPr>
              <w:t>amicus curiae</w:t>
            </w:r>
            <w:r w:rsidRPr="000729DC">
              <w:rPr>
                <w:sz w:val="20"/>
                <w:lang w:val="fr-CA"/>
              </w:rPr>
              <w:t xml:space="preserve">, mais a rejeté sa requête pour remise en liberté pendant que l’appel était en instance devant la Cour suprême. Par la suite, la juge en chef Duval Hesler a rejeté les requêtes de M. Chemama pour sa remise en liberté en attendant que la Cour suprême statue sur sa demande d’autorisation d’appel, pour révision, par la Cour d’appel, de la décision en ce sens de la juge Savard et pour désignation d’un avocat. </w:t>
            </w:r>
          </w:p>
          <w:p w:rsidR="008A599C" w:rsidRPr="000729DC" w:rsidRDefault="008A599C" w:rsidP="00871F47">
            <w:pPr>
              <w:jc w:val="both"/>
              <w:rPr>
                <w:sz w:val="20"/>
                <w:lang w:val="fr-CA"/>
              </w:rPr>
            </w:pPr>
          </w:p>
        </w:tc>
      </w:tr>
      <w:tr w:rsidR="008A599C" w:rsidRPr="00310DA4" w:rsidTr="00871F47">
        <w:tblPrEx>
          <w:tblCellMar>
            <w:bottom w:w="0" w:type="dxa"/>
          </w:tblCellMar>
        </w:tblPrEx>
        <w:tc>
          <w:tcPr>
            <w:tcW w:w="2390" w:type="pct"/>
          </w:tcPr>
          <w:p w:rsidR="008A599C" w:rsidRPr="000729DC" w:rsidRDefault="008A599C" w:rsidP="00871F47">
            <w:pPr>
              <w:jc w:val="both"/>
              <w:rPr>
                <w:sz w:val="20"/>
                <w:lang w:val="fr-CA"/>
              </w:rPr>
            </w:pPr>
            <w:r w:rsidRPr="000729DC">
              <w:rPr>
                <w:sz w:val="20"/>
                <w:lang w:val="fr-CA"/>
              </w:rPr>
              <w:t>6 juin 2014</w:t>
            </w:r>
          </w:p>
          <w:p w:rsidR="008A599C" w:rsidRPr="000729DC" w:rsidRDefault="008A599C" w:rsidP="00871F47">
            <w:pPr>
              <w:jc w:val="both"/>
              <w:rPr>
                <w:sz w:val="20"/>
                <w:lang w:val="fr-CA"/>
              </w:rPr>
            </w:pPr>
            <w:r w:rsidRPr="000729DC">
              <w:rPr>
                <w:sz w:val="20"/>
                <w:lang w:val="fr-CA"/>
              </w:rPr>
              <w:t>Cour d’appel du Québec (Montréal)</w:t>
            </w:r>
          </w:p>
          <w:p w:rsidR="008A599C" w:rsidRPr="000729DC" w:rsidRDefault="008A599C" w:rsidP="00871F47">
            <w:pPr>
              <w:jc w:val="both"/>
              <w:rPr>
                <w:sz w:val="20"/>
                <w:lang w:val="fr-CA"/>
              </w:rPr>
            </w:pPr>
            <w:r w:rsidRPr="000729DC">
              <w:rPr>
                <w:sz w:val="20"/>
                <w:lang w:val="fr-CA"/>
              </w:rPr>
              <w:t>(Juges Hilton, Doyon et Marcotte)</w:t>
            </w:r>
          </w:p>
          <w:p w:rsidR="008A599C" w:rsidRPr="000729DC" w:rsidRDefault="00310DA4" w:rsidP="00871F47">
            <w:pPr>
              <w:jc w:val="both"/>
              <w:rPr>
                <w:sz w:val="20"/>
              </w:rPr>
            </w:pPr>
            <w:hyperlink r:id="rId41" w:history="1">
              <w:r w:rsidR="008A599C" w:rsidRPr="000729DC">
                <w:rPr>
                  <w:color w:val="0000FF" w:themeColor="hyperlink"/>
                  <w:sz w:val="20"/>
                  <w:u w:val="single"/>
                </w:rPr>
                <w:t>2014 QCCA 1269</w:t>
              </w:r>
            </w:hyperlink>
          </w:p>
        </w:tc>
        <w:tc>
          <w:tcPr>
            <w:tcW w:w="270" w:type="pct"/>
          </w:tcPr>
          <w:p w:rsidR="008A599C" w:rsidRPr="000729DC" w:rsidRDefault="008A599C" w:rsidP="00871F47">
            <w:pPr>
              <w:jc w:val="both"/>
              <w:rPr>
                <w:sz w:val="20"/>
              </w:rPr>
            </w:pPr>
          </w:p>
        </w:tc>
        <w:tc>
          <w:tcPr>
            <w:tcW w:w="2340" w:type="pct"/>
          </w:tcPr>
          <w:p w:rsidR="008A599C" w:rsidRPr="000729DC" w:rsidRDefault="008A599C" w:rsidP="00871F47">
            <w:pPr>
              <w:jc w:val="both"/>
              <w:rPr>
                <w:sz w:val="20"/>
                <w:lang w:val="fr-CA"/>
              </w:rPr>
            </w:pPr>
            <w:r w:rsidRPr="000729DC">
              <w:rPr>
                <w:sz w:val="20"/>
                <w:lang w:val="fr-CA"/>
              </w:rPr>
              <w:t xml:space="preserve">Rejet de la demande présentée par M. Chemama sur le fondement de l’art. 684 du </w:t>
            </w:r>
            <w:r w:rsidRPr="000729DC">
              <w:rPr>
                <w:i/>
                <w:sz w:val="20"/>
                <w:lang w:val="fr-CA"/>
              </w:rPr>
              <w:t xml:space="preserve">Code criminel </w:t>
            </w:r>
            <w:r w:rsidRPr="000729DC">
              <w:rPr>
                <w:sz w:val="20"/>
                <w:lang w:val="fr-CA"/>
              </w:rPr>
              <w:t>en vue de faire désigner M</w:t>
            </w:r>
            <w:r w:rsidRPr="000729DC">
              <w:rPr>
                <w:sz w:val="20"/>
                <w:vertAlign w:val="superscript"/>
                <w:lang w:val="fr-CA"/>
              </w:rPr>
              <w:t>e </w:t>
            </w:r>
            <w:r w:rsidRPr="000729DC">
              <w:rPr>
                <w:sz w:val="20"/>
                <w:lang w:val="fr-CA"/>
              </w:rPr>
              <w:t xml:space="preserve">Daniel Brodsky pour qu’il le représente dans le cadre de ses divers appels à la Cour d’appel. La Cour d’appel a plutôt ordonné la nomination d’un </w:t>
            </w:r>
            <w:r w:rsidRPr="000729DC">
              <w:rPr>
                <w:i/>
                <w:sz w:val="20"/>
                <w:lang w:val="fr-CA"/>
              </w:rPr>
              <w:t>amicus curiae</w:t>
            </w:r>
            <w:r w:rsidRPr="000729DC">
              <w:rPr>
                <w:sz w:val="20"/>
                <w:lang w:val="fr-CA"/>
              </w:rPr>
              <w:t>.</w:t>
            </w:r>
          </w:p>
          <w:p w:rsidR="008A599C" w:rsidRPr="000729DC" w:rsidRDefault="008A599C" w:rsidP="00871F47">
            <w:pPr>
              <w:jc w:val="both"/>
              <w:rPr>
                <w:sz w:val="20"/>
                <w:lang w:val="fr-CA"/>
              </w:rPr>
            </w:pPr>
          </w:p>
        </w:tc>
      </w:tr>
      <w:tr w:rsidR="008A599C" w:rsidRPr="00310DA4" w:rsidTr="00871F47">
        <w:tblPrEx>
          <w:tblCellMar>
            <w:bottom w:w="0" w:type="dxa"/>
          </w:tblCellMar>
        </w:tblPrEx>
        <w:tc>
          <w:tcPr>
            <w:tcW w:w="2390" w:type="pct"/>
          </w:tcPr>
          <w:p w:rsidR="008A599C" w:rsidRPr="000729DC" w:rsidRDefault="008A599C" w:rsidP="00871F47">
            <w:pPr>
              <w:jc w:val="both"/>
              <w:rPr>
                <w:sz w:val="20"/>
                <w:lang w:val="fr-CA"/>
              </w:rPr>
            </w:pPr>
            <w:r w:rsidRPr="000729DC">
              <w:rPr>
                <w:sz w:val="20"/>
                <w:lang w:val="fr-CA"/>
              </w:rPr>
              <w:t>10 décembre 2014</w:t>
            </w:r>
          </w:p>
          <w:p w:rsidR="008A599C" w:rsidRPr="000729DC" w:rsidRDefault="008A599C" w:rsidP="00871F47">
            <w:pPr>
              <w:jc w:val="both"/>
              <w:rPr>
                <w:sz w:val="20"/>
                <w:lang w:val="fr-CA"/>
              </w:rPr>
            </w:pPr>
            <w:r w:rsidRPr="000729DC">
              <w:rPr>
                <w:sz w:val="20"/>
                <w:lang w:val="fr-CA"/>
              </w:rPr>
              <w:t>Cour d’appel du Québec (Montréal)</w:t>
            </w:r>
          </w:p>
          <w:p w:rsidR="008A599C" w:rsidRPr="000729DC" w:rsidRDefault="008A599C" w:rsidP="00871F47">
            <w:pPr>
              <w:jc w:val="both"/>
              <w:rPr>
                <w:sz w:val="20"/>
                <w:lang w:val="fr-CA"/>
              </w:rPr>
            </w:pPr>
            <w:r w:rsidRPr="000729DC">
              <w:rPr>
                <w:sz w:val="20"/>
                <w:lang w:val="fr-CA"/>
              </w:rPr>
              <w:t>(Juge Savard)</w:t>
            </w:r>
          </w:p>
          <w:p w:rsidR="008A599C" w:rsidRPr="000729DC" w:rsidRDefault="00310DA4" w:rsidP="00871F47">
            <w:pPr>
              <w:jc w:val="both"/>
              <w:rPr>
                <w:sz w:val="20"/>
              </w:rPr>
            </w:pPr>
            <w:hyperlink r:id="rId42" w:history="1">
              <w:r w:rsidR="008A599C" w:rsidRPr="000729DC">
                <w:rPr>
                  <w:color w:val="0000FF" w:themeColor="hyperlink"/>
                  <w:sz w:val="20"/>
                  <w:u w:val="single"/>
                </w:rPr>
                <w:t>2014 QCCA 2322</w:t>
              </w:r>
            </w:hyperlink>
          </w:p>
          <w:p w:rsidR="008A599C" w:rsidRPr="000729DC" w:rsidRDefault="008A599C" w:rsidP="00871F47">
            <w:pPr>
              <w:jc w:val="both"/>
              <w:rPr>
                <w:sz w:val="20"/>
              </w:rPr>
            </w:pPr>
          </w:p>
        </w:tc>
        <w:tc>
          <w:tcPr>
            <w:tcW w:w="270" w:type="pct"/>
          </w:tcPr>
          <w:p w:rsidR="008A599C" w:rsidRPr="000729DC" w:rsidRDefault="008A599C" w:rsidP="00871F47">
            <w:pPr>
              <w:jc w:val="both"/>
              <w:rPr>
                <w:sz w:val="20"/>
              </w:rPr>
            </w:pPr>
          </w:p>
        </w:tc>
        <w:tc>
          <w:tcPr>
            <w:tcW w:w="2340" w:type="pct"/>
          </w:tcPr>
          <w:p w:rsidR="008A599C" w:rsidRPr="000729DC" w:rsidRDefault="008A599C" w:rsidP="00871F47">
            <w:pPr>
              <w:jc w:val="both"/>
              <w:rPr>
                <w:sz w:val="20"/>
                <w:lang w:val="fr-CA"/>
              </w:rPr>
            </w:pPr>
            <w:r w:rsidRPr="000729DC">
              <w:rPr>
                <w:sz w:val="20"/>
                <w:lang w:val="fr-CA"/>
              </w:rPr>
              <w:t xml:space="preserve">Requête de M. Chemama en suspension de la nomination d’un </w:t>
            </w:r>
            <w:r w:rsidRPr="000729DC">
              <w:rPr>
                <w:i/>
                <w:sz w:val="20"/>
                <w:lang w:val="fr-CA"/>
              </w:rPr>
              <w:t>amicus curiae</w:t>
            </w:r>
            <w:r w:rsidRPr="000729DC">
              <w:rPr>
                <w:sz w:val="20"/>
                <w:lang w:val="fr-CA"/>
              </w:rPr>
              <w:t xml:space="preserve"> accueillie, mais rejet de la requête pour sa remise en liberté pendant que l’appel est en instance.</w:t>
            </w:r>
          </w:p>
          <w:p w:rsidR="008A599C" w:rsidRPr="000729DC" w:rsidRDefault="008A599C" w:rsidP="00871F47">
            <w:pPr>
              <w:jc w:val="both"/>
              <w:rPr>
                <w:sz w:val="20"/>
                <w:lang w:val="fr-CA"/>
              </w:rPr>
            </w:pPr>
          </w:p>
        </w:tc>
      </w:tr>
      <w:tr w:rsidR="008A599C" w:rsidRPr="00310DA4" w:rsidTr="00871F47">
        <w:tblPrEx>
          <w:tblCellMar>
            <w:bottom w:w="0" w:type="dxa"/>
          </w:tblCellMar>
        </w:tblPrEx>
        <w:tc>
          <w:tcPr>
            <w:tcW w:w="2390" w:type="pct"/>
          </w:tcPr>
          <w:p w:rsidR="008A599C" w:rsidRPr="000729DC" w:rsidRDefault="008A599C" w:rsidP="00871F47">
            <w:pPr>
              <w:jc w:val="both"/>
              <w:rPr>
                <w:sz w:val="20"/>
                <w:lang w:val="fr-CA"/>
              </w:rPr>
            </w:pPr>
            <w:r w:rsidRPr="000729DC">
              <w:rPr>
                <w:sz w:val="20"/>
                <w:lang w:val="fr-CA"/>
              </w:rPr>
              <w:t>4 février 2015</w:t>
            </w:r>
          </w:p>
          <w:p w:rsidR="008A599C" w:rsidRPr="000729DC" w:rsidRDefault="008A599C" w:rsidP="00871F47">
            <w:pPr>
              <w:jc w:val="both"/>
              <w:rPr>
                <w:sz w:val="20"/>
                <w:lang w:val="fr-CA"/>
              </w:rPr>
            </w:pPr>
            <w:r w:rsidRPr="000729DC">
              <w:rPr>
                <w:sz w:val="20"/>
                <w:lang w:val="fr-CA"/>
              </w:rPr>
              <w:t>Cour d’appel du Québec (Montréal)</w:t>
            </w:r>
          </w:p>
          <w:p w:rsidR="008A599C" w:rsidRPr="000729DC" w:rsidRDefault="008A599C" w:rsidP="00871F47">
            <w:pPr>
              <w:jc w:val="both"/>
              <w:rPr>
                <w:sz w:val="20"/>
                <w:lang w:val="fr-CA"/>
              </w:rPr>
            </w:pPr>
            <w:r w:rsidRPr="000729DC">
              <w:rPr>
                <w:sz w:val="20"/>
                <w:lang w:val="fr-CA"/>
              </w:rPr>
              <w:t>(Juge en chef Duval Hesler)</w:t>
            </w:r>
          </w:p>
          <w:p w:rsidR="008A599C" w:rsidRPr="000729DC" w:rsidRDefault="00310DA4" w:rsidP="00871F47">
            <w:pPr>
              <w:jc w:val="both"/>
              <w:rPr>
                <w:sz w:val="20"/>
              </w:rPr>
            </w:pPr>
            <w:hyperlink r:id="rId43" w:history="1">
              <w:r w:rsidR="008A599C" w:rsidRPr="000729DC">
                <w:rPr>
                  <w:color w:val="0000FF" w:themeColor="hyperlink"/>
                  <w:sz w:val="20"/>
                  <w:u w:val="single"/>
                </w:rPr>
                <w:t>2015 QCCA 305</w:t>
              </w:r>
            </w:hyperlink>
          </w:p>
          <w:p w:rsidR="008A599C" w:rsidRPr="000729DC" w:rsidRDefault="008A599C" w:rsidP="00871F47">
            <w:pPr>
              <w:jc w:val="both"/>
              <w:rPr>
                <w:sz w:val="20"/>
              </w:rPr>
            </w:pPr>
          </w:p>
        </w:tc>
        <w:tc>
          <w:tcPr>
            <w:tcW w:w="270" w:type="pct"/>
          </w:tcPr>
          <w:p w:rsidR="008A599C" w:rsidRPr="000729DC" w:rsidRDefault="008A599C" w:rsidP="00871F47">
            <w:pPr>
              <w:jc w:val="both"/>
              <w:rPr>
                <w:sz w:val="20"/>
              </w:rPr>
            </w:pPr>
          </w:p>
        </w:tc>
        <w:tc>
          <w:tcPr>
            <w:tcW w:w="2340" w:type="pct"/>
          </w:tcPr>
          <w:p w:rsidR="008A599C" w:rsidRPr="000729DC" w:rsidRDefault="008A599C" w:rsidP="00871F47">
            <w:pPr>
              <w:jc w:val="both"/>
              <w:rPr>
                <w:sz w:val="20"/>
                <w:lang w:val="fr-CA"/>
              </w:rPr>
            </w:pPr>
            <w:r w:rsidRPr="000729DC">
              <w:rPr>
                <w:sz w:val="20"/>
                <w:lang w:val="fr-CA"/>
              </w:rPr>
              <w:t>Rejet des requêtes pour remise en liberté jusqu’à ce qu’il soit statué sur la demande d’autorisation d’appel à la Cour suprême, pour révision, par la Cour d’appel, de sa décision en ce sens (susmentionnée) et pour désignation d’un avocat.</w:t>
            </w:r>
          </w:p>
          <w:p w:rsidR="008A599C" w:rsidRPr="000729DC" w:rsidRDefault="008A599C" w:rsidP="00871F47">
            <w:pPr>
              <w:jc w:val="both"/>
              <w:rPr>
                <w:sz w:val="20"/>
                <w:lang w:val="fr-CA"/>
              </w:rPr>
            </w:pPr>
          </w:p>
        </w:tc>
      </w:tr>
      <w:tr w:rsidR="008A599C" w:rsidRPr="00310DA4" w:rsidTr="00871F47">
        <w:tblPrEx>
          <w:tblCellMar>
            <w:bottom w:w="0" w:type="dxa"/>
          </w:tblCellMar>
        </w:tblPrEx>
        <w:tc>
          <w:tcPr>
            <w:tcW w:w="2390" w:type="pct"/>
          </w:tcPr>
          <w:p w:rsidR="008A599C" w:rsidRPr="000729DC" w:rsidRDefault="008A599C" w:rsidP="00871F47">
            <w:pPr>
              <w:jc w:val="both"/>
              <w:rPr>
                <w:sz w:val="20"/>
                <w:lang w:val="fr-CA"/>
              </w:rPr>
            </w:pPr>
            <w:r w:rsidRPr="000729DC">
              <w:rPr>
                <w:sz w:val="20"/>
                <w:lang w:val="fr-CA"/>
              </w:rPr>
              <w:lastRenderedPageBreak/>
              <w:t>7 avril 2015</w:t>
            </w:r>
          </w:p>
          <w:p w:rsidR="008A599C" w:rsidRPr="000729DC" w:rsidRDefault="008A599C" w:rsidP="00871F47">
            <w:pPr>
              <w:jc w:val="both"/>
              <w:rPr>
                <w:sz w:val="20"/>
                <w:lang w:val="fr-CA"/>
              </w:rPr>
            </w:pPr>
            <w:r w:rsidRPr="000729DC">
              <w:rPr>
                <w:sz w:val="20"/>
                <w:lang w:val="fr-CA"/>
              </w:rPr>
              <w:t>Cour suprême du Canada</w:t>
            </w:r>
          </w:p>
        </w:tc>
        <w:tc>
          <w:tcPr>
            <w:tcW w:w="270" w:type="pct"/>
          </w:tcPr>
          <w:p w:rsidR="008A599C" w:rsidRPr="000729DC" w:rsidRDefault="008A599C" w:rsidP="00871F47">
            <w:pPr>
              <w:jc w:val="both"/>
              <w:rPr>
                <w:sz w:val="20"/>
                <w:lang w:val="fr-CA"/>
              </w:rPr>
            </w:pPr>
          </w:p>
        </w:tc>
        <w:tc>
          <w:tcPr>
            <w:tcW w:w="2340" w:type="pct"/>
          </w:tcPr>
          <w:p w:rsidR="008A599C" w:rsidRPr="000729DC" w:rsidRDefault="008A599C" w:rsidP="00871F47">
            <w:pPr>
              <w:jc w:val="both"/>
              <w:rPr>
                <w:sz w:val="20"/>
                <w:lang w:val="fr-CA"/>
              </w:rPr>
            </w:pPr>
            <w:r w:rsidRPr="000729DC">
              <w:rPr>
                <w:sz w:val="20"/>
                <w:lang w:val="fr-CA"/>
              </w:rPr>
              <w:t>Demande d’autorisation d’appel déposée avec la requête en désignation d’un avocat.</w:t>
            </w:r>
          </w:p>
        </w:tc>
      </w:tr>
    </w:tbl>
    <w:p w:rsidR="00CE4499" w:rsidRPr="008A599C" w:rsidRDefault="00CE4499" w:rsidP="00CE4499">
      <w:pPr>
        <w:rPr>
          <w:sz w:val="20"/>
          <w:szCs w:val="20"/>
          <w:lang w:val="fr-CA"/>
        </w:rPr>
      </w:pPr>
    </w:p>
    <w:p w:rsidR="00CE4499" w:rsidRDefault="00310DA4" w:rsidP="00CE4499">
      <w:pPr>
        <w:rPr>
          <w:sz w:val="20"/>
          <w:szCs w:val="20"/>
        </w:rPr>
      </w:pPr>
      <w:r>
        <w:rPr>
          <w:sz w:val="20"/>
          <w:szCs w:val="20"/>
          <w:lang w:val="fr-CA"/>
        </w:rPr>
        <w:pict>
          <v:rect id="_x0000_i1052" style="width:2in;height:1pt" o:hrpct="0" o:hralign="center" o:hrstd="t" o:hrnoshade="t" o:hr="t" fillcolor="black [3213]" stroked="f"/>
        </w:pict>
      </w:r>
    </w:p>
    <w:p w:rsidR="00CE4499" w:rsidRDefault="00CE4499" w:rsidP="00CE4499">
      <w:pPr>
        <w:rPr>
          <w:sz w:val="20"/>
          <w:szCs w:val="20"/>
        </w:rPr>
      </w:pPr>
    </w:p>
    <w:p w:rsidR="00CE4499" w:rsidRDefault="00CE4499" w:rsidP="000E2959">
      <w:pPr>
        <w:rPr>
          <w:sz w:val="20"/>
          <w:szCs w:val="20"/>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44"/>
          <w:headerReference w:type="default" r:id="rId45"/>
          <w:footerReference w:type="even" r:id="rId46"/>
          <w:footerReference w:type="default" r:id="rId47"/>
          <w:headerReference w:type="first" r:id="rId48"/>
          <w:footerReference w:type="first" r:id="rId49"/>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9455FA" w:rsidRPr="009455FA" w:rsidRDefault="009455FA" w:rsidP="009455FA">
      <w:pPr>
        <w:tabs>
          <w:tab w:val="left" w:pos="-1440"/>
          <w:tab w:val="left" w:pos="-720"/>
        </w:tabs>
        <w:jc w:val="both"/>
        <w:rPr>
          <w:rFonts w:eastAsia="Times New Roman" w:cs="Times New Roman"/>
          <w:sz w:val="20"/>
          <w:szCs w:val="20"/>
          <w:lang w:val="fr-CA" w:eastAsia="en-CA"/>
        </w:rPr>
      </w:pPr>
      <w:r w:rsidRPr="009455FA">
        <w:rPr>
          <w:rFonts w:eastAsia="Times New Roman" w:cs="Times New Roman"/>
          <w:sz w:val="20"/>
          <w:szCs w:val="20"/>
          <w:lang w:val="fr-CA" w:eastAsia="en-CA"/>
        </w:rPr>
        <w:t>14.07.2015</w:t>
      </w:r>
    </w:p>
    <w:p w:rsidR="009455FA" w:rsidRPr="009455FA" w:rsidRDefault="009455FA" w:rsidP="009455FA">
      <w:pPr>
        <w:tabs>
          <w:tab w:val="left" w:pos="-1440"/>
          <w:tab w:val="left" w:pos="-720"/>
        </w:tabs>
        <w:jc w:val="both"/>
        <w:rPr>
          <w:rFonts w:eastAsia="Times New Roman" w:cs="Times New Roman"/>
          <w:sz w:val="20"/>
          <w:szCs w:val="20"/>
          <w:lang w:val="fr-CA" w:eastAsia="en-CA"/>
        </w:rPr>
      </w:pPr>
    </w:p>
    <w:p w:rsidR="009455FA" w:rsidRPr="009455FA" w:rsidRDefault="009455FA" w:rsidP="009455FA">
      <w:pPr>
        <w:tabs>
          <w:tab w:val="left" w:pos="-1440"/>
          <w:tab w:val="left" w:pos="-720"/>
        </w:tabs>
        <w:jc w:val="both"/>
        <w:rPr>
          <w:rFonts w:eastAsia="Times New Roman" w:cs="Times New Roman"/>
          <w:sz w:val="20"/>
          <w:szCs w:val="20"/>
          <w:lang w:val="fr-CA" w:eastAsia="en-CA"/>
        </w:rPr>
      </w:pPr>
      <w:r w:rsidRPr="009455FA">
        <w:rPr>
          <w:rFonts w:eastAsia="Times New Roman" w:cs="Times New Roman"/>
          <w:sz w:val="20"/>
          <w:szCs w:val="20"/>
          <w:lang w:val="fr-CA" w:eastAsia="en-CA"/>
        </w:rPr>
        <w:t>Before / Devant :   ABELLA J. / LA JUGE ABELLA</w:t>
      </w:r>
    </w:p>
    <w:p w:rsidR="009455FA" w:rsidRPr="009455FA" w:rsidRDefault="009455FA" w:rsidP="009455FA">
      <w:pPr>
        <w:tabs>
          <w:tab w:val="left" w:pos="-1440"/>
          <w:tab w:val="left" w:pos="-720"/>
        </w:tabs>
        <w:jc w:val="both"/>
        <w:rPr>
          <w:rFonts w:eastAsia="Times New Roman" w:cs="Times New Roman"/>
          <w:sz w:val="20"/>
          <w:szCs w:val="20"/>
          <w:lang w:val="fr-CA" w:eastAsia="en-CA"/>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9455FA" w:rsidRPr="009455FA" w:rsidTr="00871F47">
        <w:trPr>
          <w:trHeight w:val="151"/>
        </w:trPr>
        <w:tc>
          <w:tcPr>
            <w:tcW w:w="4338" w:type="dxa"/>
          </w:tcPr>
          <w:p w:rsidR="009455FA" w:rsidRPr="009455FA" w:rsidRDefault="0086075F" w:rsidP="009455FA">
            <w:pPr>
              <w:tabs>
                <w:tab w:val="left" w:pos="-1440"/>
                <w:tab w:val="left" w:pos="-720"/>
              </w:tabs>
              <w:jc w:val="both"/>
              <w:rPr>
                <w:lang w:val="fr-CA"/>
              </w:rPr>
            </w:pPr>
            <w:r w:rsidRPr="009455FA">
              <w:rPr>
                <w:lang w:val="en-US"/>
              </w:rPr>
              <w:fldChar w:fldCharType="begin"/>
            </w:r>
            <w:r w:rsidR="009455FA" w:rsidRPr="009455FA">
              <w:rPr>
                <w:lang w:val="fr-CA"/>
              </w:rPr>
              <w:instrText xml:space="preserve"> SEQ CHAPTER \h \r 1</w:instrText>
            </w:r>
            <w:r w:rsidRPr="009455FA">
              <w:rPr>
                <w:lang w:val="en-US"/>
              </w:rPr>
              <w:fldChar w:fldCharType="end"/>
            </w:r>
            <w:r w:rsidR="009455FA" w:rsidRPr="009455FA">
              <w:rPr>
                <w:b/>
                <w:bCs/>
                <w:lang w:val="fr-CA"/>
              </w:rPr>
              <w:t>Order</w:t>
            </w:r>
          </w:p>
          <w:p w:rsidR="009455FA" w:rsidRPr="009455FA" w:rsidRDefault="0086075F" w:rsidP="009455FA">
            <w:pPr>
              <w:tabs>
                <w:tab w:val="left" w:pos="-1440"/>
                <w:tab w:val="left" w:pos="-720"/>
              </w:tabs>
              <w:jc w:val="both"/>
              <w:rPr>
                <w:lang w:val="fr-CA"/>
              </w:rPr>
            </w:pPr>
            <w:r w:rsidRPr="009455FA">
              <w:rPr>
                <w:lang w:val="en-US"/>
              </w:rPr>
              <w:fldChar w:fldCharType="begin"/>
            </w:r>
            <w:r w:rsidR="009455FA" w:rsidRPr="009455FA">
              <w:rPr>
                <w:lang w:val="fr-CA"/>
              </w:rPr>
              <w:instrText xml:space="preserve"> SEQ CHAPTER \h \r 1</w:instrText>
            </w:r>
            <w:r w:rsidRPr="009455FA">
              <w:rPr>
                <w:lang w:val="en-US"/>
              </w:rPr>
              <w:fldChar w:fldCharType="end"/>
            </w:r>
          </w:p>
        </w:tc>
        <w:tc>
          <w:tcPr>
            <w:tcW w:w="1170" w:type="dxa"/>
          </w:tcPr>
          <w:p w:rsidR="009455FA" w:rsidRPr="009455FA" w:rsidRDefault="009455FA" w:rsidP="009455FA">
            <w:pPr>
              <w:jc w:val="both"/>
              <w:rPr>
                <w:lang w:val="fr-CA"/>
              </w:rPr>
            </w:pPr>
          </w:p>
          <w:p w:rsidR="009455FA" w:rsidRPr="009455FA" w:rsidRDefault="009455FA" w:rsidP="009455FA">
            <w:pPr>
              <w:jc w:val="both"/>
              <w:rPr>
                <w:lang w:val="fr-CA"/>
              </w:rPr>
            </w:pPr>
          </w:p>
        </w:tc>
        <w:tc>
          <w:tcPr>
            <w:tcW w:w="4327" w:type="dxa"/>
          </w:tcPr>
          <w:p w:rsidR="009455FA" w:rsidRPr="009455FA" w:rsidRDefault="0086075F" w:rsidP="009455FA">
            <w:pPr>
              <w:jc w:val="both"/>
              <w:rPr>
                <w:b/>
                <w:lang w:val="fr-CA"/>
              </w:rPr>
            </w:pPr>
            <w:r w:rsidRPr="009455FA">
              <w:rPr>
                <w:szCs w:val="24"/>
                <w:lang w:val="en-US"/>
              </w:rPr>
              <w:fldChar w:fldCharType="begin"/>
            </w:r>
            <w:r w:rsidR="009455FA" w:rsidRPr="009455FA">
              <w:rPr>
                <w:szCs w:val="24"/>
                <w:lang w:val="fr-CA"/>
              </w:rPr>
              <w:instrText xml:space="preserve"> SEQ CHAPTER \h \r 1</w:instrText>
            </w:r>
            <w:r w:rsidRPr="009455FA">
              <w:rPr>
                <w:szCs w:val="24"/>
                <w:lang w:val="en-US"/>
              </w:rPr>
              <w:fldChar w:fldCharType="end"/>
            </w:r>
            <w:r w:rsidR="009455FA" w:rsidRPr="009455FA">
              <w:rPr>
                <w:b/>
                <w:bCs/>
                <w:lang w:val="fr-CA"/>
              </w:rPr>
              <w:t>Ordonnance</w:t>
            </w:r>
          </w:p>
          <w:p w:rsidR="009455FA" w:rsidRPr="009455FA" w:rsidRDefault="0086075F" w:rsidP="009455FA">
            <w:pPr>
              <w:jc w:val="both"/>
              <w:rPr>
                <w:b/>
                <w:lang w:val="fr-CA"/>
              </w:rPr>
            </w:pPr>
            <w:r w:rsidRPr="009455FA">
              <w:rPr>
                <w:b/>
                <w:lang w:val="en-US"/>
              </w:rPr>
              <w:fldChar w:fldCharType="begin"/>
            </w:r>
            <w:r w:rsidR="009455FA" w:rsidRPr="009455FA">
              <w:rPr>
                <w:b/>
                <w:lang w:val="fr-CA"/>
              </w:rPr>
              <w:instrText xml:space="preserve"> SEQ CHAPTER \h \r 1</w:instrText>
            </w:r>
            <w:r w:rsidRPr="009455FA">
              <w:rPr>
                <w:b/>
                <w:lang w:val="en-US"/>
              </w:rPr>
              <w:fldChar w:fldCharType="end"/>
            </w:r>
            <w:r w:rsidRPr="009455FA">
              <w:rPr>
                <w:b/>
                <w:lang w:val="en-US"/>
              </w:rPr>
              <w:fldChar w:fldCharType="begin"/>
            </w:r>
            <w:r w:rsidR="009455FA" w:rsidRPr="009455FA">
              <w:rPr>
                <w:b/>
                <w:lang w:val="fr-CA"/>
              </w:rPr>
              <w:instrText xml:space="preserve"> SEQ CHAPTER \h \r 1</w:instrText>
            </w:r>
            <w:r w:rsidRPr="009455FA">
              <w:rPr>
                <w:b/>
                <w:lang w:val="en-US"/>
              </w:rPr>
              <w:fldChar w:fldCharType="end"/>
            </w:r>
          </w:p>
        </w:tc>
      </w:tr>
      <w:tr w:rsidR="009455FA" w:rsidRPr="009455FA" w:rsidTr="00871F47">
        <w:trPr>
          <w:trHeight w:val="150"/>
        </w:trPr>
        <w:tc>
          <w:tcPr>
            <w:tcW w:w="4338" w:type="dxa"/>
          </w:tcPr>
          <w:p w:rsidR="009455FA" w:rsidRPr="009455FA" w:rsidRDefault="009455FA" w:rsidP="009455FA">
            <w:pPr>
              <w:tabs>
                <w:tab w:val="left" w:pos="-1440"/>
                <w:tab w:val="left" w:pos="-720"/>
              </w:tabs>
            </w:pPr>
            <w:r w:rsidRPr="009455FA">
              <w:t>Anthony Coote</w:t>
            </w:r>
          </w:p>
          <w:p w:rsidR="009455FA" w:rsidRPr="009455FA" w:rsidRDefault="009455FA" w:rsidP="009455FA">
            <w:pPr>
              <w:tabs>
                <w:tab w:val="left" w:pos="-1440"/>
                <w:tab w:val="left" w:pos="-720"/>
              </w:tabs>
            </w:pPr>
          </w:p>
          <w:p w:rsidR="009455FA" w:rsidRPr="009455FA" w:rsidRDefault="009455FA" w:rsidP="009455FA">
            <w:pPr>
              <w:tabs>
                <w:tab w:val="left" w:pos="-1440"/>
                <w:tab w:val="left" w:pos="-720"/>
              </w:tabs>
            </w:pPr>
            <w:r w:rsidRPr="009455FA">
              <w:tab/>
              <w:t>v. (36218)</w:t>
            </w:r>
          </w:p>
          <w:p w:rsidR="009455FA" w:rsidRPr="009455FA" w:rsidRDefault="009455FA" w:rsidP="009455FA">
            <w:pPr>
              <w:tabs>
                <w:tab w:val="left" w:pos="-1440"/>
                <w:tab w:val="left" w:pos="-720"/>
              </w:tabs>
            </w:pPr>
          </w:p>
          <w:p w:rsidR="009455FA" w:rsidRPr="009455FA" w:rsidRDefault="009455FA" w:rsidP="009455FA">
            <w:pPr>
              <w:tabs>
                <w:tab w:val="left" w:pos="-1440"/>
                <w:tab w:val="left" w:pos="-720"/>
              </w:tabs>
            </w:pPr>
            <w:r w:rsidRPr="009455FA">
              <w:t>Lawyers’ Professional Indemnity Company (LAWPRO) et al. (F.C.)</w:t>
            </w:r>
          </w:p>
        </w:tc>
        <w:tc>
          <w:tcPr>
            <w:tcW w:w="1170" w:type="dxa"/>
          </w:tcPr>
          <w:p w:rsidR="009455FA" w:rsidRPr="009455FA" w:rsidRDefault="009455FA" w:rsidP="009455FA">
            <w:pPr>
              <w:jc w:val="both"/>
            </w:pPr>
          </w:p>
        </w:tc>
        <w:tc>
          <w:tcPr>
            <w:tcW w:w="4327" w:type="dxa"/>
          </w:tcPr>
          <w:p w:rsidR="009455FA" w:rsidRPr="009455FA" w:rsidRDefault="009455FA" w:rsidP="009455FA">
            <w:pPr>
              <w:jc w:val="both"/>
            </w:pPr>
          </w:p>
        </w:tc>
      </w:tr>
      <w:tr w:rsidR="009455FA" w:rsidRPr="009455FA" w:rsidTr="00871F47">
        <w:trPr>
          <w:trHeight w:val="150"/>
        </w:trPr>
        <w:tc>
          <w:tcPr>
            <w:tcW w:w="4338" w:type="dxa"/>
          </w:tcPr>
          <w:p w:rsidR="009455FA" w:rsidRPr="009455FA" w:rsidRDefault="009455FA" w:rsidP="009455FA">
            <w:pPr>
              <w:tabs>
                <w:tab w:val="left" w:pos="-1440"/>
                <w:tab w:val="left" w:pos="-720"/>
              </w:tabs>
              <w:jc w:val="both"/>
            </w:pPr>
          </w:p>
          <w:p w:rsidR="009455FA" w:rsidRPr="009455FA" w:rsidRDefault="009455FA" w:rsidP="009455FA">
            <w:pPr>
              <w:tabs>
                <w:tab w:val="left" w:pos="-1440"/>
                <w:tab w:val="left" w:pos="-720"/>
              </w:tabs>
              <w:jc w:val="both"/>
            </w:pPr>
            <w:r w:rsidRPr="009455FA">
              <w:t xml:space="preserve">- and between - </w:t>
            </w:r>
          </w:p>
          <w:p w:rsidR="009455FA" w:rsidRPr="009455FA" w:rsidRDefault="009455FA" w:rsidP="009455FA">
            <w:pPr>
              <w:tabs>
                <w:tab w:val="left" w:pos="-1440"/>
                <w:tab w:val="left" w:pos="-720"/>
              </w:tabs>
              <w:jc w:val="both"/>
            </w:pPr>
          </w:p>
        </w:tc>
        <w:tc>
          <w:tcPr>
            <w:tcW w:w="1170" w:type="dxa"/>
          </w:tcPr>
          <w:p w:rsidR="009455FA" w:rsidRPr="009455FA" w:rsidRDefault="009455FA" w:rsidP="009455FA">
            <w:pPr>
              <w:jc w:val="both"/>
            </w:pPr>
          </w:p>
        </w:tc>
        <w:tc>
          <w:tcPr>
            <w:tcW w:w="4327" w:type="dxa"/>
          </w:tcPr>
          <w:p w:rsidR="009455FA" w:rsidRPr="009455FA" w:rsidRDefault="009455FA" w:rsidP="009455FA">
            <w:pPr>
              <w:jc w:val="both"/>
            </w:pPr>
          </w:p>
        </w:tc>
      </w:tr>
      <w:tr w:rsidR="009455FA" w:rsidRPr="009455FA" w:rsidTr="00871F47">
        <w:trPr>
          <w:trHeight w:val="150"/>
        </w:trPr>
        <w:tc>
          <w:tcPr>
            <w:tcW w:w="4338" w:type="dxa"/>
          </w:tcPr>
          <w:p w:rsidR="009455FA" w:rsidRPr="009455FA" w:rsidRDefault="009455FA" w:rsidP="009455FA">
            <w:pPr>
              <w:tabs>
                <w:tab w:val="left" w:pos="-1440"/>
                <w:tab w:val="left" w:pos="-720"/>
              </w:tabs>
            </w:pPr>
            <w:r w:rsidRPr="009455FA">
              <w:t>Anthony Coote</w:t>
            </w:r>
          </w:p>
          <w:p w:rsidR="009455FA" w:rsidRPr="009455FA" w:rsidRDefault="009455FA" w:rsidP="009455FA">
            <w:pPr>
              <w:tabs>
                <w:tab w:val="left" w:pos="-1440"/>
                <w:tab w:val="left" w:pos="-720"/>
              </w:tabs>
            </w:pPr>
          </w:p>
          <w:p w:rsidR="009455FA" w:rsidRPr="009455FA" w:rsidRDefault="009455FA" w:rsidP="009455FA">
            <w:pPr>
              <w:tabs>
                <w:tab w:val="left" w:pos="-1440"/>
                <w:tab w:val="left" w:pos="-720"/>
              </w:tabs>
            </w:pPr>
            <w:r w:rsidRPr="009455FA">
              <w:tab/>
              <w:t>v. (36226)</w:t>
            </w:r>
          </w:p>
          <w:p w:rsidR="009455FA" w:rsidRPr="009455FA" w:rsidRDefault="009455FA" w:rsidP="009455FA">
            <w:pPr>
              <w:tabs>
                <w:tab w:val="left" w:pos="-1440"/>
                <w:tab w:val="left" w:pos="-720"/>
              </w:tabs>
            </w:pPr>
          </w:p>
          <w:p w:rsidR="009455FA" w:rsidRPr="009455FA" w:rsidRDefault="009455FA" w:rsidP="009455FA">
            <w:pPr>
              <w:tabs>
                <w:tab w:val="left" w:pos="-1440"/>
                <w:tab w:val="left" w:pos="-720"/>
              </w:tabs>
            </w:pPr>
            <w:r w:rsidRPr="009455FA">
              <w:t>Lawyers’ Professional Indemnity Company (LAWPRO) et al. (F.C.)</w:t>
            </w:r>
          </w:p>
        </w:tc>
        <w:tc>
          <w:tcPr>
            <w:tcW w:w="1170" w:type="dxa"/>
          </w:tcPr>
          <w:p w:rsidR="009455FA" w:rsidRPr="009455FA" w:rsidRDefault="009455FA" w:rsidP="009455FA">
            <w:pPr>
              <w:jc w:val="both"/>
            </w:pPr>
          </w:p>
        </w:tc>
        <w:tc>
          <w:tcPr>
            <w:tcW w:w="4327" w:type="dxa"/>
          </w:tcPr>
          <w:p w:rsidR="009455FA" w:rsidRPr="009455FA" w:rsidRDefault="009455FA" w:rsidP="009455FA">
            <w:pPr>
              <w:jc w:val="both"/>
            </w:pPr>
          </w:p>
        </w:tc>
      </w:tr>
      <w:tr w:rsidR="009455FA" w:rsidRPr="009455FA" w:rsidTr="00871F47">
        <w:trPr>
          <w:trHeight w:val="150"/>
        </w:trPr>
        <w:tc>
          <w:tcPr>
            <w:tcW w:w="4338" w:type="dxa"/>
          </w:tcPr>
          <w:p w:rsidR="009455FA" w:rsidRPr="009455FA" w:rsidRDefault="009455FA" w:rsidP="009455FA">
            <w:pPr>
              <w:tabs>
                <w:tab w:val="left" w:pos="-1440"/>
                <w:tab w:val="left" w:pos="-720"/>
              </w:tabs>
              <w:jc w:val="both"/>
            </w:pPr>
          </w:p>
          <w:p w:rsidR="009455FA" w:rsidRPr="009455FA" w:rsidRDefault="009455FA" w:rsidP="009455FA">
            <w:pPr>
              <w:tabs>
                <w:tab w:val="left" w:pos="-1440"/>
                <w:tab w:val="left" w:pos="-720"/>
              </w:tabs>
              <w:jc w:val="both"/>
            </w:pPr>
            <w:r w:rsidRPr="009455FA">
              <w:t xml:space="preserve">- and between - </w:t>
            </w:r>
          </w:p>
          <w:p w:rsidR="009455FA" w:rsidRPr="009455FA" w:rsidRDefault="009455FA" w:rsidP="009455FA">
            <w:pPr>
              <w:tabs>
                <w:tab w:val="left" w:pos="-1440"/>
                <w:tab w:val="left" w:pos="-720"/>
              </w:tabs>
            </w:pPr>
          </w:p>
        </w:tc>
        <w:tc>
          <w:tcPr>
            <w:tcW w:w="1170" w:type="dxa"/>
          </w:tcPr>
          <w:p w:rsidR="009455FA" w:rsidRPr="009455FA" w:rsidRDefault="009455FA" w:rsidP="009455FA">
            <w:pPr>
              <w:jc w:val="both"/>
            </w:pPr>
          </w:p>
        </w:tc>
        <w:tc>
          <w:tcPr>
            <w:tcW w:w="4327" w:type="dxa"/>
          </w:tcPr>
          <w:p w:rsidR="009455FA" w:rsidRPr="009455FA" w:rsidRDefault="009455FA" w:rsidP="009455FA">
            <w:pPr>
              <w:jc w:val="both"/>
            </w:pPr>
          </w:p>
        </w:tc>
      </w:tr>
      <w:tr w:rsidR="009455FA" w:rsidRPr="009455FA" w:rsidTr="00871F47">
        <w:trPr>
          <w:trHeight w:val="150"/>
        </w:trPr>
        <w:tc>
          <w:tcPr>
            <w:tcW w:w="4338" w:type="dxa"/>
          </w:tcPr>
          <w:p w:rsidR="009455FA" w:rsidRPr="009455FA" w:rsidRDefault="009455FA" w:rsidP="009455FA">
            <w:pPr>
              <w:tabs>
                <w:tab w:val="left" w:pos="-1440"/>
                <w:tab w:val="left" w:pos="-720"/>
              </w:tabs>
              <w:rPr>
                <w:lang w:val="fr-CA"/>
              </w:rPr>
            </w:pPr>
            <w:r w:rsidRPr="009455FA">
              <w:rPr>
                <w:lang w:val="fr-CA"/>
              </w:rPr>
              <w:t>Anthony Coote</w:t>
            </w:r>
          </w:p>
          <w:p w:rsidR="009455FA" w:rsidRPr="009455FA" w:rsidRDefault="009455FA" w:rsidP="009455FA">
            <w:pPr>
              <w:tabs>
                <w:tab w:val="left" w:pos="-1440"/>
                <w:tab w:val="left" w:pos="-720"/>
              </w:tabs>
              <w:rPr>
                <w:lang w:val="fr-CA"/>
              </w:rPr>
            </w:pPr>
          </w:p>
          <w:p w:rsidR="009455FA" w:rsidRPr="009455FA" w:rsidRDefault="009455FA" w:rsidP="009455FA">
            <w:pPr>
              <w:tabs>
                <w:tab w:val="left" w:pos="-1440"/>
                <w:tab w:val="left" w:pos="-720"/>
              </w:tabs>
              <w:rPr>
                <w:lang w:val="fr-CA"/>
              </w:rPr>
            </w:pPr>
            <w:r w:rsidRPr="009455FA">
              <w:rPr>
                <w:lang w:val="fr-CA"/>
              </w:rPr>
              <w:tab/>
              <w:t>v. (36243)</w:t>
            </w:r>
          </w:p>
          <w:p w:rsidR="009455FA" w:rsidRPr="009455FA" w:rsidRDefault="009455FA" w:rsidP="009455FA">
            <w:pPr>
              <w:tabs>
                <w:tab w:val="left" w:pos="-1440"/>
                <w:tab w:val="left" w:pos="-720"/>
              </w:tabs>
              <w:rPr>
                <w:lang w:val="fr-CA"/>
              </w:rPr>
            </w:pPr>
          </w:p>
          <w:p w:rsidR="009455FA" w:rsidRPr="009455FA" w:rsidRDefault="009455FA" w:rsidP="009455FA">
            <w:pPr>
              <w:tabs>
                <w:tab w:val="left" w:pos="-1440"/>
                <w:tab w:val="left" w:pos="-720"/>
              </w:tabs>
            </w:pPr>
            <w:r w:rsidRPr="009455FA">
              <w:rPr>
                <w:lang w:val="fr-CA"/>
              </w:rPr>
              <w:t xml:space="preserve">J. Norris Ormston et al. </w:t>
            </w:r>
            <w:r w:rsidRPr="009455FA">
              <w:t>(F.C.)</w:t>
            </w:r>
          </w:p>
        </w:tc>
        <w:tc>
          <w:tcPr>
            <w:tcW w:w="1170" w:type="dxa"/>
          </w:tcPr>
          <w:p w:rsidR="009455FA" w:rsidRPr="009455FA" w:rsidRDefault="009455FA" w:rsidP="009455FA">
            <w:pPr>
              <w:jc w:val="both"/>
            </w:pPr>
          </w:p>
        </w:tc>
        <w:tc>
          <w:tcPr>
            <w:tcW w:w="4327" w:type="dxa"/>
          </w:tcPr>
          <w:p w:rsidR="009455FA" w:rsidRPr="009455FA" w:rsidRDefault="009455FA" w:rsidP="009455FA">
            <w:pPr>
              <w:jc w:val="both"/>
            </w:pPr>
          </w:p>
        </w:tc>
      </w:tr>
      <w:tr w:rsidR="009455FA" w:rsidRPr="009455FA" w:rsidTr="00871F47">
        <w:trPr>
          <w:trHeight w:val="150"/>
        </w:trPr>
        <w:tc>
          <w:tcPr>
            <w:tcW w:w="4338" w:type="dxa"/>
          </w:tcPr>
          <w:p w:rsidR="009455FA" w:rsidRPr="009455FA" w:rsidRDefault="009455FA" w:rsidP="009455FA">
            <w:pPr>
              <w:tabs>
                <w:tab w:val="left" w:pos="-1440"/>
                <w:tab w:val="left" w:pos="-720"/>
              </w:tabs>
              <w:jc w:val="both"/>
            </w:pPr>
          </w:p>
          <w:p w:rsidR="009455FA" w:rsidRPr="009455FA" w:rsidRDefault="009455FA" w:rsidP="009455FA">
            <w:pPr>
              <w:tabs>
                <w:tab w:val="left" w:pos="-1440"/>
                <w:tab w:val="left" w:pos="-720"/>
              </w:tabs>
              <w:jc w:val="both"/>
            </w:pPr>
            <w:r w:rsidRPr="009455FA">
              <w:t xml:space="preserve">- and between - </w:t>
            </w:r>
          </w:p>
          <w:p w:rsidR="009455FA" w:rsidRPr="009455FA" w:rsidRDefault="009455FA" w:rsidP="009455FA">
            <w:pPr>
              <w:tabs>
                <w:tab w:val="left" w:pos="-1440"/>
                <w:tab w:val="left" w:pos="-720"/>
              </w:tabs>
            </w:pPr>
          </w:p>
        </w:tc>
        <w:tc>
          <w:tcPr>
            <w:tcW w:w="1170" w:type="dxa"/>
          </w:tcPr>
          <w:p w:rsidR="009455FA" w:rsidRPr="009455FA" w:rsidRDefault="009455FA" w:rsidP="009455FA">
            <w:pPr>
              <w:jc w:val="both"/>
            </w:pPr>
          </w:p>
        </w:tc>
        <w:tc>
          <w:tcPr>
            <w:tcW w:w="4327" w:type="dxa"/>
          </w:tcPr>
          <w:p w:rsidR="009455FA" w:rsidRPr="009455FA" w:rsidRDefault="009455FA" w:rsidP="009455FA">
            <w:pPr>
              <w:jc w:val="both"/>
            </w:pPr>
          </w:p>
        </w:tc>
      </w:tr>
      <w:tr w:rsidR="009455FA" w:rsidRPr="009455FA" w:rsidTr="00871F47">
        <w:trPr>
          <w:trHeight w:val="150"/>
        </w:trPr>
        <w:tc>
          <w:tcPr>
            <w:tcW w:w="4338" w:type="dxa"/>
          </w:tcPr>
          <w:p w:rsidR="009455FA" w:rsidRPr="009455FA" w:rsidRDefault="009455FA" w:rsidP="009455FA">
            <w:pPr>
              <w:tabs>
                <w:tab w:val="left" w:pos="-1440"/>
                <w:tab w:val="left" w:pos="-720"/>
              </w:tabs>
            </w:pPr>
            <w:r w:rsidRPr="009455FA">
              <w:t>Anthony Coote</w:t>
            </w:r>
          </w:p>
          <w:p w:rsidR="009455FA" w:rsidRPr="009455FA" w:rsidRDefault="009455FA" w:rsidP="009455FA">
            <w:pPr>
              <w:tabs>
                <w:tab w:val="left" w:pos="-1440"/>
                <w:tab w:val="left" w:pos="-720"/>
              </w:tabs>
            </w:pPr>
          </w:p>
          <w:p w:rsidR="009455FA" w:rsidRPr="009455FA" w:rsidRDefault="009455FA" w:rsidP="009455FA">
            <w:pPr>
              <w:tabs>
                <w:tab w:val="left" w:pos="-1440"/>
                <w:tab w:val="left" w:pos="-720"/>
              </w:tabs>
            </w:pPr>
            <w:r w:rsidRPr="009455FA">
              <w:tab/>
              <w:t>v. (36249)</w:t>
            </w:r>
          </w:p>
          <w:p w:rsidR="009455FA" w:rsidRPr="009455FA" w:rsidRDefault="009455FA" w:rsidP="009455FA">
            <w:pPr>
              <w:tabs>
                <w:tab w:val="left" w:pos="-1440"/>
                <w:tab w:val="left" w:pos="-720"/>
              </w:tabs>
            </w:pPr>
          </w:p>
          <w:p w:rsidR="009455FA" w:rsidRPr="009455FA" w:rsidRDefault="009455FA" w:rsidP="009455FA">
            <w:pPr>
              <w:tabs>
                <w:tab w:val="left" w:pos="-1440"/>
                <w:tab w:val="left" w:pos="-720"/>
              </w:tabs>
              <w:jc w:val="both"/>
            </w:pPr>
            <w:r w:rsidRPr="009455FA">
              <w:rPr>
                <w:lang w:val="fr-CA"/>
              </w:rPr>
              <w:t xml:space="preserve">Sandra Theroulde et al. </w:t>
            </w:r>
            <w:r w:rsidRPr="009455FA">
              <w:t>(F.C.)</w:t>
            </w:r>
          </w:p>
        </w:tc>
        <w:tc>
          <w:tcPr>
            <w:tcW w:w="1170" w:type="dxa"/>
          </w:tcPr>
          <w:p w:rsidR="009455FA" w:rsidRPr="009455FA" w:rsidRDefault="009455FA" w:rsidP="009455FA">
            <w:pPr>
              <w:jc w:val="both"/>
            </w:pPr>
          </w:p>
        </w:tc>
        <w:tc>
          <w:tcPr>
            <w:tcW w:w="4327" w:type="dxa"/>
          </w:tcPr>
          <w:p w:rsidR="009455FA" w:rsidRPr="009455FA" w:rsidRDefault="009455FA" w:rsidP="009455FA">
            <w:pPr>
              <w:jc w:val="both"/>
            </w:pPr>
          </w:p>
        </w:tc>
      </w:tr>
    </w:tbl>
    <w:p w:rsidR="009455FA" w:rsidRPr="009455FA" w:rsidRDefault="009455FA" w:rsidP="009455FA">
      <w:pPr>
        <w:tabs>
          <w:tab w:val="left" w:pos="-1440"/>
          <w:tab w:val="left" w:pos="-720"/>
        </w:tabs>
        <w:jc w:val="both"/>
        <w:rPr>
          <w:rFonts w:eastAsia="Times New Roman" w:cs="Times New Roman"/>
          <w:sz w:val="20"/>
          <w:szCs w:val="20"/>
          <w:lang w:val="en-US" w:eastAsia="en-CA"/>
        </w:rPr>
      </w:pPr>
    </w:p>
    <w:p w:rsidR="009455FA" w:rsidRPr="009455FA" w:rsidRDefault="009455FA" w:rsidP="009455FA">
      <w:pPr>
        <w:spacing w:line="233" w:lineRule="auto"/>
        <w:jc w:val="both"/>
        <w:rPr>
          <w:rFonts w:eastAsia="Times New Roman" w:cs="Times New Roman"/>
          <w:b/>
          <w:sz w:val="20"/>
          <w:szCs w:val="20"/>
          <w:lang w:val="en-US" w:eastAsia="en-CA"/>
        </w:rPr>
      </w:pPr>
      <w:r w:rsidRPr="009455FA">
        <w:rPr>
          <w:rFonts w:eastAsia="Times New Roman" w:cs="Times New Roman"/>
          <w:b/>
          <w:sz w:val="20"/>
          <w:szCs w:val="20"/>
          <w:lang w:val="en-US" w:eastAsia="en-CA"/>
        </w:rPr>
        <w:t>WHEREAS</w:t>
      </w:r>
      <w:r w:rsidRPr="009455FA">
        <w:rPr>
          <w:rFonts w:eastAsia="Times New Roman" w:cs="Times New Roman"/>
          <w:sz w:val="20"/>
          <w:szCs w:val="20"/>
          <w:lang w:val="en-US" w:eastAsia="en-CA"/>
        </w:rPr>
        <w:t xml:space="preserve"> the Deputy Registrar, after receiving documents from Mr. Anthony Coote on April 15, 2015, April 24, 2015 and May 5, 2015, all three (3) entitled “Motion to a Judge”, sent Mr. Coote </w:t>
      </w:r>
      <w:r w:rsidRPr="009455FA">
        <w:rPr>
          <w:rFonts w:eastAsia="Times New Roman" w:cs="Times New Roman"/>
          <w:bCs/>
          <w:sz w:val="20"/>
          <w:szCs w:val="20"/>
          <w:lang w:val="en-US" w:eastAsia="en-CA"/>
        </w:rPr>
        <w:t>a</w:t>
      </w:r>
      <w:r w:rsidRPr="009455FA">
        <w:rPr>
          <w:rFonts w:eastAsia="Times New Roman" w:cs="Times New Roman"/>
          <w:b/>
          <w:bCs/>
          <w:sz w:val="20"/>
          <w:szCs w:val="20"/>
          <w:lang w:val="en-US" w:eastAsia="en-CA"/>
        </w:rPr>
        <w:t xml:space="preserve"> </w:t>
      </w:r>
      <w:r w:rsidRPr="009455FA">
        <w:rPr>
          <w:rFonts w:eastAsia="Times New Roman" w:cs="Times New Roman"/>
          <w:bCs/>
          <w:sz w:val="20"/>
          <w:szCs w:val="20"/>
          <w:lang w:val="en-US" w:eastAsia="en-CA"/>
        </w:rPr>
        <w:t xml:space="preserve">notice under Rule 67 of the </w:t>
      </w:r>
      <w:r w:rsidRPr="009455FA">
        <w:rPr>
          <w:rFonts w:eastAsia="Times New Roman" w:cs="Times New Roman"/>
          <w:bCs/>
          <w:i/>
          <w:sz w:val="20"/>
          <w:szCs w:val="20"/>
          <w:lang w:val="en-US" w:eastAsia="en-CA"/>
        </w:rPr>
        <w:t>Rules of the Supreme Court of Canada</w:t>
      </w:r>
      <w:r w:rsidRPr="009455FA">
        <w:rPr>
          <w:rFonts w:eastAsia="Times New Roman" w:cs="Times New Roman"/>
          <w:bCs/>
          <w:sz w:val="20"/>
          <w:szCs w:val="20"/>
          <w:lang w:val="en-US" w:eastAsia="en-CA"/>
        </w:rPr>
        <w:t>;</w:t>
      </w:r>
    </w:p>
    <w:p w:rsidR="009455FA" w:rsidRPr="009455FA" w:rsidRDefault="009455FA" w:rsidP="009455FA">
      <w:pPr>
        <w:spacing w:line="233" w:lineRule="auto"/>
        <w:jc w:val="both"/>
        <w:rPr>
          <w:rFonts w:eastAsia="Times New Roman" w:cs="Times New Roman"/>
          <w:b/>
          <w:sz w:val="20"/>
          <w:szCs w:val="20"/>
          <w:lang w:val="en-US" w:eastAsia="en-CA"/>
        </w:rPr>
      </w:pPr>
    </w:p>
    <w:p w:rsidR="009455FA" w:rsidRPr="009455FA" w:rsidRDefault="009455FA" w:rsidP="009455FA">
      <w:pPr>
        <w:spacing w:line="233" w:lineRule="auto"/>
        <w:jc w:val="both"/>
        <w:rPr>
          <w:rFonts w:eastAsia="Times New Roman" w:cs="Times New Roman"/>
          <w:b/>
          <w:sz w:val="20"/>
          <w:szCs w:val="20"/>
          <w:lang w:val="en-US" w:eastAsia="en-CA"/>
        </w:rPr>
      </w:pPr>
      <w:r w:rsidRPr="009455FA">
        <w:rPr>
          <w:rFonts w:eastAsia="Times New Roman" w:cs="Times New Roman"/>
          <w:b/>
          <w:sz w:val="20"/>
          <w:szCs w:val="20"/>
          <w:lang w:val="en-US" w:eastAsia="en-CA"/>
        </w:rPr>
        <w:t xml:space="preserve">AND WHEREAS </w:t>
      </w:r>
      <w:r w:rsidRPr="009455FA">
        <w:rPr>
          <w:rFonts w:eastAsia="Times New Roman" w:cs="Times New Roman"/>
          <w:sz w:val="20"/>
          <w:szCs w:val="20"/>
          <w:lang w:val="en-US" w:eastAsia="en-CA"/>
        </w:rPr>
        <w:t xml:space="preserve">the Deputy Registrar has requested that a judge issue an order under Rule 66(1) and (2) of the </w:t>
      </w:r>
      <w:r w:rsidRPr="009455FA">
        <w:rPr>
          <w:rFonts w:eastAsia="Times New Roman" w:cs="Times New Roman"/>
          <w:i/>
          <w:sz w:val="20"/>
          <w:szCs w:val="20"/>
          <w:lang w:val="en-US" w:eastAsia="en-CA"/>
        </w:rPr>
        <w:t>Rules of the Supreme Court of Canada</w:t>
      </w:r>
      <w:r w:rsidRPr="009455FA">
        <w:rPr>
          <w:rFonts w:eastAsia="Times New Roman" w:cs="Times New Roman"/>
          <w:sz w:val="20"/>
          <w:szCs w:val="20"/>
          <w:lang w:val="en-US" w:eastAsia="en-CA"/>
        </w:rPr>
        <w:t>;</w:t>
      </w:r>
    </w:p>
    <w:p w:rsidR="009455FA" w:rsidRPr="009455FA" w:rsidRDefault="009455FA" w:rsidP="009455FA">
      <w:pPr>
        <w:spacing w:line="233" w:lineRule="auto"/>
        <w:jc w:val="both"/>
        <w:rPr>
          <w:rFonts w:eastAsia="Times New Roman" w:cs="Times New Roman"/>
          <w:b/>
          <w:bCs/>
          <w:sz w:val="20"/>
          <w:szCs w:val="20"/>
          <w:lang w:val="en-US" w:eastAsia="en-CA"/>
        </w:rPr>
      </w:pPr>
    </w:p>
    <w:p w:rsidR="009455FA" w:rsidRPr="009455FA" w:rsidRDefault="009455FA" w:rsidP="009455FA">
      <w:pPr>
        <w:spacing w:line="233" w:lineRule="auto"/>
        <w:jc w:val="both"/>
        <w:rPr>
          <w:rFonts w:eastAsia="Times New Roman" w:cs="Times New Roman"/>
          <w:bCs/>
          <w:sz w:val="20"/>
          <w:szCs w:val="20"/>
          <w:lang w:val="en-US" w:eastAsia="en-CA"/>
        </w:rPr>
      </w:pPr>
      <w:r w:rsidRPr="009455FA">
        <w:rPr>
          <w:rFonts w:eastAsia="Times New Roman" w:cs="Times New Roman"/>
          <w:b/>
          <w:bCs/>
          <w:sz w:val="20"/>
          <w:szCs w:val="20"/>
          <w:lang w:val="en-US" w:eastAsia="en-CA"/>
        </w:rPr>
        <w:t xml:space="preserve">AND HAVING </w:t>
      </w:r>
      <w:r w:rsidRPr="009455FA">
        <w:rPr>
          <w:rFonts w:eastAsia="Times New Roman" w:cs="Times New Roman"/>
          <w:bCs/>
          <w:sz w:val="20"/>
          <w:szCs w:val="20"/>
          <w:lang w:val="en-US" w:eastAsia="en-CA"/>
        </w:rPr>
        <w:t>considered the material filed;</w:t>
      </w:r>
    </w:p>
    <w:p w:rsidR="009455FA" w:rsidRPr="009455FA" w:rsidRDefault="009455FA" w:rsidP="009455FA">
      <w:pPr>
        <w:spacing w:line="233" w:lineRule="auto"/>
        <w:jc w:val="both"/>
        <w:rPr>
          <w:rFonts w:eastAsia="Times New Roman" w:cs="Times New Roman"/>
          <w:b/>
          <w:bCs/>
          <w:sz w:val="20"/>
          <w:szCs w:val="20"/>
          <w:lang w:val="en-US" w:eastAsia="en-CA"/>
        </w:rPr>
      </w:pPr>
    </w:p>
    <w:p w:rsidR="009455FA" w:rsidRPr="009455FA" w:rsidRDefault="009455FA" w:rsidP="009455FA">
      <w:pPr>
        <w:spacing w:line="233" w:lineRule="auto"/>
        <w:jc w:val="both"/>
        <w:rPr>
          <w:rFonts w:eastAsia="Times New Roman" w:cs="Times New Roman"/>
          <w:b/>
          <w:bCs/>
          <w:sz w:val="20"/>
          <w:szCs w:val="20"/>
          <w:lang w:val="en-US" w:eastAsia="en-CA"/>
        </w:rPr>
      </w:pPr>
      <w:r w:rsidRPr="009455FA">
        <w:rPr>
          <w:rFonts w:eastAsia="Times New Roman" w:cs="Times New Roman"/>
          <w:b/>
          <w:bCs/>
          <w:sz w:val="20"/>
          <w:szCs w:val="20"/>
          <w:lang w:val="en-US" w:eastAsia="en-CA"/>
        </w:rPr>
        <w:t xml:space="preserve">AND GIVEN THAT </w:t>
      </w:r>
      <w:r w:rsidRPr="009455FA">
        <w:rPr>
          <w:rFonts w:eastAsia="Times New Roman" w:cs="Times New Roman"/>
          <w:bCs/>
          <w:sz w:val="20"/>
          <w:szCs w:val="20"/>
          <w:lang w:val="en-US" w:eastAsia="en-CA"/>
        </w:rPr>
        <w:t>I am satisfied that Mr. Coote is conducting the proceedings in a vexatious manner and that</w:t>
      </w:r>
      <w:r w:rsidRPr="009455FA">
        <w:rPr>
          <w:rFonts w:eastAsia="Times New Roman" w:cs="Times New Roman"/>
          <w:b/>
          <w:bCs/>
          <w:sz w:val="20"/>
          <w:szCs w:val="20"/>
          <w:lang w:val="en-US" w:eastAsia="en-CA"/>
        </w:rPr>
        <w:t xml:space="preserve"> </w:t>
      </w:r>
      <w:r w:rsidRPr="009455FA">
        <w:rPr>
          <w:rFonts w:eastAsia="Times New Roman" w:cs="Times New Roman"/>
          <w:bCs/>
          <w:sz w:val="20"/>
          <w:szCs w:val="20"/>
          <w:lang w:val="en-US" w:eastAsia="en-CA"/>
        </w:rPr>
        <w:t>the filing of further documents in these proceedings would be vexatious;</w:t>
      </w:r>
    </w:p>
    <w:p w:rsidR="009455FA" w:rsidRPr="009455FA" w:rsidRDefault="009455FA" w:rsidP="009455FA">
      <w:pPr>
        <w:spacing w:line="276" w:lineRule="auto"/>
        <w:contextualSpacing/>
        <w:jc w:val="both"/>
        <w:rPr>
          <w:rFonts w:cs="Times New Roman"/>
          <w:b/>
          <w:bCs/>
          <w:sz w:val="20"/>
          <w:szCs w:val="20"/>
        </w:rPr>
      </w:pPr>
    </w:p>
    <w:p w:rsidR="009455FA" w:rsidRPr="009455FA" w:rsidRDefault="009455FA" w:rsidP="009455FA">
      <w:pPr>
        <w:spacing w:line="276" w:lineRule="auto"/>
        <w:contextualSpacing/>
        <w:jc w:val="both"/>
        <w:rPr>
          <w:rFonts w:cs="Times New Roman"/>
          <w:b/>
          <w:bCs/>
          <w:sz w:val="20"/>
          <w:szCs w:val="20"/>
        </w:rPr>
      </w:pPr>
      <w:r w:rsidRPr="009455FA">
        <w:rPr>
          <w:rFonts w:cs="Times New Roman"/>
          <w:b/>
          <w:bCs/>
          <w:sz w:val="20"/>
          <w:szCs w:val="20"/>
        </w:rPr>
        <w:t xml:space="preserve">I HEREBY ORDER THAT: </w:t>
      </w:r>
    </w:p>
    <w:p w:rsidR="009455FA" w:rsidRPr="009455FA" w:rsidRDefault="009455FA" w:rsidP="009455FA">
      <w:pPr>
        <w:spacing w:line="276" w:lineRule="auto"/>
        <w:contextualSpacing/>
        <w:jc w:val="both"/>
        <w:rPr>
          <w:rFonts w:cs="Times New Roman"/>
          <w:b/>
          <w:bCs/>
          <w:sz w:val="20"/>
          <w:szCs w:val="20"/>
        </w:rPr>
      </w:pPr>
    </w:p>
    <w:p w:rsidR="009455FA" w:rsidRPr="009455FA" w:rsidRDefault="009455FA" w:rsidP="009455FA">
      <w:pPr>
        <w:widowControl w:val="0"/>
        <w:numPr>
          <w:ilvl w:val="0"/>
          <w:numId w:val="7"/>
        </w:numPr>
        <w:autoSpaceDE w:val="0"/>
        <w:autoSpaceDN w:val="0"/>
        <w:adjustRightInd w:val="0"/>
        <w:contextualSpacing/>
        <w:jc w:val="both"/>
        <w:rPr>
          <w:rFonts w:cs="Times New Roman"/>
          <w:bCs/>
          <w:kern w:val="36"/>
          <w:sz w:val="20"/>
          <w:szCs w:val="20"/>
        </w:rPr>
      </w:pPr>
      <w:r w:rsidRPr="009455FA">
        <w:rPr>
          <w:rFonts w:cs="Times New Roman"/>
          <w:bCs/>
          <w:kern w:val="36"/>
          <w:sz w:val="20"/>
          <w:szCs w:val="20"/>
        </w:rPr>
        <w:t>The motion to consolidate files 36218 and 36226, and to set aside, invalidate or quash the decisions rendered on April 9, 2015, be stayed on the basis that Mr. Coote is conducting the proceeding in a vexatious manner;</w:t>
      </w:r>
    </w:p>
    <w:p w:rsidR="009455FA" w:rsidRPr="009455FA" w:rsidRDefault="009455FA" w:rsidP="009455FA">
      <w:pPr>
        <w:ind w:left="720"/>
        <w:contextualSpacing/>
        <w:jc w:val="both"/>
        <w:rPr>
          <w:rFonts w:cs="Times New Roman"/>
          <w:bCs/>
          <w:kern w:val="36"/>
          <w:sz w:val="20"/>
          <w:szCs w:val="20"/>
        </w:rPr>
      </w:pPr>
    </w:p>
    <w:p w:rsidR="009455FA" w:rsidRPr="009455FA" w:rsidRDefault="009455FA" w:rsidP="009455FA">
      <w:pPr>
        <w:widowControl w:val="0"/>
        <w:numPr>
          <w:ilvl w:val="0"/>
          <w:numId w:val="7"/>
        </w:numPr>
        <w:autoSpaceDE w:val="0"/>
        <w:autoSpaceDN w:val="0"/>
        <w:adjustRightInd w:val="0"/>
        <w:contextualSpacing/>
        <w:jc w:val="both"/>
        <w:rPr>
          <w:rFonts w:cs="Times New Roman"/>
          <w:bCs/>
          <w:kern w:val="36"/>
          <w:sz w:val="20"/>
          <w:szCs w:val="20"/>
        </w:rPr>
      </w:pPr>
      <w:r w:rsidRPr="009455FA">
        <w:rPr>
          <w:rFonts w:cs="Times New Roman"/>
          <w:bCs/>
          <w:kern w:val="36"/>
          <w:sz w:val="20"/>
          <w:szCs w:val="20"/>
        </w:rPr>
        <w:t>No further documents may be filed in either 36218 or 36226, subject to paragraph 7, on the basis that any further proceedings would be vexatious or brought for an improper purpose;</w:t>
      </w:r>
    </w:p>
    <w:p w:rsidR="009455FA" w:rsidRPr="009455FA" w:rsidRDefault="009455FA" w:rsidP="009455FA">
      <w:pPr>
        <w:ind w:left="720"/>
        <w:contextualSpacing/>
        <w:jc w:val="both"/>
        <w:rPr>
          <w:rFonts w:cs="Times New Roman"/>
          <w:bCs/>
          <w:kern w:val="36"/>
          <w:sz w:val="20"/>
          <w:szCs w:val="20"/>
        </w:rPr>
      </w:pPr>
    </w:p>
    <w:p w:rsidR="009455FA" w:rsidRPr="009455FA" w:rsidRDefault="009455FA" w:rsidP="009455FA">
      <w:pPr>
        <w:widowControl w:val="0"/>
        <w:numPr>
          <w:ilvl w:val="0"/>
          <w:numId w:val="7"/>
        </w:numPr>
        <w:autoSpaceDE w:val="0"/>
        <w:autoSpaceDN w:val="0"/>
        <w:adjustRightInd w:val="0"/>
        <w:contextualSpacing/>
        <w:jc w:val="both"/>
        <w:rPr>
          <w:rFonts w:cs="Times New Roman"/>
          <w:bCs/>
          <w:kern w:val="36"/>
          <w:sz w:val="20"/>
          <w:szCs w:val="20"/>
        </w:rPr>
      </w:pPr>
      <w:r w:rsidRPr="009455FA">
        <w:rPr>
          <w:rFonts w:cs="Times New Roman"/>
          <w:bCs/>
          <w:kern w:val="36"/>
          <w:sz w:val="20"/>
          <w:szCs w:val="20"/>
        </w:rPr>
        <w:t>The motion in file 36249 to set aside, invalidate or quash the decision rendered on April 9, 2015, be stayed on the basis that Mr. Coote is conducting the proceeding in a vexatious manner;</w:t>
      </w:r>
    </w:p>
    <w:p w:rsidR="009455FA" w:rsidRPr="009455FA" w:rsidRDefault="009455FA" w:rsidP="009455FA">
      <w:pPr>
        <w:ind w:left="720"/>
        <w:contextualSpacing/>
        <w:jc w:val="both"/>
        <w:rPr>
          <w:rFonts w:cs="Times New Roman"/>
          <w:bCs/>
          <w:kern w:val="36"/>
          <w:sz w:val="20"/>
          <w:szCs w:val="20"/>
        </w:rPr>
      </w:pPr>
    </w:p>
    <w:p w:rsidR="009455FA" w:rsidRPr="009455FA" w:rsidRDefault="009455FA" w:rsidP="009455FA">
      <w:pPr>
        <w:widowControl w:val="0"/>
        <w:numPr>
          <w:ilvl w:val="0"/>
          <w:numId w:val="7"/>
        </w:numPr>
        <w:autoSpaceDE w:val="0"/>
        <w:autoSpaceDN w:val="0"/>
        <w:adjustRightInd w:val="0"/>
        <w:contextualSpacing/>
        <w:jc w:val="both"/>
        <w:rPr>
          <w:rFonts w:cs="Times New Roman"/>
          <w:bCs/>
          <w:kern w:val="36"/>
          <w:sz w:val="20"/>
          <w:szCs w:val="20"/>
        </w:rPr>
      </w:pPr>
      <w:r w:rsidRPr="009455FA">
        <w:rPr>
          <w:rFonts w:cs="Times New Roman"/>
          <w:bCs/>
          <w:kern w:val="36"/>
          <w:sz w:val="20"/>
          <w:szCs w:val="20"/>
        </w:rPr>
        <w:t xml:space="preserve">No further documents may be filed in 36249, subject to paragraph 7, on the basis that any further proceedings would be vexatious or brought for an improper purpose; </w:t>
      </w:r>
    </w:p>
    <w:p w:rsidR="009455FA" w:rsidRPr="009455FA" w:rsidRDefault="009455FA" w:rsidP="009455FA">
      <w:pPr>
        <w:ind w:left="720"/>
        <w:contextualSpacing/>
        <w:jc w:val="both"/>
        <w:rPr>
          <w:rFonts w:cs="Times New Roman"/>
          <w:bCs/>
          <w:kern w:val="36"/>
          <w:sz w:val="20"/>
          <w:szCs w:val="20"/>
        </w:rPr>
      </w:pPr>
    </w:p>
    <w:p w:rsidR="009455FA" w:rsidRPr="009455FA" w:rsidRDefault="009455FA" w:rsidP="009455FA">
      <w:pPr>
        <w:widowControl w:val="0"/>
        <w:numPr>
          <w:ilvl w:val="0"/>
          <w:numId w:val="7"/>
        </w:numPr>
        <w:autoSpaceDE w:val="0"/>
        <w:autoSpaceDN w:val="0"/>
        <w:adjustRightInd w:val="0"/>
        <w:contextualSpacing/>
        <w:jc w:val="both"/>
        <w:rPr>
          <w:rFonts w:cs="Times New Roman"/>
          <w:bCs/>
          <w:kern w:val="36"/>
          <w:sz w:val="20"/>
          <w:szCs w:val="20"/>
        </w:rPr>
      </w:pPr>
      <w:r w:rsidRPr="009455FA">
        <w:rPr>
          <w:rFonts w:cs="Times New Roman"/>
          <w:bCs/>
          <w:kern w:val="36"/>
          <w:sz w:val="20"/>
          <w:szCs w:val="20"/>
        </w:rPr>
        <w:t>The motion in file 36243 to set aside, invalidate or quash the decision rendered on April 16, 2015, be stayed on the basis that Mr. Coote is conducting the proceeding in a vexatious manner;</w:t>
      </w:r>
    </w:p>
    <w:p w:rsidR="009455FA" w:rsidRPr="009455FA" w:rsidRDefault="009455FA" w:rsidP="009455FA">
      <w:pPr>
        <w:ind w:left="720"/>
        <w:contextualSpacing/>
        <w:jc w:val="both"/>
        <w:rPr>
          <w:rFonts w:cs="Times New Roman"/>
          <w:bCs/>
          <w:kern w:val="36"/>
          <w:sz w:val="20"/>
          <w:szCs w:val="20"/>
        </w:rPr>
      </w:pPr>
    </w:p>
    <w:p w:rsidR="009455FA" w:rsidRPr="009455FA" w:rsidRDefault="009455FA" w:rsidP="009455FA">
      <w:pPr>
        <w:widowControl w:val="0"/>
        <w:numPr>
          <w:ilvl w:val="0"/>
          <w:numId w:val="7"/>
        </w:numPr>
        <w:autoSpaceDE w:val="0"/>
        <w:autoSpaceDN w:val="0"/>
        <w:adjustRightInd w:val="0"/>
        <w:contextualSpacing/>
        <w:jc w:val="both"/>
        <w:rPr>
          <w:rFonts w:cs="Times New Roman"/>
          <w:bCs/>
          <w:kern w:val="36"/>
          <w:sz w:val="20"/>
          <w:szCs w:val="20"/>
        </w:rPr>
      </w:pPr>
      <w:r w:rsidRPr="009455FA">
        <w:rPr>
          <w:rFonts w:cs="Times New Roman"/>
          <w:bCs/>
          <w:kern w:val="36"/>
          <w:sz w:val="20"/>
          <w:szCs w:val="20"/>
        </w:rPr>
        <w:t>No further documents be filed in 36243, subject to paragraph 7, on the basis that any further proceedings would be vexatious or brought for an improper purpose;</w:t>
      </w:r>
    </w:p>
    <w:p w:rsidR="009455FA" w:rsidRPr="009455FA" w:rsidRDefault="009455FA" w:rsidP="009455FA">
      <w:pPr>
        <w:ind w:left="720"/>
        <w:contextualSpacing/>
        <w:jc w:val="both"/>
        <w:rPr>
          <w:rFonts w:cs="Times New Roman"/>
          <w:bCs/>
          <w:kern w:val="36"/>
          <w:sz w:val="20"/>
          <w:szCs w:val="20"/>
        </w:rPr>
      </w:pPr>
    </w:p>
    <w:p w:rsidR="009455FA" w:rsidRPr="009455FA" w:rsidRDefault="009455FA" w:rsidP="009455FA">
      <w:pPr>
        <w:widowControl w:val="0"/>
        <w:numPr>
          <w:ilvl w:val="0"/>
          <w:numId w:val="7"/>
        </w:numPr>
        <w:autoSpaceDE w:val="0"/>
        <w:autoSpaceDN w:val="0"/>
        <w:adjustRightInd w:val="0"/>
        <w:contextualSpacing/>
        <w:jc w:val="both"/>
        <w:rPr>
          <w:rFonts w:cs="Times New Roman"/>
          <w:bCs/>
          <w:kern w:val="36"/>
          <w:sz w:val="20"/>
          <w:szCs w:val="20"/>
        </w:rPr>
      </w:pPr>
      <w:r w:rsidRPr="009455FA">
        <w:rPr>
          <w:rFonts w:cs="Times New Roman"/>
          <w:bCs/>
          <w:kern w:val="36"/>
          <w:sz w:val="20"/>
          <w:szCs w:val="20"/>
        </w:rPr>
        <w:t>Mr. Coote will only be allowed to serve and file a response to proceedings related to costs that were awarded to the respondents in files 36218, 36226, 36243 and 36249; and</w:t>
      </w:r>
    </w:p>
    <w:p w:rsidR="009455FA" w:rsidRPr="009455FA" w:rsidRDefault="009455FA" w:rsidP="009455FA">
      <w:pPr>
        <w:ind w:left="720" w:hanging="720"/>
        <w:contextualSpacing/>
        <w:jc w:val="both"/>
        <w:rPr>
          <w:rFonts w:cs="Times New Roman"/>
          <w:bCs/>
          <w:kern w:val="36"/>
          <w:sz w:val="20"/>
          <w:szCs w:val="20"/>
        </w:rPr>
      </w:pPr>
    </w:p>
    <w:p w:rsidR="009455FA" w:rsidRPr="009455FA" w:rsidRDefault="009455FA" w:rsidP="009455FA">
      <w:pPr>
        <w:widowControl w:val="0"/>
        <w:numPr>
          <w:ilvl w:val="0"/>
          <w:numId w:val="7"/>
        </w:numPr>
        <w:autoSpaceDE w:val="0"/>
        <w:autoSpaceDN w:val="0"/>
        <w:adjustRightInd w:val="0"/>
        <w:contextualSpacing/>
        <w:jc w:val="both"/>
        <w:rPr>
          <w:rFonts w:cs="Times New Roman"/>
          <w:bCs/>
          <w:kern w:val="36"/>
          <w:sz w:val="20"/>
          <w:szCs w:val="20"/>
          <w:lang w:val="en-GB"/>
        </w:rPr>
      </w:pPr>
      <w:r w:rsidRPr="009455FA">
        <w:rPr>
          <w:rFonts w:cs="Times New Roman"/>
          <w:bCs/>
          <w:kern w:val="36"/>
          <w:sz w:val="20"/>
          <w:szCs w:val="20"/>
        </w:rPr>
        <w:t>Any further documents received from Mr. Coote which do not conform to this order shall not be accepted for filing and shall be returned to Mr. Coote.</w:t>
      </w:r>
    </w:p>
    <w:p w:rsidR="009455FA" w:rsidRPr="009455FA" w:rsidRDefault="009455FA" w:rsidP="009455FA">
      <w:pPr>
        <w:spacing w:line="276" w:lineRule="auto"/>
        <w:contextualSpacing/>
        <w:jc w:val="both"/>
        <w:rPr>
          <w:rFonts w:cs="Times New Roman"/>
          <w:bCs/>
          <w:kern w:val="36"/>
          <w:sz w:val="20"/>
          <w:szCs w:val="20"/>
        </w:rPr>
      </w:pPr>
    </w:p>
    <w:p w:rsidR="009455FA" w:rsidRPr="009455FA" w:rsidRDefault="009455FA" w:rsidP="009455FA">
      <w:pPr>
        <w:spacing w:line="233" w:lineRule="auto"/>
        <w:jc w:val="both"/>
        <w:rPr>
          <w:rFonts w:eastAsia="Times New Roman" w:cs="Times New Roman"/>
          <w:sz w:val="20"/>
          <w:szCs w:val="20"/>
          <w:lang w:val="en-US" w:eastAsia="en-CA"/>
        </w:rPr>
      </w:pPr>
    </w:p>
    <w:p w:rsidR="009455FA" w:rsidRPr="009455FA" w:rsidRDefault="009455FA" w:rsidP="009455FA">
      <w:pPr>
        <w:spacing w:line="233" w:lineRule="auto"/>
        <w:jc w:val="both"/>
        <w:rPr>
          <w:rFonts w:eastAsia="Times New Roman" w:cs="Times New Roman"/>
          <w:sz w:val="20"/>
          <w:szCs w:val="20"/>
          <w:lang w:val="en-US" w:eastAsia="en-CA"/>
        </w:rPr>
      </w:pPr>
    </w:p>
    <w:p w:rsidR="009455FA" w:rsidRPr="009455FA" w:rsidRDefault="009455FA" w:rsidP="009455FA">
      <w:pPr>
        <w:spacing w:line="233" w:lineRule="auto"/>
        <w:jc w:val="both"/>
        <w:rPr>
          <w:rFonts w:eastAsia="Times New Roman" w:cs="Times New Roman"/>
          <w:sz w:val="20"/>
          <w:szCs w:val="20"/>
          <w:lang w:val="fr-CA" w:eastAsia="en-CA"/>
        </w:rPr>
      </w:pPr>
      <w:r w:rsidRPr="009455FA">
        <w:rPr>
          <w:rFonts w:eastAsia="Times New Roman" w:cs="Times New Roman"/>
          <w:b/>
          <w:sz w:val="20"/>
          <w:szCs w:val="20"/>
          <w:lang w:val="fr-CA" w:eastAsia="en-CA"/>
        </w:rPr>
        <w:t>ATTENDU QUE</w:t>
      </w:r>
      <w:r w:rsidRPr="009455FA">
        <w:rPr>
          <w:rFonts w:eastAsia="Times New Roman" w:cs="Times New Roman"/>
          <w:sz w:val="20"/>
          <w:szCs w:val="20"/>
          <w:lang w:val="fr-CA" w:eastAsia="en-CA"/>
        </w:rPr>
        <w:t xml:space="preserve"> le registraire adjoint, après avoir reçu les 15 avril 2015, 24 avril 2015 et 5 mai 2015 des documents de la part de M. Anthony Coote, tous trois (3) intitulés « Requête à un juge », a envoyé à ce dernier un préavis en application de l’art. 67 des </w:t>
      </w:r>
      <w:r w:rsidRPr="009455FA">
        <w:rPr>
          <w:rFonts w:eastAsia="Times New Roman" w:cs="Times New Roman"/>
          <w:i/>
          <w:sz w:val="20"/>
          <w:szCs w:val="20"/>
          <w:lang w:val="fr-CA" w:eastAsia="en-CA"/>
        </w:rPr>
        <w:t>Règles de la Cour suprême du Canada</w:t>
      </w:r>
      <w:r w:rsidRPr="009455FA">
        <w:rPr>
          <w:rFonts w:eastAsia="Times New Roman" w:cs="Times New Roman"/>
          <w:sz w:val="20"/>
          <w:szCs w:val="20"/>
          <w:lang w:val="fr-CA" w:eastAsia="en-CA"/>
        </w:rPr>
        <w:t xml:space="preserve">; </w:t>
      </w:r>
    </w:p>
    <w:p w:rsidR="009455FA" w:rsidRPr="009455FA" w:rsidRDefault="009455FA" w:rsidP="009455FA">
      <w:pPr>
        <w:spacing w:line="233" w:lineRule="auto"/>
        <w:jc w:val="both"/>
        <w:rPr>
          <w:rFonts w:eastAsia="Times New Roman" w:cs="Times New Roman"/>
          <w:sz w:val="20"/>
          <w:szCs w:val="20"/>
          <w:lang w:val="fr-CA" w:eastAsia="en-CA"/>
        </w:rPr>
      </w:pPr>
    </w:p>
    <w:p w:rsidR="009455FA" w:rsidRPr="009455FA" w:rsidRDefault="009455FA" w:rsidP="009455FA">
      <w:pPr>
        <w:spacing w:line="233" w:lineRule="auto"/>
        <w:jc w:val="both"/>
        <w:rPr>
          <w:rFonts w:eastAsia="Times New Roman" w:cs="Times New Roman"/>
          <w:sz w:val="20"/>
          <w:szCs w:val="20"/>
          <w:lang w:val="fr-CA" w:eastAsia="en-CA"/>
        </w:rPr>
      </w:pPr>
      <w:r w:rsidRPr="009455FA">
        <w:rPr>
          <w:rFonts w:eastAsia="Times New Roman" w:cs="Times New Roman"/>
          <w:b/>
          <w:sz w:val="20"/>
          <w:szCs w:val="20"/>
          <w:lang w:val="fr-CA" w:eastAsia="en-CA"/>
        </w:rPr>
        <w:t>ET ATTENDU QUE</w:t>
      </w:r>
      <w:r w:rsidRPr="009455FA">
        <w:rPr>
          <w:rFonts w:eastAsia="Times New Roman" w:cs="Times New Roman"/>
          <w:sz w:val="20"/>
          <w:szCs w:val="20"/>
          <w:lang w:val="fr-CA" w:eastAsia="en-CA"/>
        </w:rPr>
        <w:t xml:space="preserve"> le registraire adjoint a demandé qu’un juge rende une ordonnance en vertu des par. 66(1) et (2) des </w:t>
      </w:r>
      <w:r w:rsidRPr="009455FA">
        <w:rPr>
          <w:rFonts w:eastAsia="Times New Roman" w:cs="Times New Roman"/>
          <w:i/>
          <w:sz w:val="20"/>
          <w:szCs w:val="20"/>
          <w:lang w:val="fr-CA" w:eastAsia="en-CA"/>
        </w:rPr>
        <w:t>Règles de la Cour suprême du Canada</w:t>
      </w:r>
      <w:r w:rsidRPr="009455FA">
        <w:rPr>
          <w:rFonts w:eastAsia="Times New Roman" w:cs="Times New Roman"/>
          <w:sz w:val="20"/>
          <w:szCs w:val="20"/>
          <w:lang w:val="fr-CA" w:eastAsia="en-CA"/>
        </w:rPr>
        <w:t>;</w:t>
      </w:r>
    </w:p>
    <w:p w:rsidR="009455FA" w:rsidRPr="009455FA" w:rsidRDefault="009455FA" w:rsidP="009455FA">
      <w:pPr>
        <w:spacing w:line="233" w:lineRule="auto"/>
        <w:jc w:val="both"/>
        <w:rPr>
          <w:rFonts w:eastAsia="Times New Roman" w:cs="Times New Roman"/>
          <w:sz w:val="20"/>
          <w:szCs w:val="20"/>
          <w:lang w:val="fr-CA" w:eastAsia="en-CA"/>
        </w:rPr>
      </w:pPr>
    </w:p>
    <w:p w:rsidR="009455FA" w:rsidRPr="009455FA" w:rsidRDefault="009455FA" w:rsidP="009455FA">
      <w:pPr>
        <w:spacing w:line="233" w:lineRule="auto"/>
        <w:jc w:val="both"/>
        <w:rPr>
          <w:rFonts w:eastAsia="Times New Roman" w:cs="Times New Roman"/>
          <w:sz w:val="20"/>
          <w:szCs w:val="20"/>
          <w:lang w:val="fr-CA" w:eastAsia="en-CA"/>
        </w:rPr>
      </w:pPr>
      <w:r w:rsidRPr="009455FA">
        <w:rPr>
          <w:rFonts w:eastAsia="Times New Roman" w:cs="Times New Roman"/>
          <w:b/>
          <w:sz w:val="20"/>
          <w:szCs w:val="20"/>
          <w:lang w:val="fr-CA" w:eastAsia="en-CA"/>
        </w:rPr>
        <w:t xml:space="preserve">ET APRÈS EXAMEN </w:t>
      </w:r>
      <w:r w:rsidRPr="009455FA">
        <w:rPr>
          <w:rFonts w:eastAsia="Times New Roman" w:cs="Times New Roman"/>
          <w:sz w:val="20"/>
          <w:szCs w:val="20"/>
          <w:lang w:val="fr-CA" w:eastAsia="en-CA"/>
        </w:rPr>
        <w:t>des documents déposés;</w:t>
      </w:r>
    </w:p>
    <w:p w:rsidR="009455FA" w:rsidRPr="009455FA" w:rsidRDefault="009455FA" w:rsidP="009455FA">
      <w:pPr>
        <w:spacing w:line="233" w:lineRule="auto"/>
        <w:jc w:val="both"/>
        <w:rPr>
          <w:rFonts w:eastAsia="Times New Roman" w:cs="Times New Roman"/>
          <w:b/>
          <w:bCs/>
          <w:sz w:val="20"/>
          <w:szCs w:val="20"/>
          <w:lang w:val="fr-CA" w:eastAsia="en-CA"/>
        </w:rPr>
      </w:pPr>
    </w:p>
    <w:p w:rsidR="009455FA" w:rsidRPr="009455FA" w:rsidRDefault="009455FA" w:rsidP="009455FA">
      <w:pPr>
        <w:spacing w:line="233" w:lineRule="auto"/>
        <w:jc w:val="both"/>
        <w:rPr>
          <w:rFonts w:eastAsia="Times New Roman" w:cs="Times New Roman"/>
          <w:bCs/>
          <w:sz w:val="20"/>
          <w:szCs w:val="20"/>
          <w:lang w:val="fr-CA" w:eastAsia="en-CA"/>
        </w:rPr>
      </w:pPr>
      <w:r w:rsidRPr="009455FA">
        <w:rPr>
          <w:rFonts w:eastAsia="Times New Roman" w:cs="Times New Roman"/>
          <w:b/>
          <w:bCs/>
          <w:sz w:val="20"/>
          <w:szCs w:val="20"/>
          <w:lang w:val="fr-CA" w:eastAsia="en-CA"/>
        </w:rPr>
        <w:t xml:space="preserve">ET ATTENDU QUE </w:t>
      </w:r>
      <w:r w:rsidRPr="009455FA">
        <w:rPr>
          <w:rFonts w:eastAsia="Times New Roman" w:cs="Times New Roman"/>
          <w:bCs/>
          <w:sz w:val="20"/>
          <w:szCs w:val="20"/>
          <w:lang w:val="fr-CA" w:eastAsia="en-CA"/>
        </w:rPr>
        <w:t xml:space="preserve">je suis convaincue que M. Coote agit de manière vexatoire dans les cadres des présentes procédures et que le dépôt de documents supplémentaires dans ces dernières serait vexatoire; </w:t>
      </w:r>
    </w:p>
    <w:p w:rsidR="009455FA" w:rsidRPr="009455FA" w:rsidRDefault="009455FA" w:rsidP="009455FA">
      <w:pPr>
        <w:spacing w:line="233" w:lineRule="auto"/>
        <w:jc w:val="both"/>
        <w:rPr>
          <w:rFonts w:eastAsia="Times New Roman" w:cs="Times New Roman"/>
          <w:bCs/>
          <w:sz w:val="20"/>
          <w:szCs w:val="20"/>
          <w:lang w:val="fr-CA" w:eastAsia="en-CA"/>
        </w:rPr>
      </w:pPr>
    </w:p>
    <w:p w:rsidR="009455FA" w:rsidRPr="009455FA" w:rsidRDefault="009455FA" w:rsidP="009455FA">
      <w:pPr>
        <w:spacing w:line="276" w:lineRule="auto"/>
        <w:contextualSpacing/>
        <w:jc w:val="both"/>
        <w:rPr>
          <w:rFonts w:cs="Times New Roman"/>
          <w:b/>
          <w:bCs/>
          <w:sz w:val="20"/>
          <w:szCs w:val="20"/>
          <w:lang w:val="fr-CA"/>
        </w:rPr>
      </w:pPr>
      <w:r w:rsidRPr="009455FA">
        <w:rPr>
          <w:rFonts w:cs="Times New Roman"/>
          <w:b/>
          <w:bCs/>
          <w:sz w:val="20"/>
          <w:szCs w:val="20"/>
          <w:lang w:val="fr-CA"/>
        </w:rPr>
        <w:t xml:space="preserve">J’ORDONNE PAR LA PRÉSENTE QUE : </w:t>
      </w:r>
    </w:p>
    <w:p w:rsidR="009455FA" w:rsidRPr="009455FA" w:rsidRDefault="009455FA" w:rsidP="009455FA">
      <w:pPr>
        <w:spacing w:line="276" w:lineRule="auto"/>
        <w:contextualSpacing/>
        <w:jc w:val="both"/>
        <w:rPr>
          <w:rFonts w:cs="Times New Roman"/>
          <w:b/>
          <w:bCs/>
          <w:sz w:val="20"/>
          <w:szCs w:val="20"/>
          <w:lang w:val="fr-CA"/>
        </w:rPr>
      </w:pPr>
    </w:p>
    <w:p w:rsidR="009455FA" w:rsidRPr="009455FA" w:rsidRDefault="009455FA" w:rsidP="009455FA">
      <w:pPr>
        <w:widowControl w:val="0"/>
        <w:numPr>
          <w:ilvl w:val="0"/>
          <w:numId w:val="8"/>
        </w:numPr>
        <w:autoSpaceDE w:val="0"/>
        <w:autoSpaceDN w:val="0"/>
        <w:adjustRightInd w:val="0"/>
        <w:contextualSpacing/>
        <w:jc w:val="both"/>
        <w:rPr>
          <w:rFonts w:cs="Times New Roman"/>
          <w:bCs/>
          <w:kern w:val="36"/>
          <w:sz w:val="20"/>
          <w:szCs w:val="20"/>
          <w:lang w:val="fr-CA"/>
        </w:rPr>
      </w:pPr>
      <w:r w:rsidRPr="009455FA">
        <w:rPr>
          <w:rFonts w:cs="Times New Roman"/>
          <w:bCs/>
          <w:kern w:val="36"/>
          <w:sz w:val="20"/>
          <w:szCs w:val="20"/>
          <w:lang w:val="fr-CA"/>
        </w:rPr>
        <w:t xml:space="preserve">La requête visant à faire joindre les dossiers 36218 et 36226 ainsi qu’à faire annuler ou invalider les décisions rendues le 9 avril 2015 est mise en sursis du fait que M. Coote agit de manière vexatoire dans ces dossiers; </w:t>
      </w:r>
    </w:p>
    <w:p w:rsidR="009455FA" w:rsidRPr="009455FA" w:rsidRDefault="009455FA" w:rsidP="009455FA">
      <w:pPr>
        <w:ind w:left="720"/>
        <w:contextualSpacing/>
        <w:jc w:val="both"/>
        <w:rPr>
          <w:rFonts w:cs="Times New Roman"/>
          <w:bCs/>
          <w:kern w:val="36"/>
          <w:sz w:val="20"/>
          <w:szCs w:val="20"/>
          <w:lang w:val="fr-CA"/>
        </w:rPr>
      </w:pPr>
    </w:p>
    <w:p w:rsidR="009455FA" w:rsidRPr="009455FA" w:rsidRDefault="009455FA" w:rsidP="009455FA">
      <w:pPr>
        <w:widowControl w:val="0"/>
        <w:numPr>
          <w:ilvl w:val="0"/>
          <w:numId w:val="8"/>
        </w:numPr>
        <w:autoSpaceDE w:val="0"/>
        <w:autoSpaceDN w:val="0"/>
        <w:adjustRightInd w:val="0"/>
        <w:contextualSpacing/>
        <w:jc w:val="both"/>
        <w:rPr>
          <w:rFonts w:cs="Times New Roman"/>
          <w:bCs/>
          <w:kern w:val="36"/>
          <w:sz w:val="20"/>
          <w:szCs w:val="20"/>
          <w:lang w:val="fr-CA"/>
        </w:rPr>
      </w:pPr>
      <w:r w:rsidRPr="009455FA">
        <w:rPr>
          <w:rFonts w:cs="Times New Roman"/>
          <w:bCs/>
          <w:kern w:val="36"/>
          <w:sz w:val="20"/>
          <w:szCs w:val="20"/>
          <w:lang w:val="fr-CA"/>
        </w:rPr>
        <w:t xml:space="preserve">Aucun autre document ne peut être déposé tant dans le dossier 36218 que dans le dossier 36226, sous réserve du par. 7, du fait qu’un tel dépôt serait vexatoire et irrégulièrement motivé; </w:t>
      </w:r>
    </w:p>
    <w:p w:rsidR="009455FA" w:rsidRPr="009455FA" w:rsidRDefault="009455FA" w:rsidP="009455FA">
      <w:pPr>
        <w:ind w:left="720"/>
        <w:contextualSpacing/>
        <w:rPr>
          <w:rFonts w:cs="Times New Roman"/>
          <w:bCs/>
          <w:kern w:val="36"/>
          <w:sz w:val="20"/>
          <w:szCs w:val="20"/>
          <w:lang w:val="fr-CA"/>
        </w:rPr>
      </w:pPr>
    </w:p>
    <w:p w:rsidR="009455FA" w:rsidRPr="009455FA" w:rsidRDefault="009455FA" w:rsidP="009455FA">
      <w:pPr>
        <w:widowControl w:val="0"/>
        <w:numPr>
          <w:ilvl w:val="0"/>
          <w:numId w:val="8"/>
        </w:numPr>
        <w:autoSpaceDE w:val="0"/>
        <w:autoSpaceDN w:val="0"/>
        <w:adjustRightInd w:val="0"/>
        <w:contextualSpacing/>
        <w:jc w:val="both"/>
        <w:rPr>
          <w:rFonts w:cs="Times New Roman"/>
          <w:bCs/>
          <w:kern w:val="36"/>
          <w:sz w:val="20"/>
          <w:szCs w:val="20"/>
          <w:lang w:val="fr-CA"/>
        </w:rPr>
      </w:pPr>
      <w:r w:rsidRPr="009455FA">
        <w:rPr>
          <w:rFonts w:cs="Times New Roman"/>
          <w:bCs/>
          <w:kern w:val="36"/>
          <w:sz w:val="20"/>
          <w:szCs w:val="20"/>
          <w:lang w:val="fr-CA"/>
        </w:rPr>
        <w:t>La requête déposée dans le dossier 36249 visant à faire annuler ou invalider la décision rendue le 9 avril 2015 est mise en sursis du fait que M. Coote agit de manière vexatoire dans le dossier;</w:t>
      </w:r>
    </w:p>
    <w:p w:rsidR="009455FA" w:rsidRPr="009455FA" w:rsidRDefault="009455FA" w:rsidP="009455FA">
      <w:pPr>
        <w:ind w:left="720"/>
        <w:contextualSpacing/>
        <w:rPr>
          <w:rFonts w:cs="Times New Roman"/>
          <w:bCs/>
          <w:kern w:val="36"/>
          <w:sz w:val="20"/>
          <w:szCs w:val="20"/>
          <w:lang w:val="fr-CA"/>
        </w:rPr>
      </w:pPr>
    </w:p>
    <w:p w:rsidR="009455FA" w:rsidRPr="009455FA" w:rsidRDefault="009455FA" w:rsidP="009455FA">
      <w:pPr>
        <w:widowControl w:val="0"/>
        <w:numPr>
          <w:ilvl w:val="0"/>
          <w:numId w:val="8"/>
        </w:numPr>
        <w:autoSpaceDE w:val="0"/>
        <w:autoSpaceDN w:val="0"/>
        <w:adjustRightInd w:val="0"/>
        <w:contextualSpacing/>
        <w:jc w:val="both"/>
        <w:rPr>
          <w:rFonts w:cs="Times New Roman"/>
          <w:bCs/>
          <w:kern w:val="36"/>
          <w:sz w:val="20"/>
          <w:szCs w:val="20"/>
          <w:lang w:val="fr-CA"/>
        </w:rPr>
      </w:pPr>
      <w:r w:rsidRPr="009455FA">
        <w:rPr>
          <w:rFonts w:cs="Times New Roman"/>
          <w:bCs/>
          <w:kern w:val="36"/>
          <w:sz w:val="20"/>
          <w:szCs w:val="20"/>
          <w:lang w:val="fr-CA"/>
        </w:rPr>
        <w:t xml:space="preserve">Aucun autre document ne peut être déposé dans le dossier 36249, sous réserve du par. 7, du fait qu’un tel dépôt serait vexatoire et irrégulièrement motivé; </w:t>
      </w:r>
    </w:p>
    <w:p w:rsidR="009455FA" w:rsidRPr="009455FA" w:rsidRDefault="009455FA" w:rsidP="009455FA">
      <w:pPr>
        <w:ind w:left="720"/>
        <w:contextualSpacing/>
        <w:rPr>
          <w:rFonts w:cs="Times New Roman"/>
          <w:bCs/>
          <w:kern w:val="36"/>
          <w:sz w:val="20"/>
          <w:szCs w:val="20"/>
          <w:lang w:val="fr-CA"/>
        </w:rPr>
      </w:pPr>
    </w:p>
    <w:p w:rsidR="009455FA" w:rsidRPr="009455FA" w:rsidRDefault="009455FA" w:rsidP="009455FA">
      <w:pPr>
        <w:widowControl w:val="0"/>
        <w:numPr>
          <w:ilvl w:val="0"/>
          <w:numId w:val="8"/>
        </w:numPr>
        <w:autoSpaceDE w:val="0"/>
        <w:autoSpaceDN w:val="0"/>
        <w:adjustRightInd w:val="0"/>
        <w:contextualSpacing/>
        <w:jc w:val="both"/>
        <w:rPr>
          <w:rFonts w:cs="Times New Roman"/>
          <w:bCs/>
          <w:kern w:val="36"/>
          <w:sz w:val="20"/>
          <w:szCs w:val="20"/>
          <w:lang w:val="fr-CA"/>
        </w:rPr>
      </w:pPr>
      <w:r w:rsidRPr="009455FA">
        <w:rPr>
          <w:rFonts w:cs="Times New Roman"/>
          <w:bCs/>
          <w:kern w:val="36"/>
          <w:sz w:val="20"/>
          <w:szCs w:val="20"/>
          <w:lang w:val="fr-CA"/>
        </w:rPr>
        <w:t>La requête déposée dans le dossier 36243 visant à faire annuler ou invalider la décision rendue le 16 avril 2015 est mise en sursis du fait que M. Coote agit de manière vexatoire dans le dossier;</w:t>
      </w:r>
    </w:p>
    <w:p w:rsidR="009455FA" w:rsidRPr="009455FA" w:rsidRDefault="009455FA" w:rsidP="009455FA">
      <w:pPr>
        <w:ind w:left="720"/>
        <w:contextualSpacing/>
        <w:rPr>
          <w:rFonts w:cs="Times New Roman"/>
          <w:bCs/>
          <w:kern w:val="36"/>
          <w:sz w:val="20"/>
          <w:szCs w:val="20"/>
          <w:lang w:val="fr-CA"/>
        </w:rPr>
      </w:pPr>
    </w:p>
    <w:p w:rsidR="009455FA" w:rsidRPr="009455FA" w:rsidRDefault="009455FA" w:rsidP="009455FA">
      <w:pPr>
        <w:widowControl w:val="0"/>
        <w:numPr>
          <w:ilvl w:val="0"/>
          <w:numId w:val="8"/>
        </w:numPr>
        <w:autoSpaceDE w:val="0"/>
        <w:autoSpaceDN w:val="0"/>
        <w:adjustRightInd w:val="0"/>
        <w:contextualSpacing/>
        <w:jc w:val="both"/>
        <w:rPr>
          <w:rFonts w:cs="Times New Roman"/>
          <w:bCs/>
          <w:kern w:val="36"/>
          <w:sz w:val="20"/>
          <w:szCs w:val="20"/>
          <w:lang w:val="fr-CA"/>
        </w:rPr>
      </w:pPr>
      <w:r w:rsidRPr="009455FA">
        <w:rPr>
          <w:rFonts w:cs="Times New Roman"/>
          <w:bCs/>
          <w:kern w:val="36"/>
          <w:sz w:val="20"/>
          <w:szCs w:val="20"/>
          <w:lang w:val="fr-CA"/>
        </w:rPr>
        <w:t xml:space="preserve">Aucun autre document ne peut être déposé dans le dossier 36243, sous réserve du par. 7, du fait qu’un tel dépôt serait vexatoire et irrégulièrement motivé; </w:t>
      </w:r>
    </w:p>
    <w:p w:rsidR="009455FA" w:rsidRPr="009455FA" w:rsidRDefault="009455FA" w:rsidP="009455FA">
      <w:pPr>
        <w:ind w:left="720"/>
        <w:contextualSpacing/>
        <w:rPr>
          <w:rFonts w:cs="Times New Roman"/>
          <w:bCs/>
          <w:kern w:val="36"/>
          <w:sz w:val="20"/>
          <w:szCs w:val="20"/>
          <w:lang w:val="fr-CA"/>
        </w:rPr>
      </w:pPr>
    </w:p>
    <w:p w:rsidR="009455FA" w:rsidRPr="009455FA" w:rsidRDefault="009455FA" w:rsidP="009455FA">
      <w:pPr>
        <w:widowControl w:val="0"/>
        <w:numPr>
          <w:ilvl w:val="0"/>
          <w:numId w:val="8"/>
        </w:numPr>
        <w:autoSpaceDE w:val="0"/>
        <w:autoSpaceDN w:val="0"/>
        <w:adjustRightInd w:val="0"/>
        <w:contextualSpacing/>
        <w:jc w:val="both"/>
        <w:rPr>
          <w:rFonts w:cs="Times New Roman"/>
          <w:bCs/>
          <w:kern w:val="36"/>
          <w:sz w:val="20"/>
          <w:szCs w:val="20"/>
          <w:lang w:val="fr-CA"/>
        </w:rPr>
      </w:pPr>
      <w:r w:rsidRPr="009455FA">
        <w:rPr>
          <w:rFonts w:cs="Times New Roman"/>
          <w:bCs/>
          <w:kern w:val="36"/>
          <w:sz w:val="20"/>
          <w:szCs w:val="20"/>
          <w:lang w:val="fr-CA"/>
        </w:rPr>
        <w:t>M. Coote est autorisé à signifier et à déposer uniquement une réponse aux procédures relatives aux dépens adjugés aux intimés dans les dossiers 36218, 36226, 36243 et 36249;</w:t>
      </w:r>
    </w:p>
    <w:p w:rsidR="009455FA" w:rsidRPr="009455FA" w:rsidRDefault="009455FA" w:rsidP="009455FA">
      <w:pPr>
        <w:ind w:left="720"/>
        <w:contextualSpacing/>
        <w:rPr>
          <w:rFonts w:cs="Times New Roman"/>
          <w:bCs/>
          <w:kern w:val="36"/>
          <w:sz w:val="20"/>
          <w:szCs w:val="20"/>
          <w:lang w:val="fr-CA"/>
        </w:rPr>
      </w:pPr>
    </w:p>
    <w:p w:rsidR="009455FA" w:rsidRPr="009455FA" w:rsidRDefault="009455FA" w:rsidP="009455FA">
      <w:pPr>
        <w:widowControl w:val="0"/>
        <w:numPr>
          <w:ilvl w:val="0"/>
          <w:numId w:val="8"/>
        </w:numPr>
        <w:autoSpaceDE w:val="0"/>
        <w:autoSpaceDN w:val="0"/>
        <w:adjustRightInd w:val="0"/>
        <w:contextualSpacing/>
        <w:jc w:val="both"/>
        <w:rPr>
          <w:rFonts w:cs="Times New Roman"/>
          <w:bCs/>
          <w:kern w:val="36"/>
          <w:sz w:val="20"/>
          <w:szCs w:val="20"/>
          <w:lang w:val="fr-CA"/>
        </w:rPr>
      </w:pPr>
      <w:r w:rsidRPr="009455FA">
        <w:rPr>
          <w:rFonts w:cs="Times New Roman"/>
          <w:bCs/>
          <w:kern w:val="36"/>
          <w:sz w:val="20"/>
          <w:szCs w:val="20"/>
          <w:lang w:val="fr-CA"/>
        </w:rPr>
        <w:t>Tout autre document envoyé par M. Coote qui n’est pas conforme à la présente ordonnance ne sera pas accepté en vue de son dépôt et lui sera retourné.</w:t>
      </w:r>
    </w:p>
    <w:p w:rsidR="009455FA" w:rsidRPr="009455FA" w:rsidRDefault="009455FA" w:rsidP="009455FA">
      <w:pPr>
        <w:tabs>
          <w:tab w:val="left" w:pos="-1440"/>
          <w:tab w:val="left" w:pos="-720"/>
        </w:tabs>
        <w:jc w:val="both"/>
        <w:rPr>
          <w:rFonts w:eastAsia="Times New Roman" w:cs="Times New Roman"/>
          <w:sz w:val="20"/>
          <w:szCs w:val="20"/>
          <w:lang w:val="fr-CA" w:eastAsia="en-CA"/>
        </w:rPr>
      </w:pPr>
    </w:p>
    <w:p w:rsidR="009455FA" w:rsidRPr="009455FA" w:rsidRDefault="00310DA4" w:rsidP="009455FA">
      <w:pPr>
        <w:tabs>
          <w:tab w:val="left" w:pos="-1440"/>
          <w:tab w:val="left" w:pos="-720"/>
        </w:tabs>
        <w:jc w:val="both"/>
        <w:rPr>
          <w:rFonts w:eastAsia="Times New Roman" w:cs="Times New Roman"/>
          <w:sz w:val="20"/>
          <w:szCs w:val="20"/>
          <w:lang w:val="en-US" w:eastAsia="en-CA"/>
        </w:rPr>
      </w:pPr>
      <w:r>
        <w:rPr>
          <w:rFonts w:eastAsia="Times New Roman" w:cs="Times New Roman"/>
          <w:sz w:val="20"/>
          <w:szCs w:val="20"/>
          <w:lang w:val="fr-CA" w:eastAsia="en-CA"/>
        </w:rPr>
        <w:pict>
          <v:rect id="_x0000_i1055" style="width:2in;height:1pt" o:hrpct="0" o:hralign="center" o:hrstd="t" o:hrnoshade="t" o:hr="t" fillcolor="black [3213]" stroked="f"/>
        </w:pict>
      </w:r>
    </w:p>
    <w:p w:rsidR="009455FA" w:rsidRPr="009455FA" w:rsidRDefault="009455FA" w:rsidP="009455FA">
      <w:pPr>
        <w:tabs>
          <w:tab w:val="left" w:pos="-1440"/>
          <w:tab w:val="left" w:pos="-720"/>
        </w:tabs>
        <w:jc w:val="both"/>
        <w:rPr>
          <w:rFonts w:eastAsia="Times New Roman" w:cs="Times New Roman"/>
          <w:sz w:val="20"/>
          <w:szCs w:val="20"/>
          <w:lang w:val="en-US" w:eastAsia="en-CA"/>
        </w:rPr>
      </w:pPr>
    </w:p>
    <w:p w:rsidR="009455FA" w:rsidRPr="009455FA" w:rsidRDefault="009455FA" w:rsidP="009455FA">
      <w:pPr>
        <w:tabs>
          <w:tab w:val="left" w:pos="-1440"/>
          <w:tab w:val="left" w:pos="-720"/>
        </w:tabs>
        <w:jc w:val="both"/>
        <w:rPr>
          <w:rFonts w:eastAsia="Times New Roman" w:cs="Times New Roman"/>
          <w:sz w:val="20"/>
          <w:szCs w:val="20"/>
          <w:lang w:val="fr-CA" w:eastAsia="en-CA"/>
        </w:rPr>
      </w:pPr>
      <w:r w:rsidRPr="009455FA">
        <w:rPr>
          <w:rFonts w:eastAsia="Times New Roman" w:cs="Times New Roman"/>
          <w:sz w:val="20"/>
          <w:szCs w:val="20"/>
          <w:lang w:val="fr-CA" w:eastAsia="en-CA"/>
        </w:rPr>
        <w:t>14.07.2015</w:t>
      </w:r>
    </w:p>
    <w:p w:rsidR="009455FA" w:rsidRPr="009455FA" w:rsidRDefault="009455FA" w:rsidP="009455FA">
      <w:pPr>
        <w:tabs>
          <w:tab w:val="left" w:pos="-1440"/>
          <w:tab w:val="left" w:pos="-720"/>
        </w:tabs>
        <w:jc w:val="both"/>
        <w:rPr>
          <w:rFonts w:eastAsia="Times New Roman" w:cs="Times New Roman"/>
          <w:sz w:val="20"/>
          <w:szCs w:val="20"/>
          <w:lang w:val="fr-CA" w:eastAsia="en-CA"/>
        </w:rPr>
      </w:pPr>
    </w:p>
    <w:p w:rsidR="009455FA" w:rsidRPr="009455FA" w:rsidRDefault="009455FA" w:rsidP="009455FA">
      <w:pPr>
        <w:tabs>
          <w:tab w:val="left" w:pos="-1440"/>
          <w:tab w:val="left" w:pos="-720"/>
        </w:tabs>
        <w:jc w:val="both"/>
        <w:rPr>
          <w:rFonts w:eastAsia="Times New Roman" w:cs="Times New Roman"/>
          <w:sz w:val="20"/>
          <w:szCs w:val="20"/>
          <w:lang w:val="fr-CA" w:eastAsia="en-CA"/>
        </w:rPr>
      </w:pPr>
      <w:r w:rsidRPr="009455FA">
        <w:rPr>
          <w:rFonts w:eastAsia="Times New Roman" w:cs="Times New Roman"/>
          <w:sz w:val="20"/>
          <w:szCs w:val="20"/>
          <w:lang w:val="fr-CA" w:eastAsia="en-CA"/>
        </w:rPr>
        <w:t>Before / Devant :   ABELLA J. / LA JUGE ABELLA</w:t>
      </w:r>
    </w:p>
    <w:p w:rsidR="009455FA" w:rsidRPr="009455FA" w:rsidRDefault="009455FA" w:rsidP="009455FA">
      <w:pPr>
        <w:tabs>
          <w:tab w:val="left" w:pos="-1440"/>
          <w:tab w:val="left" w:pos="-720"/>
        </w:tabs>
        <w:jc w:val="both"/>
        <w:rPr>
          <w:rFonts w:eastAsia="Times New Roman" w:cs="Times New Roman"/>
          <w:sz w:val="20"/>
          <w:szCs w:val="20"/>
          <w:lang w:val="fr-CA" w:eastAsia="en-CA"/>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9455FA" w:rsidRPr="009455FA" w:rsidTr="00871F47">
        <w:trPr>
          <w:trHeight w:val="151"/>
        </w:trPr>
        <w:tc>
          <w:tcPr>
            <w:tcW w:w="4338" w:type="dxa"/>
          </w:tcPr>
          <w:p w:rsidR="009455FA" w:rsidRPr="009455FA" w:rsidRDefault="0086075F" w:rsidP="009455FA">
            <w:pPr>
              <w:tabs>
                <w:tab w:val="left" w:pos="-1440"/>
                <w:tab w:val="left" w:pos="-720"/>
              </w:tabs>
              <w:jc w:val="both"/>
              <w:rPr>
                <w:lang w:val="fr-CA"/>
              </w:rPr>
            </w:pPr>
            <w:r w:rsidRPr="009455FA">
              <w:rPr>
                <w:lang w:val="en-US"/>
              </w:rPr>
              <w:fldChar w:fldCharType="begin"/>
            </w:r>
            <w:r w:rsidR="009455FA" w:rsidRPr="009455FA">
              <w:rPr>
                <w:lang w:val="fr-CA"/>
              </w:rPr>
              <w:instrText xml:space="preserve"> SEQ CHAPTER \h \r 1</w:instrText>
            </w:r>
            <w:r w:rsidRPr="009455FA">
              <w:rPr>
                <w:lang w:val="en-US"/>
              </w:rPr>
              <w:fldChar w:fldCharType="end"/>
            </w:r>
            <w:r w:rsidR="009455FA" w:rsidRPr="009455FA">
              <w:rPr>
                <w:b/>
                <w:bCs/>
                <w:lang w:val="fr-CA"/>
              </w:rPr>
              <w:t>Miscellaneous motions</w:t>
            </w:r>
          </w:p>
          <w:p w:rsidR="009455FA" w:rsidRPr="009455FA" w:rsidRDefault="0086075F" w:rsidP="009455FA">
            <w:pPr>
              <w:tabs>
                <w:tab w:val="left" w:pos="-1440"/>
                <w:tab w:val="left" w:pos="-720"/>
              </w:tabs>
              <w:jc w:val="both"/>
              <w:rPr>
                <w:lang w:val="fr-CA"/>
              </w:rPr>
            </w:pPr>
            <w:r w:rsidRPr="009455FA">
              <w:rPr>
                <w:lang w:val="en-US"/>
              </w:rPr>
              <w:fldChar w:fldCharType="begin"/>
            </w:r>
            <w:r w:rsidR="009455FA" w:rsidRPr="009455FA">
              <w:rPr>
                <w:lang w:val="fr-CA"/>
              </w:rPr>
              <w:instrText xml:space="preserve"> SEQ CHAPTER \h \r 1</w:instrText>
            </w:r>
            <w:r w:rsidRPr="009455FA">
              <w:rPr>
                <w:lang w:val="en-US"/>
              </w:rPr>
              <w:fldChar w:fldCharType="end"/>
            </w:r>
          </w:p>
        </w:tc>
        <w:tc>
          <w:tcPr>
            <w:tcW w:w="1170" w:type="dxa"/>
          </w:tcPr>
          <w:p w:rsidR="009455FA" w:rsidRPr="009455FA" w:rsidRDefault="009455FA" w:rsidP="009455FA">
            <w:pPr>
              <w:jc w:val="both"/>
              <w:rPr>
                <w:lang w:val="fr-CA"/>
              </w:rPr>
            </w:pPr>
          </w:p>
          <w:p w:rsidR="009455FA" w:rsidRPr="009455FA" w:rsidRDefault="009455FA" w:rsidP="009455FA">
            <w:pPr>
              <w:jc w:val="both"/>
              <w:rPr>
                <w:lang w:val="fr-CA"/>
              </w:rPr>
            </w:pPr>
          </w:p>
        </w:tc>
        <w:tc>
          <w:tcPr>
            <w:tcW w:w="4327" w:type="dxa"/>
          </w:tcPr>
          <w:p w:rsidR="009455FA" w:rsidRPr="009455FA" w:rsidRDefault="0086075F" w:rsidP="009455FA">
            <w:pPr>
              <w:jc w:val="both"/>
              <w:rPr>
                <w:b/>
                <w:lang w:val="fr-CA"/>
              </w:rPr>
            </w:pPr>
            <w:r w:rsidRPr="009455FA">
              <w:rPr>
                <w:lang w:val="en-US"/>
              </w:rPr>
              <w:fldChar w:fldCharType="begin"/>
            </w:r>
            <w:r w:rsidR="009455FA" w:rsidRPr="009455FA">
              <w:rPr>
                <w:lang w:val="fr-CA"/>
              </w:rPr>
              <w:instrText xml:space="preserve"> SEQ CHAPTER \h \r 1</w:instrText>
            </w:r>
            <w:r w:rsidRPr="009455FA">
              <w:rPr>
                <w:lang w:val="en-US"/>
              </w:rPr>
              <w:fldChar w:fldCharType="end"/>
            </w:r>
            <w:r w:rsidR="009455FA" w:rsidRPr="009455FA">
              <w:rPr>
                <w:b/>
                <w:bCs/>
                <w:lang w:val="fr-CA"/>
              </w:rPr>
              <w:t>Requêtes diverses</w:t>
            </w:r>
          </w:p>
          <w:p w:rsidR="009455FA" w:rsidRPr="009455FA" w:rsidRDefault="0086075F" w:rsidP="009455FA">
            <w:pPr>
              <w:jc w:val="both"/>
              <w:rPr>
                <w:b/>
                <w:lang w:val="fr-CA"/>
              </w:rPr>
            </w:pPr>
            <w:r w:rsidRPr="009455FA">
              <w:rPr>
                <w:b/>
                <w:lang w:val="en-US"/>
              </w:rPr>
              <w:fldChar w:fldCharType="begin"/>
            </w:r>
            <w:r w:rsidR="009455FA" w:rsidRPr="009455FA">
              <w:rPr>
                <w:b/>
                <w:lang w:val="fr-CA"/>
              </w:rPr>
              <w:instrText xml:space="preserve"> SEQ CHAPTER \h \r 1</w:instrText>
            </w:r>
            <w:r w:rsidRPr="009455FA">
              <w:rPr>
                <w:b/>
                <w:lang w:val="en-US"/>
              </w:rPr>
              <w:fldChar w:fldCharType="end"/>
            </w:r>
            <w:r w:rsidRPr="009455FA">
              <w:rPr>
                <w:b/>
                <w:lang w:val="en-US"/>
              </w:rPr>
              <w:fldChar w:fldCharType="begin"/>
            </w:r>
            <w:r w:rsidR="009455FA" w:rsidRPr="009455FA">
              <w:rPr>
                <w:b/>
                <w:lang w:val="fr-CA"/>
              </w:rPr>
              <w:instrText xml:space="preserve"> SEQ CHAPTER \h \r 1</w:instrText>
            </w:r>
            <w:r w:rsidRPr="009455FA">
              <w:rPr>
                <w:b/>
                <w:lang w:val="en-US"/>
              </w:rPr>
              <w:fldChar w:fldCharType="end"/>
            </w:r>
          </w:p>
        </w:tc>
      </w:tr>
      <w:tr w:rsidR="009455FA" w:rsidRPr="009455FA" w:rsidTr="00871F47">
        <w:trPr>
          <w:trHeight w:val="150"/>
        </w:trPr>
        <w:tc>
          <w:tcPr>
            <w:tcW w:w="4338" w:type="dxa"/>
          </w:tcPr>
          <w:p w:rsidR="009455FA" w:rsidRPr="009455FA" w:rsidRDefault="009455FA" w:rsidP="009455FA">
            <w:pPr>
              <w:tabs>
                <w:tab w:val="left" w:pos="-1440"/>
                <w:tab w:val="left" w:pos="-720"/>
              </w:tabs>
            </w:pPr>
            <w:r w:rsidRPr="009455FA">
              <w:t>Anthony Coote</w:t>
            </w:r>
          </w:p>
          <w:p w:rsidR="009455FA" w:rsidRPr="009455FA" w:rsidRDefault="009455FA" w:rsidP="009455FA">
            <w:pPr>
              <w:tabs>
                <w:tab w:val="left" w:pos="-1440"/>
                <w:tab w:val="left" w:pos="-720"/>
              </w:tabs>
            </w:pPr>
          </w:p>
          <w:p w:rsidR="009455FA" w:rsidRPr="009455FA" w:rsidRDefault="009455FA" w:rsidP="009455FA">
            <w:pPr>
              <w:tabs>
                <w:tab w:val="left" w:pos="-1440"/>
                <w:tab w:val="left" w:pos="-720"/>
              </w:tabs>
            </w:pPr>
            <w:r w:rsidRPr="009455FA">
              <w:tab/>
              <w:t>v. (36218)</w:t>
            </w:r>
          </w:p>
          <w:p w:rsidR="009455FA" w:rsidRPr="009455FA" w:rsidRDefault="009455FA" w:rsidP="009455FA">
            <w:pPr>
              <w:tabs>
                <w:tab w:val="left" w:pos="-1440"/>
                <w:tab w:val="left" w:pos="-720"/>
              </w:tabs>
            </w:pPr>
          </w:p>
          <w:p w:rsidR="009455FA" w:rsidRPr="009455FA" w:rsidRDefault="009455FA" w:rsidP="009455FA">
            <w:pPr>
              <w:tabs>
                <w:tab w:val="left" w:pos="-1440"/>
                <w:tab w:val="left" w:pos="-720"/>
              </w:tabs>
            </w:pPr>
            <w:r w:rsidRPr="009455FA">
              <w:t>Lawyers’ Professional Indemnity Company (LAWPRO) et al. (F.C.)</w:t>
            </w:r>
          </w:p>
        </w:tc>
        <w:tc>
          <w:tcPr>
            <w:tcW w:w="1170" w:type="dxa"/>
          </w:tcPr>
          <w:p w:rsidR="009455FA" w:rsidRPr="009455FA" w:rsidRDefault="009455FA" w:rsidP="009455FA">
            <w:pPr>
              <w:jc w:val="both"/>
            </w:pPr>
          </w:p>
        </w:tc>
        <w:tc>
          <w:tcPr>
            <w:tcW w:w="4327" w:type="dxa"/>
          </w:tcPr>
          <w:p w:rsidR="009455FA" w:rsidRPr="009455FA" w:rsidRDefault="009455FA" w:rsidP="009455FA">
            <w:pPr>
              <w:jc w:val="both"/>
            </w:pPr>
          </w:p>
        </w:tc>
      </w:tr>
      <w:tr w:rsidR="009455FA" w:rsidRPr="009455FA" w:rsidTr="00871F47">
        <w:trPr>
          <w:trHeight w:val="150"/>
        </w:trPr>
        <w:tc>
          <w:tcPr>
            <w:tcW w:w="4338" w:type="dxa"/>
          </w:tcPr>
          <w:p w:rsidR="009455FA" w:rsidRPr="009455FA" w:rsidRDefault="009455FA" w:rsidP="009455FA">
            <w:pPr>
              <w:tabs>
                <w:tab w:val="left" w:pos="-1440"/>
                <w:tab w:val="left" w:pos="-720"/>
              </w:tabs>
              <w:jc w:val="both"/>
            </w:pPr>
          </w:p>
          <w:p w:rsidR="009455FA" w:rsidRPr="009455FA" w:rsidRDefault="009455FA" w:rsidP="009455FA">
            <w:pPr>
              <w:tabs>
                <w:tab w:val="left" w:pos="-1440"/>
                <w:tab w:val="left" w:pos="-720"/>
              </w:tabs>
              <w:jc w:val="both"/>
            </w:pPr>
            <w:r w:rsidRPr="009455FA">
              <w:t xml:space="preserve">- and between - </w:t>
            </w:r>
          </w:p>
          <w:p w:rsidR="009455FA" w:rsidRPr="009455FA" w:rsidRDefault="009455FA" w:rsidP="009455FA">
            <w:pPr>
              <w:tabs>
                <w:tab w:val="left" w:pos="-1440"/>
                <w:tab w:val="left" w:pos="-720"/>
              </w:tabs>
              <w:jc w:val="both"/>
            </w:pPr>
          </w:p>
        </w:tc>
        <w:tc>
          <w:tcPr>
            <w:tcW w:w="1170" w:type="dxa"/>
          </w:tcPr>
          <w:p w:rsidR="009455FA" w:rsidRPr="009455FA" w:rsidRDefault="009455FA" w:rsidP="009455FA">
            <w:pPr>
              <w:jc w:val="both"/>
            </w:pPr>
          </w:p>
        </w:tc>
        <w:tc>
          <w:tcPr>
            <w:tcW w:w="4327" w:type="dxa"/>
          </w:tcPr>
          <w:p w:rsidR="009455FA" w:rsidRPr="009455FA" w:rsidRDefault="009455FA" w:rsidP="009455FA">
            <w:pPr>
              <w:jc w:val="both"/>
            </w:pPr>
          </w:p>
        </w:tc>
      </w:tr>
      <w:tr w:rsidR="009455FA" w:rsidRPr="009455FA" w:rsidTr="00871F47">
        <w:trPr>
          <w:trHeight w:val="150"/>
        </w:trPr>
        <w:tc>
          <w:tcPr>
            <w:tcW w:w="4338" w:type="dxa"/>
          </w:tcPr>
          <w:p w:rsidR="009455FA" w:rsidRPr="009455FA" w:rsidRDefault="009455FA" w:rsidP="009455FA">
            <w:pPr>
              <w:tabs>
                <w:tab w:val="left" w:pos="-1440"/>
                <w:tab w:val="left" w:pos="-720"/>
              </w:tabs>
            </w:pPr>
            <w:r w:rsidRPr="009455FA">
              <w:t>Anthony Coote</w:t>
            </w:r>
          </w:p>
          <w:p w:rsidR="009455FA" w:rsidRPr="009455FA" w:rsidRDefault="009455FA" w:rsidP="009455FA">
            <w:pPr>
              <w:tabs>
                <w:tab w:val="left" w:pos="-1440"/>
                <w:tab w:val="left" w:pos="-720"/>
              </w:tabs>
            </w:pPr>
          </w:p>
          <w:p w:rsidR="009455FA" w:rsidRPr="009455FA" w:rsidRDefault="009455FA" w:rsidP="009455FA">
            <w:pPr>
              <w:tabs>
                <w:tab w:val="left" w:pos="-1440"/>
                <w:tab w:val="left" w:pos="-720"/>
              </w:tabs>
            </w:pPr>
            <w:r w:rsidRPr="009455FA">
              <w:tab/>
              <w:t>v. (36226)</w:t>
            </w:r>
          </w:p>
          <w:p w:rsidR="009455FA" w:rsidRPr="009455FA" w:rsidRDefault="009455FA" w:rsidP="009455FA">
            <w:pPr>
              <w:tabs>
                <w:tab w:val="left" w:pos="-1440"/>
                <w:tab w:val="left" w:pos="-720"/>
              </w:tabs>
            </w:pPr>
          </w:p>
          <w:p w:rsidR="009455FA" w:rsidRPr="009455FA" w:rsidRDefault="009455FA" w:rsidP="009455FA">
            <w:pPr>
              <w:tabs>
                <w:tab w:val="left" w:pos="-1440"/>
                <w:tab w:val="left" w:pos="-720"/>
              </w:tabs>
            </w:pPr>
            <w:r w:rsidRPr="009455FA">
              <w:t>Lawyers’ Professional Indemnity Company (LAWPRO) et al. (F.C.)</w:t>
            </w:r>
          </w:p>
        </w:tc>
        <w:tc>
          <w:tcPr>
            <w:tcW w:w="1170" w:type="dxa"/>
          </w:tcPr>
          <w:p w:rsidR="009455FA" w:rsidRPr="009455FA" w:rsidRDefault="009455FA" w:rsidP="009455FA">
            <w:pPr>
              <w:jc w:val="both"/>
            </w:pPr>
          </w:p>
        </w:tc>
        <w:tc>
          <w:tcPr>
            <w:tcW w:w="4327" w:type="dxa"/>
          </w:tcPr>
          <w:p w:rsidR="009455FA" w:rsidRPr="009455FA" w:rsidRDefault="009455FA" w:rsidP="009455FA">
            <w:pPr>
              <w:jc w:val="both"/>
            </w:pPr>
          </w:p>
        </w:tc>
      </w:tr>
      <w:tr w:rsidR="009455FA" w:rsidRPr="009455FA" w:rsidTr="00871F47">
        <w:trPr>
          <w:trHeight w:val="150"/>
        </w:trPr>
        <w:tc>
          <w:tcPr>
            <w:tcW w:w="4338" w:type="dxa"/>
          </w:tcPr>
          <w:p w:rsidR="009455FA" w:rsidRPr="009455FA" w:rsidRDefault="009455FA" w:rsidP="009455FA">
            <w:pPr>
              <w:tabs>
                <w:tab w:val="left" w:pos="-1440"/>
                <w:tab w:val="left" w:pos="-720"/>
              </w:tabs>
              <w:jc w:val="both"/>
            </w:pPr>
          </w:p>
          <w:p w:rsidR="009455FA" w:rsidRPr="009455FA" w:rsidRDefault="009455FA" w:rsidP="009455FA">
            <w:pPr>
              <w:tabs>
                <w:tab w:val="left" w:pos="-1440"/>
                <w:tab w:val="left" w:pos="-720"/>
              </w:tabs>
              <w:jc w:val="both"/>
            </w:pPr>
            <w:r w:rsidRPr="009455FA">
              <w:t xml:space="preserve">- and between - </w:t>
            </w:r>
          </w:p>
          <w:p w:rsidR="009455FA" w:rsidRPr="009455FA" w:rsidRDefault="009455FA" w:rsidP="009455FA">
            <w:pPr>
              <w:tabs>
                <w:tab w:val="left" w:pos="-1440"/>
                <w:tab w:val="left" w:pos="-720"/>
              </w:tabs>
            </w:pPr>
          </w:p>
        </w:tc>
        <w:tc>
          <w:tcPr>
            <w:tcW w:w="1170" w:type="dxa"/>
          </w:tcPr>
          <w:p w:rsidR="009455FA" w:rsidRPr="009455FA" w:rsidRDefault="009455FA" w:rsidP="009455FA">
            <w:pPr>
              <w:jc w:val="both"/>
            </w:pPr>
          </w:p>
        </w:tc>
        <w:tc>
          <w:tcPr>
            <w:tcW w:w="4327" w:type="dxa"/>
          </w:tcPr>
          <w:p w:rsidR="009455FA" w:rsidRPr="009455FA" w:rsidRDefault="009455FA" w:rsidP="009455FA">
            <w:pPr>
              <w:jc w:val="both"/>
            </w:pPr>
          </w:p>
        </w:tc>
      </w:tr>
      <w:tr w:rsidR="009455FA" w:rsidRPr="009455FA" w:rsidTr="00871F47">
        <w:trPr>
          <w:trHeight w:val="150"/>
        </w:trPr>
        <w:tc>
          <w:tcPr>
            <w:tcW w:w="4338" w:type="dxa"/>
          </w:tcPr>
          <w:p w:rsidR="009455FA" w:rsidRPr="009455FA" w:rsidRDefault="009455FA" w:rsidP="009455FA">
            <w:pPr>
              <w:tabs>
                <w:tab w:val="left" w:pos="-1440"/>
                <w:tab w:val="left" w:pos="-720"/>
              </w:tabs>
              <w:rPr>
                <w:lang w:val="fr-CA"/>
              </w:rPr>
            </w:pPr>
            <w:r w:rsidRPr="009455FA">
              <w:rPr>
                <w:lang w:val="fr-CA"/>
              </w:rPr>
              <w:t>Anthony Coote</w:t>
            </w:r>
          </w:p>
          <w:p w:rsidR="009455FA" w:rsidRPr="009455FA" w:rsidRDefault="009455FA" w:rsidP="009455FA">
            <w:pPr>
              <w:tabs>
                <w:tab w:val="left" w:pos="-1440"/>
                <w:tab w:val="left" w:pos="-720"/>
              </w:tabs>
              <w:rPr>
                <w:lang w:val="fr-CA"/>
              </w:rPr>
            </w:pPr>
          </w:p>
          <w:p w:rsidR="009455FA" w:rsidRPr="009455FA" w:rsidRDefault="009455FA" w:rsidP="009455FA">
            <w:pPr>
              <w:tabs>
                <w:tab w:val="left" w:pos="-1440"/>
                <w:tab w:val="left" w:pos="-720"/>
              </w:tabs>
              <w:rPr>
                <w:lang w:val="fr-CA"/>
              </w:rPr>
            </w:pPr>
            <w:r w:rsidRPr="009455FA">
              <w:rPr>
                <w:lang w:val="fr-CA"/>
              </w:rPr>
              <w:tab/>
              <w:t>v. (36243)</w:t>
            </w:r>
          </w:p>
          <w:p w:rsidR="009455FA" w:rsidRPr="009455FA" w:rsidRDefault="009455FA" w:rsidP="009455FA">
            <w:pPr>
              <w:tabs>
                <w:tab w:val="left" w:pos="-1440"/>
                <w:tab w:val="left" w:pos="-720"/>
              </w:tabs>
              <w:rPr>
                <w:lang w:val="fr-CA"/>
              </w:rPr>
            </w:pPr>
          </w:p>
          <w:p w:rsidR="009455FA" w:rsidRPr="009455FA" w:rsidRDefault="009455FA" w:rsidP="009455FA">
            <w:pPr>
              <w:tabs>
                <w:tab w:val="left" w:pos="-1440"/>
                <w:tab w:val="left" w:pos="-720"/>
              </w:tabs>
            </w:pPr>
            <w:r w:rsidRPr="009455FA">
              <w:rPr>
                <w:lang w:val="fr-CA"/>
              </w:rPr>
              <w:t xml:space="preserve">J. Norris Ormston et al. </w:t>
            </w:r>
            <w:r w:rsidRPr="009455FA">
              <w:t>(F.C.)</w:t>
            </w:r>
          </w:p>
        </w:tc>
        <w:tc>
          <w:tcPr>
            <w:tcW w:w="1170" w:type="dxa"/>
          </w:tcPr>
          <w:p w:rsidR="009455FA" w:rsidRPr="009455FA" w:rsidRDefault="009455FA" w:rsidP="009455FA">
            <w:pPr>
              <w:jc w:val="both"/>
            </w:pPr>
          </w:p>
        </w:tc>
        <w:tc>
          <w:tcPr>
            <w:tcW w:w="4327" w:type="dxa"/>
          </w:tcPr>
          <w:p w:rsidR="009455FA" w:rsidRPr="009455FA" w:rsidRDefault="009455FA" w:rsidP="009455FA">
            <w:pPr>
              <w:jc w:val="both"/>
            </w:pPr>
          </w:p>
        </w:tc>
      </w:tr>
      <w:tr w:rsidR="009455FA" w:rsidRPr="009455FA" w:rsidTr="00871F47">
        <w:trPr>
          <w:trHeight w:val="150"/>
        </w:trPr>
        <w:tc>
          <w:tcPr>
            <w:tcW w:w="4338" w:type="dxa"/>
          </w:tcPr>
          <w:p w:rsidR="009455FA" w:rsidRPr="009455FA" w:rsidRDefault="009455FA" w:rsidP="009455FA">
            <w:pPr>
              <w:tabs>
                <w:tab w:val="left" w:pos="-1440"/>
                <w:tab w:val="left" w:pos="-720"/>
              </w:tabs>
              <w:jc w:val="both"/>
            </w:pPr>
          </w:p>
          <w:p w:rsidR="009455FA" w:rsidRPr="009455FA" w:rsidRDefault="009455FA" w:rsidP="009455FA">
            <w:pPr>
              <w:tabs>
                <w:tab w:val="left" w:pos="-1440"/>
                <w:tab w:val="left" w:pos="-720"/>
              </w:tabs>
              <w:jc w:val="both"/>
            </w:pPr>
            <w:r w:rsidRPr="009455FA">
              <w:t xml:space="preserve">- and between - </w:t>
            </w:r>
          </w:p>
          <w:p w:rsidR="009455FA" w:rsidRPr="009455FA" w:rsidRDefault="009455FA" w:rsidP="009455FA">
            <w:pPr>
              <w:tabs>
                <w:tab w:val="left" w:pos="-1440"/>
                <w:tab w:val="left" w:pos="-720"/>
              </w:tabs>
            </w:pPr>
          </w:p>
        </w:tc>
        <w:tc>
          <w:tcPr>
            <w:tcW w:w="1170" w:type="dxa"/>
          </w:tcPr>
          <w:p w:rsidR="009455FA" w:rsidRPr="009455FA" w:rsidRDefault="009455FA" w:rsidP="009455FA">
            <w:pPr>
              <w:jc w:val="both"/>
            </w:pPr>
          </w:p>
        </w:tc>
        <w:tc>
          <w:tcPr>
            <w:tcW w:w="4327" w:type="dxa"/>
          </w:tcPr>
          <w:p w:rsidR="009455FA" w:rsidRPr="009455FA" w:rsidRDefault="009455FA" w:rsidP="009455FA">
            <w:pPr>
              <w:jc w:val="both"/>
            </w:pPr>
          </w:p>
        </w:tc>
      </w:tr>
      <w:tr w:rsidR="009455FA" w:rsidRPr="009455FA" w:rsidTr="00871F47">
        <w:trPr>
          <w:trHeight w:val="150"/>
        </w:trPr>
        <w:tc>
          <w:tcPr>
            <w:tcW w:w="4338" w:type="dxa"/>
          </w:tcPr>
          <w:p w:rsidR="009455FA" w:rsidRPr="009455FA" w:rsidRDefault="009455FA" w:rsidP="009455FA">
            <w:pPr>
              <w:tabs>
                <w:tab w:val="left" w:pos="-1440"/>
                <w:tab w:val="left" w:pos="-720"/>
              </w:tabs>
            </w:pPr>
            <w:r w:rsidRPr="009455FA">
              <w:t>Anthony Coote</w:t>
            </w:r>
          </w:p>
          <w:p w:rsidR="009455FA" w:rsidRPr="009455FA" w:rsidRDefault="009455FA" w:rsidP="009455FA">
            <w:pPr>
              <w:tabs>
                <w:tab w:val="left" w:pos="-1440"/>
                <w:tab w:val="left" w:pos="-720"/>
              </w:tabs>
            </w:pPr>
          </w:p>
          <w:p w:rsidR="009455FA" w:rsidRPr="009455FA" w:rsidRDefault="009455FA" w:rsidP="009455FA">
            <w:pPr>
              <w:tabs>
                <w:tab w:val="left" w:pos="-1440"/>
                <w:tab w:val="left" w:pos="-720"/>
              </w:tabs>
            </w:pPr>
            <w:r w:rsidRPr="009455FA">
              <w:tab/>
              <w:t>v. (36249)</w:t>
            </w:r>
          </w:p>
          <w:p w:rsidR="009455FA" w:rsidRPr="009455FA" w:rsidRDefault="009455FA" w:rsidP="009455FA">
            <w:pPr>
              <w:tabs>
                <w:tab w:val="left" w:pos="-1440"/>
                <w:tab w:val="left" w:pos="-720"/>
              </w:tabs>
            </w:pPr>
          </w:p>
          <w:p w:rsidR="009455FA" w:rsidRPr="009455FA" w:rsidRDefault="009455FA" w:rsidP="009455FA">
            <w:pPr>
              <w:tabs>
                <w:tab w:val="left" w:pos="-1440"/>
                <w:tab w:val="left" w:pos="-720"/>
              </w:tabs>
              <w:jc w:val="both"/>
            </w:pPr>
            <w:r w:rsidRPr="009455FA">
              <w:rPr>
                <w:lang w:val="fr-CA"/>
              </w:rPr>
              <w:t xml:space="preserve">Sandra Theroulde et al. </w:t>
            </w:r>
            <w:r w:rsidRPr="009455FA">
              <w:t>(F.C.)</w:t>
            </w:r>
          </w:p>
        </w:tc>
        <w:tc>
          <w:tcPr>
            <w:tcW w:w="1170" w:type="dxa"/>
          </w:tcPr>
          <w:p w:rsidR="009455FA" w:rsidRPr="009455FA" w:rsidRDefault="009455FA" w:rsidP="009455FA">
            <w:pPr>
              <w:jc w:val="both"/>
            </w:pPr>
          </w:p>
        </w:tc>
        <w:tc>
          <w:tcPr>
            <w:tcW w:w="4327" w:type="dxa"/>
          </w:tcPr>
          <w:p w:rsidR="009455FA" w:rsidRPr="009455FA" w:rsidRDefault="009455FA" w:rsidP="009455FA">
            <w:pPr>
              <w:jc w:val="both"/>
            </w:pPr>
          </w:p>
        </w:tc>
      </w:tr>
    </w:tbl>
    <w:p w:rsidR="009455FA" w:rsidRPr="009455FA" w:rsidRDefault="009455FA" w:rsidP="009455FA">
      <w:pPr>
        <w:tabs>
          <w:tab w:val="left" w:pos="-1440"/>
          <w:tab w:val="left" w:pos="-720"/>
        </w:tabs>
        <w:jc w:val="both"/>
        <w:rPr>
          <w:rFonts w:eastAsia="Times New Roman" w:cs="Times New Roman"/>
          <w:sz w:val="20"/>
          <w:szCs w:val="20"/>
          <w:lang w:val="en-US" w:eastAsia="en-CA"/>
        </w:rPr>
      </w:pPr>
    </w:p>
    <w:p w:rsidR="009455FA" w:rsidRPr="009455FA" w:rsidRDefault="009455FA" w:rsidP="009455FA">
      <w:pPr>
        <w:tabs>
          <w:tab w:val="left" w:pos="-1440"/>
          <w:tab w:val="left" w:pos="-720"/>
        </w:tabs>
        <w:jc w:val="both"/>
        <w:rPr>
          <w:rFonts w:eastAsia="Times New Roman" w:cs="Times New Roman"/>
          <w:sz w:val="20"/>
          <w:szCs w:val="20"/>
          <w:lang w:val="en-US" w:eastAsia="en-CA"/>
        </w:rPr>
      </w:pPr>
      <w:r w:rsidRPr="009455FA">
        <w:rPr>
          <w:rFonts w:eastAsia="Times New Roman" w:cs="Times New Roman"/>
          <w:b/>
          <w:sz w:val="20"/>
          <w:szCs w:val="20"/>
          <w:lang w:val="en-US" w:eastAsia="en-CA"/>
        </w:rPr>
        <w:t>DISMISSED / REJETÉES</w:t>
      </w:r>
    </w:p>
    <w:p w:rsidR="009455FA" w:rsidRPr="009455FA" w:rsidRDefault="009455FA" w:rsidP="009455FA">
      <w:pPr>
        <w:tabs>
          <w:tab w:val="left" w:pos="-1440"/>
          <w:tab w:val="left" w:pos="-720"/>
        </w:tabs>
        <w:jc w:val="both"/>
        <w:rPr>
          <w:rFonts w:eastAsia="Times New Roman" w:cs="Times New Roman"/>
          <w:sz w:val="20"/>
          <w:szCs w:val="20"/>
          <w:lang w:val="en-US" w:eastAsia="en-CA"/>
        </w:rPr>
      </w:pPr>
    </w:p>
    <w:p w:rsidR="009455FA" w:rsidRPr="009455FA" w:rsidRDefault="009455FA" w:rsidP="009455FA">
      <w:pPr>
        <w:widowControl w:val="0"/>
        <w:autoSpaceDE w:val="0"/>
        <w:autoSpaceDN w:val="0"/>
        <w:adjustRightInd w:val="0"/>
        <w:jc w:val="both"/>
        <w:rPr>
          <w:rFonts w:eastAsiaTheme="minorEastAsia" w:cs="Times New Roman"/>
          <w:sz w:val="20"/>
          <w:szCs w:val="20"/>
          <w:lang w:val="en-US"/>
        </w:rPr>
      </w:pPr>
      <w:r w:rsidRPr="009455FA">
        <w:rPr>
          <w:rFonts w:eastAsiaTheme="minorEastAsia" w:cs="Times New Roman"/>
          <w:b/>
          <w:sz w:val="20"/>
          <w:szCs w:val="20"/>
          <w:lang w:val="en-US"/>
        </w:rPr>
        <w:t xml:space="preserve">UPON MOTIONS </w:t>
      </w:r>
      <w:r w:rsidRPr="009455FA">
        <w:rPr>
          <w:rFonts w:eastAsiaTheme="minorEastAsia" w:cs="Times New Roman"/>
          <w:sz w:val="20"/>
          <w:szCs w:val="20"/>
          <w:lang w:val="en-US"/>
        </w:rPr>
        <w:t xml:space="preserve">by Mr. Coote to set aside, quash or invalidate the Notice of Request – Vexatious Proceeding issued by the Deputy Registrar on May 28, 2015, pursuant to Rule 67 of the </w:t>
      </w:r>
      <w:r w:rsidRPr="009455FA">
        <w:rPr>
          <w:rFonts w:eastAsiaTheme="minorEastAsia" w:cs="Times New Roman"/>
          <w:i/>
          <w:sz w:val="20"/>
          <w:szCs w:val="20"/>
          <w:lang w:val="en-US"/>
        </w:rPr>
        <w:t>Rules of the Supreme Court of Canada</w:t>
      </w:r>
      <w:r w:rsidRPr="009455FA">
        <w:rPr>
          <w:rFonts w:eastAsiaTheme="minorEastAsia" w:cs="Times New Roman"/>
          <w:sz w:val="20"/>
          <w:szCs w:val="20"/>
          <w:lang w:val="en-US"/>
        </w:rPr>
        <w:t xml:space="preserve">; </w:t>
      </w:r>
    </w:p>
    <w:p w:rsidR="009455FA" w:rsidRPr="009455FA" w:rsidRDefault="009455FA" w:rsidP="009455FA">
      <w:pPr>
        <w:widowControl w:val="0"/>
        <w:autoSpaceDE w:val="0"/>
        <w:autoSpaceDN w:val="0"/>
        <w:adjustRightInd w:val="0"/>
        <w:jc w:val="both"/>
        <w:rPr>
          <w:rFonts w:eastAsiaTheme="minorEastAsia" w:cs="Times New Roman"/>
          <w:b/>
          <w:sz w:val="20"/>
          <w:szCs w:val="20"/>
          <w:lang w:val="en-US"/>
        </w:rPr>
      </w:pPr>
    </w:p>
    <w:p w:rsidR="009455FA" w:rsidRPr="009455FA" w:rsidRDefault="009455FA" w:rsidP="009455FA">
      <w:pPr>
        <w:widowControl w:val="0"/>
        <w:autoSpaceDE w:val="0"/>
        <w:autoSpaceDN w:val="0"/>
        <w:adjustRightInd w:val="0"/>
        <w:jc w:val="both"/>
        <w:rPr>
          <w:rFonts w:eastAsiaTheme="minorEastAsia" w:cs="Times New Roman"/>
          <w:b/>
          <w:sz w:val="20"/>
          <w:szCs w:val="20"/>
          <w:lang w:val="en-US"/>
        </w:rPr>
      </w:pPr>
      <w:r w:rsidRPr="009455FA">
        <w:rPr>
          <w:rFonts w:eastAsiaTheme="minorEastAsia" w:cs="Times New Roman"/>
          <w:b/>
          <w:sz w:val="20"/>
          <w:szCs w:val="20"/>
          <w:lang w:val="en-US"/>
        </w:rPr>
        <w:t xml:space="preserve">AND THE MATERIAL FILED </w:t>
      </w:r>
      <w:r w:rsidRPr="009455FA">
        <w:rPr>
          <w:rFonts w:eastAsiaTheme="minorEastAsia" w:cs="Times New Roman"/>
          <w:sz w:val="20"/>
          <w:szCs w:val="20"/>
          <w:lang w:val="en-US"/>
        </w:rPr>
        <w:t>having been read;</w:t>
      </w:r>
    </w:p>
    <w:p w:rsidR="009455FA" w:rsidRDefault="009455FA">
      <w:pPr>
        <w:rPr>
          <w:rFonts w:eastAsiaTheme="minorEastAsia" w:cs="Times New Roman"/>
          <w:b/>
          <w:sz w:val="20"/>
          <w:szCs w:val="20"/>
          <w:lang w:val="en-US"/>
        </w:rPr>
      </w:pPr>
    </w:p>
    <w:p w:rsidR="009455FA" w:rsidRDefault="009455FA">
      <w:pPr>
        <w:rPr>
          <w:rFonts w:eastAsiaTheme="minorEastAsia" w:cs="Times New Roman"/>
          <w:b/>
          <w:sz w:val="20"/>
          <w:szCs w:val="20"/>
          <w:lang w:val="en-US"/>
        </w:rPr>
      </w:pPr>
      <w:r>
        <w:rPr>
          <w:rFonts w:eastAsiaTheme="minorEastAsia" w:cs="Times New Roman"/>
          <w:b/>
          <w:sz w:val="20"/>
          <w:szCs w:val="20"/>
          <w:lang w:val="en-US"/>
        </w:rPr>
        <w:br w:type="page"/>
      </w:r>
    </w:p>
    <w:p w:rsidR="009455FA" w:rsidRPr="009455FA" w:rsidRDefault="009455FA" w:rsidP="009455FA">
      <w:pPr>
        <w:widowControl w:val="0"/>
        <w:autoSpaceDE w:val="0"/>
        <w:autoSpaceDN w:val="0"/>
        <w:adjustRightInd w:val="0"/>
        <w:jc w:val="both"/>
        <w:rPr>
          <w:rFonts w:eastAsiaTheme="minorEastAsia" w:cs="Times New Roman"/>
          <w:sz w:val="20"/>
          <w:szCs w:val="20"/>
          <w:lang w:val="en-US"/>
        </w:rPr>
      </w:pPr>
      <w:r w:rsidRPr="009455FA">
        <w:rPr>
          <w:rFonts w:eastAsiaTheme="minorEastAsia" w:cs="Times New Roman"/>
          <w:b/>
          <w:sz w:val="20"/>
          <w:szCs w:val="20"/>
          <w:lang w:val="en-US"/>
        </w:rPr>
        <w:lastRenderedPageBreak/>
        <w:t>IT IS HEREBY ORDERED THAT:</w:t>
      </w:r>
    </w:p>
    <w:p w:rsidR="009455FA" w:rsidRPr="009455FA" w:rsidRDefault="009455FA" w:rsidP="009455FA">
      <w:pPr>
        <w:widowControl w:val="0"/>
        <w:autoSpaceDE w:val="0"/>
        <w:autoSpaceDN w:val="0"/>
        <w:adjustRightInd w:val="0"/>
        <w:ind w:left="1065"/>
        <w:contextualSpacing/>
        <w:jc w:val="both"/>
        <w:rPr>
          <w:rFonts w:eastAsiaTheme="minorEastAsia" w:cs="Times New Roman"/>
          <w:bCs/>
          <w:sz w:val="20"/>
          <w:szCs w:val="20"/>
          <w:lang w:val="en-US"/>
        </w:rPr>
      </w:pPr>
    </w:p>
    <w:p w:rsidR="009455FA" w:rsidRPr="009455FA" w:rsidRDefault="009455FA" w:rsidP="009455FA">
      <w:pPr>
        <w:widowControl w:val="0"/>
        <w:autoSpaceDE w:val="0"/>
        <w:autoSpaceDN w:val="0"/>
        <w:adjustRightInd w:val="0"/>
        <w:ind w:left="720"/>
        <w:contextualSpacing/>
        <w:jc w:val="both"/>
        <w:rPr>
          <w:rFonts w:eastAsiaTheme="minorEastAsia" w:cs="Times New Roman"/>
          <w:bCs/>
          <w:sz w:val="20"/>
          <w:szCs w:val="20"/>
          <w:lang w:val="fr-CA"/>
        </w:rPr>
      </w:pPr>
      <w:r w:rsidRPr="009455FA">
        <w:rPr>
          <w:rFonts w:eastAsiaTheme="minorEastAsia" w:cs="Times New Roman"/>
          <w:bCs/>
          <w:sz w:val="20"/>
          <w:szCs w:val="20"/>
          <w:lang w:val="fr-CA"/>
        </w:rPr>
        <w:t xml:space="preserve">The motions are dismissed. </w:t>
      </w:r>
    </w:p>
    <w:p w:rsidR="009455FA" w:rsidRPr="009455FA" w:rsidRDefault="009455FA" w:rsidP="009455FA">
      <w:pPr>
        <w:widowControl w:val="0"/>
        <w:autoSpaceDE w:val="0"/>
        <w:autoSpaceDN w:val="0"/>
        <w:adjustRightInd w:val="0"/>
        <w:contextualSpacing/>
        <w:jc w:val="both"/>
        <w:rPr>
          <w:rFonts w:eastAsia="PMingLiU" w:cs="Times New Roman"/>
          <w:sz w:val="20"/>
          <w:szCs w:val="20"/>
          <w:lang w:val="fr-CA"/>
        </w:rPr>
      </w:pPr>
    </w:p>
    <w:p w:rsidR="009455FA" w:rsidRPr="009455FA" w:rsidRDefault="009455FA" w:rsidP="009455FA">
      <w:pPr>
        <w:widowControl w:val="0"/>
        <w:autoSpaceDE w:val="0"/>
        <w:autoSpaceDN w:val="0"/>
        <w:adjustRightInd w:val="0"/>
        <w:contextualSpacing/>
        <w:jc w:val="both"/>
        <w:rPr>
          <w:rFonts w:eastAsia="PMingLiU" w:cs="Times New Roman"/>
          <w:sz w:val="20"/>
          <w:szCs w:val="20"/>
          <w:lang w:val="fr-CA"/>
        </w:rPr>
      </w:pPr>
    </w:p>
    <w:p w:rsidR="009455FA" w:rsidRPr="009455FA" w:rsidRDefault="009455FA" w:rsidP="009455FA">
      <w:pPr>
        <w:widowControl w:val="0"/>
        <w:autoSpaceDE w:val="0"/>
        <w:autoSpaceDN w:val="0"/>
        <w:adjustRightInd w:val="0"/>
        <w:contextualSpacing/>
        <w:jc w:val="both"/>
        <w:rPr>
          <w:rFonts w:eastAsia="PMingLiU" w:cs="Times New Roman"/>
          <w:sz w:val="20"/>
          <w:szCs w:val="20"/>
          <w:lang w:val="fr-CA"/>
        </w:rPr>
      </w:pPr>
    </w:p>
    <w:p w:rsidR="009455FA" w:rsidRPr="009455FA" w:rsidRDefault="009455FA" w:rsidP="009455FA">
      <w:pPr>
        <w:widowControl w:val="0"/>
        <w:autoSpaceDE w:val="0"/>
        <w:autoSpaceDN w:val="0"/>
        <w:adjustRightInd w:val="0"/>
        <w:jc w:val="both"/>
        <w:rPr>
          <w:rFonts w:eastAsia="PMingLiU" w:cs="Times New Roman"/>
          <w:sz w:val="20"/>
          <w:szCs w:val="20"/>
          <w:lang w:val="fr-CA"/>
        </w:rPr>
      </w:pPr>
      <w:r w:rsidRPr="009455FA">
        <w:rPr>
          <w:rFonts w:eastAsia="PMingLiU" w:cs="Times New Roman"/>
          <w:b/>
          <w:sz w:val="20"/>
          <w:szCs w:val="20"/>
          <w:lang w:val="fr-CA"/>
        </w:rPr>
        <w:t>À LA SUITE DES REQUÊTES</w:t>
      </w:r>
      <w:r w:rsidRPr="009455FA">
        <w:rPr>
          <w:rFonts w:eastAsia="PMingLiU" w:cs="Times New Roman"/>
          <w:sz w:val="20"/>
          <w:szCs w:val="20"/>
          <w:lang w:val="fr-CA"/>
        </w:rPr>
        <w:t xml:space="preserve"> présentées par M. Coote visant à faire annuler ou invalider le Préavis (Procédure vexatoire) envoyé par le registraire adjoint le 28 mai 2015, en application de l’art. 67 des </w:t>
      </w:r>
      <w:r w:rsidRPr="009455FA">
        <w:rPr>
          <w:rFonts w:eastAsia="PMingLiU" w:cs="Times New Roman"/>
          <w:i/>
          <w:sz w:val="20"/>
          <w:szCs w:val="20"/>
          <w:lang w:val="fr-CA"/>
        </w:rPr>
        <w:t>Règles de la Cour suprême du Canada</w:t>
      </w:r>
      <w:r w:rsidRPr="009455FA">
        <w:rPr>
          <w:rFonts w:eastAsia="PMingLiU" w:cs="Times New Roman"/>
          <w:sz w:val="20"/>
          <w:szCs w:val="20"/>
          <w:lang w:val="fr-CA"/>
        </w:rPr>
        <w:t>;</w:t>
      </w:r>
    </w:p>
    <w:p w:rsidR="009455FA" w:rsidRPr="009455FA" w:rsidRDefault="009455FA" w:rsidP="009455FA">
      <w:pPr>
        <w:widowControl w:val="0"/>
        <w:autoSpaceDE w:val="0"/>
        <w:autoSpaceDN w:val="0"/>
        <w:adjustRightInd w:val="0"/>
        <w:jc w:val="both"/>
        <w:rPr>
          <w:rFonts w:eastAsia="PMingLiU" w:cs="Times New Roman"/>
          <w:sz w:val="20"/>
          <w:szCs w:val="20"/>
          <w:lang w:val="fr-CA"/>
        </w:rPr>
      </w:pPr>
    </w:p>
    <w:p w:rsidR="009455FA" w:rsidRPr="009455FA" w:rsidRDefault="009455FA" w:rsidP="009455FA">
      <w:pPr>
        <w:widowControl w:val="0"/>
        <w:autoSpaceDE w:val="0"/>
        <w:autoSpaceDN w:val="0"/>
        <w:adjustRightInd w:val="0"/>
        <w:jc w:val="both"/>
        <w:rPr>
          <w:rFonts w:eastAsia="PMingLiU" w:cs="Times New Roman"/>
          <w:sz w:val="20"/>
          <w:szCs w:val="20"/>
          <w:lang w:val="fr-CA"/>
        </w:rPr>
      </w:pPr>
      <w:r w:rsidRPr="009455FA">
        <w:rPr>
          <w:rFonts w:eastAsia="PMingLiU" w:cs="Times New Roman"/>
          <w:b/>
          <w:sz w:val="20"/>
          <w:szCs w:val="20"/>
          <w:lang w:val="fr-CA"/>
        </w:rPr>
        <w:t>ET APRÈS EXAMEN</w:t>
      </w:r>
      <w:r w:rsidRPr="009455FA">
        <w:rPr>
          <w:rFonts w:eastAsia="PMingLiU" w:cs="Times New Roman"/>
          <w:sz w:val="20"/>
          <w:szCs w:val="20"/>
          <w:lang w:val="fr-CA"/>
        </w:rPr>
        <w:t xml:space="preserve"> des documents déposés;</w:t>
      </w:r>
    </w:p>
    <w:p w:rsidR="009455FA" w:rsidRPr="009455FA" w:rsidRDefault="009455FA" w:rsidP="009455FA">
      <w:pPr>
        <w:widowControl w:val="0"/>
        <w:autoSpaceDE w:val="0"/>
        <w:autoSpaceDN w:val="0"/>
        <w:adjustRightInd w:val="0"/>
        <w:jc w:val="both"/>
        <w:rPr>
          <w:rFonts w:eastAsia="PMingLiU" w:cs="Times New Roman"/>
          <w:sz w:val="20"/>
          <w:szCs w:val="20"/>
          <w:lang w:val="fr-CA"/>
        </w:rPr>
      </w:pPr>
    </w:p>
    <w:p w:rsidR="009455FA" w:rsidRPr="009455FA" w:rsidRDefault="009455FA" w:rsidP="009455FA">
      <w:pPr>
        <w:widowControl w:val="0"/>
        <w:autoSpaceDE w:val="0"/>
        <w:autoSpaceDN w:val="0"/>
        <w:adjustRightInd w:val="0"/>
        <w:jc w:val="both"/>
        <w:rPr>
          <w:rFonts w:eastAsia="PMingLiU" w:cs="Times New Roman"/>
          <w:b/>
          <w:sz w:val="20"/>
          <w:szCs w:val="20"/>
          <w:lang w:val="fr-CA"/>
        </w:rPr>
      </w:pPr>
      <w:r w:rsidRPr="009455FA">
        <w:rPr>
          <w:rFonts w:eastAsia="PMingLiU" w:cs="Times New Roman"/>
          <w:b/>
          <w:sz w:val="20"/>
          <w:szCs w:val="20"/>
          <w:lang w:val="fr-CA"/>
        </w:rPr>
        <w:t>IL EST ORDONNÉ CE QUI SUIT :</w:t>
      </w:r>
    </w:p>
    <w:p w:rsidR="009455FA" w:rsidRPr="009455FA" w:rsidRDefault="009455FA" w:rsidP="009455FA">
      <w:pPr>
        <w:widowControl w:val="0"/>
        <w:autoSpaceDE w:val="0"/>
        <w:autoSpaceDN w:val="0"/>
        <w:adjustRightInd w:val="0"/>
        <w:ind w:left="720"/>
        <w:contextualSpacing/>
        <w:jc w:val="both"/>
        <w:rPr>
          <w:rFonts w:eastAsia="PMingLiU" w:cs="Times New Roman"/>
          <w:sz w:val="20"/>
          <w:szCs w:val="20"/>
          <w:lang w:val="fr-CA"/>
        </w:rPr>
      </w:pPr>
    </w:p>
    <w:p w:rsidR="009455FA" w:rsidRPr="009455FA" w:rsidRDefault="009455FA" w:rsidP="009455FA">
      <w:pPr>
        <w:widowControl w:val="0"/>
        <w:autoSpaceDE w:val="0"/>
        <w:autoSpaceDN w:val="0"/>
        <w:adjustRightInd w:val="0"/>
        <w:ind w:left="720"/>
        <w:contextualSpacing/>
        <w:jc w:val="both"/>
        <w:rPr>
          <w:rFonts w:eastAsia="PMingLiU" w:cs="Times New Roman"/>
          <w:sz w:val="20"/>
          <w:szCs w:val="20"/>
          <w:lang w:val="fr-CA"/>
        </w:rPr>
      </w:pPr>
      <w:r w:rsidRPr="009455FA">
        <w:rPr>
          <w:rFonts w:eastAsia="PMingLiU" w:cs="Times New Roman"/>
          <w:sz w:val="20"/>
          <w:szCs w:val="20"/>
          <w:lang w:val="fr-CA"/>
        </w:rPr>
        <w:t>Les requêtes sont rejetées.</w:t>
      </w:r>
    </w:p>
    <w:p w:rsidR="009455FA" w:rsidRPr="009455FA" w:rsidRDefault="009455FA" w:rsidP="009455FA">
      <w:pPr>
        <w:tabs>
          <w:tab w:val="left" w:pos="-1440"/>
          <w:tab w:val="left" w:pos="-720"/>
        </w:tabs>
        <w:jc w:val="both"/>
        <w:rPr>
          <w:rFonts w:eastAsia="Times New Roman" w:cs="Times New Roman"/>
          <w:sz w:val="20"/>
          <w:szCs w:val="20"/>
          <w:lang w:val="en-US" w:eastAsia="en-CA"/>
        </w:rPr>
      </w:pPr>
    </w:p>
    <w:p w:rsidR="009455FA" w:rsidRPr="009455FA" w:rsidRDefault="00310DA4" w:rsidP="009455FA">
      <w:pPr>
        <w:tabs>
          <w:tab w:val="left" w:pos="-1440"/>
          <w:tab w:val="left" w:pos="-720"/>
        </w:tabs>
        <w:jc w:val="both"/>
        <w:rPr>
          <w:rFonts w:eastAsia="Times New Roman" w:cs="Times New Roman"/>
          <w:sz w:val="20"/>
          <w:szCs w:val="20"/>
          <w:lang w:val="en-US" w:eastAsia="en-CA"/>
        </w:rPr>
      </w:pPr>
      <w:r>
        <w:rPr>
          <w:rFonts w:eastAsia="Times New Roman" w:cs="Times New Roman"/>
          <w:sz w:val="20"/>
          <w:szCs w:val="20"/>
          <w:lang w:val="fr-CA" w:eastAsia="en-CA"/>
        </w:rPr>
        <w:pict>
          <v:rect id="_x0000_i1056" style="width:2in;height:1pt" o:hrpct="0" o:hralign="center" o:hrstd="t" o:hrnoshade="t" o:hr="t" fillcolor="black [3213]" stroked="f"/>
        </w:pict>
      </w:r>
    </w:p>
    <w:p w:rsidR="009455FA" w:rsidRPr="009455FA" w:rsidRDefault="009455FA" w:rsidP="009455FA">
      <w:pPr>
        <w:tabs>
          <w:tab w:val="left" w:pos="-1440"/>
          <w:tab w:val="left" w:pos="-720"/>
        </w:tabs>
        <w:jc w:val="both"/>
        <w:rPr>
          <w:rFonts w:eastAsia="Times New Roman" w:cs="Times New Roman"/>
          <w:sz w:val="20"/>
          <w:szCs w:val="20"/>
          <w:lang w:val="en-US" w:eastAsia="en-CA"/>
        </w:rPr>
      </w:pPr>
    </w:p>
    <w:p w:rsidR="009455FA" w:rsidRPr="009455FA" w:rsidRDefault="009455FA" w:rsidP="009455FA">
      <w:pPr>
        <w:tabs>
          <w:tab w:val="left" w:pos="-1440"/>
          <w:tab w:val="left" w:pos="-720"/>
        </w:tabs>
        <w:jc w:val="both"/>
        <w:rPr>
          <w:rFonts w:eastAsia="Times New Roman" w:cs="Times New Roman"/>
          <w:sz w:val="20"/>
          <w:szCs w:val="20"/>
          <w:lang w:val="fr-CA" w:eastAsia="en-CA"/>
        </w:rPr>
      </w:pPr>
      <w:r w:rsidRPr="009455FA">
        <w:rPr>
          <w:rFonts w:eastAsia="Times New Roman" w:cs="Times New Roman"/>
          <w:sz w:val="20"/>
          <w:szCs w:val="20"/>
          <w:lang w:val="fr-CA" w:eastAsia="en-CA"/>
        </w:rPr>
        <w:t>14.07.2015</w:t>
      </w:r>
    </w:p>
    <w:p w:rsidR="009455FA" w:rsidRPr="009455FA" w:rsidRDefault="009455FA" w:rsidP="009455FA">
      <w:pPr>
        <w:tabs>
          <w:tab w:val="left" w:pos="-1440"/>
          <w:tab w:val="left" w:pos="-720"/>
        </w:tabs>
        <w:jc w:val="both"/>
        <w:rPr>
          <w:rFonts w:eastAsia="Times New Roman" w:cs="Times New Roman"/>
          <w:sz w:val="20"/>
          <w:szCs w:val="20"/>
          <w:lang w:val="fr-CA" w:eastAsia="en-CA"/>
        </w:rPr>
      </w:pPr>
    </w:p>
    <w:p w:rsidR="009455FA" w:rsidRPr="009455FA" w:rsidRDefault="009455FA" w:rsidP="009455FA">
      <w:pPr>
        <w:tabs>
          <w:tab w:val="left" w:pos="-1440"/>
          <w:tab w:val="left" w:pos="-720"/>
        </w:tabs>
        <w:jc w:val="both"/>
        <w:rPr>
          <w:rFonts w:eastAsia="Times New Roman" w:cs="Times New Roman"/>
          <w:sz w:val="20"/>
          <w:szCs w:val="20"/>
          <w:lang w:val="fr-CA" w:eastAsia="en-CA"/>
        </w:rPr>
      </w:pPr>
      <w:r w:rsidRPr="009455FA">
        <w:rPr>
          <w:rFonts w:eastAsia="Times New Roman" w:cs="Times New Roman"/>
          <w:sz w:val="20"/>
          <w:szCs w:val="20"/>
          <w:lang w:val="fr-CA" w:eastAsia="en-CA"/>
        </w:rPr>
        <w:t>Before / Devant :   GASCON J. / LE JUGE GASCON</w:t>
      </w:r>
    </w:p>
    <w:p w:rsidR="009455FA" w:rsidRPr="009455FA" w:rsidRDefault="009455FA" w:rsidP="009455FA">
      <w:pPr>
        <w:tabs>
          <w:tab w:val="left" w:pos="-1440"/>
          <w:tab w:val="left" w:pos="-720"/>
        </w:tabs>
        <w:jc w:val="both"/>
        <w:rPr>
          <w:rFonts w:eastAsia="Times New Roman" w:cs="Times New Roman"/>
          <w:sz w:val="20"/>
          <w:szCs w:val="20"/>
          <w:lang w:val="fr-CA" w:eastAsia="en-CA"/>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970"/>
        <w:gridCol w:w="1170"/>
        <w:gridCol w:w="4327"/>
      </w:tblGrid>
      <w:tr w:rsidR="009455FA" w:rsidRPr="009455FA" w:rsidTr="00871F47">
        <w:tc>
          <w:tcPr>
            <w:tcW w:w="4338" w:type="dxa"/>
            <w:gridSpan w:val="2"/>
          </w:tcPr>
          <w:p w:rsidR="009455FA" w:rsidRPr="009455FA" w:rsidRDefault="009455FA" w:rsidP="009455FA">
            <w:pPr>
              <w:rPr>
                <w:b/>
              </w:rPr>
            </w:pPr>
            <w:r w:rsidRPr="009455FA">
              <w:rPr>
                <w:b/>
              </w:rPr>
              <w:t>Motion for leave to intervene</w:t>
            </w:r>
            <w:r w:rsidRPr="009455FA">
              <w:rPr>
                <w:lang w:val="en-US"/>
              </w:rPr>
              <w:t xml:space="preserve"> </w:t>
            </w:r>
            <w:r w:rsidR="0086075F" w:rsidRPr="009455FA">
              <w:rPr>
                <w:lang w:val="en-US"/>
              </w:rPr>
              <w:fldChar w:fldCharType="begin"/>
            </w:r>
            <w:r w:rsidRPr="009455FA">
              <w:instrText xml:space="preserve"> SEQ CHAPTER \h \r 1</w:instrText>
            </w:r>
            <w:r w:rsidR="0086075F" w:rsidRPr="009455FA">
              <w:rPr>
                <w:lang w:val="en-US"/>
              </w:rPr>
              <w:fldChar w:fldCharType="end"/>
            </w:r>
          </w:p>
        </w:tc>
        <w:tc>
          <w:tcPr>
            <w:tcW w:w="1170" w:type="dxa"/>
          </w:tcPr>
          <w:p w:rsidR="009455FA" w:rsidRPr="009455FA" w:rsidRDefault="009455FA" w:rsidP="009455FA"/>
          <w:p w:rsidR="009455FA" w:rsidRPr="009455FA" w:rsidRDefault="009455FA" w:rsidP="009455FA"/>
        </w:tc>
        <w:tc>
          <w:tcPr>
            <w:tcW w:w="4327" w:type="dxa"/>
          </w:tcPr>
          <w:p w:rsidR="009455FA" w:rsidRPr="009455FA" w:rsidRDefault="009455FA" w:rsidP="009455FA">
            <w:pPr>
              <w:rPr>
                <w:b/>
              </w:rPr>
            </w:pPr>
            <w:r w:rsidRPr="009455FA">
              <w:rPr>
                <w:b/>
                <w:bCs/>
                <w:lang w:val="fr-CA"/>
              </w:rPr>
              <w:t>Requête en autorisation d’intervenir</w:t>
            </w:r>
            <w:r w:rsidRPr="009455FA">
              <w:rPr>
                <w:lang w:val="en-US"/>
              </w:rPr>
              <w:t xml:space="preserve"> </w:t>
            </w:r>
            <w:r w:rsidR="0086075F" w:rsidRPr="009455FA">
              <w:rPr>
                <w:lang w:val="en-US"/>
              </w:rPr>
              <w:fldChar w:fldCharType="begin"/>
            </w:r>
            <w:r w:rsidRPr="009455FA">
              <w:instrText xml:space="preserve"> SEQ CHAPTER \h \r 1</w:instrText>
            </w:r>
            <w:r w:rsidR="0086075F" w:rsidRPr="009455FA">
              <w:rPr>
                <w:lang w:val="en-US"/>
              </w:rPr>
              <w:fldChar w:fldCharType="end"/>
            </w:r>
          </w:p>
        </w:tc>
      </w:tr>
      <w:tr w:rsidR="009455FA" w:rsidRPr="009455FA" w:rsidTr="00871F47">
        <w:trPr>
          <w:trHeight w:hRule="exact" w:val="576"/>
        </w:trPr>
        <w:tc>
          <w:tcPr>
            <w:tcW w:w="1368" w:type="dxa"/>
          </w:tcPr>
          <w:p w:rsidR="009455FA" w:rsidRPr="009455FA" w:rsidRDefault="009455FA" w:rsidP="009455FA">
            <w:r w:rsidRPr="009455FA">
              <w:t>BY / PAR</w:t>
            </w:r>
          </w:p>
        </w:tc>
        <w:tc>
          <w:tcPr>
            <w:tcW w:w="2970" w:type="dxa"/>
          </w:tcPr>
          <w:p w:rsidR="009455FA" w:rsidRPr="009455FA" w:rsidRDefault="009455FA" w:rsidP="009455FA">
            <w:r w:rsidRPr="009455FA">
              <w:t>Criminal Lawyers’ Association (Ontario)</w:t>
            </w:r>
            <w:r w:rsidRPr="009455FA">
              <w:rPr>
                <w:lang w:val="en-US"/>
              </w:rPr>
              <w:t>;</w:t>
            </w:r>
          </w:p>
        </w:tc>
        <w:tc>
          <w:tcPr>
            <w:tcW w:w="1170" w:type="dxa"/>
          </w:tcPr>
          <w:p w:rsidR="009455FA" w:rsidRPr="009455FA" w:rsidRDefault="009455FA" w:rsidP="009455FA"/>
        </w:tc>
        <w:tc>
          <w:tcPr>
            <w:tcW w:w="4327" w:type="dxa"/>
          </w:tcPr>
          <w:p w:rsidR="009455FA" w:rsidRPr="009455FA" w:rsidRDefault="009455FA" w:rsidP="009455FA"/>
        </w:tc>
      </w:tr>
      <w:tr w:rsidR="009455FA" w:rsidRPr="009455FA" w:rsidTr="00871F47">
        <w:tc>
          <w:tcPr>
            <w:tcW w:w="1368" w:type="dxa"/>
          </w:tcPr>
          <w:p w:rsidR="009455FA" w:rsidRPr="009455FA" w:rsidRDefault="009455FA" w:rsidP="009455FA"/>
        </w:tc>
        <w:tc>
          <w:tcPr>
            <w:tcW w:w="2970" w:type="dxa"/>
          </w:tcPr>
          <w:p w:rsidR="009455FA" w:rsidRPr="009455FA" w:rsidRDefault="009455FA" w:rsidP="009455FA">
            <w:pPr>
              <w:rPr>
                <w:lang w:val="en-US"/>
              </w:rPr>
            </w:pPr>
          </w:p>
        </w:tc>
        <w:tc>
          <w:tcPr>
            <w:tcW w:w="1170" w:type="dxa"/>
          </w:tcPr>
          <w:p w:rsidR="009455FA" w:rsidRPr="009455FA" w:rsidRDefault="009455FA" w:rsidP="009455FA"/>
        </w:tc>
        <w:tc>
          <w:tcPr>
            <w:tcW w:w="4327" w:type="dxa"/>
          </w:tcPr>
          <w:p w:rsidR="009455FA" w:rsidRPr="009455FA" w:rsidRDefault="009455FA" w:rsidP="009455FA"/>
        </w:tc>
      </w:tr>
      <w:tr w:rsidR="009455FA" w:rsidRPr="009455FA" w:rsidTr="00871F47">
        <w:tc>
          <w:tcPr>
            <w:tcW w:w="1368" w:type="dxa"/>
          </w:tcPr>
          <w:p w:rsidR="009455FA" w:rsidRPr="009455FA" w:rsidRDefault="009455FA" w:rsidP="009455FA">
            <w:r w:rsidRPr="009455FA">
              <w:t>IN / DANS :</w:t>
            </w:r>
          </w:p>
        </w:tc>
        <w:tc>
          <w:tcPr>
            <w:tcW w:w="2970" w:type="dxa"/>
          </w:tcPr>
          <w:p w:rsidR="009455FA" w:rsidRPr="009455FA" w:rsidRDefault="009455FA" w:rsidP="009455FA">
            <w:r w:rsidRPr="009455FA">
              <w:t>Her Majesty the Queen</w:t>
            </w:r>
          </w:p>
          <w:p w:rsidR="009455FA" w:rsidRPr="009455FA" w:rsidRDefault="009455FA" w:rsidP="009455FA"/>
          <w:p w:rsidR="009455FA" w:rsidRPr="009455FA" w:rsidRDefault="009455FA" w:rsidP="009455FA">
            <w:r w:rsidRPr="009455FA">
              <w:tab/>
              <w:t>v. (36112)</w:t>
            </w:r>
          </w:p>
          <w:p w:rsidR="009455FA" w:rsidRPr="009455FA" w:rsidRDefault="009455FA" w:rsidP="009455FA"/>
          <w:p w:rsidR="009455FA" w:rsidRPr="009455FA" w:rsidRDefault="009455FA" w:rsidP="009455FA">
            <w:r w:rsidRPr="009455FA">
              <w:t>Kenneth Gavin Williamson (Crim.) (Ont.)</w:t>
            </w:r>
          </w:p>
        </w:tc>
        <w:tc>
          <w:tcPr>
            <w:tcW w:w="1170" w:type="dxa"/>
          </w:tcPr>
          <w:p w:rsidR="009455FA" w:rsidRPr="009455FA" w:rsidRDefault="009455FA" w:rsidP="009455FA"/>
        </w:tc>
        <w:tc>
          <w:tcPr>
            <w:tcW w:w="4327" w:type="dxa"/>
          </w:tcPr>
          <w:p w:rsidR="009455FA" w:rsidRPr="009455FA" w:rsidRDefault="009455FA" w:rsidP="009455FA"/>
        </w:tc>
      </w:tr>
    </w:tbl>
    <w:p w:rsidR="009455FA" w:rsidRPr="009455FA" w:rsidRDefault="009455FA" w:rsidP="009455FA">
      <w:pPr>
        <w:tabs>
          <w:tab w:val="left" w:pos="-1440"/>
          <w:tab w:val="left" w:pos="-720"/>
        </w:tabs>
        <w:jc w:val="both"/>
        <w:rPr>
          <w:rFonts w:eastAsia="Times New Roman" w:cs="Times New Roman"/>
          <w:sz w:val="20"/>
          <w:szCs w:val="20"/>
          <w:lang w:eastAsia="en-CA"/>
        </w:rPr>
      </w:pPr>
    </w:p>
    <w:p w:rsidR="009455FA" w:rsidRPr="009455FA" w:rsidRDefault="009455FA" w:rsidP="009455FA">
      <w:pPr>
        <w:tabs>
          <w:tab w:val="left" w:pos="-1440"/>
          <w:tab w:val="left" w:pos="-720"/>
        </w:tabs>
        <w:jc w:val="both"/>
        <w:rPr>
          <w:rFonts w:eastAsia="Times New Roman" w:cs="Times New Roman"/>
          <w:b/>
          <w:sz w:val="20"/>
          <w:szCs w:val="20"/>
          <w:lang w:eastAsia="en-CA"/>
        </w:rPr>
      </w:pPr>
      <w:r w:rsidRPr="009455FA">
        <w:rPr>
          <w:rFonts w:eastAsia="Times New Roman" w:cs="Times New Roman"/>
          <w:b/>
          <w:sz w:val="20"/>
          <w:szCs w:val="20"/>
          <w:lang w:eastAsia="en-CA"/>
        </w:rPr>
        <w:t>GRANTED / ACCORDÉE</w:t>
      </w:r>
    </w:p>
    <w:p w:rsidR="009455FA" w:rsidRPr="009455FA" w:rsidRDefault="009455FA" w:rsidP="009455FA">
      <w:pPr>
        <w:tabs>
          <w:tab w:val="left" w:pos="-1440"/>
          <w:tab w:val="left" w:pos="-720"/>
        </w:tabs>
        <w:jc w:val="both"/>
        <w:rPr>
          <w:rFonts w:eastAsia="Times New Roman" w:cs="Times New Roman"/>
          <w:sz w:val="20"/>
          <w:szCs w:val="20"/>
          <w:lang w:eastAsia="en-CA"/>
        </w:rPr>
      </w:pPr>
    </w:p>
    <w:p w:rsidR="009455FA" w:rsidRPr="009455FA" w:rsidRDefault="009455FA" w:rsidP="009455FA">
      <w:pPr>
        <w:spacing w:line="233" w:lineRule="auto"/>
        <w:jc w:val="both"/>
        <w:rPr>
          <w:rFonts w:eastAsia="Times New Roman" w:cs="Times New Roman"/>
          <w:sz w:val="20"/>
          <w:szCs w:val="20"/>
          <w:lang w:val="en-US" w:eastAsia="en-CA"/>
        </w:rPr>
      </w:pPr>
      <w:r w:rsidRPr="009455FA">
        <w:rPr>
          <w:rFonts w:eastAsia="Times New Roman" w:cs="Times New Roman"/>
          <w:b/>
          <w:bCs/>
          <w:sz w:val="20"/>
          <w:szCs w:val="20"/>
          <w:lang w:val="en-US" w:eastAsia="en-CA"/>
        </w:rPr>
        <w:t xml:space="preserve">UPON APPLICATION </w:t>
      </w:r>
      <w:r w:rsidRPr="009455FA">
        <w:rPr>
          <w:rFonts w:eastAsia="Times New Roman" w:cs="Times New Roman"/>
          <w:sz w:val="20"/>
          <w:szCs w:val="20"/>
          <w:lang w:val="en-US" w:eastAsia="en-CA"/>
        </w:rPr>
        <w:t xml:space="preserve">by </w:t>
      </w:r>
      <w:r w:rsidRPr="009455FA">
        <w:rPr>
          <w:rFonts w:eastAsia="Times New Roman" w:cs="Times New Roman"/>
          <w:sz w:val="20"/>
          <w:szCs w:val="20"/>
          <w:lang w:eastAsia="en-CA"/>
        </w:rPr>
        <w:t>the Criminal Lawyers’ Association (Ontario) for leave to intervene in the above appeal</w:t>
      </w:r>
      <w:r w:rsidRPr="009455FA">
        <w:rPr>
          <w:rFonts w:eastAsia="Times New Roman" w:cs="Times New Roman"/>
          <w:sz w:val="20"/>
          <w:szCs w:val="20"/>
          <w:lang w:val="en-US" w:eastAsia="en-CA"/>
        </w:rPr>
        <w:t>;</w:t>
      </w:r>
    </w:p>
    <w:p w:rsidR="009455FA" w:rsidRPr="009455FA" w:rsidRDefault="009455FA" w:rsidP="009455FA">
      <w:pPr>
        <w:spacing w:line="233" w:lineRule="auto"/>
        <w:jc w:val="both"/>
        <w:rPr>
          <w:rFonts w:eastAsia="Times New Roman" w:cs="Times New Roman"/>
          <w:sz w:val="20"/>
          <w:szCs w:val="20"/>
          <w:lang w:val="en-US" w:eastAsia="en-CA"/>
        </w:rPr>
      </w:pPr>
    </w:p>
    <w:p w:rsidR="009455FA" w:rsidRPr="009455FA" w:rsidRDefault="009455FA" w:rsidP="009455FA">
      <w:pPr>
        <w:spacing w:line="233" w:lineRule="auto"/>
        <w:jc w:val="both"/>
        <w:rPr>
          <w:rFonts w:eastAsia="Times New Roman" w:cs="Times New Roman"/>
          <w:sz w:val="20"/>
          <w:szCs w:val="20"/>
          <w:lang w:val="en-US" w:eastAsia="en-CA"/>
        </w:rPr>
      </w:pPr>
      <w:r w:rsidRPr="009455FA">
        <w:rPr>
          <w:rFonts w:eastAsia="Times New Roman" w:cs="Times New Roman"/>
          <w:b/>
          <w:bCs/>
          <w:sz w:val="20"/>
          <w:szCs w:val="20"/>
          <w:lang w:val="en-US" w:eastAsia="en-CA"/>
        </w:rPr>
        <w:t>AND THE MATERIAL FILED</w:t>
      </w:r>
      <w:r w:rsidRPr="009455FA">
        <w:rPr>
          <w:rFonts w:eastAsia="Times New Roman" w:cs="Times New Roman"/>
          <w:sz w:val="20"/>
          <w:szCs w:val="20"/>
          <w:lang w:val="en-US" w:eastAsia="en-CA"/>
        </w:rPr>
        <w:t xml:space="preserve"> having been read;</w:t>
      </w:r>
    </w:p>
    <w:p w:rsidR="009455FA" w:rsidRPr="009455FA" w:rsidRDefault="009455FA" w:rsidP="009455FA">
      <w:pPr>
        <w:spacing w:line="233" w:lineRule="auto"/>
        <w:jc w:val="both"/>
        <w:rPr>
          <w:rFonts w:eastAsia="Times New Roman" w:cs="Times New Roman"/>
          <w:b/>
          <w:bCs/>
          <w:sz w:val="20"/>
          <w:szCs w:val="20"/>
          <w:lang w:val="en-US" w:eastAsia="en-CA"/>
        </w:rPr>
      </w:pPr>
    </w:p>
    <w:p w:rsidR="009455FA" w:rsidRPr="009455FA" w:rsidRDefault="009455FA" w:rsidP="009455FA">
      <w:pPr>
        <w:spacing w:line="233" w:lineRule="auto"/>
        <w:jc w:val="both"/>
        <w:rPr>
          <w:rFonts w:eastAsia="Times New Roman" w:cs="Times New Roman"/>
          <w:b/>
          <w:bCs/>
          <w:sz w:val="20"/>
          <w:szCs w:val="20"/>
          <w:lang w:val="en-US" w:eastAsia="en-CA"/>
        </w:rPr>
      </w:pPr>
      <w:r w:rsidRPr="009455FA">
        <w:rPr>
          <w:rFonts w:eastAsia="Times New Roman" w:cs="Times New Roman"/>
          <w:b/>
          <w:bCs/>
          <w:sz w:val="20"/>
          <w:szCs w:val="20"/>
          <w:lang w:val="en-US" w:eastAsia="en-CA"/>
        </w:rPr>
        <w:t>IT IS HEREBY ORDERED THAT:</w:t>
      </w:r>
    </w:p>
    <w:p w:rsidR="009455FA" w:rsidRPr="009455FA" w:rsidRDefault="009455FA" w:rsidP="009455FA">
      <w:pPr>
        <w:spacing w:line="233" w:lineRule="auto"/>
        <w:jc w:val="both"/>
        <w:rPr>
          <w:rFonts w:eastAsia="Times New Roman" w:cs="Times New Roman"/>
          <w:sz w:val="20"/>
          <w:szCs w:val="20"/>
          <w:lang w:val="en-US" w:eastAsia="en-CA"/>
        </w:rPr>
      </w:pPr>
    </w:p>
    <w:p w:rsidR="009455FA" w:rsidRPr="009455FA" w:rsidRDefault="009455FA" w:rsidP="009455FA">
      <w:pPr>
        <w:spacing w:line="233" w:lineRule="auto"/>
        <w:jc w:val="both"/>
        <w:rPr>
          <w:rFonts w:eastAsia="Times New Roman" w:cs="Times New Roman"/>
          <w:sz w:val="20"/>
          <w:szCs w:val="20"/>
          <w:lang w:val="en-US" w:eastAsia="en-CA"/>
        </w:rPr>
      </w:pPr>
      <w:r w:rsidRPr="009455FA">
        <w:rPr>
          <w:rFonts w:eastAsia="Times New Roman" w:cs="Times New Roman"/>
          <w:sz w:val="20"/>
          <w:szCs w:val="20"/>
          <w:lang w:val="en-US" w:eastAsia="en-CA"/>
        </w:rPr>
        <w:t xml:space="preserve">The motion for leave to intervene of </w:t>
      </w:r>
      <w:r w:rsidRPr="009455FA">
        <w:rPr>
          <w:rFonts w:eastAsia="Times New Roman" w:cs="Times New Roman"/>
          <w:sz w:val="20"/>
          <w:szCs w:val="20"/>
          <w:lang w:eastAsia="en-CA"/>
        </w:rPr>
        <w:t xml:space="preserve">the Criminal Lawyers’ Association (Ontario) is granted and the said intervener </w:t>
      </w:r>
      <w:r w:rsidRPr="009455FA">
        <w:rPr>
          <w:rFonts w:eastAsia="Times New Roman" w:cs="Times New Roman"/>
          <w:sz w:val="20"/>
          <w:szCs w:val="20"/>
          <w:lang w:val="en-US" w:eastAsia="en-CA"/>
        </w:rPr>
        <w:t>shall be entitled to serve and file a single factum, not to exceed ten (10) pages in length, on or before September 8, 2015.</w:t>
      </w:r>
    </w:p>
    <w:p w:rsidR="009455FA" w:rsidRPr="009455FA" w:rsidRDefault="009455FA" w:rsidP="009455FA">
      <w:pPr>
        <w:spacing w:line="233" w:lineRule="auto"/>
        <w:jc w:val="both"/>
        <w:rPr>
          <w:rFonts w:eastAsia="Times New Roman" w:cs="Times New Roman"/>
          <w:sz w:val="20"/>
          <w:szCs w:val="20"/>
          <w:lang w:val="en-US" w:eastAsia="en-CA"/>
        </w:rPr>
      </w:pPr>
    </w:p>
    <w:p w:rsidR="009455FA" w:rsidRPr="009455FA" w:rsidRDefault="009455FA" w:rsidP="009455FA">
      <w:pPr>
        <w:spacing w:line="233" w:lineRule="auto"/>
        <w:jc w:val="both"/>
        <w:rPr>
          <w:rFonts w:eastAsia="Times New Roman" w:cs="Times New Roman"/>
          <w:sz w:val="20"/>
          <w:szCs w:val="20"/>
          <w:lang w:val="en-US" w:eastAsia="en-CA"/>
        </w:rPr>
      </w:pPr>
      <w:r w:rsidRPr="009455FA">
        <w:rPr>
          <w:rFonts w:eastAsia="Times New Roman" w:cs="Times New Roman"/>
          <w:sz w:val="20"/>
          <w:szCs w:val="20"/>
          <w:lang w:val="en-US" w:eastAsia="en-CA"/>
        </w:rPr>
        <w:t>The request to present oral argument is deferred to a date following receipt and consideration of the written arguments of the parties and the interveners.</w:t>
      </w:r>
    </w:p>
    <w:p w:rsidR="009455FA" w:rsidRPr="009455FA" w:rsidRDefault="009455FA" w:rsidP="009455FA">
      <w:pPr>
        <w:spacing w:line="233" w:lineRule="auto"/>
        <w:jc w:val="both"/>
        <w:rPr>
          <w:rFonts w:eastAsia="Times New Roman" w:cs="Times New Roman"/>
          <w:sz w:val="20"/>
          <w:szCs w:val="20"/>
          <w:lang w:val="en-US" w:eastAsia="en-CA"/>
        </w:rPr>
      </w:pPr>
    </w:p>
    <w:p w:rsidR="009455FA" w:rsidRPr="009455FA" w:rsidRDefault="0086075F" w:rsidP="009455FA">
      <w:pPr>
        <w:spacing w:line="233" w:lineRule="auto"/>
        <w:jc w:val="both"/>
        <w:rPr>
          <w:rFonts w:eastAsia="Times New Roman" w:cs="Times New Roman"/>
          <w:sz w:val="20"/>
          <w:szCs w:val="20"/>
          <w:lang w:val="en-US" w:eastAsia="en-CA"/>
        </w:rPr>
      </w:pPr>
      <w:r w:rsidRPr="009455FA">
        <w:rPr>
          <w:rFonts w:eastAsia="Times New Roman" w:cs="Times New Roman"/>
          <w:sz w:val="20"/>
          <w:szCs w:val="20"/>
          <w:lang w:eastAsia="en-CA"/>
        </w:rPr>
        <w:fldChar w:fldCharType="begin"/>
      </w:r>
      <w:r w:rsidR="009455FA" w:rsidRPr="009455FA">
        <w:rPr>
          <w:rFonts w:eastAsia="Times New Roman" w:cs="Times New Roman"/>
          <w:sz w:val="20"/>
          <w:szCs w:val="20"/>
          <w:lang w:eastAsia="en-CA"/>
        </w:rPr>
        <w:instrText xml:space="preserve"> SEQ CHAPTER \h \r 1</w:instrText>
      </w:r>
      <w:r w:rsidRPr="009455FA">
        <w:rPr>
          <w:rFonts w:eastAsia="Times New Roman" w:cs="Times New Roman"/>
          <w:sz w:val="20"/>
          <w:szCs w:val="20"/>
          <w:lang w:eastAsia="en-CA"/>
        </w:rPr>
        <w:fldChar w:fldCharType="end"/>
      </w:r>
      <w:r w:rsidR="009455FA" w:rsidRPr="009455FA">
        <w:rPr>
          <w:rFonts w:eastAsia="Times New Roman" w:cs="Times New Roman"/>
          <w:bCs/>
          <w:sz w:val="20"/>
          <w:szCs w:val="20"/>
          <w:lang w:val="en-US" w:eastAsia="en-CA"/>
        </w:rPr>
        <w:t>The intervener is not entitled to raise new issues or to adduce further evidence or otherwise to supplement the record of the parties.</w:t>
      </w:r>
    </w:p>
    <w:p w:rsidR="009455FA" w:rsidRPr="009455FA" w:rsidRDefault="009455FA" w:rsidP="009455FA">
      <w:pPr>
        <w:spacing w:line="233" w:lineRule="auto"/>
        <w:jc w:val="both"/>
        <w:rPr>
          <w:rFonts w:eastAsia="Times New Roman" w:cs="Times New Roman"/>
          <w:sz w:val="20"/>
          <w:szCs w:val="20"/>
          <w:lang w:val="en-US" w:eastAsia="en-CA"/>
        </w:rPr>
      </w:pPr>
    </w:p>
    <w:p w:rsidR="009455FA" w:rsidRPr="009455FA" w:rsidRDefault="009455FA" w:rsidP="009455FA">
      <w:pPr>
        <w:spacing w:line="233" w:lineRule="auto"/>
        <w:jc w:val="both"/>
        <w:rPr>
          <w:rFonts w:eastAsia="Times New Roman" w:cs="Times New Roman"/>
          <w:sz w:val="20"/>
          <w:szCs w:val="20"/>
          <w:lang w:val="en-US" w:eastAsia="en-CA"/>
        </w:rPr>
      </w:pPr>
      <w:r w:rsidRPr="009455FA">
        <w:rPr>
          <w:rFonts w:eastAsia="Times New Roman" w:cs="Times New Roman"/>
          <w:sz w:val="20"/>
          <w:szCs w:val="20"/>
          <w:lang w:val="en-US" w:eastAsia="en-CA"/>
        </w:rPr>
        <w:t>Pursuant to Rule 59(1)(</w:t>
      </w:r>
      <w:r w:rsidRPr="009455FA">
        <w:rPr>
          <w:rFonts w:eastAsia="Times New Roman" w:cs="Times New Roman"/>
          <w:i/>
          <w:iCs/>
          <w:sz w:val="20"/>
          <w:szCs w:val="20"/>
          <w:lang w:val="en-US" w:eastAsia="en-CA"/>
        </w:rPr>
        <w:t>a</w:t>
      </w:r>
      <w:r w:rsidRPr="009455FA">
        <w:rPr>
          <w:rFonts w:eastAsia="Times New Roman" w:cs="Times New Roman"/>
          <w:sz w:val="20"/>
          <w:szCs w:val="20"/>
          <w:lang w:val="en-US" w:eastAsia="en-CA"/>
        </w:rPr>
        <w:t xml:space="preserve">) of the </w:t>
      </w:r>
      <w:r w:rsidRPr="009455FA">
        <w:rPr>
          <w:rFonts w:eastAsia="Times New Roman" w:cs="Times New Roman"/>
          <w:i/>
          <w:iCs/>
          <w:sz w:val="20"/>
          <w:szCs w:val="20"/>
          <w:lang w:val="en-US" w:eastAsia="en-CA"/>
        </w:rPr>
        <w:t>Rules of the Supreme Court of Canada</w:t>
      </w:r>
      <w:r w:rsidRPr="009455FA">
        <w:rPr>
          <w:rFonts w:eastAsia="Times New Roman" w:cs="Times New Roman"/>
          <w:sz w:val="20"/>
          <w:szCs w:val="20"/>
          <w:lang w:val="en-US" w:eastAsia="en-CA"/>
        </w:rPr>
        <w:t>, the intervener shall pay to the appellant and respondent any additional disbursements occasioned to the appellant and respondent by its intervention.</w:t>
      </w:r>
    </w:p>
    <w:p w:rsidR="009455FA" w:rsidRPr="009455FA" w:rsidRDefault="009455FA" w:rsidP="009455FA">
      <w:pPr>
        <w:spacing w:line="233" w:lineRule="auto"/>
        <w:rPr>
          <w:rFonts w:eastAsia="Times New Roman" w:cs="Times New Roman"/>
          <w:sz w:val="20"/>
          <w:szCs w:val="20"/>
          <w:lang w:val="en-US" w:eastAsia="en-CA"/>
        </w:rPr>
      </w:pPr>
    </w:p>
    <w:p w:rsidR="009455FA" w:rsidRPr="009455FA" w:rsidRDefault="009455FA" w:rsidP="009455FA">
      <w:pPr>
        <w:spacing w:line="233" w:lineRule="auto"/>
        <w:rPr>
          <w:rFonts w:eastAsia="Times New Roman" w:cs="Times New Roman"/>
          <w:sz w:val="20"/>
          <w:szCs w:val="20"/>
          <w:lang w:val="en-US" w:eastAsia="en-CA"/>
        </w:rPr>
      </w:pPr>
    </w:p>
    <w:p w:rsidR="009455FA" w:rsidRPr="009455FA" w:rsidRDefault="009455FA" w:rsidP="009455FA">
      <w:pPr>
        <w:spacing w:line="233" w:lineRule="auto"/>
        <w:jc w:val="both"/>
        <w:rPr>
          <w:rFonts w:eastAsia="Times New Roman" w:cs="Times New Roman"/>
          <w:sz w:val="20"/>
          <w:szCs w:val="20"/>
          <w:lang w:val="en-US" w:eastAsia="en-CA"/>
        </w:rPr>
      </w:pPr>
    </w:p>
    <w:p w:rsidR="009455FA" w:rsidRPr="009455FA" w:rsidRDefault="009455FA" w:rsidP="009455FA">
      <w:pPr>
        <w:spacing w:line="233" w:lineRule="auto"/>
        <w:jc w:val="both"/>
        <w:rPr>
          <w:rFonts w:eastAsia="Times New Roman" w:cs="Times New Roman"/>
          <w:sz w:val="20"/>
          <w:szCs w:val="20"/>
          <w:lang w:val="fr-CA" w:eastAsia="en-CA"/>
        </w:rPr>
      </w:pPr>
      <w:r w:rsidRPr="009455FA">
        <w:rPr>
          <w:rFonts w:eastAsia="Times New Roman" w:cs="Times New Roman"/>
          <w:b/>
          <w:sz w:val="20"/>
          <w:szCs w:val="20"/>
          <w:lang w:val="fr-CA" w:eastAsia="en-CA"/>
        </w:rPr>
        <w:t>À LA SUITE DE LA DEMANDE</w:t>
      </w:r>
      <w:r w:rsidRPr="009455FA">
        <w:rPr>
          <w:rFonts w:eastAsia="Times New Roman" w:cs="Times New Roman"/>
          <w:sz w:val="20"/>
          <w:szCs w:val="20"/>
          <w:lang w:val="fr-CA" w:eastAsia="en-CA"/>
        </w:rPr>
        <w:t xml:space="preserve"> présentée par la Criminal Lawyers’ Association (Ontario) pour obtenir l’autorisation d’intervenir dans le présent appel;</w:t>
      </w:r>
    </w:p>
    <w:p w:rsidR="009455FA" w:rsidRPr="009455FA" w:rsidRDefault="009455FA" w:rsidP="009455FA">
      <w:pPr>
        <w:spacing w:line="233" w:lineRule="auto"/>
        <w:jc w:val="both"/>
        <w:rPr>
          <w:rFonts w:eastAsia="Times New Roman" w:cs="Times New Roman"/>
          <w:sz w:val="20"/>
          <w:szCs w:val="20"/>
          <w:lang w:val="fr-CA" w:eastAsia="en-CA"/>
        </w:rPr>
      </w:pPr>
    </w:p>
    <w:p w:rsidR="009455FA" w:rsidRPr="009455FA" w:rsidRDefault="009455FA" w:rsidP="009455FA">
      <w:pPr>
        <w:spacing w:line="233" w:lineRule="auto"/>
        <w:jc w:val="both"/>
        <w:rPr>
          <w:rFonts w:eastAsia="Times New Roman" w:cs="Times New Roman"/>
          <w:sz w:val="20"/>
          <w:szCs w:val="20"/>
          <w:lang w:val="fr-CA" w:eastAsia="en-CA"/>
        </w:rPr>
      </w:pPr>
      <w:r w:rsidRPr="009455FA">
        <w:rPr>
          <w:rFonts w:eastAsia="Times New Roman" w:cs="Times New Roman"/>
          <w:b/>
          <w:sz w:val="20"/>
          <w:szCs w:val="20"/>
          <w:lang w:val="fr-CA" w:eastAsia="en-CA"/>
        </w:rPr>
        <w:t>ET APRÈS EXAMEN</w:t>
      </w:r>
      <w:r w:rsidRPr="009455FA">
        <w:rPr>
          <w:rFonts w:eastAsia="Times New Roman" w:cs="Times New Roman"/>
          <w:sz w:val="20"/>
          <w:szCs w:val="20"/>
          <w:lang w:val="fr-CA" w:eastAsia="en-CA"/>
        </w:rPr>
        <w:t xml:space="preserve"> des documents déposés;</w:t>
      </w:r>
    </w:p>
    <w:p w:rsidR="009455FA" w:rsidRPr="009455FA" w:rsidRDefault="009455FA" w:rsidP="009455FA">
      <w:pPr>
        <w:spacing w:line="233" w:lineRule="auto"/>
        <w:jc w:val="both"/>
        <w:rPr>
          <w:rFonts w:eastAsia="Times New Roman" w:cs="Times New Roman"/>
          <w:sz w:val="20"/>
          <w:szCs w:val="20"/>
          <w:lang w:val="fr-CA" w:eastAsia="en-CA"/>
        </w:rPr>
      </w:pPr>
    </w:p>
    <w:p w:rsidR="009455FA" w:rsidRPr="009455FA" w:rsidRDefault="009455FA" w:rsidP="009455FA">
      <w:pPr>
        <w:spacing w:line="233" w:lineRule="auto"/>
        <w:jc w:val="both"/>
        <w:rPr>
          <w:rFonts w:eastAsia="Times New Roman" w:cs="Times New Roman"/>
          <w:b/>
          <w:sz w:val="20"/>
          <w:szCs w:val="20"/>
          <w:lang w:val="fr-CA" w:eastAsia="en-CA"/>
        </w:rPr>
      </w:pPr>
      <w:r w:rsidRPr="009455FA">
        <w:rPr>
          <w:rFonts w:eastAsia="Times New Roman" w:cs="Times New Roman"/>
          <w:b/>
          <w:sz w:val="20"/>
          <w:szCs w:val="20"/>
          <w:lang w:val="fr-CA" w:eastAsia="en-CA"/>
        </w:rPr>
        <w:t>IL EST ORDONNÉ CE QUI SUIT :</w:t>
      </w:r>
    </w:p>
    <w:p w:rsidR="009455FA" w:rsidRPr="009455FA" w:rsidRDefault="009455FA" w:rsidP="009455FA">
      <w:pPr>
        <w:spacing w:line="233" w:lineRule="auto"/>
        <w:jc w:val="both"/>
        <w:rPr>
          <w:rFonts w:eastAsia="Times New Roman" w:cs="Times New Roman"/>
          <w:sz w:val="20"/>
          <w:szCs w:val="20"/>
          <w:lang w:val="fr-CA" w:eastAsia="en-CA"/>
        </w:rPr>
      </w:pPr>
    </w:p>
    <w:p w:rsidR="009455FA" w:rsidRPr="009455FA" w:rsidRDefault="009455FA" w:rsidP="009455FA">
      <w:pPr>
        <w:spacing w:line="233" w:lineRule="auto"/>
        <w:jc w:val="both"/>
        <w:rPr>
          <w:rFonts w:eastAsia="Times New Roman" w:cs="Times New Roman"/>
          <w:sz w:val="20"/>
          <w:szCs w:val="20"/>
          <w:lang w:val="fr-CA" w:eastAsia="en-CA"/>
        </w:rPr>
      </w:pPr>
      <w:r w:rsidRPr="009455FA">
        <w:rPr>
          <w:rFonts w:eastAsia="Times New Roman" w:cs="Times New Roman"/>
          <w:sz w:val="20"/>
          <w:szCs w:val="20"/>
          <w:lang w:val="fr-CA" w:eastAsia="en-CA"/>
        </w:rPr>
        <w:t>La requête en autorisation d’intervenir de la Criminal Lawyers’ Association (Ontario) est accueillie et cette intervenante est autorisée à signifier et à déposer un mémoire d’au plus dix (10) pages au plus tard le 8 septembre 2015.</w:t>
      </w:r>
    </w:p>
    <w:p w:rsidR="009455FA" w:rsidRPr="009455FA" w:rsidRDefault="009455FA" w:rsidP="009455FA">
      <w:pPr>
        <w:spacing w:line="233" w:lineRule="auto"/>
        <w:jc w:val="both"/>
        <w:rPr>
          <w:rFonts w:eastAsia="Times New Roman" w:cs="Times New Roman"/>
          <w:sz w:val="20"/>
          <w:szCs w:val="20"/>
          <w:lang w:val="fr-CA" w:eastAsia="en-CA"/>
        </w:rPr>
      </w:pPr>
    </w:p>
    <w:p w:rsidR="009455FA" w:rsidRPr="009455FA" w:rsidRDefault="009455FA" w:rsidP="009455FA">
      <w:pPr>
        <w:spacing w:line="233" w:lineRule="auto"/>
        <w:jc w:val="both"/>
        <w:rPr>
          <w:rFonts w:eastAsia="Times New Roman" w:cs="Times New Roman"/>
          <w:sz w:val="20"/>
          <w:szCs w:val="20"/>
          <w:lang w:val="fr-CA" w:eastAsia="en-CA"/>
        </w:rPr>
      </w:pPr>
      <w:r w:rsidRPr="009455FA">
        <w:rPr>
          <w:rFonts w:eastAsia="Times New Roman" w:cs="Times New Roman"/>
          <w:sz w:val="20"/>
          <w:szCs w:val="20"/>
          <w:lang w:val="fr-CA" w:eastAsia="en-CA"/>
        </w:rPr>
        <w:t>La décision sur la demande en vue de présenter une plaidoirie orale sera rendue après réception et examen des arguments écrits des parties et de l’intervenante.</w:t>
      </w:r>
    </w:p>
    <w:p w:rsidR="009455FA" w:rsidRPr="009455FA" w:rsidRDefault="009455FA" w:rsidP="009455FA">
      <w:pPr>
        <w:spacing w:line="233" w:lineRule="auto"/>
        <w:jc w:val="both"/>
        <w:rPr>
          <w:rFonts w:eastAsia="Times New Roman" w:cs="Times New Roman"/>
          <w:sz w:val="20"/>
          <w:szCs w:val="20"/>
          <w:lang w:val="fr-CA" w:eastAsia="en-CA"/>
        </w:rPr>
      </w:pPr>
    </w:p>
    <w:p w:rsidR="009455FA" w:rsidRPr="009455FA" w:rsidRDefault="009455FA" w:rsidP="009455FA">
      <w:pPr>
        <w:spacing w:line="233" w:lineRule="auto"/>
        <w:jc w:val="both"/>
        <w:rPr>
          <w:rFonts w:eastAsia="Times New Roman" w:cs="Times New Roman"/>
          <w:sz w:val="20"/>
          <w:szCs w:val="20"/>
          <w:lang w:val="fr-CA" w:eastAsia="en-CA"/>
        </w:rPr>
      </w:pPr>
      <w:r w:rsidRPr="009455FA">
        <w:rPr>
          <w:rFonts w:eastAsia="Times New Roman" w:cs="Times New Roman"/>
          <w:sz w:val="20"/>
          <w:szCs w:val="20"/>
          <w:lang w:val="fr-CA" w:eastAsia="en-CA"/>
        </w:rPr>
        <w:t>L’intervenante n’a pas le droit de soulever de nouvelles questions, de produire d’autres éléments de preuve, ni de compléter de quelque autre façon le dossier des parties.</w:t>
      </w:r>
    </w:p>
    <w:p w:rsidR="009455FA" w:rsidRPr="009455FA" w:rsidRDefault="009455FA" w:rsidP="009455FA">
      <w:pPr>
        <w:spacing w:line="233" w:lineRule="auto"/>
        <w:jc w:val="both"/>
        <w:rPr>
          <w:rFonts w:eastAsia="Times New Roman" w:cs="Times New Roman"/>
          <w:sz w:val="20"/>
          <w:szCs w:val="20"/>
          <w:lang w:val="fr-CA" w:eastAsia="en-CA"/>
        </w:rPr>
      </w:pPr>
    </w:p>
    <w:p w:rsidR="009455FA" w:rsidRPr="009455FA" w:rsidRDefault="009455FA" w:rsidP="009455FA">
      <w:pPr>
        <w:spacing w:line="233" w:lineRule="auto"/>
        <w:jc w:val="both"/>
        <w:rPr>
          <w:rFonts w:eastAsia="Times New Roman" w:cs="Times New Roman"/>
          <w:sz w:val="20"/>
          <w:szCs w:val="20"/>
          <w:lang w:val="fr-CA" w:eastAsia="en-CA"/>
        </w:rPr>
      </w:pPr>
      <w:r w:rsidRPr="009455FA">
        <w:rPr>
          <w:rFonts w:eastAsia="Times New Roman" w:cs="Times New Roman"/>
          <w:sz w:val="20"/>
          <w:szCs w:val="20"/>
          <w:lang w:val="fr-CA" w:eastAsia="en-CA"/>
        </w:rPr>
        <w:t>Conformément à l’al. 59(1)</w:t>
      </w:r>
      <w:r w:rsidRPr="009455FA">
        <w:rPr>
          <w:rFonts w:eastAsia="Times New Roman" w:cs="Times New Roman"/>
          <w:i/>
          <w:sz w:val="20"/>
          <w:szCs w:val="20"/>
          <w:lang w:val="fr-CA" w:eastAsia="en-CA"/>
        </w:rPr>
        <w:t>a</w:t>
      </w:r>
      <w:r w:rsidRPr="009455FA">
        <w:rPr>
          <w:rFonts w:eastAsia="Times New Roman" w:cs="Times New Roman"/>
          <w:sz w:val="20"/>
          <w:szCs w:val="20"/>
          <w:lang w:val="fr-CA" w:eastAsia="en-CA"/>
        </w:rPr>
        <w:t xml:space="preserve">) des </w:t>
      </w:r>
      <w:r w:rsidRPr="009455FA">
        <w:rPr>
          <w:rFonts w:eastAsia="Times New Roman" w:cs="Times New Roman"/>
          <w:i/>
          <w:sz w:val="20"/>
          <w:szCs w:val="20"/>
          <w:lang w:val="fr-CA" w:eastAsia="en-CA"/>
        </w:rPr>
        <w:t>Règles de la Cour suprême du Canada</w:t>
      </w:r>
      <w:r w:rsidRPr="009455FA">
        <w:rPr>
          <w:rFonts w:eastAsia="Times New Roman" w:cs="Times New Roman"/>
          <w:sz w:val="20"/>
          <w:szCs w:val="20"/>
          <w:lang w:val="fr-CA" w:eastAsia="en-CA"/>
        </w:rPr>
        <w:t>, l’intervenante paiera à l’appelante et à l’intimé tous les débours supplémentaires résultant de son intervention.</w:t>
      </w:r>
    </w:p>
    <w:p w:rsidR="009455FA" w:rsidRPr="009455FA" w:rsidRDefault="009455FA" w:rsidP="009455FA">
      <w:pPr>
        <w:tabs>
          <w:tab w:val="left" w:pos="-1440"/>
          <w:tab w:val="left" w:pos="-720"/>
        </w:tabs>
        <w:jc w:val="both"/>
        <w:rPr>
          <w:rFonts w:eastAsia="Times New Roman" w:cs="Times New Roman"/>
          <w:sz w:val="20"/>
          <w:szCs w:val="20"/>
          <w:lang w:val="fr-CA" w:eastAsia="en-CA"/>
        </w:rPr>
      </w:pPr>
    </w:p>
    <w:p w:rsidR="009455FA" w:rsidRPr="009455FA" w:rsidRDefault="00310DA4" w:rsidP="009455FA">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57" style="width:2in;height:1pt" o:hrpct="0" o:hralign="center" o:hrstd="t" o:hrnoshade="t" o:hr="t" fillcolor="black [3213]" stroked="f"/>
        </w:pict>
      </w:r>
    </w:p>
    <w:p w:rsidR="009455FA" w:rsidRPr="009455FA" w:rsidRDefault="009455FA" w:rsidP="009455FA">
      <w:pPr>
        <w:tabs>
          <w:tab w:val="left" w:pos="-1440"/>
          <w:tab w:val="left" w:pos="-720"/>
        </w:tabs>
        <w:jc w:val="both"/>
        <w:rPr>
          <w:rFonts w:eastAsia="Times New Roman" w:cs="Times New Roman"/>
          <w:sz w:val="20"/>
          <w:szCs w:val="20"/>
          <w:lang w:eastAsia="en-CA"/>
        </w:rPr>
      </w:pPr>
    </w:p>
    <w:p w:rsidR="009455FA" w:rsidRPr="009455FA" w:rsidRDefault="009455FA" w:rsidP="009455FA">
      <w:pPr>
        <w:tabs>
          <w:tab w:val="left" w:pos="-1440"/>
          <w:tab w:val="left" w:pos="-720"/>
        </w:tabs>
        <w:jc w:val="both"/>
        <w:rPr>
          <w:rFonts w:eastAsia="Times New Roman" w:cs="Times New Roman"/>
          <w:sz w:val="20"/>
          <w:szCs w:val="20"/>
          <w:lang w:eastAsia="en-CA"/>
        </w:rPr>
      </w:pPr>
      <w:r w:rsidRPr="009455FA">
        <w:rPr>
          <w:rFonts w:eastAsia="Times New Roman" w:cs="Times New Roman"/>
          <w:sz w:val="20"/>
          <w:szCs w:val="20"/>
          <w:lang w:eastAsia="en-CA"/>
        </w:rPr>
        <w:t>16.07.2015</w:t>
      </w:r>
    </w:p>
    <w:p w:rsidR="009455FA" w:rsidRPr="009455FA" w:rsidRDefault="009455FA" w:rsidP="009455FA">
      <w:pPr>
        <w:tabs>
          <w:tab w:val="left" w:pos="-1440"/>
          <w:tab w:val="left" w:pos="-720"/>
        </w:tabs>
        <w:jc w:val="both"/>
        <w:rPr>
          <w:rFonts w:eastAsia="Times New Roman" w:cs="Times New Roman"/>
          <w:sz w:val="20"/>
          <w:szCs w:val="20"/>
          <w:lang w:eastAsia="en-CA"/>
        </w:rPr>
      </w:pPr>
    </w:p>
    <w:p w:rsidR="009455FA" w:rsidRPr="009455FA" w:rsidRDefault="009455FA" w:rsidP="009455FA">
      <w:pPr>
        <w:tabs>
          <w:tab w:val="left" w:pos="-1440"/>
          <w:tab w:val="left" w:pos="-720"/>
        </w:tabs>
        <w:jc w:val="both"/>
        <w:rPr>
          <w:rFonts w:eastAsia="Times New Roman" w:cs="Times New Roman"/>
          <w:sz w:val="20"/>
          <w:szCs w:val="20"/>
          <w:lang w:eastAsia="en-CA"/>
        </w:rPr>
      </w:pPr>
      <w:r w:rsidRPr="009455FA">
        <w:rPr>
          <w:rFonts w:eastAsia="Times New Roman" w:cs="Times New Roman"/>
          <w:sz w:val="20"/>
          <w:szCs w:val="20"/>
          <w:lang w:eastAsia="en-CA"/>
        </w:rPr>
        <w:t>Before / Devant :   CROMWELL J. / LE JUGE CROMWELL</w:t>
      </w:r>
    </w:p>
    <w:p w:rsidR="009455FA" w:rsidRPr="009455FA" w:rsidRDefault="009455FA" w:rsidP="009455FA">
      <w:pPr>
        <w:tabs>
          <w:tab w:val="left" w:pos="-1440"/>
          <w:tab w:val="left" w:pos="-720"/>
        </w:tabs>
        <w:jc w:val="both"/>
        <w:rPr>
          <w:rFonts w:eastAsia="Times New Roman" w:cs="Times New Roman"/>
          <w:sz w:val="20"/>
          <w:szCs w:val="20"/>
          <w:lang w:eastAsia="en-CA"/>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9455FA" w:rsidRPr="009455FA" w:rsidTr="00871F47">
        <w:trPr>
          <w:trHeight w:val="151"/>
        </w:trPr>
        <w:tc>
          <w:tcPr>
            <w:tcW w:w="4338" w:type="dxa"/>
          </w:tcPr>
          <w:p w:rsidR="009455FA" w:rsidRPr="009455FA" w:rsidRDefault="0086075F" w:rsidP="009455FA">
            <w:pPr>
              <w:tabs>
                <w:tab w:val="left" w:pos="-1440"/>
                <w:tab w:val="left" w:pos="-720"/>
              </w:tabs>
              <w:jc w:val="both"/>
              <w:rPr>
                <w:lang w:val="fr-CA"/>
              </w:rPr>
            </w:pPr>
            <w:r w:rsidRPr="009455FA">
              <w:rPr>
                <w:lang w:val="en-US"/>
              </w:rPr>
              <w:fldChar w:fldCharType="begin"/>
            </w:r>
            <w:r w:rsidR="009455FA" w:rsidRPr="009455FA">
              <w:rPr>
                <w:lang w:val="fr-CA"/>
              </w:rPr>
              <w:instrText xml:space="preserve"> SEQ CHAPTER \h \r 1</w:instrText>
            </w:r>
            <w:r w:rsidRPr="009455FA">
              <w:rPr>
                <w:lang w:val="en-US"/>
              </w:rPr>
              <w:fldChar w:fldCharType="end"/>
            </w:r>
            <w:r w:rsidR="009455FA" w:rsidRPr="009455FA">
              <w:rPr>
                <w:b/>
                <w:bCs/>
                <w:lang w:val="fr-CA"/>
              </w:rPr>
              <w:t>Miscellaneous motion</w:t>
            </w:r>
          </w:p>
          <w:p w:rsidR="009455FA" w:rsidRPr="009455FA" w:rsidRDefault="0086075F" w:rsidP="009455FA">
            <w:pPr>
              <w:tabs>
                <w:tab w:val="left" w:pos="-1440"/>
                <w:tab w:val="left" w:pos="-720"/>
              </w:tabs>
              <w:jc w:val="both"/>
              <w:rPr>
                <w:lang w:val="fr-CA"/>
              </w:rPr>
            </w:pPr>
            <w:r w:rsidRPr="009455FA">
              <w:rPr>
                <w:lang w:val="en-US"/>
              </w:rPr>
              <w:fldChar w:fldCharType="begin"/>
            </w:r>
            <w:r w:rsidR="009455FA" w:rsidRPr="009455FA">
              <w:rPr>
                <w:lang w:val="fr-CA"/>
              </w:rPr>
              <w:instrText xml:space="preserve"> SEQ CHAPTER \h \r 1</w:instrText>
            </w:r>
            <w:r w:rsidRPr="009455FA">
              <w:rPr>
                <w:lang w:val="en-US"/>
              </w:rPr>
              <w:fldChar w:fldCharType="end"/>
            </w:r>
          </w:p>
        </w:tc>
        <w:tc>
          <w:tcPr>
            <w:tcW w:w="1170" w:type="dxa"/>
          </w:tcPr>
          <w:p w:rsidR="009455FA" w:rsidRPr="009455FA" w:rsidRDefault="009455FA" w:rsidP="009455FA">
            <w:pPr>
              <w:jc w:val="both"/>
              <w:rPr>
                <w:lang w:val="fr-CA"/>
              </w:rPr>
            </w:pPr>
          </w:p>
          <w:p w:rsidR="009455FA" w:rsidRPr="009455FA" w:rsidRDefault="009455FA" w:rsidP="009455FA">
            <w:pPr>
              <w:jc w:val="both"/>
              <w:rPr>
                <w:lang w:val="fr-CA"/>
              </w:rPr>
            </w:pPr>
          </w:p>
        </w:tc>
        <w:tc>
          <w:tcPr>
            <w:tcW w:w="4327" w:type="dxa"/>
          </w:tcPr>
          <w:p w:rsidR="009455FA" w:rsidRPr="009455FA" w:rsidRDefault="0086075F" w:rsidP="009455FA">
            <w:pPr>
              <w:jc w:val="both"/>
              <w:rPr>
                <w:b/>
                <w:lang w:val="fr-CA"/>
              </w:rPr>
            </w:pPr>
            <w:r w:rsidRPr="009455FA">
              <w:rPr>
                <w:lang w:val="en-US"/>
              </w:rPr>
              <w:fldChar w:fldCharType="begin"/>
            </w:r>
            <w:r w:rsidR="009455FA" w:rsidRPr="009455FA">
              <w:rPr>
                <w:lang w:val="fr-CA"/>
              </w:rPr>
              <w:instrText xml:space="preserve"> SEQ CHAPTER \h \r 1</w:instrText>
            </w:r>
            <w:r w:rsidRPr="009455FA">
              <w:rPr>
                <w:lang w:val="en-US"/>
              </w:rPr>
              <w:fldChar w:fldCharType="end"/>
            </w:r>
            <w:r w:rsidR="009455FA" w:rsidRPr="009455FA">
              <w:rPr>
                <w:b/>
                <w:bCs/>
                <w:lang w:val="fr-CA"/>
              </w:rPr>
              <w:t>Requête diverse</w:t>
            </w:r>
          </w:p>
          <w:p w:rsidR="009455FA" w:rsidRPr="009455FA" w:rsidRDefault="0086075F" w:rsidP="009455FA">
            <w:pPr>
              <w:jc w:val="both"/>
              <w:rPr>
                <w:b/>
                <w:lang w:val="fr-CA"/>
              </w:rPr>
            </w:pPr>
            <w:r w:rsidRPr="009455FA">
              <w:rPr>
                <w:b/>
                <w:lang w:val="en-US"/>
              </w:rPr>
              <w:fldChar w:fldCharType="begin"/>
            </w:r>
            <w:r w:rsidR="009455FA" w:rsidRPr="009455FA">
              <w:rPr>
                <w:b/>
                <w:lang w:val="fr-CA"/>
              </w:rPr>
              <w:instrText xml:space="preserve"> SEQ CHAPTER \h \r 1</w:instrText>
            </w:r>
            <w:r w:rsidRPr="009455FA">
              <w:rPr>
                <w:b/>
                <w:lang w:val="en-US"/>
              </w:rPr>
              <w:fldChar w:fldCharType="end"/>
            </w:r>
            <w:r w:rsidRPr="009455FA">
              <w:rPr>
                <w:b/>
                <w:lang w:val="en-US"/>
              </w:rPr>
              <w:fldChar w:fldCharType="begin"/>
            </w:r>
            <w:r w:rsidR="009455FA" w:rsidRPr="009455FA">
              <w:rPr>
                <w:b/>
                <w:lang w:val="fr-CA"/>
              </w:rPr>
              <w:instrText xml:space="preserve"> SEQ CHAPTER \h \r 1</w:instrText>
            </w:r>
            <w:r w:rsidRPr="009455FA">
              <w:rPr>
                <w:b/>
                <w:lang w:val="en-US"/>
              </w:rPr>
              <w:fldChar w:fldCharType="end"/>
            </w:r>
          </w:p>
        </w:tc>
      </w:tr>
      <w:tr w:rsidR="009455FA" w:rsidRPr="009455FA" w:rsidTr="00871F47">
        <w:trPr>
          <w:trHeight w:val="150"/>
        </w:trPr>
        <w:tc>
          <w:tcPr>
            <w:tcW w:w="4338" w:type="dxa"/>
          </w:tcPr>
          <w:p w:rsidR="009455FA" w:rsidRPr="009455FA" w:rsidRDefault="009455FA" w:rsidP="009455FA">
            <w:pPr>
              <w:tabs>
                <w:tab w:val="left" w:pos="-1440"/>
                <w:tab w:val="left" w:pos="-720"/>
              </w:tabs>
              <w:rPr>
                <w:lang w:val="fr-CA"/>
              </w:rPr>
            </w:pPr>
            <w:r w:rsidRPr="009455FA">
              <w:rPr>
                <w:lang w:val="fr-CA"/>
              </w:rPr>
              <w:t>Ita Robbins et al.</w:t>
            </w:r>
          </w:p>
          <w:p w:rsidR="009455FA" w:rsidRPr="009455FA" w:rsidRDefault="009455FA" w:rsidP="009455FA">
            <w:pPr>
              <w:tabs>
                <w:tab w:val="left" w:pos="-1440"/>
                <w:tab w:val="left" w:pos="-720"/>
              </w:tabs>
              <w:rPr>
                <w:lang w:val="fr-CA"/>
              </w:rPr>
            </w:pPr>
          </w:p>
          <w:p w:rsidR="009455FA" w:rsidRPr="009455FA" w:rsidRDefault="009455FA" w:rsidP="009455FA">
            <w:pPr>
              <w:tabs>
                <w:tab w:val="left" w:pos="-1440"/>
                <w:tab w:val="left" w:pos="-720"/>
              </w:tabs>
              <w:rPr>
                <w:lang w:val="fr-CA"/>
              </w:rPr>
            </w:pPr>
            <w:r w:rsidRPr="009455FA">
              <w:rPr>
                <w:lang w:val="fr-CA"/>
              </w:rPr>
              <w:tab/>
              <w:t>v. (35772)</w:t>
            </w:r>
          </w:p>
          <w:p w:rsidR="009455FA" w:rsidRPr="009455FA" w:rsidRDefault="009455FA" w:rsidP="009455FA">
            <w:pPr>
              <w:tabs>
                <w:tab w:val="left" w:pos="-1440"/>
                <w:tab w:val="left" w:pos="-720"/>
              </w:tabs>
              <w:rPr>
                <w:lang w:val="fr-CA"/>
              </w:rPr>
            </w:pPr>
          </w:p>
          <w:p w:rsidR="009455FA" w:rsidRPr="009455FA" w:rsidRDefault="009455FA" w:rsidP="009455FA">
            <w:pPr>
              <w:tabs>
                <w:tab w:val="left" w:pos="-1440"/>
                <w:tab w:val="left" w:pos="-720"/>
              </w:tabs>
            </w:pPr>
            <w:r w:rsidRPr="009455FA">
              <w:t>Cambridge Mortgage Investment Corporation (B.C.)</w:t>
            </w:r>
          </w:p>
        </w:tc>
        <w:tc>
          <w:tcPr>
            <w:tcW w:w="1170" w:type="dxa"/>
          </w:tcPr>
          <w:p w:rsidR="009455FA" w:rsidRPr="009455FA" w:rsidRDefault="009455FA" w:rsidP="009455FA">
            <w:pPr>
              <w:jc w:val="both"/>
            </w:pPr>
          </w:p>
        </w:tc>
        <w:tc>
          <w:tcPr>
            <w:tcW w:w="4327" w:type="dxa"/>
          </w:tcPr>
          <w:p w:rsidR="009455FA" w:rsidRPr="009455FA" w:rsidRDefault="009455FA" w:rsidP="009455FA">
            <w:pPr>
              <w:jc w:val="both"/>
            </w:pPr>
          </w:p>
        </w:tc>
      </w:tr>
    </w:tbl>
    <w:p w:rsidR="009455FA" w:rsidRPr="009455FA" w:rsidRDefault="009455FA" w:rsidP="009455FA">
      <w:pPr>
        <w:tabs>
          <w:tab w:val="left" w:pos="-1440"/>
          <w:tab w:val="left" w:pos="-720"/>
        </w:tabs>
        <w:jc w:val="both"/>
        <w:rPr>
          <w:rFonts w:eastAsia="Times New Roman" w:cs="Times New Roman"/>
          <w:sz w:val="20"/>
          <w:szCs w:val="20"/>
          <w:lang w:eastAsia="en-CA"/>
        </w:rPr>
      </w:pPr>
    </w:p>
    <w:p w:rsidR="009455FA" w:rsidRPr="009455FA" w:rsidRDefault="009455FA" w:rsidP="009455FA">
      <w:pPr>
        <w:tabs>
          <w:tab w:val="left" w:pos="-1440"/>
          <w:tab w:val="left" w:pos="-720"/>
        </w:tabs>
        <w:jc w:val="both"/>
        <w:rPr>
          <w:rFonts w:eastAsia="Times New Roman" w:cs="Times New Roman"/>
          <w:sz w:val="20"/>
          <w:szCs w:val="20"/>
          <w:lang w:eastAsia="en-CA"/>
        </w:rPr>
      </w:pPr>
      <w:r w:rsidRPr="009455FA">
        <w:rPr>
          <w:rFonts w:eastAsia="Times New Roman" w:cs="Times New Roman"/>
          <w:b/>
          <w:sz w:val="20"/>
          <w:szCs w:val="20"/>
          <w:lang w:eastAsia="en-CA"/>
        </w:rPr>
        <w:t>DISMISSED / REJETÉE</w:t>
      </w:r>
    </w:p>
    <w:p w:rsidR="009455FA" w:rsidRPr="009455FA" w:rsidRDefault="009455FA" w:rsidP="009455FA">
      <w:pPr>
        <w:tabs>
          <w:tab w:val="left" w:pos="-1440"/>
          <w:tab w:val="left" w:pos="-720"/>
        </w:tabs>
        <w:jc w:val="both"/>
        <w:rPr>
          <w:rFonts w:eastAsia="Times New Roman" w:cs="Times New Roman"/>
          <w:sz w:val="20"/>
          <w:szCs w:val="20"/>
          <w:lang w:eastAsia="en-CA"/>
        </w:rPr>
      </w:pPr>
    </w:p>
    <w:p w:rsidR="009455FA" w:rsidRPr="009455FA" w:rsidRDefault="009455FA" w:rsidP="009455FA">
      <w:pPr>
        <w:jc w:val="both"/>
        <w:rPr>
          <w:rFonts w:eastAsia="Times New Roman" w:cs="Times New Roman"/>
          <w:sz w:val="20"/>
          <w:szCs w:val="20"/>
          <w:lang w:val="en-US" w:eastAsia="en-CA"/>
        </w:rPr>
      </w:pPr>
      <w:r w:rsidRPr="009455FA">
        <w:rPr>
          <w:rFonts w:eastAsia="Times New Roman" w:cs="Times New Roman"/>
          <w:b/>
          <w:sz w:val="20"/>
          <w:szCs w:val="20"/>
          <w:lang w:val="en-US" w:eastAsia="en-CA"/>
        </w:rPr>
        <w:t>UPON APPLICATION</w:t>
      </w:r>
      <w:r w:rsidRPr="009455FA">
        <w:rPr>
          <w:rFonts w:eastAsia="Times New Roman" w:cs="Times New Roman"/>
          <w:sz w:val="20"/>
          <w:szCs w:val="20"/>
          <w:lang w:val="en-US" w:eastAsia="en-CA"/>
        </w:rPr>
        <w:t xml:space="preserve"> by Ita Robbins and Frana Matich, dated March 6, 2015, for a review of the taxation of costs pursuant to Rule 84(2) of the </w:t>
      </w:r>
      <w:r w:rsidRPr="009455FA">
        <w:rPr>
          <w:rFonts w:eastAsia="Times New Roman" w:cs="Times New Roman"/>
          <w:i/>
          <w:sz w:val="20"/>
          <w:szCs w:val="20"/>
          <w:lang w:val="en-US" w:eastAsia="en-CA"/>
        </w:rPr>
        <w:t>Rules of the Supreme Court of Canada</w:t>
      </w:r>
      <w:r w:rsidRPr="009455FA">
        <w:rPr>
          <w:rFonts w:eastAsia="Times New Roman" w:cs="Times New Roman"/>
          <w:sz w:val="20"/>
          <w:szCs w:val="20"/>
          <w:lang w:val="en-US" w:eastAsia="en-CA"/>
        </w:rPr>
        <w:t xml:space="preserve">; </w:t>
      </w:r>
    </w:p>
    <w:p w:rsidR="009455FA" w:rsidRPr="009455FA" w:rsidRDefault="009455FA" w:rsidP="009455FA">
      <w:pPr>
        <w:jc w:val="both"/>
        <w:rPr>
          <w:rFonts w:eastAsia="Times New Roman" w:cs="Times New Roman"/>
          <w:sz w:val="20"/>
          <w:szCs w:val="20"/>
          <w:lang w:val="en-US" w:eastAsia="en-CA"/>
        </w:rPr>
      </w:pPr>
    </w:p>
    <w:p w:rsidR="009455FA" w:rsidRPr="009455FA" w:rsidRDefault="009455FA" w:rsidP="009455FA">
      <w:pPr>
        <w:jc w:val="both"/>
        <w:rPr>
          <w:rFonts w:eastAsia="Times New Roman" w:cs="Times New Roman"/>
          <w:sz w:val="20"/>
          <w:szCs w:val="20"/>
          <w:lang w:val="en-US" w:eastAsia="en-CA"/>
        </w:rPr>
      </w:pPr>
      <w:r w:rsidRPr="009455FA">
        <w:rPr>
          <w:rFonts w:eastAsia="Times New Roman" w:cs="Times New Roman"/>
          <w:b/>
          <w:sz w:val="20"/>
          <w:szCs w:val="20"/>
          <w:lang w:val="en-US" w:eastAsia="en-CA"/>
        </w:rPr>
        <w:t xml:space="preserve">AND HAVING READ </w:t>
      </w:r>
      <w:r w:rsidRPr="009455FA">
        <w:rPr>
          <w:rFonts w:eastAsia="Times New Roman" w:cs="Times New Roman"/>
          <w:sz w:val="20"/>
          <w:szCs w:val="20"/>
          <w:lang w:val="en-US" w:eastAsia="en-CA"/>
        </w:rPr>
        <w:t xml:space="preserve">the material; </w:t>
      </w:r>
    </w:p>
    <w:p w:rsidR="009455FA" w:rsidRPr="009455FA" w:rsidRDefault="009455FA" w:rsidP="009455FA">
      <w:pPr>
        <w:jc w:val="both"/>
        <w:rPr>
          <w:rFonts w:eastAsia="Times New Roman" w:cs="Times New Roman"/>
          <w:sz w:val="20"/>
          <w:szCs w:val="20"/>
          <w:lang w:val="en-US" w:eastAsia="en-CA"/>
        </w:rPr>
      </w:pPr>
    </w:p>
    <w:p w:rsidR="009455FA" w:rsidRPr="009455FA" w:rsidRDefault="009455FA" w:rsidP="009455FA">
      <w:pPr>
        <w:jc w:val="both"/>
        <w:rPr>
          <w:rFonts w:eastAsia="Times New Roman" w:cs="Times New Roman"/>
          <w:sz w:val="20"/>
          <w:szCs w:val="20"/>
          <w:lang w:val="en-US" w:eastAsia="en-CA"/>
        </w:rPr>
      </w:pPr>
      <w:r w:rsidRPr="009455FA">
        <w:rPr>
          <w:rFonts w:eastAsia="Times New Roman" w:cs="Times New Roman"/>
          <w:b/>
          <w:sz w:val="20"/>
          <w:szCs w:val="20"/>
          <w:lang w:val="en-US" w:eastAsia="en-CA"/>
        </w:rPr>
        <w:t>IT IS HEREBY ORDERED THAT</w:t>
      </w:r>
      <w:r w:rsidRPr="009455FA">
        <w:rPr>
          <w:rFonts w:eastAsia="Times New Roman" w:cs="Times New Roman"/>
          <w:sz w:val="20"/>
          <w:szCs w:val="20"/>
          <w:lang w:val="en-US" w:eastAsia="en-CA"/>
        </w:rPr>
        <w:t xml:space="preserve"> </w:t>
      </w:r>
    </w:p>
    <w:p w:rsidR="009455FA" w:rsidRPr="009455FA" w:rsidRDefault="009455FA" w:rsidP="009455FA">
      <w:pPr>
        <w:jc w:val="both"/>
        <w:rPr>
          <w:rFonts w:eastAsia="Times New Roman" w:cs="Times New Roman"/>
          <w:sz w:val="20"/>
          <w:szCs w:val="20"/>
          <w:lang w:val="en-US" w:eastAsia="en-CA"/>
        </w:rPr>
      </w:pPr>
    </w:p>
    <w:p w:rsidR="009455FA" w:rsidRPr="009455FA" w:rsidRDefault="009455FA" w:rsidP="009455FA">
      <w:pPr>
        <w:jc w:val="both"/>
        <w:rPr>
          <w:rFonts w:eastAsia="Times New Roman" w:cs="Times New Roman"/>
          <w:sz w:val="20"/>
          <w:szCs w:val="20"/>
          <w:lang w:val="en-US" w:eastAsia="en-CA"/>
        </w:rPr>
      </w:pPr>
      <w:r w:rsidRPr="009455FA">
        <w:rPr>
          <w:rFonts w:eastAsia="Times New Roman" w:cs="Times New Roman"/>
          <w:sz w:val="20"/>
          <w:szCs w:val="20"/>
          <w:lang w:val="en-US" w:eastAsia="en-CA"/>
        </w:rPr>
        <w:t>The motion is dismissed.</w:t>
      </w:r>
    </w:p>
    <w:p w:rsidR="009455FA" w:rsidRPr="009455FA" w:rsidRDefault="009455FA" w:rsidP="009455FA">
      <w:pPr>
        <w:jc w:val="both"/>
        <w:rPr>
          <w:rFonts w:eastAsia="Times New Roman" w:cs="Times New Roman"/>
          <w:sz w:val="20"/>
          <w:szCs w:val="20"/>
          <w:lang w:val="en-US" w:eastAsia="en-CA"/>
        </w:rPr>
      </w:pPr>
    </w:p>
    <w:p w:rsidR="009455FA" w:rsidRPr="009455FA" w:rsidRDefault="009455FA" w:rsidP="009455FA">
      <w:pPr>
        <w:jc w:val="both"/>
        <w:rPr>
          <w:rFonts w:eastAsia="Times New Roman" w:cs="Times New Roman"/>
          <w:sz w:val="20"/>
          <w:szCs w:val="20"/>
          <w:lang w:val="en-US" w:eastAsia="en-CA"/>
        </w:rPr>
      </w:pPr>
    </w:p>
    <w:p w:rsidR="009455FA" w:rsidRPr="009455FA" w:rsidRDefault="009455FA" w:rsidP="009455FA">
      <w:pPr>
        <w:jc w:val="both"/>
        <w:rPr>
          <w:rFonts w:eastAsia="Times New Roman" w:cs="Times New Roman"/>
          <w:sz w:val="20"/>
          <w:szCs w:val="20"/>
          <w:lang w:val="en-US" w:eastAsia="en-CA"/>
        </w:rPr>
      </w:pPr>
    </w:p>
    <w:p w:rsidR="009455FA" w:rsidRPr="009455FA" w:rsidRDefault="009455FA" w:rsidP="009455FA">
      <w:pPr>
        <w:jc w:val="both"/>
        <w:rPr>
          <w:rFonts w:eastAsia="Times New Roman" w:cs="Times New Roman"/>
          <w:sz w:val="20"/>
          <w:szCs w:val="20"/>
          <w:lang w:val="fr-CA" w:eastAsia="en-CA"/>
        </w:rPr>
      </w:pPr>
      <w:r w:rsidRPr="009455FA">
        <w:rPr>
          <w:rFonts w:eastAsia="Times New Roman" w:cs="Times New Roman"/>
          <w:b/>
          <w:sz w:val="20"/>
          <w:szCs w:val="20"/>
          <w:lang w:val="fr-CA" w:eastAsia="en-CA"/>
        </w:rPr>
        <w:t>À LA SUITE DE LA DEMANDE</w:t>
      </w:r>
      <w:r w:rsidRPr="009455FA">
        <w:rPr>
          <w:rFonts w:eastAsia="Times New Roman" w:cs="Times New Roman"/>
          <w:sz w:val="20"/>
          <w:szCs w:val="20"/>
          <w:lang w:val="fr-CA" w:eastAsia="en-CA"/>
        </w:rPr>
        <w:t xml:space="preserve"> d’Ita Robbins et de Frana Matich en révision de la taxation des dépens, présentée en date du 6 mars 2015 et en vertu du par. 84(2) des </w:t>
      </w:r>
      <w:r w:rsidRPr="009455FA">
        <w:rPr>
          <w:rFonts w:eastAsia="Times New Roman" w:cs="Times New Roman"/>
          <w:i/>
          <w:sz w:val="20"/>
          <w:szCs w:val="20"/>
          <w:lang w:val="fr-CA" w:eastAsia="en-CA"/>
        </w:rPr>
        <w:t>Règles de la Cour suprême du Canada</w:t>
      </w:r>
      <w:r w:rsidRPr="009455FA">
        <w:rPr>
          <w:rFonts w:eastAsia="Times New Roman" w:cs="Times New Roman"/>
          <w:sz w:val="20"/>
          <w:szCs w:val="20"/>
          <w:lang w:val="fr-CA" w:eastAsia="en-CA"/>
        </w:rPr>
        <w:t>;</w:t>
      </w:r>
    </w:p>
    <w:p w:rsidR="009455FA" w:rsidRPr="009455FA" w:rsidRDefault="009455FA" w:rsidP="009455FA">
      <w:pPr>
        <w:jc w:val="both"/>
        <w:rPr>
          <w:rFonts w:eastAsia="Times New Roman" w:cs="Times New Roman"/>
          <w:sz w:val="20"/>
          <w:szCs w:val="20"/>
          <w:lang w:val="fr-CA" w:eastAsia="en-CA"/>
        </w:rPr>
      </w:pPr>
    </w:p>
    <w:p w:rsidR="009455FA" w:rsidRPr="009455FA" w:rsidRDefault="009455FA" w:rsidP="009455FA">
      <w:pPr>
        <w:jc w:val="both"/>
        <w:rPr>
          <w:rFonts w:eastAsia="Times New Roman" w:cs="Times New Roman"/>
          <w:sz w:val="20"/>
          <w:szCs w:val="20"/>
          <w:lang w:val="fr-CA" w:eastAsia="en-CA"/>
        </w:rPr>
      </w:pPr>
      <w:r w:rsidRPr="009455FA">
        <w:rPr>
          <w:rFonts w:eastAsia="Times New Roman" w:cs="Times New Roman"/>
          <w:b/>
          <w:sz w:val="20"/>
          <w:szCs w:val="20"/>
          <w:lang w:val="fr-CA" w:eastAsia="en-CA"/>
        </w:rPr>
        <w:t>ET APRÈS EXAMEN</w:t>
      </w:r>
      <w:r w:rsidRPr="009455FA">
        <w:rPr>
          <w:rFonts w:eastAsia="Times New Roman" w:cs="Times New Roman"/>
          <w:sz w:val="20"/>
          <w:szCs w:val="20"/>
          <w:lang w:val="fr-CA" w:eastAsia="en-CA"/>
        </w:rPr>
        <w:t xml:space="preserve"> des documents déposés; </w:t>
      </w:r>
    </w:p>
    <w:p w:rsidR="009455FA" w:rsidRPr="009455FA" w:rsidRDefault="009455FA" w:rsidP="009455FA">
      <w:pPr>
        <w:jc w:val="both"/>
        <w:rPr>
          <w:rFonts w:eastAsia="Times New Roman" w:cs="Times New Roman"/>
          <w:sz w:val="20"/>
          <w:szCs w:val="20"/>
          <w:lang w:val="fr-CA" w:eastAsia="en-CA"/>
        </w:rPr>
      </w:pPr>
    </w:p>
    <w:p w:rsidR="009455FA" w:rsidRDefault="009455FA">
      <w:pPr>
        <w:rPr>
          <w:rFonts w:eastAsia="Times New Roman" w:cs="Times New Roman"/>
          <w:b/>
          <w:sz w:val="20"/>
          <w:szCs w:val="20"/>
          <w:lang w:val="fr-CA" w:eastAsia="en-CA"/>
        </w:rPr>
      </w:pPr>
      <w:r>
        <w:rPr>
          <w:rFonts w:eastAsia="Times New Roman" w:cs="Times New Roman"/>
          <w:b/>
          <w:sz w:val="20"/>
          <w:szCs w:val="20"/>
          <w:lang w:val="fr-CA" w:eastAsia="en-CA"/>
        </w:rPr>
        <w:br w:type="page"/>
      </w:r>
    </w:p>
    <w:p w:rsidR="009455FA" w:rsidRPr="009455FA" w:rsidRDefault="009455FA" w:rsidP="009455FA">
      <w:pPr>
        <w:jc w:val="both"/>
        <w:rPr>
          <w:rFonts w:eastAsia="Times New Roman" w:cs="Times New Roman"/>
          <w:b/>
          <w:sz w:val="20"/>
          <w:szCs w:val="20"/>
          <w:lang w:val="fr-CA" w:eastAsia="en-CA"/>
        </w:rPr>
      </w:pPr>
      <w:r w:rsidRPr="009455FA">
        <w:rPr>
          <w:rFonts w:eastAsia="Times New Roman" w:cs="Times New Roman"/>
          <w:b/>
          <w:sz w:val="20"/>
          <w:szCs w:val="20"/>
          <w:lang w:val="fr-CA" w:eastAsia="en-CA"/>
        </w:rPr>
        <w:lastRenderedPageBreak/>
        <w:t>IL EST ORDONNÉ CE QUI SUIT :</w:t>
      </w:r>
    </w:p>
    <w:p w:rsidR="009455FA" w:rsidRPr="009455FA" w:rsidRDefault="009455FA" w:rsidP="009455FA">
      <w:pPr>
        <w:rPr>
          <w:rFonts w:eastAsia="Times New Roman" w:cs="Times New Roman"/>
          <w:sz w:val="20"/>
          <w:szCs w:val="20"/>
          <w:lang w:val="fr-CA" w:eastAsia="en-CA"/>
        </w:rPr>
      </w:pPr>
    </w:p>
    <w:p w:rsidR="009455FA" w:rsidRPr="009455FA" w:rsidRDefault="009455FA" w:rsidP="009455FA">
      <w:pPr>
        <w:rPr>
          <w:rFonts w:eastAsia="Times New Roman" w:cs="Times New Roman"/>
          <w:sz w:val="20"/>
          <w:szCs w:val="20"/>
          <w:lang w:val="fr-CA" w:eastAsia="en-CA"/>
        </w:rPr>
      </w:pPr>
      <w:r w:rsidRPr="009455FA">
        <w:rPr>
          <w:rFonts w:eastAsia="Times New Roman" w:cs="Times New Roman"/>
          <w:sz w:val="20"/>
          <w:szCs w:val="20"/>
          <w:lang w:val="fr-CA" w:eastAsia="en-CA"/>
        </w:rPr>
        <w:t>La requête est rejetée.</w:t>
      </w:r>
    </w:p>
    <w:p w:rsidR="0042426B" w:rsidRPr="0042426B" w:rsidRDefault="0042426B" w:rsidP="0042426B">
      <w:pPr>
        <w:tabs>
          <w:tab w:val="left" w:pos="-1440"/>
          <w:tab w:val="left" w:pos="-720"/>
        </w:tabs>
        <w:jc w:val="both"/>
        <w:rPr>
          <w:rFonts w:eastAsia="Times New Roman" w:cs="Times New Roman"/>
          <w:sz w:val="20"/>
          <w:szCs w:val="20"/>
          <w:lang w:eastAsia="en-CA"/>
        </w:rPr>
      </w:pPr>
    </w:p>
    <w:p w:rsidR="0042426B" w:rsidRPr="0042426B" w:rsidRDefault="00310DA4" w:rsidP="0042426B">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58" style="width:2in;height:1pt" o:hrpct="0" o:hralign="center" o:hrstd="t" o:hrnoshade="t" o:hr="t" fillcolor="black [3213]" stroked="f"/>
        </w:pict>
      </w:r>
    </w:p>
    <w:p w:rsidR="00CA2DEA" w:rsidRPr="003B3977" w:rsidRDefault="00CA2DEA"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50"/>
          <w:headerReference w:type="default" r:id="rId51"/>
          <w:footerReference w:type="even" r:id="rId52"/>
          <w:footerReference w:type="default" r:id="rId53"/>
          <w:headerReference w:type="first" r:id="rId54"/>
          <w:footerReference w:type="first" r:id="rId55"/>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310DA4"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52229C" w:rsidRPr="00C42C54" w:rsidRDefault="0052229C" w:rsidP="0052229C">
      <w:pPr>
        <w:rPr>
          <w:b/>
          <w:sz w:val="20"/>
          <w:szCs w:val="20"/>
          <w:lang w:val="fr-CA"/>
        </w:rPr>
      </w:pPr>
      <w:r w:rsidRPr="00C42C54">
        <w:rPr>
          <w:b/>
          <w:sz w:val="20"/>
          <w:szCs w:val="20"/>
          <w:lang w:val="fr-CA"/>
        </w:rPr>
        <w:t>JU</w:t>
      </w:r>
      <w:r w:rsidR="000C5374">
        <w:rPr>
          <w:b/>
          <w:sz w:val="20"/>
          <w:szCs w:val="20"/>
          <w:lang w:val="fr-CA"/>
        </w:rPr>
        <w:t>L</w:t>
      </w:r>
      <w:r w:rsidRPr="00C42C54">
        <w:rPr>
          <w:b/>
          <w:sz w:val="20"/>
          <w:szCs w:val="20"/>
          <w:lang w:val="fr-CA"/>
        </w:rPr>
        <w:t xml:space="preserve">Y </w:t>
      </w:r>
      <w:r w:rsidR="000C5374">
        <w:rPr>
          <w:b/>
          <w:sz w:val="20"/>
          <w:szCs w:val="20"/>
          <w:lang w:val="fr-CA"/>
        </w:rPr>
        <w:t>23</w:t>
      </w:r>
      <w:r w:rsidRPr="00C42C54">
        <w:rPr>
          <w:b/>
          <w:sz w:val="20"/>
          <w:szCs w:val="20"/>
          <w:lang w:val="fr-CA"/>
        </w:rPr>
        <w:t>, 201</w:t>
      </w:r>
      <w:r w:rsidR="000C5374">
        <w:rPr>
          <w:b/>
          <w:sz w:val="20"/>
          <w:szCs w:val="20"/>
          <w:lang w:val="fr-CA"/>
        </w:rPr>
        <w:t>5</w:t>
      </w:r>
      <w:r w:rsidRPr="00C42C54">
        <w:rPr>
          <w:b/>
          <w:sz w:val="20"/>
          <w:szCs w:val="20"/>
          <w:lang w:val="fr-CA"/>
        </w:rPr>
        <w:t xml:space="preserve"> / LE </w:t>
      </w:r>
      <w:r w:rsidR="000C5374">
        <w:rPr>
          <w:b/>
          <w:sz w:val="20"/>
          <w:szCs w:val="20"/>
          <w:lang w:val="fr-CA"/>
        </w:rPr>
        <w:t>23</w:t>
      </w:r>
      <w:r w:rsidRPr="00C42C54">
        <w:rPr>
          <w:b/>
          <w:sz w:val="20"/>
          <w:szCs w:val="20"/>
          <w:lang w:val="fr-CA"/>
        </w:rPr>
        <w:t xml:space="preserve"> J</w:t>
      </w:r>
      <w:r w:rsidR="000C5374">
        <w:rPr>
          <w:b/>
          <w:sz w:val="20"/>
          <w:szCs w:val="20"/>
          <w:lang w:val="fr-CA"/>
        </w:rPr>
        <w:t>U</w:t>
      </w:r>
      <w:r w:rsidRPr="00C42C54">
        <w:rPr>
          <w:b/>
          <w:sz w:val="20"/>
          <w:szCs w:val="20"/>
          <w:lang w:val="fr-CA"/>
        </w:rPr>
        <w:t>I</w:t>
      </w:r>
      <w:r w:rsidR="000C5374">
        <w:rPr>
          <w:b/>
          <w:sz w:val="20"/>
          <w:szCs w:val="20"/>
          <w:lang w:val="fr-CA"/>
        </w:rPr>
        <w:t>LL</w:t>
      </w:r>
      <w:r w:rsidRPr="00C42C54">
        <w:rPr>
          <w:b/>
          <w:sz w:val="20"/>
          <w:szCs w:val="20"/>
          <w:lang w:val="fr-CA"/>
        </w:rPr>
        <w:t>E</w:t>
      </w:r>
      <w:r w:rsidR="000C5374">
        <w:rPr>
          <w:b/>
          <w:sz w:val="20"/>
          <w:szCs w:val="20"/>
          <w:lang w:val="fr-CA"/>
        </w:rPr>
        <w:t>T</w:t>
      </w:r>
      <w:r w:rsidRPr="00C42C54">
        <w:rPr>
          <w:b/>
          <w:sz w:val="20"/>
          <w:szCs w:val="20"/>
          <w:lang w:val="fr-CA"/>
        </w:rPr>
        <w:t xml:space="preserve"> 201</w:t>
      </w:r>
      <w:r w:rsidR="000C5374">
        <w:rPr>
          <w:b/>
          <w:sz w:val="20"/>
          <w:szCs w:val="20"/>
          <w:lang w:val="fr-CA"/>
        </w:rPr>
        <w:t>5</w:t>
      </w:r>
    </w:p>
    <w:p w:rsidR="0052229C" w:rsidRPr="00C42C54" w:rsidRDefault="0052229C" w:rsidP="0052229C">
      <w:pPr>
        <w:rPr>
          <w:sz w:val="20"/>
          <w:szCs w:val="20"/>
          <w:lang w:val="fr-CA"/>
        </w:rPr>
      </w:pPr>
    </w:p>
    <w:p w:rsidR="006D2824" w:rsidRPr="006045F0" w:rsidRDefault="0086075F" w:rsidP="006D2824">
      <w:pPr>
        <w:ind w:left="1440" w:hanging="1440"/>
        <w:jc w:val="both"/>
        <w:rPr>
          <w:rFonts w:eastAsia="Calibri"/>
          <w:sz w:val="20"/>
          <w:szCs w:val="20"/>
          <w:lang w:val="fr-CA"/>
        </w:rPr>
      </w:pPr>
      <w:r w:rsidRPr="006045F0">
        <w:rPr>
          <w:rFonts w:eastAsia="Calibri"/>
          <w:b/>
          <w:sz w:val="20"/>
          <w:szCs w:val="20"/>
        </w:rPr>
        <w:fldChar w:fldCharType="begin"/>
      </w:r>
      <w:r w:rsidR="006D2824" w:rsidRPr="006045F0">
        <w:rPr>
          <w:rFonts w:eastAsia="Calibri"/>
          <w:b/>
          <w:sz w:val="20"/>
          <w:szCs w:val="20"/>
          <w:lang w:val="fr-CA"/>
        </w:rPr>
        <w:instrText xml:space="preserve"> SEQ CHAPTER \h \r 1</w:instrText>
      </w:r>
      <w:r w:rsidRPr="006045F0">
        <w:rPr>
          <w:rFonts w:eastAsia="Calibri"/>
          <w:b/>
          <w:sz w:val="20"/>
          <w:szCs w:val="20"/>
        </w:rPr>
        <w:fldChar w:fldCharType="end"/>
      </w:r>
      <w:r w:rsidR="006D2824" w:rsidRPr="006045F0">
        <w:rPr>
          <w:rFonts w:eastAsia="Calibri"/>
          <w:b/>
          <w:sz w:val="20"/>
          <w:szCs w:val="20"/>
          <w:lang w:val="fr-CA"/>
        </w:rPr>
        <w:t>35625</w:t>
      </w:r>
      <w:r w:rsidR="006D2824" w:rsidRPr="006045F0">
        <w:rPr>
          <w:rFonts w:eastAsia="Calibri"/>
          <w:sz w:val="20"/>
          <w:szCs w:val="20"/>
          <w:lang w:val="fr-CA"/>
        </w:rPr>
        <w:tab/>
      </w:r>
      <w:r w:rsidR="006D2824" w:rsidRPr="006045F0">
        <w:rPr>
          <w:rFonts w:eastAsia="Calibri"/>
          <w:b/>
          <w:sz w:val="20"/>
          <w:szCs w:val="20"/>
          <w:u w:val="single"/>
          <w:lang w:val="fr-CA"/>
        </w:rPr>
        <w:t>Commission des droits de la personne et des droits de la jeunesse c. Bombardier Inc. (Bombardier Aéronautique Centre de formation) et Javed Latif – ET ENTRE – Javed Latif c. Bombardier Inc. (Bombardier Aéronautique Centre de formation) et Commission des droits de la personne et des droits de la jeunesse – et – Association canadienne des libertés civiles, Commission canadienne des droits de la personne, Centre de recherche-action sur les relations raciales, Conseil national des musulmans canadiens, Association canadienne des avocats musulmans et South Asian Legal Clinic of Ontario</w:t>
      </w:r>
      <w:r w:rsidR="006D2824" w:rsidRPr="006045F0">
        <w:rPr>
          <w:rFonts w:eastAsia="Calibri"/>
          <w:b/>
          <w:sz w:val="20"/>
          <w:szCs w:val="20"/>
          <w:lang w:val="fr-CA"/>
        </w:rPr>
        <w:t xml:space="preserve"> </w:t>
      </w:r>
      <w:r w:rsidR="006D2824" w:rsidRPr="006045F0">
        <w:rPr>
          <w:rFonts w:eastAsia="Calibri"/>
          <w:iCs/>
          <w:sz w:val="20"/>
          <w:szCs w:val="20"/>
          <w:lang w:val="fr-CA"/>
        </w:rPr>
        <w:t>(Qc)</w:t>
      </w:r>
    </w:p>
    <w:p w:rsidR="006D2824" w:rsidRPr="006045F0" w:rsidRDefault="006D2824" w:rsidP="006D2824">
      <w:pPr>
        <w:tabs>
          <w:tab w:val="left" w:pos="1440"/>
          <w:tab w:val="left" w:pos="2160"/>
          <w:tab w:val="left" w:pos="2880"/>
          <w:tab w:val="left" w:pos="3600"/>
          <w:tab w:val="left" w:pos="4320"/>
          <w:tab w:val="left" w:pos="5040"/>
          <w:tab w:val="left" w:pos="5760"/>
          <w:tab w:val="left" w:pos="6480"/>
          <w:tab w:val="left" w:pos="7200"/>
        </w:tabs>
        <w:ind w:left="1440"/>
        <w:jc w:val="both"/>
        <w:rPr>
          <w:rFonts w:eastAsia="Calibri"/>
          <w:sz w:val="20"/>
          <w:szCs w:val="20"/>
          <w:lang w:val="fr-CA"/>
        </w:rPr>
      </w:pPr>
      <w:r w:rsidRPr="006045F0">
        <w:rPr>
          <w:rFonts w:eastAsia="Calibri"/>
          <w:b/>
          <w:sz w:val="20"/>
          <w:szCs w:val="20"/>
          <w:lang w:val="fr-CA"/>
        </w:rPr>
        <w:t>2015 SCC 39 / 2015 CSC 39</w:t>
      </w:r>
    </w:p>
    <w:p w:rsidR="006D2824" w:rsidRPr="006045F0" w:rsidRDefault="006D2824" w:rsidP="006D2824">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Calibri"/>
          <w:sz w:val="20"/>
          <w:szCs w:val="20"/>
          <w:lang w:val="fr-CA"/>
        </w:rPr>
      </w:pPr>
    </w:p>
    <w:p w:rsidR="006D2824" w:rsidRPr="006045F0" w:rsidRDefault="006D2824" w:rsidP="006D2824">
      <w:pPr>
        <w:ind w:left="1440" w:hanging="1440"/>
        <w:rPr>
          <w:rFonts w:eastAsia="Calibri"/>
          <w:sz w:val="20"/>
          <w:szCs w:val="20"/>
          <w:u w:val="single"/>
          <w:lang w:val="fr-CA"/>
        </w:rPr>
      </w:pPr>
      <w:r w:rsidRPr="006045F0">
        <w:rPr>
          <w:rFonts w:eastAsia="Calibri"/>
          <w:sz w:val="20"/>
          <w:szCs w:val="20"/>
          <w:lang w:val="fr-CA"/>
        </w:rPr>
        <w:t>Coram:</w:t>
      </w:r>
      <w:r w:rsidRPr="006045F0">
        <w:rPr>
          <w:rFonts w:eastAsia="Calibri"/>
          <w:sz w:val="20"/>
          <w:szCs w:val="20"/>
          <w:lang w:val="fr-CA"/>
        </w:rPr>
        <w:tab/>
      </w:r>
      <w:r w:rsidRPr="006045F0">
        <w:rPr>
          <w:rFonts w:eastAsia="Calibri"/>
          <w:sz w:val="20"/>
          <w:szCs w:val="20"/>
          <w:u w:val="single"/>
          <w:lang w:val="fr-CA"/>
        </w:rPr>
        <w:t>La juge en chef McLachlin et les juges Abella, Rothstein, Cromwell, Karakatsanis, Wagner et Côté</w:t>
      </w:r>
    </w:p>
    <w:p w:rsidR="006D2824" w:rsidRPr="006045F0" w:rsidRDefault="006D2824" w:rsidP="006D2824">
      <w:pPr>
        <w:ind w:left="1440" w:hanging="1440"/>
        <w:jc w:val="both"/>
        <w:rPr>
          <w:rFonts w:eastAsia="Calibri"/>
          <w:sz w:val="20"/>
          <w:szCs w:val="20"/>
          <w:u w:val="single"/>
          <w:lang w:val="fr-CA"/>
        </w:rPr>
      </w:pPr>
    </w:p>
    <w:p w:rsidR="006D2824" w:rsidRPr="006045F0" w:rsidRDefault="006D2824" w:rsidP="006D2824">
      <w:pPr>
        <w:jc w:val="both"/>
        <w:rPr>
          <w:sz w:val="20"/>
          <w:szCs w:val="20"/>
          <w:lang w:val="fr-CA"/>
        </w:rPr>
      </w:pPr>
      <w:r w:rsidRPr="006045F0">
        <w:rPr>
          <w:sz w:val="20"/>
          <w:szCs w:val="20"/>
          <w:lang w:val="fr-CA"/>
        </w:rPr>
        <w:t>Les appels interjetés contre l’arrêt de la Cour d’appel du Québec (Montréal), numéro 500-09-021287-107, 2013 QCCA 1650, en date du 24 septembre 2013, entendus le 23 janvier 2015, sont rejetés avec dépens contre la Commission des droits de la personne et des droits de la jeunesse devant le Tribunal des droits de la personne et la Cour d’appel, et contre la Commission des droits de la personne et des droits de la jeunesse et Javed Latif, solidairement, devant notre Cour.</w:t>
      </w:r>
    </w:p>
    <w:p w:rsidR="006D2824" w:rsidRPr="006045F0" w:rsidRDefault="006D2824" w:rsidP="006D2824">
      <w:pPr>
        <w:jc w:val="both"/>
        <w:rPr>
          <w:sz w:val="20"/>
          <w:szCs w:val="20"/>
          <w:lang w:val="fr-CA"/>
        </w:rPr>
      </w:pPr>
    </w:p>
    <w:p w:rsidR="006D2824" w:rsidRPr="006045F0" w:rsidRDefault="006D2824" w:rsidP="006D2824">
      <w:pPr>
        <w:jc w:val="both"/>
        <w:rPr>
          <w:sz w:val="20"/>
          <w:szCs w:val="20"/>
        </w:rPr>
      </w:pPr>
      <w:r w:rsidRPr="006045F0">
        <w:rPr>
          <w:sz w:val="20"/>
          <w:szCs w:val="20"/>
        </w:rPr>
        <w:t xml:space="preserve">The appeals from the judgment </w:t>
      </w:r>
      <w:bookmarkStart w:id="2" w:name="BM_1_"/>
      <w:bookmarkEnd w:id="2"/>
      <w:r w:rsidRPr="006045F0">
        <w:rPr>
          <w:sz w:val="20"/>
          <w:szCs w:val="20"/>
        </w:rPr>
        <w:t>of the Court of Appeal of Quebec (Montréal), Number 500-09-021287-107, 2013 QCCA 1650, dated September 24, 2013, heard on January 23, 2015, are dismissed with costs against the Commission des droits de la personne et des droits de la jeunesse in the Human Rights Tribunal and the Court of Appeal, and against the Commission des droits de la personne et des droits de la jeunesse and Javed Latif, on a solidary basis, in this Court.</w:t>
      </w:r>
    </w:p>
    <w:p w:rsidR="0052229C" w:rsidRDefault="0052229C" w:rsidP="0052229C">
      <w:pPr>
        <w:rPr>
          <w:sz w:val="20"/>
          <w:szCs w:val="20"/>
        </w:rPr>
      </w:pPr>
    </w:p>
    <w:p w:rsidR="0052229C" w:rsidRPr="003B3977" w:rsidRDefault="00310DA4" w:rsidP="0052229C">
      <w:pPr>
        <w:spacing w:line="0" w:lineRule="atLeast"/>
        <w:rPr>
          <w:sz w:val="20"/>
          <w:szCs w:val="20"/>
        </w:rPr>
      </w:pPr>
      <w:r>
        <w:rPr>
          <w:b/>
          <w:sz w:val="20"/>
          <w:szCs w:val="20"/>
        </w:rPr>
        <w:pict>
          <v:rect id="_x0000_i1061" style="width:144.3pt;height:1pt" o:hrpct="300" o:hralign="center" o:hrstd="t" o:hrnoshade="t" o:hr="t" fillcolor="black [3213]" stroked="f"/>
        </w:pict>
      </w:r>
    </w:p>
    <w:p w:rsidR="0052229C" w:rsidRPr="003B3977" w:rsidRDefault="0052229C" w:rsidP="0052229C">
      <w:pPr>
        <w:spacing w:line="0" w:lineRule="atLeast"/>
        <w:rPr>
          <w:sz w:val="20"/>
          <w:szCs w:val="20"/>
        </w:rPr>
      </w:pPr>
    </w:p>
    <w:p w:rsidR="00D004FC" w:rsidRPr="006C5F7A"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56"/>
          <w:headerReference w:type="default" r:id="rId57"/>
          <w:footerReference w:type="even" r:id="rId58"/>
          <w:footerReference w:type="default" r:id="rId59"/>
          <w:headerReference w:type="first" r:id="rId60"/>
          <w:footerReference w:type="first" r:id="rId61"/>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70725C" w:rsidRPr="00810459" w:rsidRDefault="0070725C" w:rsidP="0070725C">
      <w:pPr>
        <w:jc w:val="both"/>
        <w:rPr>
          <w:rFonts w:eastAsiaTheme="minorEastAsia"/>
          <w:sz w:val="20"/>
          <w:szCs w:val="20"/>
          <w:lang w:val="fr-CA"/>
        </w:rPr>
      </w:pPr>
      <w:r w:rsidRPr="00810459">
        <w:rPr>
          <w:i/>
          <w:sz w:val="20"/>
          <w:szCs w:val="20"/>
          <w:lang w:val="fr-CA"/>
        </w:rPr>
        <w:t>Commission des droits de la personne et des droits de la jeunesse et autre c. Bombardier inc. (Bombardier Aéronautique Centre de Formation) et autres</w:t>
      </w:r>
      <w:r w:rsidRPr="00810459">
        <w:rPr>
          <w:sz w:val="20"/>
          <w:szCs w:val="20"/>
          <w:lang w:val="fr-CA"/>
        </w:rPr>
        <w:t xml:space="preserve"> (Qc) </w:t>
      </w:r>
      <w:r w:rsidRPr="00810459">
        <w:rPr>
          <w:rFonts w:eastAsiaTheme="minorEastAsia"/>
          <w:sz w:val="20"/>
          <w:szCs w:val="20"/>
          <w:lang w:val="fr-CA"/>
        </w:rPr>
        <w:t>(</w:t>
      </w:r>
      <w:hyperlink r:id="rId62" w:history="1">
        <w:r w:rsidRPr="00810459">
          <w:rPr>
            <w:rStyle w:val="Hyperlink"/>
            <w:sz w:val="20"/>
            <w:szCs w:val="20"/>
            <w:lang w:val="fr-CA"/>
          </w:rPr>
          <w:t>35625</w:t>
        </w:r>
      </w:hyperlink>
      <w:r w:rsidRPr="00810459">
        <w:rPr>
          <w:rFonts w:eastAsiaTheme="minorEastAsia"/>
          <w:sz w:val="20"/>
          <w:szCs w:val="20"/>
          <w:lang w:val="fr-CA"/>
        </w:rPr>
        <w:t>)</w:t>
      </w:r>
    </w:p>
    <w:p w:rsidR="005D5CCB" w:rsidRPr="008F41E8" w:rsidRDefault="005D5CCB" w:rsidP="005D5CCB">
      <w:pPr>
        <w:jc w:val="both"/>
        <w:rPr>
          <w:b/>
          <w:sz w:val="20"/>
          <w:szCs w:val="20"/>
          <w:lang w:val="fr-CA"/>
        </w:rPr>
      </w:pPr>
      <w:r w:rsidRPr="008D22BA">
        <w:rPr>
          <w:b/>
          <w:sz w:val="20"/>
          <w:szCs w:val="20"/>
          <w:lang w:val="fr-CA"/>
        </w:rPr>
        <w:t>Indexed as: Quebec (</w:t>
      </w:r>
      <w:r w:rsidRPr="008D22BA">
        <w:rPr>
          <w:rStyle w:val="SCCAppellantForIndexChar"/>
          <w:rFonts w:eastAsiaTheme="minorHAnsi"/>
          <w:sz w:val="20"/>
        </w:rPr>
        <w:t>Commission des droits de la personne et des droits de la jeunesse)</w:t>
      </w:r>
      <w:r w:rsidRPr="008D22BA">
        <w:rPr>
          <w:b/>
          <w:sz w:val="20"/>
          <w:szCs w:val="20"/>
          <w:lang w:val="fr-CA"/>
        </w:rPr>
        <w:t xml:space="preserve"> </w:t>
      </w:r>
      <w:r w:rsidRPr="008D22BA">
        <w:rPr>
          <w:b/>
          <w:i/>
          <w:sz w:val="20"/>
          <w:szCs w:val="20"/>
          <w:lang w:val="fr-CA"/>
        </w:rPr>
        <w:t>v.</w:t>
      </w:r>
      <w:r w:rsidRPr="008D22BA">
        <w:rPr>
          <w:b/>
          <w:sz w:val="20"/>
          <w:szCs w:val="20"/>
          <w:lang w:val="fr-CA"/>
        </w:rPr>
        <w:t xml:space="preserve"> </w:t>
      </w:r>
      <w:r w:rsidRPr="008D22BA">
        <w:rPr>
          <w:rStyle w:val="SCCRespondentForIndexChar"/>
          <w:rFonts w:eastAsiaTheme="minorHAnsi"/>
          <w:sz w:val="20"/>
          <w:lang w:val="fr-CA"/>
        </w:rPr>
        <w:t xml:space="preserve">Bombardier Inc. </w:t>
      </w:r>
      <w:r w:rsidRPr="005D5CCB">
        <w:rPr>
          <w:rStyle w:val="SCCRespondentForIndexChar"/>
          <w:rFonts w:eastAsiaTheme="minorHAnsi"/>
          <w:sz w:val="20"/>
          <w:lang w:val="fr-CA"/>
        </w:rPr>
        <w:t>(</w:t>
      </w:r>
      <w:r w:rsidRPr="005D5CCB">
        <w:rPr>
          <w:b/>
          <w:sz w:val="20"/>
          <w:szCs w:val="20"/>
          <w:lang w:val="fr-CA"/>
        </w:rPr>
        <w:t xml:space="preserve">Bombardier Aerospace Training Center) / </w:t>
      </w:r>
      <w:r w:rsidRPr="008F41E8">
        <w:rPr>
          <w:b/>
          <w:sz w:val="20"/>
          <w:szCs w:val="20"/>
          <w:lang w:val="fr-CA"/>
        </w:rPr>
        <w:t>Répertorié : </w:t>
      </w:r>
      <w:r w:rsidRPr="008F41E8">
        <w:rPr>
          <w:rStyle w:val="SCCAppellantForIndexChar"/>
          <w:rFonts w:eastAsiaTheme="minorHAnsi"/>
          <w:sz w:val="20"/>
        </w:rPr>
        <w:t xml:space="preserve">Québec (Commission des droits de la personne et des droits de la jeunesse) </w:t>
      </w:r>
      <w:r w:rsidRPr="008F41E8">
        <w:rPr>
          <w:rStyle w:val="SCCAppellantForIndexChar"/>
          <w:rFonts w:eastAsiaTheme="minorHAnsi"/>
          <w:i/>
          <w:sz w:val="20"/>
        </w:rPr>
        <w:t>c.</w:t>
      </w:r>
      <w:r w:rsidRPr="008F41E8">
        <w:rPr>
          <w:rStyle w:val="SCCAppellantForIndexChar"/>
          <w:rFonts w:eastAsiaTheme="minorHAnsi"/>
          <w:sz w:val="20"/>
        </w:rPr>
        <w:t xml:space="preserve"> Bombardier Inc. (</w:t>
      </w:r>
      <w:r w:rsidRPr="008F41E8">
        <w:rPr>
          <w:b/>
          <w:sz w:val="20"/>
          <w:szCs w:val="20"/>
          <w:lang w:val="fr-CA"/>
        </w:rPr>
        <w:t>Bombardier Aéronautique Centre de formation)</w:t>
      </w:r>
    </w:p>
    <w:p w:rsidR="0052229C" w:rsidRPr="0070725C" w:rsidRDefault="0052229C" w:rsidP="0052229C">
      <w:pPr>
        <w:pStyle w:val="SCCSystemYear"/>
        <w:jc w:val="both"/>
        <w:rPr>
          <w:sz w:val="20"/>
        </w:rPr>
      </w:pPr>
      <w:r w:rsidRPr="0070725C">
        <w:rPr>
          <w:sz w:val="20"/>
        </w:rPr>
        <w:t>Neutral citation:  201</w:t>
      </w:r>
      <w:r w:rsidR="00020DC3" w:rsidRPr="0070725C">
        <w:rPr>
          <w:sz w:val="20"/>
        </w:rPr>
        <w:t>5</w:t>
      </w:r>
      <w:r w:rsidRPr="0070725C">
        <w:rPr>
          <w:sz w:val="20"/>
        </w:rPr>
        <w:t xml:space="preserve"> SCC </w:t>
      </w:r>
      <w:r w:rsidR="0070725C" w:rsidRPr="0070725C">
        <w:rPr>
          <w:sz w:val="20"/>
        </w:rPr>
        <w:t>39</w:t>
      </w:r>
      <w:r w:rsidRPr="0070725C">
        <w:rPr>
          <w:sz w:val="20"/>
        </w:rPr>
        <w:t xml:space="preserve"> / Référence neutre : 201</w:t>
      </w:r>
      <w:r w:rsidR="00020DC3" w:rsidRPr="0070725C">
        <w:rPr>
          <w:sz w:val="20"/>
        </w:rPr>
        <w:t>5</w:t>
      </w:r>
      <w:r w:rsidRPr="0070725C">
        <w:rPr>
          <w:sz w:val="20"/>
        </w:rPr>
        <w:t xml:space="preserve"> CSC </w:t>
      </w:r>
      <w:r w:rsidR="0070725C">
        <w:rPr>
          <w:sz w:val="20"/>
        </w:rPr>
        <w:t>39</w:t>
      </w:r>
    </w:p>
    <w:p w:rsidR="0052229C" w:rsidRPr="002D5AF8" w:rsidRDefault="0052229C" w:rsidP="0052229C">
      <w:pPr>
        <w:rPr>
          <w:rFonts w:cs="Times New Roman"/>
          <w:sz w:val="20"/>
          <w:szCs w:val="20"/>
          <w:lang w:val="fr-CA"/>
        </w:rPr>
      </w:pPr>
      <w:r w:rsidRPr="002D5AF8">
        <w:rPr>
          <w:rFonts w:cs="Times New Roman"/>
          <w:sz w:val="20"/>
          <w:szCs w:val="20"/>
          <w:lang w:val="fr-CA"/>
        </w:rPr>
        <w:t xml:space="preserve">Hearing:  </w:t>
      </w:r>
      <w:r w:rsidR="005D5CCB">
        <w:rPr>
          <w:rFonts w:cs="Times New Roman"/>
          <w:sz w:val="20"/>
          <w:szCs w:val="20"/>
          <w:lang w:val="fr-CA"/>
        </w:rPr>
        <w:t xml:space="preserve">January </w:t>
      </w:r>
      <w:r w:rsidRPr="002D5AF8">
        <w:rPr>
          <w:rFonts w:cs="Times New Roman"/>
          <w:sz w:val="20"/>
          <w:szCs w:val="20"/>
          <w:lang w:val="fr-CA"/>
        </w:rPr>
        <w:t>2</w:t>
      </w:r>
      <w:r w:rsidR="005D5CCB">
        <w:rPr>
          <w:rFonts w:cs="Times New Roman"/>
          <w:sz w:val="20"/>
          <w:szCs w:val="20"/>
          <w:lang w:val="fr-CA"/>
        </w:rPr>
        <w:t>3</w:t>
      </w:r>
      <w:r w:rsidRPr="002D5AF8">
        <w:rPr>
          <w:rFonts w:cs="Times New Roman"/>
          <w:sz w:val="20"/>
          <w:szCs w:val="20"/>
          <w:lang w:val="fr-CA"/>
        </w:rPr>
        <w:t>, 201</w:t>
      </w:r>
      <w:r w:rsidR="005D5CCB">
        <w:rPr>
          <w:rFonts w:cs="Times New Roman"/>
          <w:sz w:val="20"/>
          <w:szCs w:val="20"/>
          <w:lang w:val="fr-CA"/>
        </w:rPr>
        <w:t>5</w:t>
      </w:r>
      <w:r w:rsidRPr="002D5AF8">
        <w:rPr>
          <w:rFonts w:cs="Times New Roman"/>
          <w:sz w:val="20"/>
          <w:szCs w:val="20"/>
          <w:lang w:val="fr-CA"/>
        </w:rPr>
        <w:t xml:space="preserve"> / Judgment:  Ju</w:t>
      </w:r>
      <w:r w:rsidR="0070725C" w:rsidRPr="002D5AF8">
        <w:rPr>
          <w:rFonts w:cs="Times New Roman"/>
          <w:sz w:val="20"/>
          <w:szCs w:val="20"/>
          <w:lang w:val="fr-CA"/>
        </w:rPr>
        <w:t>l</w:t>
      </w:r>
      <w:r w:rsidRPr="002D5AF8">
        <w:rPr>
          <w:rFonts w:cs="Times New Roman"/>
          <w:sz w:val="20"/>
          <w:szCs w:val="20"/>
          <w:lang w:val="fr-CA"/>
        </w:rPr>
        <w:t xml:space="preserve">y </w:t>
      </w:r>
      <w:r w:rsidR="0070725C" w:rsidRPr="002D5AF8">
        <w:rPr>
          <w:rFonts w:cs="Times New Roman"/>
          <w:sz w:val="20"/>
          <w:szCs w:val="20"/>
          <w:lang w:val="fr-CA"/>
        </w:rPr>
        <w:t>23</w:t>
      </w:r>
      <w:r w:rsidRPr="002D5AF8">
        <w:rPr>
          <w:rFonts w:cs="Times New Roman"/>
          <w:sz w:val="20"/>
          <w:szCs w:val="20"/>
          <w:lang w:val="fr-CA"/>
        </w:rPr>
        <w:t>, 201</w:t>
      </w:r>
      <w:r w:rsidR="00020DC3" w:rsidRPr="002D5AF8">
        <w:rPr>
          <w:rFonts w:cs="Times New Roman"/>
          <w:sz w:val="20"/>
          <w:szCs w:val="20"/>
          <w:lang w:val="fr-CA"/>
        </w:rPr>
        <w:t>5</w:t>
      </w:r>
    </w:p>
    <w:p w:rsidR="0052229C" w:rsidRPr="003B3977" w:rsidRDefault="0052229C" w:rsidP="0052229C">
      <w:pPr>
        <w:rPr>
          <w:rFonts w:cs="Times New Roman"/>
          <w:sz w:val="20"/>
          <w:szCs w:val="20"/>
          <w:lang w:val="fr-CA"/>
        </w:rPr>
      </w:pPr>
      <w:r w:rsidRPr="003B3977">
        <w:rPr>
          <w:rFonts w:cs="Times New Roman"/>
          <w:sz w:val="20"/>
          <w:szCs w:val="20"/>
          <w:lang w:val="fr-CA"/>
        </w:rPr>
        <w:t xml:space="preserve">Audition : Le </w:t>
      </w:r>
      <w:r>
        <w:rPr>
          <w:rFonts w:cs="Times New Roman"/>
          <w:sz w:val="20"/>
          <w:szCs w:val="20"/>
          <w:lang w:val="fr-CA"/>
        </w:rPr>
        <w:t>2</w:t>
      </w:r>
      <w:r w:rsidR="005D5CCB">
        <w:rPr>
          <w:rFonts w:cs="Times New Roman"/>
          <w:sz w:val="20"/>
          <w:szCs w:val="20"/>
          <w:lang w:val="fr-CA"/>
        </w:rPr>
        <w:t>3 j</w:t>
      </w:r>
      <w:r>
        <w:rPr>
          <w:rFonts w:cs="Times New Roman"/>
          <w:sz w:val="20"/>
          <w:szCs w:val="20"/>
          <w:lang w:val="fr-CA"/>
        </w:rPr>
        <w:t>a</w:t>
      </w:r>
      <w:r w:rsidR="005D5CCB">
        <w:rPr>
          <w:rFonts w:cs="Times New Roman"/>
          <w:sz w:val="20"/>
          <w:szCs w:val="20"/>
          <w:lang w:val="fr-CA"/>
        </w:rPr>
        <w:t>n</w:t>
      </w:r>
      <w:r>
        <w:rPr>
          <w:rFonts w:cs="Times New Roman"/>
          <w:sz w:val="20"/>
          <w:szCs w:val="20"/>
          <w:lang w:val="fr-CA"/>
        </w:rPr>
        <w:t>vi</w:t>
      </w:r>
      <w:r w:rsidR="005D5CCB">
        <w:rPr>
          <w:rFonts w:cs="Times New Roman"/>
          <w:sz w:val="20"/>
          <w:szCs w:val="20"/>
          <w:lang w:val="fr-CA"/>
        </w:rPr>
        <w:t>er</w:t>
      </w:r>
      <w:r w:rsidRPr="003B3977">
        <w:rPr>
          <w:rFonts w:cs="Times New Roman"/>
          <w:sz w:val="20"/>
          <w:szCs w:val="20"/>
          <w:lang w:val="fr-CA"/>
        </w:rPr>
        <w:t xml:space="preserve"> 201</w:t>
      </w:r>
      <w:r w:rsidR="005D5CCB">
        <w:rPr>
          <w:rFonts w:cs="Times New Roman"/>
          <w:sz w:val="20"/>
          <w:szCs w:val="20"/>
          <w:lang w:val="fr-CA"/>
        </w:rPr>
        <w:t>5</w:t>
      </w:r>
      <w:r w:rsidRPr="003B3977">
        <w:rPr>
          <w:rFonts w:cs="Times New Roman"/>
          <w:sz w:val="20"/>
          <w:szCs w:val="20"/>
          <w:lang w:val="fr-CA"/>
        </w:rPr>
        <w:t xml:space="preserve"> / Jugement : Le </w:t>
      </w:r>
      <w:r w:rsidR="0070725C">
        <w:rPr>
          <w:rFonts w:cs="Times New Roman"/>
          <w:sz w:val="20"/>
          <w:szCs w:val="20"/>
          <w:lang w:val="fr-CA"/>
        </w:rPr>
        <w:t>23</w:t>
      </w:r>
      <w:r>
        <w:rPr>
          <w:rFonts w:cs="Times New Roman"/>
          <w:sz w:val="20"/>
          <w:szCs w:val="20"/>
          <w:lang w:val="fr-CA"/>
        </w:rPr>
        <w:t xml:space="preserve"> j</w:t>
      </w:r>
      <w:r w:rsidR="0070725C">
        <w:rPr>
          <w:rFonts w:cs="Times New Roman"/>
          <w:sz w:val="20"/>
          <w:szCs w:val="20"/>
          <w:lang w:val="fr-CA"/>
        </w:rPr>
        <w:t>u</w:t>
      </w:r>
      <w:r>
        <w:rPr>
          <w:rFonts w:cs="Times New Roman"/>
          <w:sz w:val="20"/>
          <w:szCs w:val="20"/>
          <w:lang w:val="fr-CA"/>
        </w:rPr>
        <w:t>i</w:t>
      </w:r>
      <w:r w:rsidR="0070725C">
        <w:rPr>
          <w:rFonts w:cs="Times New Roman"/>
          <w:sz w:val="20"/>
          <w:szCs w:val="20"/>
          <w:lang w:val="fr-CA"/>
        </w:rPr>
        <w:t>ll</w:t>
      </w:r>
      <w:r w:rsidRPr="003B3977">
        <w:rPr>
          <w:rFonts w:cs="Times New Roman"/>
          <w:sz w:val="20"/>
          <w:szCs w:val="20"/>
          <w:lang w:val="fr-CA"/>
        </w:rPr>
        <w:t>e</w:t>
      </w:r>
      <w:r w:rsidR="0070725C">
        <w:rPr>
          <w:rFonts w:cs="Times New Roman"/>
          <w:sz w:val="20"/>
          <w:szCs w:val="20"/>
          <w:lang w:val="fr-CA"/>
        </w:rPr>
        <w:t>t</w:t>
      </w:r>
      <w:r w:rsidRPr="003B3977">
        <w:rPr>
          <w:rFonts w:cs="Times New Roman"/>
          <w:sz w:val="20"/>
          <w:szCs w:val="20"/>
          <w:lang w:val="fr-CA"/>
        </w:rPr>
        <w:t xml:space="preserve"> 201</w:t>
      </w:r>
      <w:r w:rsidR="00020DC3">
        <w:rPr>
          <w:rFonts w:cs="Times New Roman"/>
          <w:sz w:val="20"/>
          <w:szCs w:val="20"/>
          <w:lang w:val="fr-CA"/>
        </w:rPr>
        <w:t>5</w:t>
      </w:r>
    </w:p>
    <w:p w:rsidR="005C6840" w:rsidRPr="003B3977" w:rsidRDefault="00310DA4" w:rsidP="005C6840">
      <w:pPr>
        <w:rPr>
          <w:rFonts w:cs="Times New Roman"/>
          <w:sz w:val="20"/>
          <w:szCs w:val="20"/>
          <w:lang w:val="fr-CA"/>
        </w:rPr>
      </w:pPr>
      <w:r>
        <w:rPr>
          <w:rFonts w:cs="Times New Roman"/>
          <w:i/>
          <w:sz w:val="20"/>
          <w:szCs w:val="20"/>
        </w:rPr>
        <w:pict>
          <v:rect id="_x0000_i1064" style="width:480.95pt;height:1pt" o:hralign="center" o:hrstd="t" o:hrnoshade="t" o:hr="t" fillcolor="black [3213]" stroked="f"/>
        </w:pict>
      </w:r>
    </w:p>
    <w:p w:rsidR="005C6840" w:rsidRPr="003B3977" w:rsidRDefault="005C6840" w:rsidP="005C6840">
      <w:pPr>
        <w:rPr>
          <w:rFonts w:cs="Times New Roman"/>
          <w:sz w:val="20"/>
          <w:szCs w:val="20"/>
          <w:lang w:val="fr-CA"/>
        </w:rPr>
      </w:pPr>
    </w:p>
    <w:p w:rsidR="005D5CCB" w:rsidRPr="008F41E8" w:rsidRDefault="005D5CCB" w:rsidP="005D5CCB">
      <w:pPr>
        <w:jc w:val="both"/>
        <w:rPr>
          <w:sz w:val="20"/>
          <w:szCs w:val="20"/>
          <w:lang w:val="fr-CA"/>
        </w:rPr>
      </w:pPr>
      <w:r w:rsidRPr="008F41E8">
        <w:rPr>
          <w:sz w:val="20"/>
          <w:szCs w:val="20"/>
          <w:lang w:val="fr-CA"/>
        </w:rPr>
        <w:t>Présents : La juge en chef McLachlin et les juges Abella, Rothstein, Cromwell, Karakatsanis, Wagner et Côté.</w:t>
      </w:r>
    </w:p>
    <w:p w:rsidR="005D5CCB" w:rsidRDefault="005D5CCB" w:rsidP="005D5CCB">
      <w:pPr>
        <w:pStyle w:val="SCCNormalDoubleSpacing"/>
        <w:spacing w:line="240" w:lineRule="auto"/>
        <w:rPr>
          <w:sz w:val="20"/>
          <w:lang w:val="fr-CA"/>
        </w:rPr>
      </w:pPr>
    </w:p>
    <w:p w:rsidR="005D5CCB" w:rsidRPr="008F41E8" w:rsidRDefault="005D5CCB" w:rsidP="005D5CCB">
      <w:pPr>
        <w:pStyle w:val="SCCNormalDoubleSpacing"/>
        <w:spacing w:line="240" w:lineRule="auto"/>
        <w:rPr>
          <w:i/>
          <w:sz w:val="20"/>
          <w:lang w:val="fr-CA"/>
        </w:rPr>
      </w:pPr>
      <w:r w:rsidRPr="008F41E8">
        <w:rPr>
          <w:sz w:val="20"/>
          <w:lang w:val="fr-CA"/>
        </w:rPr>
        <w:tab/>
      </w:r>
      <w:r w:rsidRPr="008F41E8">
        <w:rPr>
          <w:i/>
          <w:sz w:val="20"/>
          <w:lang w:val="fr-CA"/>
        </w:rPr>
        <w:t>Droits de la personne — Droit à l’égalité — Discrimination fondée sur l’origine nationale ou ethnique — Preuve — Entreprise canadienne refusant la demande de formation de pilotage de la part d’un citoyen canadien d’origine pakistanaise sur la base d’une décision des autorités américaines d’interdire la formation à ce pilote aux États</w:t>
      </w:r>
      <w:r w:rsidRPr="008F41E8">
        <w:rPr>
          <w:i/>
          <w:sz w:val="20"/>
          <w:lang w:val="fr-CA"/>
        </w:rPr>
        <w:noBreakHyphen/>
        <w:t>Unis — Démarche à deux volets dans le cadre d’une plainte de discrimination fondée sur l’art. 10 de la Charte québécoise — En quoi consiste la discrimination prima facie et quel est le degré de preuve requis pour l’établir? — Y a</w:t>
      </w:r>
      <w:r w:rsidRPr="008F41E8">
        <w:rPr>
          <w:i/>
          <w:sz w:val="20"/>
          <w:lang w:val="fr-CA"/>
        </w:rPr>
        <w:noBreakHyphen/>
        <w:t>t</w:t>
      </w:r>
      <w:r w:rsidRPr="008F41E8">
        <w:rPr>
          <w:i/>
          <w:sz w:val="20"/>
          <w:lang w:val="fr-CA"/>
        </w:rPr>
        <w:noBreakHyphen/>
        <w:t>il preuve de l’existence de discrimination prima facie en l’espèce? — Charte des droits et libertés de la personne, RLRQ, c. C</w:t>
      </w:r>
      <w:r w:rsidRPr="008F41E8">
        <w:rPr>
          <w:i/>
          <w:sz w:val="20"/>
          <w:lang w:val="fr-CA"/>
        </w:rPr>
        <w:noBreakHyphen/>
        <w:t>12, art. 10.</w:t>
      </w:r>
    </w:p>
    <w:p w:rsidR="005D5CCB" w:rsidRDefault="005D5CCB" w:rsidP="005D5CCB">
      <w:pPr>
        <w:pStyle w:val="SCCNormalDoubleSpacing"/>
        <w:spacing w:line="240" w:lineRule="auto"/>
        <w:rPr>
          <w:sz w:val="20"/>
          <w:lang w:val="fr-CA"/>
        </w:rPr>
      </w:pPr>
    </w:p>
    <w:p w:rsidR="005D5CCB" w:rsidRPr="008F41E8" w:rsidRDefault="005D5CCB" w:rsidP="005D5CCB">
      <w:pPr>
        <w:pStyle w:val="SCCNormalDoubleSpacing"/>
        <w:spacing w:line="240" w:lineRule="auto"/>
        <w:rPr>
          <w:sz w:val="20"/>
          <w:lang w:val="fr-CA"/>
        </w:rPr>
      </w:pPr>
      <w:r w:rsidRPr="008F41E8">
        <w:rPr>
          <w:sz w:val="20"/>
          <w:lang w:val="fr-CA"/>
        </w:rPr>
        <w:tab/>
        <w:t>B exploite deux centres de formation pour pilotes, à Montréal et à Dallas, sur les types d’avion qu’elle produit. Ces formations sont offertes à des titulaires de licences de pilote délivrées par différentes autorités, y compris le Canada et les États</w:t>
      </w:r>
      <w:r w:rsidRPr="008F41E8">
        <w:rPr>
          <w:sz w:val="20"/>
          <w:lang w:val="fr-CA"/>
        </w:rPr>
        <w:noBreakHyphen/>
        <w:t>Unis. L, un citoyen canadien né au Pakistan, détient des licences de pilote canadienne et américaine. En 2004, L s’inscrit à une formation au centre de B à Dallas sur la base de sa licence américaine. Une approbation de sécurité est demandée aux autorités américaines pour L, conformément aux mesures accrues de sécurité en matière d’aviation mises en place par les États</w:t>
      </w:r>
      <w:r w:rsidRPr="008F41E8">
        <w:rPr>
          <w:sz w:val="20"/>
          <w:lang w:val="fr-CA"/>
        </w:rPr>
        <w:noBreakHyphen/>
        <w:t xml:space="preserve">Unis dans la foulée des attentats terroristes du 11 septembre 2001. Cette approbation est refusée. Conséquemment, L ne peut suivre la formation chez B sur la base de sa licence américaine. B refuse également de lui donner cette formation au centre de Montréal sur la base de sa licence canadienne. D’avis que ce refus de B est discriminatoire à son endroit, L dépose une plainte auprès de la Commission des droits de la personne et des droits de la jeunesse (« Commission »). Après enquête, cette dernière saisit le Tribunal des droits de la personne, reprochant à B d’avoir porté atteinte au droit de L de bénéficier de services ordinairement offerts au public et à son droit à la sauvegarde de sa dignité et de sa réputation, sans discrimination fondée sur l’origine ethnique ou nationale, contrairement aux art. 4, 10 et 12 de la </w:t>
      </w:r>
      <w:r w:rsidRPr="008F41E8">
        <w:rPr>
          <w:i/>
          <w:sz w:val="20"/>
          <w:lang w:val="fr-CA"/>
        </w:rPr>
        <w:t>Charte des droits et libertés de la personne</w:t>
      </w:r>
      <w:r w:rsidRPr="008F41E8">
        <w:rPr>
          <w:sz w:val="20"/>
          <w:lang w:val="fr-CA"/>
        </w:rPr>
        <w:t xml:space="preserve"> du Québec. </w:t>
      </w:r>
    </w:p>
    <w:p w:rsidR="005D5CCB" w:rsidRDefault="005D5CCB" w:rsidP="005D5CCB">
      <w:pPr>
        <w:pStyle w:val="SCCNormalDoubleSpacing"/>
        <w:spacing w:line="240" w:lineRule="auto"/>
        <w:rPr>
          <w:sz w:val="20"/>
          <w:lang w:val="fr-CA"/>
        </w:rPr>
      </w:pPr>
    </w:p>
    <w:p w:rsidR="005D5CCB" w:rsidRPr="008F41E8" w:rsidRDefault="005D5CCB" w:rsidP="005D5CCB">
      <w:pPr>
        <w:pStyle w:val="SCCNormalDoubleSpacing"/>
        <w:spacing w:line="240" w:lineRule="auto"/>
        <w:rPr>
          <w:sz w:val="20"/>
          <w:lang w:val="fr-CA"/>
        </w:rPr>
      </w:pPr>
      <w:r w:rsidRPr="008F41E8">
        <w:rPr>
          <w:sz w:val="20"/>
          <w:lang w:val="fr-CA"/>
        </w:rPr>
        <w:tab/>
        <w:t>Le Tribunal donne raison à la Commission, et condamne B à verser à L des dommages</w:t>
      </w:r>
      <w:r w:rsidRPr="008F41E8">
        <w:rPr>
          <w:sz w:val="20"/>
          <w:lang w:val="fr-CA"/>
        </w:rPr>
        <w:noBreakHyphen/>
        <w:t>intérêts. Il ordonne également à B de cesser d’appliquer ou de considérer les normes et décisions des autorités américaines en matière de sécurité nationale lors du traitement de demandes de formation de pilote sur la base d’une licence de pilote canadienne. La Cour d’appel infirme la décision du Tribunal, étant d’avis que celui</w:t>
      </w:r>
      <w:r w:rsidRPr="008F41E8">
        <w:rPr>
          <w:sz w:val="20"/>
          <w:lang w:val="fr-CA"/>
        </w:rPr>
        <w:noBreakHyphen/>
        <w:t>ci ne pouvait conclure à un acte discriminatoire de la part de B sans avoir la preuve que la décision des autorités américaines était elle</w:t>
      </w:r>
      <w:r w:rsidRPr="008F41E8">
        <w:rPr>
          <w:sz w:val="20"/>
          <w:lang w:val="fr-CA"/>
        </w:rPr>
        <w:noBreakHyphen/>
        <w:t xml:space="preserve">même fondée sur un motif prohibé par la </w:t>
      </w:r>
      <w:r w:rsidRPr="008F41E8">
        <w:rPr>
          <w:i/>
          <w:sz w:val="20"/>
          <w:lang w:val="fr-CA"/>
        </w:rPr>
        <w:t>Charte</w:t>
      </w:r>
      <w:r w:rsidRPr="008F41E8">
        <w:rPr>
          <w:sz w:val="20"/>
          <w:lang w:val="fr-CA"/>
        </w:rPr>
        <w:t>.</w:t>
      </w:r>
    </w:p>
    <w:p w:rsidR="005D5CCB" w:rsidRDefault="005D5CCB" w:rsidP="005D5CCB">
      <w:pPr>
        <w:pStyle w:val="SCCNormalDoubleSpacing"/>
        <w:spacing w:line="240" w:lineRule="auto"/>
        <w:rPr>
          <w:sz w:val="20"/>
          <w:lang w:val="fr-CA"/>
        </w:rPr>
      </w:pPr>
    </w:p>
    <w:p w:rsidR="005D5CCB" w:rsidRPr="008F41E8" w:rsidRDefault="005D5CCB" w:rsidP="005D5CCB">
      <w:pPr>
        <w:pStyle w:val="SCCNormalDoubleSpacing"/>
        <w:spacing w:line="240" w:lineRule="auto"/>
        <w:rPr>
          <w:sz w:val="20"/>
          <w:lang w:val="fr-CA"/>
        </w:rPr>
      </w:pPr>
      <w:r w:rsidRPr="008F41E8">
        <w:rPr>
          <w:sz w:val="20"/>
          <w:lang w:val="fr-CA"/>
        </w:rPr>
        <w:tab/>
      </w:r>
      <w:r w:rsidRPr="008F41E8">
        <w:rPr>
          <w:i/>
          <w:sz w:val="20"/>
          <w:lang w:val="fr-CA"/>
        </w:rPr>
        <w:t>Arrêt</w:t>
      </w:r>
      <w:r w:rsidRPr="008F41E8">
        <w:rPr>
          <w:sz w:val="20"/>
          <w:lang w:val="fr-CA"/>
        </w:rPr>
        <w:t> : Les pourvois sont rejetés.</w:t>
      </w:r>
    </w:p>
    <w:p w:rsidR="005D5CCB" w:rsidRDefault="005D5CCB" w:rsidP="005D5CCB">
      <w:pPr>
        <w:pStyle w:val="SCCNormalDoubleSpacing"/>
        <w:spacing w:line="240" w:lineRule="auto"/>
        <w:rPr>
          <w:sz w:val="20"/>
          <w:lang w:val="fr-CA"/>
        </w:rPr>
      </w:pPr>
    </w:p>
    <w:p w:rsidR="005D5CCB" w:rsidRPr="008F41E8" w:rsidRDefault="005D5CCB" w:rsidP="005D5CCB">
      <w:pPr>
        <w:pStyle w:val="SCCNormalDoubleSpacing"/>
        <w:spacing w:line="240" w:lineRule="auto"/>
        <w:rPr>
          <w:sz w:val="20"/>
          <w:lang w:val="fr-CA"/>
        </w:rPr>
      </w:pPr>
      <w:r w:rsidRPr="008F41E8">
        <w:rPr>
          <w:sz w:val="20"/>
          <w:lang w:val="fr-CA"/>
        </w:rPr>
        <w:tab/>
        <w:t xml:space="preserve">Le recours entrepris en cas de plainte fondée sur la </w:t>
      </w:r>
      <w:r w:rsidRPr="008F41E8">
        <w:rPr>
          <w:i/>
          <w:sz w:val="20"/>
          <w:lang w:val="fr-CA"/>
        </w:rPr>
        <w:t>Charte</w:t>
      </w:r>
      <w:r w:rsidRPr="008F41E8">
        <w:rPr>
          <w:sz w:val="20"/>
          <w:lang w:val="fr-CA"/>
        </w:rPr>
        <w:t xml:space="preserve"> comporte une démarche à deux volets qui impose successivement au demandeur et au défendeur un fardeau de preuve distinct. Cette analyse à deux volets ne change pas, quelle que soit la forme que prend la discrimination. Le fait que le profilage racial soit reconnu comme une forme prohibée de discrimination n’altère donc pas cette démarche. Dans un premier temps, l’art. 10 de la </w:t>
      </w:r>
      <w:r w:rsidRPr="008F41E8">
        <w:rPr>
          <w:i/>
          <w:sz w:val="20"/>
          <w:lang w:val="fr-CA"/>
        </w:rPr>
        <w:t>Charte</w:t>
      </w:r>
      <w:r w:rsidRPr="008F41E8">
        <w:rPr>
          <w:sz w:val="20"/>
          <w:lang w:val="fr-CA"/>
        </w:rPr>
        <w:t xml:space="preserve"> requiert du demandeur qu’il apporte la preuve de trois éléments : (1) une distinction, exclusion ou préférence; (2) fondée sur l’un des motifs énumérés au premier alinéa de l’art. 10; (3) qui a pour effet de détruire ou de compromettre le droit à la pleine égalité dans la reconnaissance et l’exercice d’un droit ou d’une liberté de la personne. Si ces trois éléments sont établis, il y a alors « discrimination </w:t>
      </w:r>
      <w:r w:rsidRPr="008F41E8">
        <w:rPr>
          <w:i/>
          <w:sz w:val="20"/>
          <w:lang w:val="fr-CA"/>
        </w:rPr>
        <w:t>prima facie </w:t>
      </w:r>
      <w:r w:rsidRPr="008F41E8">
        <w:rPr>
          <w:sz w:val="20"/>
          <w:lang w:val="fr-CA"/>
        </w:rPr>
        <w:t xml:space="preserve">» ou « à première vue ». Dans un second temps, le défendeur peut justifier sa décision ou sa conduite en invoquant les exemptions prévues par la loi sur les droits de la personne </w:t>
      </w:r>
      <w:r w:rsidRPr="008F41E8">
        <w:rPr>
          <w:sz w:val="20"/>
          <w:lang w:val="fr-CA"/>
        </w:rPr>
        <w:lastRenderedPageBreak/>
        <w:t>applicable ou celles développées par la jurisprudence. S’il échoue, le tribunal conclura alors à l’existence de discrimination.</w:t>
      </w:r>
    </w:p>
    <w:p w:rsidR="005D5CCB" w:rsidRDefault="005D5CCB" w:rsidP="005D5CCB">
      <w:pPr>
        <w:pStyle w:val="SCCNormalDoubleSpacing"/>
        <w:spacing w:line="240" w:lineRule="auto"/>
        <w:rPr>
          <w:sz w:val="20"/>
          <w:lang w:val="fr-CA"/>
        </w:rPr>
      </w:pPr>
    </w:p>
    <w:p w:rsidR="005D5CCB" w:rsidRPr="008F41E8" w:rsidRDefault="005D5CCB" w:rsidP="005D5CCB">
      <w:pPr>
        <w:pStyle w:val="SCCNormalDoubleSpacing"/>
        <w:spacing w:line="240" w:lineRule="auto"/>
        <w:rPr>
          <w:sz w:val="20"/>
          <w:lang w:val="fr-CA"/>
        </w:rPr>
      </w:pPr>
      <w:r w:rsidRPr="008F41E8">
        <w:rPr>
          <w:sz w:val="20"/>
          <w:lang w:val="fr-CA"/>
        </w:rPr>
        <w:tab/>
        <w:t xml:space="preserve">Le premier élément constitutif de la discrimination </w:t>
      </w:r>
      <w:r w:rsidRPr="008F41E8">
        <w:rPr>
          <w:i/>
          <w:sz w:val="20"/>
          <w:lang w:val="fr-CA"/>
        </w:rPr>
        <w:t>prima facie</w:t>
      </w:r>
      <w:r w:rsidRPr="008F41E8">
        <w:rPr>
          <w:sz w:val="20"/>
          <w:lang w:val="fr-CA"/>
        </w:rPr>
        <w:t xml:space="preserve"> ne présente pas de difficultés : le demandeur doit prouver l’existence d’une différence de traitement, c’est</w:t>
      </w:r>
      <w:r w:rsidRPr="008F41E8">
        <w:rPr>
          <w:sz w:val="20"/>
          <w:lang w:val="fr-CA"/>
        </w:rPr>
        <w:noBreakHyphen/>
        <w:t>à</w:t>
      </w:r>
      <w:r w:rsidRPr="008F41E8">
        <w:rPr>
          <w:sz w:val="20"/>
          <w:lang w:val="fr-CA"/>
        </w:rPr>
        <w:noBreakHyphen/>
        <w:t xml:space="preserve">dire qu’une décision, mesure ou conduite le touche d’une manière différente par rapport à d’autres personnes auxquelles elle peut s’appliquer. Relativement au deuxième élément, le demandeur a le fardeau de démontrer qu’il existe un lien entre un motif prohibé de discrimination et la distinction, l’exclusion ou la préférence dont il se plaint ou, en d’autres mots, que ce motif a été un facteur dans la distinction, l’exclusion ou la préférence. Il n’est pas essentiel que ce lien soit exclusif : il suffit que le motif ait contribué aux décisions ou aux gestes reprochés pour que ces derniers soient considérés discriminatoires. Finalement, en ce qui concerne le troisième élément, le demandeur doit démontrer que la distinction, l’exclusion ou la préférence affecte l’exercice en pleine égalité de l’un de ses droits ou libertés garantis par la </w:t>
      </w:r>
      <w:r w:rsidRPr="008F41E8">
        <w:rPr>
          <w:i/>
          <w:sz w:val="20"/>
          <w:lang w:val="fr-CA"/>
        </w:rPr>
        <w:t>Charte</w:t>
      </w:r>
      <w:r w:rsidRPr="008F41E8">
        <w:rPr>
          <w:sz w:val="20"/>
          <w:lang w:val="fr-CA"/>
        </w:rPr>
        <w:t xml:space="preserve">. Contrairement à la </w:t>
      </w:r>
      <w:r w:rsidRPr="008F41E8">
        <w:rPr>
          <w:i/>
          <w:sz w:val="20"/>
          <w:lang w:val="fr-CA"/>
        </w:rPr>
        <w:t>Charte canadienne des droits et libertés</w:t>
      </w:r>
      <w:r w:rsidRPr="008F41E8">
        <w:rPr>
          <w:sz w:val="20"/>
          <w:lang w:val="fr-CA"/>
        </w:rPr>
        <w:t xml:space="preserve">, la </w:t>
      </w:r>
      <w:r w:rsidRPr="008F41E8">
        <w:rPr>
          <w:i/>
          <w:sz w:val="20"/>
          <w:lang w:val="fr-CA"/>
        </w:rPr>
        <w:t>Charte</w:t>
      </w:r>
      <w:r w:rsidRPr="008F41E8">
        <w:rPr>
          <w:sz w:val="20"/>
          <w:lang w:val="fr-CA"/>
        </w:rPr>
        <w:t xml:space="preserve"> québécoise ne protège pas le droit à l’égalité en soi : ce droit n’est protégé que dans l’exercice des autres droits et libertés garantis par la </w:t>
      </w:r>
      <w:r w:rsidRPr="008F41E8">
        <w:rPr>
          <w:i/>
          <w:sz w:val="20"/>
          <w:lang w:val="fr-CA"/>
        </w:rPr>
        <w:t>Charte</w:t>
      </w:r>
      <w:r w:rsidRPr="008F41E8">
        <w:rPr>
          <w:sz w:val="20"/>
          <w:lang w:val="fr-CA"/>
        </w:rPr>
        <w:t>. Le droit à l’absence de discrimination ne peut donc à lui seul fonder un recours et doit nécessairement être rattaché à un autre droit ou liberté de la personne reconnu par la loi.</w:t>
      </w:r>
    </w:p>
    <w:p w:rsidR="005D5CCB" w:rsidRDefault="005D5CCB" w:rsidP="005D5CCB">
      <w:pPr>
        <w:pStyle w:val="SCCNormalDoubleSpacing"/>
        <w:spacing w:line="240" w:lineRule="auto"/>
        <w:rPr>
          <w:sz w:val="20"/>
          <w:lang w:val="fr-CA"/>
        </w:rPr>
      </w:pPr>
    </w:p>
    <w:p w:rsidR="005D5CCB" w:rsidRPr="008F41E8" w:rsidRDefault="005D5CCB" w:rsidP="005D5CCB">
      <w:pPr>
        <w:pStyle w:val="SCCNormalDoubleSpacing"/>
        <w:spacing w:line="240" w:lineRule="auto"/>
        <w:rPr>
          <w:sz w:val="20"/>
          <w:lang w:val="fr-CA"/>
        </w:rPr>
      </w:pPr>
      <w:r w:rsidRPr="008F41E8">
        <w:rPr>
          <w:sz w:val="20"/>
          <w:lang w:val="fr-CA"/>
        </w:rPr>
        <w:tab/>
        <w:t xml:space="preserve">Le demandeur doit démontrer l’existence des trois éléments constitutifs de la discrimination </w:t>
      </w:r>
      <w:r w:rsidRPr="008F41E8">
        <w:rPr>
          <w:i/>
          <w:sz w:val="20"/>
          <w:lang w:val="fr-CA"/>
        </w:rPr>
        <w:t>prima facie</w:t>
      </w:r>
      <w:r w:rsidRPr="008F41E8">
        <w:rPr>
          <w:sz w:val="20"/>
          <w:lang w:val="fr-CA"/>
        </w:rPr>
        <w:t xml:space="preserve"> selon la norme de preuve de la prépondérance des probabilités habituellement requise en droit civil. Dans un contexte de discrimination, l’expression « </w:t>
      </w:r>
      <w:r w:rsidRPr="008F41E8">
        <w:rPr>
          <w:i/>
          <w:sz w:val="20"/>
          <w:lang w:val="fr-CA"/>
        </w:rPr>
        <w:t>prima facie</w:t>
      </w:r>
      <w:r w:rsidRPr="008F41E8">
        <w:rPr>
          <w:sz w:val="20"/>
          <w:lang w:val="fr-CA"/>
        </w:rPr>
        <w:t xml:space="preserve"> » ou « à première vue » ne renvoie qu’au premier volet de la démarche à suivre, et ne modifie aucunement le degré de preuve applicable. L’utilisation de cette expression s’explique tout simplement en raison de l’analyse à deux volets des plaintes de discrimination fondées sur la </w:t>
      </w:r>
      <w:r w:rsidRPr="008F41E8">
        <w:rPr>
          <w:i/>
          <w:sz w:val="20"/>
          <w:lang w:val="fr-CA"/>
        </w:rPr>
        <w:t>Charte</w:t>
      </w:r>
      <w:r w:rsidRPr="008F41E8">
        <w:rPr>
          <w:sz w:val="20"/>
          <w:lang w:val="fr-CA"/>
        </w:rPr>
        <w:t xml:space="preserve">, et vise seulement les trois éléments dont la partie demanderesse doit faire la preuve dans le cadre du premier volet. En l’absence de justification établie par le défendeur, la présentation d’une preuve prépondérante à l’égard de ces trois éléments sera suffisante pour permettre au tribunal de conclure à la violation de l’art. 10 de la </w:t>
      </w:r>
      <w:r w:rsidRPr="008F41E8">
        <w:rPr>
          <w:i/>
          <w:sz w:val="20"/>
          <w:lang w:val="fr-CA"/>
        </w:rPr>
        <w:t>Charte</w:t>
      </w:r>
      <w:r w:rsidRPr="008F41E8">
        <w:rPr>
          <w:sz w:val="20"/>
          <w:lang w:val="fr-CA"/>
        </w:rPr>
        <w:t xml:space="preserve">. Par ailleurs, si le défendeur parvient à justifier sa décision ou sa conduite, lui aussi selon la norme de preuve fondée sur la prépondérance des probabilités, il n’y aura pas de violation, et ce, même en présence de discrimination </w:t>
      </w:r>
      <w:r w:rsidRPr="008F41E8">
        <w:rPr>
          <w:i/>
          <w:sz w:val="20"/>
          <w:lang w:val="fr-CA"/>
        </w:rPr>
        <w:t>prima facie</w:t>
      </w:r>
      <w:r w:rsidRPr="008F41E8">
        <w:rPr>
          <w:sz w:val="20"/>
          <w:lang w:val="fr-CA"/>
        </w:rPr>
        <w:t xml:space="preserve">. Le défendeur peut donc présenter soit des éléments de preuve réfutant l’allégation de discrimination </w:t>
      </w:r>
      <w:r w:rsidRPr="008F41E8">
        <w:rPr>
          <w:i/>
          <w:sz w:val="20"/>
          <w:lang w:val="fr-CA"/>
        </w:rPr>
        <w:t>prima facie</w:t>
      </w:r>
      <w:r w:rsidRPr="008F41E8">
        <w:rPr>
          <w:sz w:val="20"/>
          <w:lang w:val="fr-CA"/>
        </w:rPr>
        <w:t>, soit une défense justifiant la discrimination, ou les deux.</w:t>
      </w:r>
    </w:p>
    <w:p w:rsidR="005D5CCB" w:rsidRDefault="005D5CCB" w:rsidP="005D5CCB">
      <w:pPr>
        <w:pStyle w:val="SCCNormalDoubleSpacing"/>
        <w:spacing w:line="240" w:lineRule="auto"/>
        <w:rPr>
          <w:sz w:val="20"/>
          <w:lang w:val="fr-CA"/>
        </w:rPr>
      </w:pPr>
    </w:p>
    <w:p w:rsidR="005D5CCB" w:rsidRDefault="005D5CCB" w:rsidP="005D5CCB">
      <w:pPr>
        <w:pStyle w:val="SCCNormalDoubleSpacing"/>
        <w:spacing w:line="240" w:lineRule="auto"/>
        <w:rPr>
          <w:sz w:val="20"/>
          <w:lang w:val="fr-CA"/>
        </w:rPr>
      </w:pPr>
      <w:r w:rsidRPr="008F41E8">
        <w:rPr>
          <w:sz w:val="20"/>
          <w:lang w:val="fr-CA"/>
        </w:rPr>
        <w:tab/>
        <w:t xml:space="preserve">Comme la décision du Tribunal en l’espèce n’est pas fondée sur la preuve présentée, elle est déraisonnable et doit être infirmée. La Commission devait démontrer que la décision de B était discriminatoire en établissant, par prépondérance de preuve, un lien entre cette décision et l’origine ethnique ou nationale de L. Puisque B a refusé la demande de formation de L uniquement en raison du refus des autorités américaines de délivrer à ce dernier une approbation de sécurité, la preuve d’un lien entre la décision des autorités américaines et un motif prohibé de discrimination aurait satisfait au deuxième élément de l’analyse relative à la discrimination </w:t>
      </w:r>
      <w:r w:rsidRPr="008F41E8">
        <w:rPr>
          <w:i/>
          <w:sz w:val="20"/>
          <w:lang w:val="fr-CA"/>
        </w:rPr>
        <w:t>prima facie</w:t>
      </w:r>
      <w:r w:rsidRPr="008F41E8">
        <w:rPr>
          <w:sz w:val="20"/>
          <w:lang w:val="fr-CA"/>
        </w:rPr>
        <w:t xml:space="preserve">. Or, la Commission n’a pas présenté de preuve suffisante – directe ou circonstancielle – pour démontrer que l’origine ethnique ou nationale de L avait joué de quelque façon que ce soit dans la réponse défavorable des autorités américaines à l’égard de sa demande de vérification de sécurité. On ne peut présumer, du seul fait de l’existence d’un contexte social de discrimination envers un groupe, qu’une décision particulière prise à l’encontre d’un membre de ce groupe est nécessairement fondée sur un motif prohibé au sens de la </w:t>
      </w:r>
      <w:r w:rsidRPr="008F41E8">
        <w:rPr>
          <w:i/>
          <w:sz w:val="20"/>
          <w:lang w:val="fr-CA"/>
        </w:rPr>
        <w:t>Charte</w:t>
      </w:r>
      <w:r w:rsidRPr="008F41E8">
        <w:rPr>
          <w:sz w:val="20"/>
          <w:lang w:val="fr-CA"/>
        </w:rPr>
        <w:t xml:space="preserve">. En pratique, cela reviendrait à inverser le fardeau de la preuve en matière de discrimination. En effet, même circonstancielle, une preuve de discrimination doit présenter un rapport tangible avec la décision ou la conduite contestée. En conséquence, le Tribunal ne pouvait conclure en l’espèce que la décision de B constituait de la discrimination </w:t>
      </w:r>
      <w:r w:rsidRPr="008F41E8">
        <w:rPr>
          <w:i/>
          <w:sz w:val="20"/>
          <w:lang w:val="fr-CA"/>
        </w:rPr>
        <w:t>prima facie</w:t>
      </w:r>
      <w:r w:rsidRPr="008F41E8">
        <w:rPr>
          <w:sz w:val="20"/>
          <w:lang w:val="fr-CA"/>
        </w:rPr>
        <w:t xml:space="preserve"> visée par la </w:t>
      </w:r>
      <w:r w:rsidRPr="008F41E8">
        <w:rPr>
          <w:i/>
          <w:sz w:val="20"/>
          <w:lang w:val="fr-CA"/>
        </w:rPr>
        <w:t>Charte</w:t>
      </w:r>
      <w:r w:rsidRPr="008F41E8">
        <w:rPr>
          <w:sz w:val="20"/>
          <w:lang w:val="fr-CA"/>
        </w:rPr>
        <w:t xml:space="preserve">. La conclusion dans la présente affaire ne signifie pas qu’une entreprise peut se faire le relais aveugle d’une décision discriminatoire émanant d’une autorité étrangère sans engager sa responsabilité au regard de la </w:t>
      </w:r>
      <w:r w:rsidRPr="008F41E8">
        <w:rPr>
          <w:i/>
          <w:sz w:val="20"/>
          <w:lang w:val="fr-CA"/>
        </w:rPr>
        <w:t>Charte</w:t>
      </w:r>
      <w:r w:rsidRPr="008F41E8">
        <w:rPr>
          <w:sz w:val="20"/>
          <w:lang w:val="fr-CA"/>
        </w:rPr>
        <w:t>. Cette conclusion découle du fait qu’il n’y a tout simplement pas de preuve d’un lien entre un motif prohibé et la décision étrangère en cause.</w:t>
      </w:r>
    </w:p>
    <w:p w:rsidR="005D5CCB" w:rsidRDefault="005D5CCB" w:rsidP="005D5CCB">
      <w:pPr>
        <w:pStyle w:val="SCCNormalDoubleSpacing"/>
        <w:spacing w:line="240" w:lineRule="auto"/>
        <w:rPr>
          <w:sz w:val="20"/>
          <w:lang w:val="fr-CA"/>
        </w:rPr>
      </w:pPr>
    </w:p>
    <w:p w:rsidR="005D5CCB" w:rsidRPr="008F41E8" w:rsidRDefault="005D5CCB" w:rsidP="005D5CCB">
      <w:pPr>
        <w:pStyle w:val="SCCNormalDoubleSpacing"/>
        <w:spacing w:line="240" w:lineRule="auto"/>
        <w:rPr>
          <w:sz w:val="20"/>
          <w:lang w:val="fr-CA"/>
        </w:rPr>
      </w:pPr>
      <w:r w:rsidRPr="008F41E8">
        <w:rPr>
          <w:sz w:val="20"/>
          <w:lang w:val="fr-CA"/>
        </w:rPr>
        <w:tab/>
        <w:t>POURVOIS contre un arrêt de la Cour d’appel du Québec (les juges Fournier et St</w:t>
      </w:r>
      <w:r w:rsidRPr="008F41E8">
        <w:rPr>
          <w:sz w:val="20"/>
          <w:lang w:val="fr-CA"/>
        </w:rPr>
        <w:noBreakHyphen/>
        <w:t>Pierre et le juge Viens (</w:t>
      </w:r>
      <w:r w:rsidRPr="008F41E8">
        <w:rPr>
          <w:i/>
          <w:sz w:val="20"/>
          <w:lang w:val="fr-CA"/>
        </w:rPr>
        <w:t>ad hoc</w:t>
      </w:r>
      <w:r w:rsidRPr="008F41E8">
        <w:rPr>
          <w:sz w:val="20"/>
          <w:lang w:val="fr-CA"/>
        </w:rPr>
        <w:t>)), 2013 QCCA 1650, [2013] R.J.Q. 1541, [2013] AZ</w:t>
      </w:r>
      <w:r w:rsidRPr="008F41E8">
        <w:rPr>
          <w:sz w:val="20"/>
          <w:lang w:val="fr-CA"/>
        </w:rPr>
        <w:noBreakHyphen/>
        <w:t>51004481, [2013] J.Q. n</w:t>
      </w:r>
      <w:r w:rsidRPr="008F41E8">
        <w:rPr>
          <w:sz w:val="20"/>
          <w:vertAlign w:val="superscript"/>
          <w:lang w:val="fr-CA"/>
        </w:rPr>
        <w:t>o</w:t>
      </w:r>
      <w:r w:rsidRPr="008F41E8">
        <w:rPr>
          <w:sz w:val="20"/>
          <w:lang w:val="fr-CA"/>
        </w:rPr>
        <w:t> 12486 (QL), 2013 CarswellQue 9362 (WL Can.), qui a infirmé une décision du Tribunal des droits de la personne du Québec, 2010 QCTDP 16, [2011] R.J.Q. 225, [2010] AZ</w:t>
      </w:r>
      <w:r w:rsidRPr="008F41E8">
        <w:rPr>
          <w:sz w:val="20"/>
          <w:lang w:val="fr-CA"/>
        </w:rPr>
        <w:noBreakHyphen/>
        <w:t>50698315, [2010] J.T.D.P.Q. n</w:t>
      </w:r>
      <w:r w:rsidRPr="008F41E8">
        <w:rPr>
          <w:sz w:val="20"/>
          <w:vertAlign w:val="superscript"/>
          <w:lang w:val="fr-CA"/>
        </w:rPr>
        <w:t>o</w:t>
      </w:r>
      <w:r w:rsidRPr="008F41E8">
        <w:rPr>
          <w:sz w:val="20"/>
          <w:lang w:val="fr-CA"/>
        </w:rPr>
        <w:t> 16 (QL), 2010 CarswellQue 13376 (WL Can.). Pourvois rejetés.</w:t>
      </w:r>
    </w:p>
    <w:p w:rsidR="005D5CCB" w:rsidRDefault="005D5CCB" w:rsidP="005D5CCB">
      <w:pPr>
        <w:pStyle w:val="SCCNormalDoubleSpacing"/>
        <w:spacing w:line="240" w:lineRule="auto"/>
        <w:rPr>
          <w:rStyle w:val="SCCCounselNameChar"/>
          <w:i w:val="0"/>
          <w:sz w:val="20"/>
          <w:lang w:val="fr-CA"/>
        </w:rPr>
      </w:pPr>
    </w:p>
    <w:p w:rsidR="005D5CCB" w:rsidRPr="008F41E8" w:rsidRDefault="005D5CCB" w:rsidP="005D5CCB">
      <w:pPr>
        <w:pStyle w:val="SCCNormalDoubleSpacing"/>
        <w:spacing w:line="240" w:lineRule="auto"/>
        <w:rPr>
          <w:sz w:val="20"/>
          <w:lang w:val="fr-CA"/>
        </w:rPr>
      </w:pPr>
      <w:r w:rsidRPr="008F41E8">
        <w:rPr>
          <w:rStyle w:val="SCCCounselNameChar"/>
          <w:sz w:val="20"/>
          <w:lang w:val="fr-CA"/>
        </w:rPr>
        <w:tab/>
        <w:t>Athanassia Bitzakidis</w:t>
      </w:r>
      <w:r w:rsidRPr="008F41E8">
        <w:rPr>
          <w:rStyle w:val="SCCCounselSeparatorChar"/>
          <w:sz w:val="20"/>
        </w:rPr>
        <w:t xml:space="preserve"> et </w:t>
      </w:r>
      <w:r w:rsidRPr="008F41E8">
        <w:rPr>
          <w:rStyle w:val="SCCCounselNameChar"/>
          <w:sz w:val="20"/>
          <w:lang w:val="fr-CA"/>
        </w:rPr>
        <w:t>Christian Baillargeon</w:t>
      </w:r>
      <w:r w:rsidRPr="008F41E8">
        <w:rPr>
          <w:rStyle w:val="SCCCounselPartyRoleChar"/>
          <w:sz w:val="20"/>
          <w:lang w:val="fr-CA"/>
        </w:rPr>
        <w:t xml:space="preserve">, pour l’appelante/intimée la </w:t>
      </w:r>
      <w:r w:rsidRPr="008F41E8">
        <w:rPr>
          <w:sz w:val="20"/>
          <w:lang w:val="fr-CA"/>
        </w:rPr>
        <w:t>Commission des droits de la personne et des droits de la jeunesse</w:t>
      </w:r>
      <w:r w:rsidRPr="008F41E8">
        <w:rPr>
          <w:rStyle w:val="SCCCounselPartyRoleChar"/>
          <w:sz w:val="20"/>
          <w:lang w:val="fr-CA"/>
        </w:rPr>
        <w:t>.</w:t>
      </w:r>
    </w:p>
    <w:p w:rsidR="005D5CCB" w:rsidRDefault="005D5CCB" w:rsidP="005D5CCB">
      <w:pPr>
        <w:pStyle w:val="SCCNormalDoubleSpacing"/>
        <w:spacing w:line="240" w:lineRule="auto"/>
        <w:rPr>
          <w:rStyle w:val="SCCCounselNameChar"/>
          <w:i w:val="0"/>
          <w:sz w:val="20"/>
          <w:lang w:val="fr-CA"/>
        </w:rPr>
      </w:pPr>
    </w:p>
    <w:p w:rsidR="005D5CCB" w:rsidRPr="008F41E8" w:rsidRDefault="005D5CCB" w:rsidP="005D5CCB">
      <w:pPr>
        <w:pStyle w:val="SCCNormalDoubleSpacing"/>
        <w:spacing w:line="240" w:lineRule="auto"/>
        <w:rPr>
          <w:sz w:val="20"/>
          <w:lang w:val="fr-CA"/>
        </w:rPr>
      </w:pPr>
      <w:r w:rsidRPr="008F41E8">
        <w:rPr>
          <w:rStyle w:val="SCCCounselNameChar"/>
          <w:sz w:val="20"/>
          <w:lang w:val="fr-CA"/>
        </w:rPr>
        <w:tab/>
        <w:t>Mathieu Bouchard et Catherine Elizabeth McKenzie</w:t>
      </w:r>
      <w:r w:rsidRPr="008F41E8">
        <w:rPr>
          <w:rStyle w:val="SCCCounselPartyRoleChar"/>
          <w:sz w:val="20"/>
          <w:lang w:val="fr-CA"/>
        </w:rPr>
        <w:t>, pour l’intimé/appelant Javed Latif.</w:t>
      </w:r>
    </w:p>
    <w:p w:rsidR="005D5CCB" w:rsidRDefault="005D5CCB" w:rsidP="005D5CCB">
      <w:pPr>
        <w:pStyle w:val="SCCNormalDoubleSpacing"/>
        <w:spacing w:line="240" w:lineRule="auto"/>
        <w:rPr>
          <w:rStyle w:val="SCCCounselNameChar"/>
          <w:i w:val="0"/>
          <w:sz w:val="20"/>
          <w:lang w:val="fr-CA"/>
        </w:rPr>
      </w:pPr>
    </w:p>
    <w:p w:rsidR="005D5CCB" w:rsidRPr="008F41E8" w:rsidRDefault="005D5CCB" w:rsidP="005D5CCB">
      <w:pPr>
        <w:pStyle w:val="SCCNormalDoubleSpacing"/>
        <w:spacing w:line="240" w:lineRule="auto"/>
        <w:rPr>
          <w:sz w:val="20"/>
          <w:lang w:val="fr-CA"/>
        </w:rPr>
      </w:pPr>
      <w:r w:rsidRPr="008F41E8">
        <w:rPr>
          <w:rStyle w:val="SCCCounselNameChar"/>
          <w:sz w:val="20"/>
          <w:lang w:val="fr-CA"/>
        </w:rPr>
        <w:tab/>
        <w:t>Michel Sylvestre</w:t>
      </w:r>
      <w:r w:rsidRPr="008F41E8">
        <w:rPr>
          <w:rStyle w:val="SCCCounselSeparatorChar"/>
          <w:sz w:val="20"/>
        </w:rPr>
        <w:t xml:space="preserve">, </w:t>
      </w:r>
      <w:r w:rsidRPr="008F41E8">
        <w:rPr>
          <w:rStyle w:val="SCCCounselNameChar"/>
          <w:sz w:val="20"/>
          <w:lang w:val="fr-CA"/>
        </w:rPr>
        <w:t>Andres Garin</w:t>
      </w:r>
      <w:r w:rsidRPr="008F41E8">
        <w:rPr>
          <w:rStyle w:val="SCCCounselSeparatorChar"/>
          <w:sz w:val="20"/>
        </w:rPr>
        <w:t xml:space="preserve"> et </w:t>
      </w:r>
      <w:r w:rsidRPr="008F41E8">
        <w:rPr>
          <w:rStyle w:val="SCCCounselNameChar"/>
          <w:sz w:val="20"/>
          <w:lang w:val="fr-CA"/>
        </w:rPr>
        <w:t>Sébastien Beauregard</w:t>
      </w:r>
      <w:r w:rsidRPr="008F41E8">
        <w:rPr>
          <w:rStyle w:val="SCCCounselPartyRoleChar"/>
          <w:sz w:val="20"/>
          <w:lang w:val="fr-CA"/>
        </w:rPr>
        <w:t xml:space="preserve">, pour l’intimée </w:t>
      </w:r>
      <w:r w:rsidRPr="008F41E8">
        <w:rPr>
          <w:sz w:val="20"/>
          <w:lang w:val="fr-CA"/>
        </w:rPr>
        <w:t>Bombardier Inc. (Bombardier Aéronautique Centre de formation)</w:t>
      </w:r>
      <w:r w:rsidRPr="008F41E8">
        <w:rPr>
          <w:rStyle w:val="SCCCounselPartyRoleChar"/>
          <w:sz w:val="20"/>
          <w:lang w:val="fr-CA"/>
        </w:rPr>
        <w:t>.</w:t>
      </w:r>
    </w:p>
    <w:p w:rsidR="005D5CCB" w:rsidRDefault="005D5CCB" w:rsidP="005D5CCB">
      <w:pPr>
        <w:pStyle w:val="SCCNormalDoubleSpacing"/>
        <w:spacing w:line="240" w:lineRule="auto"/>
        <w:rPr>
          <w:rStyle w:val="SCCCounselNameChar"/>
          <w:i w:val="0"/>
          <w:sz w:val="20"/>
          <w:lang w:val="fr-CA"/>
        </w:rPr>
      </w:pPr>
    </w:p>
    <w:p w:rsidR="005D5CCB" w:rsidRPr="008F41E8" w:rsidRDefault="005D5CCB" w:rsidP="005D5CCB">
      <w:pPr>
        <w:pStyle w:val="SCCNormalDoubleSpacing"/>
        <w:spacing w:line="240" w:lineRule="auto"/>
        <w:rPr>
          <w:sz w:val="20"/>
          <w:lang w:val="fr-CA"/>
        </w:rPr>
      </w:pPr>
      <w:r w:rsidRPr="008F41E8">
        <w:rPr>
          <w:rStyle w:val="SCCCounselNameChar"/>
          <w:sz w:val="20"/>
          <w:lang w:val="fr-CA"/>
        </w:rPr>
        <w:tab/>
        <w:t>Andrew K. Lokan</w:t>
      </w:r>
      <w:r w:rsidRPr="008F41E8">
        <w:rPr>
          <w:rStyle w:val="SCCCounselSeparatorChar"/>
          <w:sz w:val="20"/>
        </w:rPr>
        <w:t xml:space="preserve"> et </w:t>
      </w:r>
      <w:r w:rsidRPr="008F41E8">
        <w:rPr>
          <w:rStyle w:val="SCCCounselNameChar"/>
          <w:sz w:val="20"/>
          <w:lang w:val="fr-CA"/>
        </w:rPr>
        <w:t>Jean</w:t>
      </w:r>
      <w:r w:rsidRPr="008F41E8">
        <w:rPr>
          <w:rStyle w:val="SCCCounselNameChar"/>
          <w:sz w:val="20"/>
          <w:lang w:val="fr-CA"/>
        </w:rPr>
        <w:noBreakHyphen/>
        <w:t>Claude Killey</w:t>
      </w:r>
      <w:r w:rsidRPr="008F41E8">
        <w:rPr>
          <w:rStyle w:val="SCCCounselPartyRoleChar"/>
          <w:sz w:val="20"/>
          <w:lang w:val="fr-CA"/>
        </w:rPr>
        <w:t>, pour l’intervenante l’Association canadienne des libertés civiles.</w:t>
      </w:r>
    </w:p>
    <w:p w:rsidR="005D5CCB" w:rsidRDefault="005D5CCB" w:rsidP="005D5CCB">
      <w:pPr>
        <w:pStyle w:val="SCCNormalDoubleSpacing"/>
        <w:spacing w:line="240" w:lineRule="auto"/>
        <w:rPr>
          <w:rStyle w:val="SCCCounselNameChar"/>
          <w:i w:val="0"/>
          <w:sz w:val="20"/>
          <w:lang w:val="fr-CA"/>
        </w:rPr>
      </w:pPr>
    </w:p>
    <w:p w:rsidR="005D5CCB" w:rsidRPr="008F41E8" w:rsidRDefault="005D5CCB" w:rsidP="005D5CCB">
      <w:pPr>
        <w:pStyle w:val="SCCNormalDoubleSpacing"/>
        <w:spacing w:line="240" w:lineRule="auto"/>
        <w:rPr>
          <w:sz w:val="20"/>
          <w:lang w:val="fr-CA"/>
        </w:rPr>
      </w:pPr>
      <w:r w:rsidRPr="008F41E8">
        <w:rPr>
          <w:rStyle w:val="SCCCounselNameChar"/>
          <w:sz w:val="20"/>
          <w:lang w:val="fr-CA"/>
        </w:rPr>
        <w:tab/>
        <w:t>Philippe Dufresne</w:t>
      </w:r>
      <w:r w:rsidRPr="008F41E8">
        <w:rPr>
          <w:rStyle w:val="SCCCounselSeparatorChar"/>
          <w:sz w:val="20"/>
        </w:rPr>
        <w:t xml:space="preserve"> et </w:t>
      </w:r>
      <w:r w:rsidRPr="008F41E8">
        <w:rPr>
          <w:rStyle w:val="SCCCounselNameChar"/>
          <w:sz w:val="20"/>
          <w:lang w:val="fr-CA"/>
        </w:rPr>
        <w:t>Sheila Osborne</w:t>
      </w:r>
      <w:r w:rsidRPr="008F41E8">
        <w:rPr>
          <w:rStyle w:val="SCCCounselNameChar"/>
          <w:sz w:val="20"/>
          <w:lang w:val="fr-CA"/>
        </w:rPr>
        <w:noBreakHyphen/>
        <w:t>Brown</w:t>
      </w:r>
      <w:r w:rsidRPr="008F41E8">
        <w:rPr>
          <w:rStyle w:val="SCCCounselPartyRoleChar"/>
          <w:sz w:val="20"/>
          <w:lang w:val="fr-CA"/>
        </w:rPr>
        <w:t>, pour l’intervenante la Commission canadienne des droits de la personne.</w:t>
      </w:r>
    </w:p>
    <w:p w:rsidR="005D5CCB" w:rsidRDefault="005D5CCB" w:rsidP="005D5CCB">
      <w:pPr>
        <w:pStyle w:val="SCCNormalDoubleSpacing"/>
        <w:spacing w:line="240" w:lineRule="auto"/>
        <w:rPr>
          <w:rStyle w:val="SCCCounselNameChar"/>
          <w:i w:val="0"/>
          <w:sz w:val="20"/>
          <w:lang w:val="fr-CA"/>
        </w:rPr>
      </w:pPr>
    </w:p>
    <w:p w:rsidR="005D5CCB" w:rsidRPr="008F41E8" w:rsidRDefault="005D5CCB" w:rsidP="005D5CCB">
      <w:pPr>
        <w:pStyle w:val="SCCNormalDoubleSpacing"/>
        <w:spacing w:line="240" w:lineRule="auto"/>
        <w:rPr>
          <w:sz w:val="20"/>
          <w:lang w:val="fr-CA"/>
        </w:rPr>
      </w:pPr>
      <w:r w:rsidRPr="008F41E8">
        <w:rPr>
          <w:rStyle w:val="SCCCounselNameChar"/>
          <w:sz w:val="20"/>
          <w:lang w:val="fr-CA"/>
        </w:rPr>
        <w:tab/>
        <w:t xml:space="preserve">Selwyn Pieters </w:t>
      </w:r>
      <w:r w:rsidRPr="008F41E8">
        <w:rPr>
          <w:rStyle w:val="SCCCounselSeparatorChar"/>
          <w:sz w:val="20"/>
        </w:rPr>
        <w:t>et</w:t>
      </w:r>
      <w:r w:rsidRPr="008F41E8">
        <w:rPr>
          <w:rStyle w:val="SCCCounselNameChar"/>
          <w:sz w:val="20"/>
          <w:lang w:val="fr-CA"/>
        </w:rPr>
        <w:t xml:space="preserve"> Aymar Missakila</w:t>
      </w:r>
      <w:r w:rsidRPr="008F41E8">
        <w:rPr>
          <w:rStyle w:val="SCCCounselPartyRoleChar"/>
          <w:sz w:val="20"/>
          <w:lang w:val="fr-CA"/>
        </w:rPr>
        <w:t>, pour l’intervenant le Centre de recherche</w:t>
      </w:r>
      <w:r w:rsidRPr="008F41E8">
        <w:rPr>
          <w:rStyle w:val="SCCCounselPartyRoleChar"/>
          <w:sz w:val="20"/>
          <w:lang w:val="fr-CA"/>
        </w:rPr>
        <w:noBreakHyphen/>
        <w:t>action sur les relations raciales.</w:t>
      </w:r>
    </w:p>
    <w:p w:rsidR="005D5CCB" w:rsidRDefault="005D5CCB" w:rsidP="005D5CCB">
      <w:pPr>
        <w:pStyle w:val="SCCNormalDoubleSpacing"/>
        <w:spacing w:line="240" w:lineRule="auto"/>
        <w:rPr>
          <w:rStyle w:val="SCCCounselNameChar"/>
          <w:i w:val="0"/>
          <w:sz w:val="20"/>
          <w:lang w:val="fr-CA"/>
        </w:rPr>
      </w:pPr>
    </w:p>
    <w:p w:rsidR="005D5CCB" w:rsidRPr="008F41E8" w:rsidRDefault="005D5CCB" w:rsidP="005D5CCB">
      <w:pPr>
        <w:pStyle w:val="SCCNormalDoubleSpacing"/>
        <w:spacing w:line="240" w:lineRule="auto"/>
        <w:rPr>
          <w:sz w:val="20"/>
          <w:lang w:val="fr-CA"/>
        </w:rPr>
      </w:pPr>
      <w:r w:rsidRPr="008F41E8">
        <w:rPr>
          <w:rStyle w:val="SCCCounselNameChar"/>
          <w:sz w:val="20"/>
          <w:lang w:val="fr-CA"/>
        </w:rPr>
        <w:tab/>
        <w:t>Faisal Bhabha</w:t>
      </w:r>
      <w:r w:rsidRPr="008F41E8">
        <w:rPr>
          <w:rStyle w:val="SCCCounselSeparatorChar"/>
          <w:sz w:val="20"/>
        </w:rPr>
        <w:t xml:space="preserve">, </w:t>
      </w:r>
      <w:r w:rsidRPr="008F41E8">
        <w:rPr>
          <w:rStyle w:val="SCCCounselNameChar"/>
          <w:sz w:val="20"/>
          <w:lang w:val="fr-CA"/>
        </w:rPr>
        <w:t>Khalid M. Elgazzar</w:t>
      </w:r>
      <w:r w:rsidRPr="008F41E8">
        <w:rPr>
          <w:rStyle w:val="SCCCounselSeparatorChar"/>
          <w:sz w:val="20"/>
        </w:rPr>
        <w:t xml:space="preserve"> et </w:t>
      </w:r>
      <w:r w:rsidRPr="008F41E8">
        <w:rPr>
          <w:rStyle w:val="SCCCounselNameChar"/>
          <w:sz w:val="20"/>
          <w:lang w:val="fr-CA"/>
        </w:rPr>
        <w:t>Faisal Mirza</w:t>
      </w:r>
      <w:r w:rsidRPr="008F41E8">
        <w:rPr>
          <w:rStyle w:val="SCCCounselPartyRoleChar"/>
          <w:sz w:val="20"/>
          <w:lang w:val="fr-CA"/>
        </w:rPr>
        <w:t>, pour les intervenants le Conseil national des musulmans canadiens et l’</w:t>
      </w:r>
      <w:r w:rsidRPr="008F41E8">
        <w:rPr>
          <w:sz w:val="20"/>
          <w:lang w:val="fr-CA"/>
        </w:rPr>
        <w:t>Association canadienne des avocats musulmans</w:t>
      </w:r>
      <w:r w:rsidRPr="008F41E8">
        <w:rPr>
          <w:rStyle w:val="SCCCounselPartyRoleChar"/>
          <w:sz w:val="20"/>
          <w:lang w:val="fr-CA"/>
        </w:rPr>
        <w:t>.</w:t>
      </w:r>
    </w:p>
    <w:p w:rsidR="005D5CCB" w:rsidRDefault="005D5CCB" w:rsidP="005D5CCB">
      <w:pPr>
        <w:pStyle w:val="SCCNormalDoubleSpacing"/>
        <w:spacing w:line="240" w:lineRule="auto"/>
        <w:rPr>
          <w:rStyle w:val="SCCCounselNameChar"/>
          <w:i w:val="0"/>
          <w:sz w:val="20"/>
          <w:lang w:val="fr-CA"/>
        </w:rPr>
      </w:pPr>
    </w:p>
    <w:p w:rsidR="005D5CCB" w:rsidRPr="008F41E8" w:rsidRDefault="005D5CCB" w:rsidP="005D5CCB">
      <w:pPr>
        <w:pStyle w:val="SCCNormalDoubleSpacing"/>
        <w:spacing w:line="240" w:lineRule="auto"/>
        <w:rPr>
          <w:sz w:val="20"/>
        </w:rPr>
      </w:pPr>
      <w:r w:rsidRPr="008F41E8">
        <w:rPr>
          <w:rStyle w:val="SCCCounselNameChar"/>
          <w:sz w:val="20"/>
          <w:lang w:val="fr-CA"/>
        </w:rPr>
        <w:tab/>
      </w:r>
      <w:r w:rsidRPr="008F41E8">
        <w:rPr>
          <w:rStyle w:val="SCCCounselNameChar"/>
          <w:sz w:val="20"/>
        </w:rPr>
        <w:t>Ranjan K. Agarwal</w:t>
      </w:r>
      <w:r w:rsidRPr="005D5CCB">
        <w:rPr>
          <w:rStyle w:val="SCCCounselSeparatorChar"/>
          <w:sz w:val="20"/>
          <w:lang w:val="en-CA"/>
        </w:rPr>
        <w:t xml:space="preserve"> et </w:t>
      </w:r>
      <w:r w:rsidRPr="008F41E8">
        <w:rPr>
          <w:rStyle w:val="SCCCounselNameChar"/>
          <w:sz w:val="20"/>
        </w:rPr>
        <w:t>Preet K. Bell</w:t>
      </w:r>
      <w:r w:rsidRPr="008F41E8">
        <w:rPr>
          <w:rStyle w:val="SCCCounselPartyRoleChar"/>
          <w:sz w:val="20"/>
        </w:rPr>
        <w:t>, pour l’intervenante South Asian Legal Clinic of Ontario.</w:t>
      </w:r>
    </w:p>
    <w:p w:rsidR="005D5CCB" w:rsidRDefault="005D5CCB" w:rsidP="005D5CCB">
      <w:pPr>
        <w:pStyle w:val="SCCLawFirm"/>
        <w:spacing w:line="240" w:lineRule="auto"/>
        <w:rPr>
          <w:sz w:val="20"/>
        </w:rPr>
      </w:pPr>
    </w:p>
    <w:p w:rsidR="005D5CCB" w:rsidRPr="008F41E8" w:rsidRDefault="005D5CCB" w:rsidP="005D5CCB">
      <w:pPr>
        <w:pStyle w:val="SCCLawFirm"/>
        <w:spacing w:line="240" w:lineRule="auto"/>
        <w:rPr>
          <w:sz w:val="20"/>
          <w:lang w:val="fr-CA"/>
        </w:rPr>
      </w:pPr>
      <w:r w:rsidRPr="008F41E8">
        <w:rPr>
          <w:sz w:val="20"/>
        </w:rPr>
        <w:tab/>
      </w:r>
      <w:r w:rsidRPr="008F41E8">
        <w:rPr>
          <w:sz w:val="20"/>
          <w:lang w:val="fr-CA"/>
        </w:rPr>
        <w:t xml:space="preserve">Procureurs de </w:t>
      </w:r>
      <w:r w:rsidRPr="008F41E8">
        <w:rPr>
          <w:rStyle w:val="SCCCounselPartyRoleChar"/>
          <w:sz w:val="20"/>
          <w:lang w:val="fr-CA"/>
        </w:rPr>
        <w:t xml:space="preserve">l’appelante/intimée la </w:t>
      </w:r>
      <w:r w:rsidRPr="008F41E8">
        <w:rPr>
          <w:sz w:val="20"/>
          <w:lang w:val="fr-CA"/>
        </w:rPr>
        <w:t>Commission des droits de la personne et des droits de la jeunesse : Boies Drapeau Bourdeau, Montréal.</w:t>
      </w:r>
    </w:p>
    <w:p w:rsidR="005D5CCB" w:rsidRDefault="005D5CCB" w:rsidP="005D5CCB">
      <w:pPr>
        <w:pStyle w:val="SCCLawFirm"/>
        <w:spacing w:line="240" w:lineRule="auto"/>
        <w:rPr>
          <w:sz w:val="20"/>
          <w:lang w:val="fr-CA"/>
        </w:rPr>
      </w:pPr>
    </w:p>
    <w:p w:rsidR="005D5CCB" w:rsidRPr="008F41E8" w:rsidRDefault="005D5CCB" w:rsidP="005D5CCB">
      <w:pPr>
        <w:pStyle w:val="SCCLawFirm"/>
        <w:spacing w:line="240" w:lineRule="auto"/>
        <w:rPr>
          <w:sz w:val="20"/>
          <w:lang w:val="fr-CA"/>
        </w:rPr>
      </w:pPr>
      <w:r w:rsidRPr="008F41E8">
        <w:rPr>
          <w:sz w:val="20"/>
          <w:lang w:val="fr-CA"/>
        </w:rPr>
        <w:tab/>
        <w:t xml:space="preserve">Procureurs de </w:t>
      </w:r>
      <w:r w:rsidRPr="008F41E8">
        <w:rPr>
          <w:rStyle w:val="SCCCounselPartyRoleChar"/>
          <w:sz w:val="20"/>
          <w:lang w:val="fr-CA"/>
        </w:rPr>
        <w:t>l’intimé/appelant Javed Latif</w:t>
      </w:r>
      <w:r w:rsidRPr="008F41E8">
        <w:rPr>
          <w:sz w:val="20"/>
          <w:lang w:val="fr-CA"/>
        </w:rPr>
        <w:t> : Irving Mitchell Kalichman, Westmount, Québec.</w:t>
      </w:r>
    </w:p>
    <w:p w:rsidR="005D5CCB" w:rsidRDefault="005D5CCB" w:rsidP="005D5CCB">
      <w:pPr>
        <w:pStyle w:val="SCCLawFirm"/>
        <w:spacing w:line="240" w:lineRule="auto"/>
        <w:rPr>
          <w:sz w:val="20"/>
          <w:lang w:val="fr-CA"/>
        </w:rPr>
      </w:pPr>
    </w:p>
    <w:p w:rsidR="005D5CCB" w:rsidRPr="008F41E8" w:rsidRDefault="005D5CCB" w:rsidP="005D5CCB">
      <w:pPr>
        <w:pStyle w:val="SCCLawFirm"/>
        <w:spacing w:line="240" w:lineRule="auto"/>
        <w:rPr>
          <w:sz w:val="20"/>
          <w:lang w:val="fr-CA"/>
        </w:rPr>
      </w:pPr>
      <w:r w:rsidRPr="008F41E8">
        <w:rPr>
          <w:sz w:val="20"/>
          <w:lang w:val="fr-CA"/>
        </w:rPr>
        <w:tab/>
        <w:t>Procureurs de l’intimée Bombardier Inc. (Bombardier Aéronautique Centre de formation) : Norton Rose Fulbright Canada, Montréal.</w:t>
      </w:r>
    </w:p>
    <w:p w:rsidR="005D5CCB" w:rsidRDefault="005D5CCB" w:rsidP="005D5CCB">
      <w:pPr>
        <w:pStyle w:val="SCCLawFirm"/>
        <w:spacing w:line="240" w:lineRule="auto"/>
        <w:rPr>
          <w:sz w:val="20"/>
          <w:lang w:val="fr-CA"/>
        </w:rPr>
      </w:pPr>
    </w:p>
    <w:p w:rsidR="005D5CCB" w:rsidRPr="008F41E8" w:rsidRDefault="005D5CCB" w:rsidP="005D5CCB">
      <w:pPr>
        <w:pStyle w:val="SCCLawFirm"/>
        <w:spacing w:line="240" w:lineRule="auto"/>
        <w:rPr>
          <w:sz w:val="20"/>
          <w:lang w:val="fr-CA"/>
        </w:rPr>
      </w:pPr>
      <w:r w:rsidRPr="008F41E8">
        <w:rPr>
          <w:sz w:val="20"/>
          <w:lang w:val="fr-CA"/>
        </w:rPr>
        <w:tab/>
        <w:t>Procureurs de l’intervenante l’Association canadienne des libertés civiles : Paliare Roland Rosenberg Rothstein, Toronto.</w:t>
      </w:r>
    </w:p>
    <w:p w:rsidR="005D5CCB" w:rsidRDefault="005D5CCB" w:rsidP="005D5CCB">
      <w:pPr>
        <w:pStyle w:val="SCCLawFirm"/>
        <w:spacing w:line="240" w:lineRule="auto"/>
        <w:rPr>
          <w:sz w:val="20"/>
          <w:lang w:val="fr-CA"/>
        </w:rPr>
      </w:pPr>
    </w:p>
    <w:p w:rsidR="005D5CCB" w:rsidRPr="008F41E8" w:rsidRDefault="005D5CCB" w:rsidP="005D5CCB">
      <w:pPr>
        <w:pStyle w:val="SCCLawFirm"/>
        <w:spacing w:line="240" w:lineRule="auto"/>
        <w:rPr>
          <w:sz w:val="20"/>
          <w:lang w:val="fr-CA"/>
        </w:rPr>
      </w:pPr>
      <w:r w:rsidRPr="008F41E8">
        <w:rPr>
          <w:sz w:val="20"/>
          <w:lang w:val="fr-CA"/>
        </w:rPr>
        <w:tab/>
        <w:t>Procureur de l’intervenante la Commission canadienne des droits de la personne : Commission canadienne des droits de la personne, Ottawa.</w:t>
      </w:r>
    </w:p>
    <w:p w:rsidR="005D5CCB" w:rsidRDefault="005D5CCB" w:rsidP="005D5CCB">
      <w:pPr>
        <w:pStyle w:val="SCCLawFirm"/>
        <w:spacing w:line="240" w:lineRule="auto"/>
        <w:rPr>
          <w:sz w:val="20"/>
          <w:lang w:val="fr-CA"/>
        </w:rPr>
      </w:pPr>
    </w:p>
    <w:p w:rsidR="005D5CCB" w:rsidRPr="008F41E8" w:rsidRDefault="005D5CCB" w:rsidP="005D5CCB">
      <w:pPr>
        <w:pStyle w:val="SCCLawFirm"/>
        <w:spacing w:line="240" w:lineRule="auto"/>
        <w:rPr>
          <w:sz w:val="20"/>
          <w:lang w:val="fr-CA"/>
        </w:rPr>
      </w:pPr>
      <w:r w:rsidRPr="008F41E8">
        <w:rPr>
          <w:sz w:val="20"/>
          <w:lang w:val="fr-CA"/>
        </w:rPr>
        <w:tab/>
        <w:t>Procureurs de l’intervenant le Centre de recherche</w:t>
      </w:r>
      <w:r w:rsidRPr="008F41E8">
        <w:rPr>
          <w:sz w:val="20"/>
          <w:lang w:val="fr-CA"/>
        </w:rPr>
        <w:noBreakHyphen/>
        <w:t>action sur les relations raciales : Selwyn Pieters, Toronto; Aymar Missakila, Montréal.</w:t>
      </w:r>
    </w:p>
    <w:p w:rsidR="005D5CCB" w:rsidRDefault="005D5CCB" w:rsidP="005D5CCB">
      <w:pPr>
        <w:pStyle w:val="SCCLawFirm"/>
        <w:spacing w:line="240" w:lineRule="auto"/>
        <w:rPr>
          <w:sz w:val="20"/>
          <w:lang w:val="fr-CA"/>
        </w:rPr>
      </w:pPr>
    </w:p>
    <w:p w:rsidR="005D5CCB" w:rsidRPr="008F41E8" w:rsidRDefault="005D5CCB" w:rsidP="005D5CCB">
      <w:pPr>
        <w:pStyle w:val="SCCLawFirm"/>
        <w:spacing w:line="240" w:lineRule="auto"/>
        <w:rPr>
          <w:sz w:val="20"/>
          <w:lang w:val="fr-CA"/>
        </w:rPr>
      </w:pPr>
      <w:r w:rsidRPr="008F41E8">
        <w:rPr>
          <w:sz w:val="20"/>
          <w:lang w:val="fr-CA"/>
        </w:rPr>
        <w:tab/>
        <w:t xml:space="preserve">Procureurs des intervenants le </w:t>
      </w:r>
      <w:r w:rsidRPr="008F41E8">
        <w:rPr>
          <w:rStyle w:val="SCCCounselPartyRoleChar"/>
          <w:sz w:val="20"/>
          <w:lang w:val="fr-CA"/>
        </w:rPr>
        <w:t>Conseil national des musulmans canadiens et l’</w:t>
      </w:r>
      <w:r w:rsidRPr="008F41E8">
        <w:rPr>
          <w:sz w:val="20"/>
          <w:lang w:val="fr-CA"/>
        </w:rPr>
        <w:t>Association canadienne des avocats musulmans : Office of Khalid Elgazzar, Barrister, Ottawa.</w:t>
      </w:r>
    </w:p>
    <w:p w:rsidR="005D5CCB" w:rsidRDefault="005D5CCB" w:rsidP="005D5CCB">
      <w:pPr>
        <w:pStyle w:val="SCCLawFirm"/>
        <w:spacing w:line="240" w:lineRule="auto"/>
        <w:rPr>
          <w:sz w:val="20"/>
          <w:lang w:val="fr-CA"/>
        </w:rPr>
      </w:pPr>
    </w:p>
    <w:p w:rsidR="005D5CCB" w:rsidRPr="005D5CCB" w:rsidRDefault="005D5CCB" w:rsidP="005D5CCB">
      <w:pPr>
        <w:pStyle w:val="SCCLawFirm"/>
        <w:spacing w:line="240" w:lineRule="auto"/>
        <w:rPr>
          <w:sz w:val="20"/>
        </w:rPr>
      </w:pPr>
      <w:r w:rsidRPr="008F41E8">
        <w:rPr>
          <w:sz w:val="20"/>
          <w:lang w:val="fr-CA"/>
        </w:rPr>
        <w:tab/>
      </w:r>
      <w:r w:rsidRPr="005D5CCB">
        <w:rPr>
          <w:sz w:val="20"/>
        </w:rPr>
        <w:t>Procureurs de l’intervenante South Asian Legal Clinic of Ontario : Bennett Jones, Toronto.</w:t>
      </w:r>
    </w:p>
    <w:p w:rsidR="0052229C" w:rsidRPr="00822540" w:rsidRDefault="0052229C" w:rsidP="0052229C">
      <w:pPr>
        <w:rPr>
          <w:rFonts w:cs="Times New Roman"/>
          <w:sz w:val="20"/>
          <w:szCs w:val="20"/>
        </w:rPr>
      </w:pPr>
      <w:r w:rsidRPr="00822540">
        <w:rPr>
          <w:rFonts w:cs="Times New Roman"/>
          <w:sz w:val="20"/>
          <w:szCs w:val="20"/>
        </w:rPr>
        <w:t>________________________</w:t>
      </w:r>
    </w:p>
    <w:p w:rsidR="0052229C" w:rsidRPr="00822540" w:rsidRDefault="0052229C" w:rsidP="0052229C">
      <w:pPr>
        <w:rPr>
          <w:rFonts w:cs="Times New Roman"/>
          <w:sz w:val="20"/>
          <w:szCs w:val="20"/>
        </w:rPr>
      </w:pPr>
    </w:p>
    <w:p w:rsidR="005D5CCB" w:rsidRPr="008D22BA" w:rsidRDefault="005D5CCB" w:rsidP="005D5CCB">
      <w:pPr>
        <w:jc w:val="both"/>
        <w:rPr>
          <w:sz w:val="20"/>
          <w:szCs w:val="20"/>
        </w:rPr>
      </w:pPr>
      <w:r w:rsidRPr="008D22BA">
        <w:rPr>
          <w:sz w:val="20"/>
          <w:szCs w:val="20"/>
        </w:rPr>
        <w:t>Present: McLachlin C.J. and Abella, Rothstein, Cromwell, Karakatsanis, Wagner and Côté JJ.</w:t>
      </w:r>
    </w:p>
    <w:p w:rsidR="005D5CCB" w:rsidRDefault="005D5CCB" w:rsidP="005D5CCB">
      <w:pPr>
        <w:pStyle w:val="SCCNormalDoubleSpacing"/>
        <w:spacing w:line="240" w:lineRule="auto"/>
        <w:rPr>
          <w:sz w:val="20"/>
        </w:rPr>
      </w:pPr>
    </w:p>
    <w:p w:rsidR="005D5CCB" w:rsidRPr="008D22BA" w:rsidRDefault="005D5CCB" w:rsidP="005D5CCB">
      <w:pPr>
        <w:pStyle w:val="SCCNormalDoubleSpacing"/>
        <w:spacing w:line="240" w:lineRule="auto"/>
        <w:rPr>
          <w:i/>
          <w:sz w:val="20"/>
        </w:rPr>
      </w:pPr>
      <w:r w:rsidRPr="008D22BA">
        <w:rPr>
          <w:sz w:val="20"/>
        </w:rPr>
        <w:tab/>
      </w:r>
      <w:r w:rsidRPr="008D22BA">
        <w:rPr>
          <w:i/>
          <w:sz w:val="20"/>
        </w:rPr>
        <w:t>Human rights — Right to equality — Discrimination based on national or ethnic origin — Evidence — Canadian company denying request for pilot training made by Canadian citizen of Pakistani origin on basis of decision of U.S. authorities to prohibit training of pilot in question in United States — Two-step process for discrimination complaint under s. 10 of Quebec Charter — Definition of prima facie discrimination, and degree of proof required in order to establish it — Whether prima facie discrimination has been proven in this case — Charter of human rights and freedoms, CQLR, c. C</w:t>
      </w:r>
      <w:r w:rsidRPr="008D22BA">
        <w:rPr>
          <w:i/>
          <w:sz w:val="20"/>
        </w:rPr>
        <w:noBreakHyphen/>
        <w:t>12, s. 10.</w:t>
      </w:r>
    </w:p>
    <w:p w:rsidR="005D5CCB" w:rsidRDefault="005D5CCB" w:rsidP="005D5CCB">
      <w:pPr>
        <w:pStyle w:val="SCCNormalDoubleSpacing"/>
        <w:spacing w:line="240" w:lineRule="auto"/>
        <w:rPr>
          <w:sz w:val="20"/>
        </w:rPr>
      </w:pPr>
    </w:p>
    <w:p w:rsidR="005D5CCB" w:rsidRPr="008D22BA" w:rsidRDefault="005D5CCB" w:rsidP="005D5CCB">
      <w:pPr>
        <w:pStyle w:val="SCCNormalDoubleSpacing"/>
        <w:spacing w:line="240" w:lineRule="auto"/>
        <w:rPr>
          <w:sz w:val="20"/>
        </w:rPr>
      </w:pPr>
      <w:r w:rsidRPr="008D22BA">
        <w:rPr>
          <w:sz w:val="20"/>
        </w:rPr>
        <w:tab/>
        <w:t xml:space="preserve">B </w:t>
      </w:r>
      <w:r w:rsidRPr="008D22BA">
        <w:rPr>
          <w:iCs/>
          <w:sz w:val="20"/>
        </w:rPr>
        <w:t>operates two centres, in Montréal and Dallas, at which pilots are trained on the types of aircraft it produces</w:t>
      </w:r>
      <w:r w:rsidRPr="008D22BA">
        <w:rPr>
          <w:sz w:val="20"/>
        </w:rPr>
        <w:t xml:space="preserve">. </w:t>
      </w:r>
      <w:r w:rsidRPr="008D22BA">
        <w:rPr>
          <w:iCs/>
          <w:sz w:val="20"/>
        </w:rPr>
        <w:t>This training is offered to pilots holding</w:t>
      </w:r>
      <w:r w:rsidRPr="008D22BA">
        <w:rPr>
          <w:sz w:val="20"/>
        </w:rPr>
        <w:t xml:space="preserve"> licences issued by various authorities, including Canada and the United States. L, a Canadian citizen born in Pakistan, held Canadian and U.S. pilot’s licences. In 2004, L registered for training at B’s Dallas centre under his U.S. licence. A security clearance from the U.S. authorities was requested for L in accordance with enhanced aviation security measures that had been implemented by the United States in the wake of the terrorist </w:t>
      </w:r>
      <w:r w:rsidRPr="008D22BA">
        <w:rPr>
          <w:sz w:val="20"/>
        </w:rPr>
        <w:lastRenderedPageBreak/>
        <w:t xml:space="preserve">attacks of September 11, 2001. This request was denied. As a result, L could not receive the training from B under his U.S. licence. B also refused to train him at its Montréal centre under his Canadian licence. Being of the view that B’s refusal constituted discrimination against him, L filed a complaint with the Commission des droits de la personne et des droits de la jeunesse (“Commission”). After investigating, the Commission initiated proceedings in the Human Rights Tribunal in which it alleged that B had impaired L’s right to avail himself of services ordinarily offered to the public and his right to the safeguard of his dignity and reputation without discrimination based on ethnic or national origin, contrary to ss. 4, 10 and 12 of the Quebec </w:t>
      </w:r>
      <w:r w:rsidRPr="008D22BA">
        <w:rPr>
          <w:i/>
          <w:iCs/>
          <w:sz w:val="20"/>
        </w:rPr>
        <w:t>Charter</w:t>
      </w:r>
      <w:r w:rsidRPr="008D22BA">
        <w:rPr>
          <w:sz w:val="20"/>
        </w:rPr>
        <w:t xml:space="preserve"> </w:t>
      </w:r>
      <w:r w:rsidRPr="008D22BA">
        <w:rPr>
          <w:i/>
          <w:sz w:val="20"/>
        </w:rPr>
        <w:t>of human rights and freedoms</w:t>
      </w:r>
      <w:r w:rsidRPr="008D22BA">
        <w:rPr>
          <w:sz w:val="20"/>
        </w:rPr>
        <w:t xml:space="preserve">. </w:t>
      </w:r>
    </w:p>
    <w:p w:rsidR="005D5CCB" w:rsidRDefault="005D5CCB" w:rsidP="005D5CCB">
      <w:pPr>
        <w:pStyle w:val="SCCNormalDoubleSpacing"/>
        <w:spacing w:line="240" w:lineRule="auto"/>
        <w:rPr>
          <w:sz w:val="20"/>
        </w:rPr>
      </w:pPr>
    </w:p>
    <w:p w:rsidR="005D5CCB" w:rsidRPr="008D22BA" w:rsidRDefault="005D5CCB" w:rsidP="005D5CCB">
      <w:pPr>
        <w:pStyle w:val="SCCNormalDoubleSpacing"/>
        <w:spacing w:line="240" w:lineRule="auto"/>
        <w:rPr>
          <w:sz w:val="20"/>
        </w:rPr>
      </w:pPr>
      <w:r w:rsidRPr="008D22BA">
        <w:rPr>
          <w:sz w:val="20"/>
        </w:rPr>
        <w:tab/>
        <w:t xml:space="preserve">The Tribunal agreed with the Commission, ordering B to pay damages to L. It also ordered B to cease applying or considering the standards and decisions of the U.S. authorities in national security matters when dealing with applications for the training of pilots under Canadian pilot’s licences. The Court of Appeal set aside the Tribunal’s decision on the basis that the Tribunal could not find that B had discriminated against L without proof that the U.S. authorities’ decision was itself based on a ground that is prohibited under the </w:t>
      </w:r>
      <w:r w:rsidRPr="008D22BA">
        <w:rPr>
          <w:i/>
          <w:sz w:val="20"/>
        </w:rPr>
        <w:t>Charter</w:t>
      </w:r>
      <w:r w:rsidRPr="008D22BA">
        <w:rPr>
          <w:sz w:val="20"/>
        </w:rPr>
        <w:t>.</w:t>
      </w:r>
    </w:p>
    <w:p w:rsidR="005D5CCB" w:rsidRDefault="005D5CCB" w:rsidP="005D5CCB">
      <w:pPr>
        <w:pStyle w:val="SCCNormalDoubleSpacing"/>
        <w:spacing w:line="240" w:lineRule="auto"/>
        <w:rPr>
          <w:sz w:val="20"/>
        </w:rPr>
      </w:pPr>
    </w:p>
    <w:p w:rsidR="005D5CCB" w:rsidRPr="008D22BA" w:rsidRDefault="005D5CCB" w:rsidP="005D5CCB">
      <w:pPr>
        <w:pStyle w:val="SCCNormalDoubleSpacing"/>
        <w:spacing w:line="240" w:lineRule="auto"/>
        <w:rPr>
          <w:sz w:val="20"/>
        </w:rPr>
      </w:pPr>
      <w:r w:rsidRPr="008D22BA">
        <w:rPr>
          <w:sz w:val="20"/>
        </w:rPr>
        <w:tab/>
      </w:r>
      <w:r w:rsidRPr="008D22BA">
        <w:rPr>
          <w:i/>
          <w:sz w:val="20"/>
        </w:rPr>
        <w:t>Held</w:t>
      </w:r>
      <w:r w:rsidRPr="008D22BA">
        <w:rPr>
          <w:sz w:val="20"/>
        </w:rPr>
        <w:t>: The appeals should be dismissed.</w:t>
      </w:r>
    </w:p>
    <w:p w:rsidR="005D5CCB" w:rsidRDefault="005D5CCB" w:rsidP="005D5CCB">
      <w:pPr>
        <w:pStyle w:val="SCCNormalDoubleSpacing"/>
        <w:spacing w:line="240" w:lineRule="auto"/>
        <w:rPr>
          <w:sz w:val="20"/>
        </w:rPr>
      </w:pPr>
    </w:p>
    <w:p w:rsidR="005D5CCB" w:rsidRPr="008D22BA" w:rsidRDefault="005D5CCB" w:rsidP="005D5CCB">
      <w:pPr>
        <w:pStyle w:val="SCCNormalDoubleSpacing"/>
        <w:spacing w:line="240" w:lineRule="auto"/>
        <w:rPr>
          <w:sz w:val="20"/>
        </w:rPr>
      </w:pPr>
      <w:r w:rsidRPr="008D22BA">
        <w:rPr>
          <w:sz w:val="20"/>
        </w:rPr>
        <w:tab/>
        <w:t xml:space="preserve">An application with respect to a complaint under the </w:t>
      </w:r>
      <w:r w:rsidRPr="008D22BA">
        <w:rPr>
          <w:i/>
          <w:iCs/>
          <w:sz w:val="20"/>
        </w:rPr>
        <w:t>Charter</w:t>
      </w:r>
      <w:r w:rsidRPr="008D22BA">
        <w:rPr>
          <w:sz w:val="20"/>
        </w:rPr>
        <w:t xml:space="preserve"> involves a two</w:t>
      </w:r>
      <w:r w:rsidRPr="008D22BA">
        <w:rPr>
          <w:sz w:val="20"/>
        </w:rPr>
        <w:noBreakHyphen/>
        <w:t>step process that successively imposes separate burdens of proof on the plaintiff and the defendant. Whatever form discrimination takes, this two</w:t>
      </w:r>
      <w:r w:rsidRPr="008D22BA">
        <w:rPr>
          <w:sz w:val="20"/>
        </w:rPr>
        <w:noBreakHyphen/>
        <w:t xml:space="preserve">step analysis does not change. The fact that racial profiling is recognized as a prohibited form of discrimination does not therefore change this process. At the first step, s. 10 of the </w:t>
      </w:r>
      <w:r w:rsidRPr="008D22BA">
        <w:rPr>
          <w:i/>
          <w:sz w:val="20"/>
        </w:rPr>
        <w:t>Charter</w:t>
      </w:r>
      <w:r w:rsidRPr="008D22BA">
        <w:rPr>
          <w:sz w:val="20"/>
        </w:rPr>
        <w:t xml:space="preserve"> requires that the plaintiff prove three elements: (1) a distinction, exclusion or preference, (2) based on one of the grounds listed in the first paragraph of s. 10, and (3) which has the effect of nullifying or impairing the right to full and equal recognition and exercise of a human right or freedom. If these three elements are established, there is “</w:t>
      </w:r>
      <w:r w:rsidRPr="008D22BA">
        <w:rPr>
          <w:i/>
          <w:iCs/>
          <w:sz w:val="20"/>
        </w:rPr>
        <w:t>prima facie</w:t>
      </w:r>
      <w:r w:rsidRPr="008D22BA">
        <w:rPr>
          <w:sz w:val="20"/>
        </w:rPr>
        <w:t xml:space="preserve"> discrimination”. At the second step, the defendant can justify his or her decision or conduct on the basis of the exemptions provided for in the applicable human rights legislation or those developed by the courts. If the defendant fails to do so, discrimination will then be found to have occurred.</w:t>
      </w:r>
    </w:p>
    <w:p w:rsidR="005D5CCB" w:rsidRDefault="005D5CCB" w:rsidP="005D5CCB">
      <w:pPr>
        <w:pStyle w:val="SCCNormalDoubleSpacing"/>
        <w:spacing w:line="240" w:lineRule="auto"/>
        <w:rPr>
          <w:sz w:val="20"/>
        </w:rPr>
      </w:pPr>
    </w:p>
    <w:p w:rsidR="005D5CCB" w:rsidRPr="008D22BA" w:rsidRDefault="005D5CCB" w:rsidP="005D5CCB">
      <w:pPr>
        <w:pStyle w:val="SCCNormalDoubleSpacing"/>
        <w:spacing w:line="240" w:lineRule="auto"/>
        <w:rPr>
          <w:sz w:val="20"/>
        </w:rPr>
      </w:pPr>
      <w:r w:rsidRPr="008D22BA">
        <w:rPr>
          <w:sz w:val="20"/>
        </w:rPr>
        <w:tab/>
        <w:t xml:space="preserve">The first element of </w:t>
      </w:r>
      <w:r w:rsidRPr="008D22BA">
        <w:rPr>
          <w:i/>
          <w:sz w:val="20"/>
        </w:rPr>
        <w:t>prima facie</w:t>
      </w:r>
      <w:r w:rsidRPr="008D22BA">
        <w:rPr>
          <w:sz w:val="20"/>
        </w:rPr>
        <w:t xml:space="preserve"> discrimination is not problematic: the plaintiff must prove the existence of differential treatment, that is, that a decision, a measure or conduct affects him or her differently from others to whom it may apply. As regards the second element, the plaintiff has the burden of showing that there is a connection between a prohibited ground of discrimination and the distinction, exclusion or preference of which he or she complains or, in other words, that the ground in question was a factor in the distinction, exclusion or preference. It is not essential that this connection be an exclusive one: for a particular decision or action to be considered discriminatory, the prohibited ground need only have contributed to it. Lastly, as to the third element, the plaintiff must show that the distinction, exclusion or preference affects the full and equal exercise of a right or freedom guaranteed to him or her by the </w:t>
      </w:r>
      <w:r w:rsidRPr="008D22BA">
        <w:rPr>
          <w:i/>
          <w:iCs/>
          <w:sz w:val="20"/>
        </w:rPr>
        <w:t>Charter</w:t>
      </w:r>
      <w:r w:rsidRPr="008D22BA">
        <w:rPr>
          <w:sz w:val="20"/>
        </w:rPr>
        <w:t xml:space="preserve">. The Quebec </w:t>
      </w:r>
      <w:r w:rsidRPr="008D22BA">
        <w:rPr>
          <w:i/>
          <w:sz w:val="20"/>
        </w:rPr>
        <w:t>Charter</w:t>
      </w:r>
      <w:r w:rsidRPr="008D22BA">
        <w:rPr>
          <w:sz w:val="20"/>
        </w:rPr>
        <w:t xml:space="preserve">, unlike the </w:t>
      </w:r>
      <w:r w:rsidRPr="008D22BA">
        <w:rPr>
          <w:i/>
          <w:iCs/>
          <w:sz w:val="20"/>
        </w:rPr>
        <w:t>Canadian Charter of Rights and Freedoms</w:t>
      </w:r>
      <w:r w:rsidRPr="008D22BA">
        <w:rPr>
          <w:sz w:val="20"/>
        </w:rPr>
        <w:t xml:space="preserve">, does not protect the right to equality </w:t>
      </w:r>
      <w:r w:rsidRPr="008D22BA">
        <w:rPr>
          <w:i/>
          <w:sz w:val="20"/>
        </w:rPr>
        <w:t>per se</w:t>
      </w:r>
      <w:r w:rsidRPr="008D22BA">
        <w:rPr>
          <w:sz w:val="20"/>
        </w:rPr>
        <w:t xml:space="preserve">; this right is protected only in the exercise of the other rights and freedoms guaranteed by the </w:t>
      </w:r>
      <w:r w:rsidRPr="008D22BA">
        <w:rPr>
          <w:i/>
          <w:sz w:val="20"/>
        </w:rPr>
        <w:t>Charter</w:t>
      </w:r>
      <w:r w:rsidRPr="008D22BA">
        <w:rPr>
          <w:sz w:val="20"/>
        </w:rPr>
        <w:t>. The right to non</w:t>
      </w:r>
      <w:r w:rsidRPr="008D22BA">
        <w:rPr>
          <w:sz w:val="20"/>
        </w:rPr>
        <w:noBreakHyphen/>
        <w:t>discrimination cannot therefore serve as a basis for an application on its own and must necessarily be attached to another human right or freedom recognized by law.</w:t>
      </w:r>
    </w:p>
    <w:p w:rsidR="005D5CCB" w:rsidRDefault="005D5CCB" w:rsidP="005D5CCB">
      <w:pPr>
        <w:pStyle w:val="SCCNormalDoubleSpacing"/>
        <w:spacing w:line="240" w:lineRule="auto"/>
        <w:rPr>
          <w:sz w:val="20"/>
        </w:rPr>
      </w:pPr>
    </w:p>
    <w:p w:rsidR="005D5CCB" w:rsidRPr="008D22BA" w:rsidRDefault="005D5CCB" w:rsidP="005D5CCB">
      <w:pPr>
        <w:pStyle w:val="SCCNormalDoubleSpacing"/>
        <w:spacing w:line="240" w:lineRule="auto"/>
        <w:rPr>
          <w:sz w:val="20"/>
        </w:rPr>
      </w:pPr>
      <w:r w:rsidRPr="008D22BA">
        <w:rPr>
          <w:sz w:val="20"/>
        </w:rPr>
        <w:tab/>
        <w:t xml:space="preserve">The plaintiff must prove the three elements of </w:t>
      </w:r>
      <w:r w:rsidRPr="008D22BA">
        <w:rPr>
          <w:i/>
          <w:sz w:val="20"/>
        </w:rPr>
        <w:t>prima facie</w:t>
      </w:r>
      <w:r w:rsidRPr="008D22BA">
        <w:rPr>
          <w:sz w:val="20"/>
        </w:rPr>
        <w:t xml:space="preserve"> discrimination in accordance with the standard of proof that normally applies in the civil law, namely that of proof on a balance of probabilities. In a discrimination context, the expression “</w:t>
      </w:r>
      <w:r w:rsidRPr="008D22BA">
        <w:rPr>
          <w:i/>
          <w:iCs/>
          <w:sz w:val="20"/>
        </w:rPr>
        <w:t>prima facie</w:t>
      </w:r>
      <w:r w:rsidRPr="008D22BA">
        <w:rPr>
          <w:sz w:val="20"/>
        </w:rPr>
        <w:t>” refers only to the first step of the process and does not alter the applicable degree of proof. The use of this expression can be explained quite simply on the basis of the two</w:t>
      </w:r>
      <w:r w:rsidRPr="008D22BA">
        <w:rPr>
          <w:sz w:val="20"/>
        </w:rPr>
        <w:noBreakHyphen/>
        <w:t xml:space="preserve">step test for complaints of discrimination under the </w:t>
      </w:r>
      <w:r w:rsidRPr="008D22BA">
        <w:rPr>
          <w:i/>
          <w:sz w:val="20"/>
        </w:rPr>
        <w:t>Charter</w:t>
      </w:r>
      <w:r w:rsidRPr="008D22BA">
        <w:rPr>
          <w:sz w:val="20"/>
        </w:rPr>
        <w:t xml:space="preserve">, and it concerns only the three elements that must be proven by the plaintiff at the first step. If no justification is established by the defendant, proof of these three elements on a balance of probabilities will be sufficient for the tribunal to find that s. 10 of the </w:t>
      </w:r>
      <w:r w:rsidRPr="008D22BA">
        <w:rPr>
          <w:i/>
          <w:iCs/>
          <w:sz w:val="20"/>
        </w:rPr>
        <w:t xml:space="preserve">Charter </w:t>
      </w:r>
      <w:r w:rsidRPr="008D22BA">
        <w:rPr>
          <w:iCs/>
          <w:sz w:val="20"/>
        </w:rPr>
        <w:t>has been violated</w:t>
      </w:r>
      <w:r w:rsidRPr="008D22BA">
        <w:rPr>
          <w:sz w:val="20"/>
        </w:rPr>
        <w:t xml:space="preserve">. If, on the other hand, the defendant succeeds in justifying his or her decision or conduct, also in accordance with the standard of proof on a balance of probabilities, there will have been no violation, not even if </w:t>
      </w:r>
      <w:r w:rsidRPr="008D22BA">
        <w:rPr>
          <w:i/>
          <w:sz w:val="20"/>
        </w:rPr>
        <w:t>prima facie</w:t>
      </w:r>
      <w:r w:rsidRPr="008D22BA">
        <w:rPr>
          <w:sz w:val="20"/>
        </w:rPr>
        <w:t xml:space="preserve"> discrimination is found to have occurred. The defendant can therefore either present evidence to refute the allegation of </w:t>
      </w:r>
      <w:r w:rsidRPr="008D22BA">
        <w:rPr>
          <w:i/>
          <w:iCs/>
          <w:sz w:val="20"/>
        </w:rPr>
        <w:t>prima facie</w:t>
      </w:r>
      <w:r w:rsidRPr="008D22BA">
        <w:rPr>
          <w:iCs/>
          <w:sz w:val="20"/>
        </w:rPr>
        <w:t xml:space="preserve"> discrimination</w:t>
      </w:r>
      <w:r w:rsidRPr="008D22BA">
        <w:rPr>
          <w:sz w:val="20"/>
        </w:rPr>
        <w:t>, put forward a defence justifying the discrimination, or do both.</w:t>
      </w:r>
    </w:p>
    <w:p w:rsidR="005D5CCB" w:rsidRDefault="005D5CCB" w:rsidP="005D5CCB">
      <w:pPr>
        <w:pStyle w:val="SCCNormalDoubleSpacing"/>
        <w:spacing w:line="240" w:lineRule="auto"/>
        <w:rPr>
          <w:sz w:val="20"/>
        </w:rPr>
      </w:pPr>
    </w:p>
    <w:p w:rsidR="005D5CCB" w:rsidRDefault="005D5CCB" w:rsidP="005D5CCB">
      <w:pPr>
        <w:pStyle w:val="SCCNormalDoubleSpacing"/>
        <w:spacing w:line="240" w:lineRule="auto"/>
        <w:rPr>
          <w:sz w:val="20"/>
        </w:rPr>
      </w:pPr>
      <w:r w:rsidRPr="008D22BA">
        <w:rPr>
          <w:sz w:val="20"/>
        </w:rPr>
        <w:tab/>
        <w:t xml:space="preserve">Because the Tribunal’s decision in this case was not supported by the evidence in the record, it was unreasonable and must be set aside. The Commission had to show that B’s decision was discriminatory by establishing on a balance of probabilities that there was a connection between the decision and L’s ethnic or national origin. Because </w:t>
      </w:r>
      <w:r w:rsidRPr="008D22BA">
        <w:rPr>
          <w:sz w:val="20"/>
        </w:rPr>
        <w:lastRenderedPageBreak/>
        <w:t xml:space="preserve">B’s decision to deny L’s request for training was based solely on the U.S. authorities’ refusal to issue him a security clearance, proof of a connection between the U.S. authorities’ decision and a prohibited ground of discrimination would have satisfied the requirements of the second element of the test for </w:t>
      </w:r>
      <w:r w:rsidRPr="008D22BA">
        <w:rPr>
          <w:i/>
          <w:sz w:val="20"/>
        </w:rPr>
        <w:t>prima facie</w:t>
      </w:r>
      <w:r w:rsidRPr="008D22BA">
        <w:rPr>
          <w:sz w:val="20"/>
        </w:rPr>
        <w:t xml:space="preserve"> discrimination. However, the Commission did not adduce sufficient evidence — either direct or circumstantial — to show that L’s ethnic or national origin had played any role in the U.S. authorities’ unfavourable reply to his security screening request. It cannot be presumed solely on the basis of a social context of discrimination against a group that a specific decision against a member of that group is necessarily based on a prohibited ground under the </w:t>
      </w:r>
      <w:r w:rsidRPr="008D22BA">
        <w:rPr>
          <w:i/>
          <w:sz w:val="20"/>
        </w:rPr>
        <w:t>Charter</w:t>
      </w:r>
      <w:r w:rsidRPr="008D22BA">
        <w:rPr>
          <w:sz w:val="20"/>
        </w:rPr>
        <w:t xml:space="preserve">. In practice, this would amount to reversing the burden of proof in discrimination matters. Evidence of discrimination, even if it is circumstantial, must be tangibly related to the impugned decision or conduct. As a result, it was not open to the Tribunal in this case to conclude that B’s decision constituted </w:t>
      </w:r>
      <w:r w:rsidRPr="008D22BA">
        <w:rPr>
          <w:i/>
          <w:sz w:val="20"/>
        </w:rPr>
        <w:t xml:space="preserve">prima facie </w:t>
      </w:r>
      <w:r w:rsidRPr="008D22BA">
        <w:rPr>
          <w:sz w:val="20"/>
        </w:rPr>
        <w:t xml:space="preserve">discrimination under the </w:t>
      </w:r>
      <w:r w:rsidRPr="008D22BA">
        <w:rPr>
          <w:i/>
          <w:sz w:val="20"/>
        </w:rPr>
        <w:t>Charter</w:t>
      </w:r>
      <w:r w:rsidRPr="008D22BA">
        <w:rPr>
          <w:sz w:val="20"/>
        </w:rPr>
        <w:t xml:space="preserve">. The conclusion in this case does not mean that a company can blindly comply with a discriminatory decision of a foreign authority without exposing itself to liability under the </w:t>
      </w:r>
      <w:r w:rsidRPr="008D22BA">
        <w:rPr>
          <w:i/>
          <w:sz w:val="20"/>
        </w:rPr>
        <w:t>Charter</w:t>
      </w:r>
      <w:r w:rsidRPr="008D22BA">
        <w:rPr>
          <w:sz w:val="20"/>
        </w:rPr>
        <w:t>. This conclusion flows from the fact that there is simply no evidence of a connection between a prohibited ground and the foreign decision in question.</w:t>
      </w:r>
    </w:p>
    <w:p w:rsidR="005D5CCB" w:rsidRDefault="005D5CCB" w:rsidP="005D5CCB">
      <w:pPr>
        <w:pStyle w:val="SCCNormalDoubleSpacing"/>
        <w:spacing w:line="240" w:lineRule="auto"/>
        <w:rPr>
          <w:sz w:val="20"/>
        </w:rPr>
      </w:pPr>
    </w:p>
    <w:p w:rsidR="005D5CCB" w:rsidRPr="008D22BA" w:rsidRDefault="005D5CCB" w:rsidP="005D5CCB">
      <w:pPr>
        <w:pStyle w:val="SCCNormalDoubleSpacing"/>
        <w:spacing w:line="240" w:lineRule="auto"/>
        <w:rPr>
          <w:sz w:val="20"/>
          <w:lang w:val="fr-CA"/>
        </w:rPr>
      </w:pPr>
      <w:r w:rsidRPr="008D22BA">
        <w:rPr>
          <w:sz w:val="20"/>
        </w:rPr>
        <w:tab/>
        <w:t>APPEALS from a judgment of the Quebec Court of Appeal (Fournier and St</w:t>
      </w:r>
      <w:r w:rsidRPr="008D22BA">
        <w:rPr>
          <w:sz w:val="20"/>
        </w:rPr>
        <w:noBreakHyphen/>
        <w:t>Pierre JJ.A. and Viens J. (</w:t>
      </w:r>
      <w:r w:rsidRPr="008D22BA">
        <w:rPr>
          <w:i/>
          <w:sz w:val="20"/>
        </w:rPr>
        <w:t>ad hoc</w:t>
      </w:r>
      <w:r w:rsidRPr="008D22BA">
        <w:rPr>
          <w:sz w:val="20"/>
        </w:rPr>
        <w:t>)), 2013 QCCA 1650, [2013] R.J.Q. 1541, [2013] AZ</w:t>
      </w:r>
      <w:r w:rsidRPr="008D22BA">
        <w:rPr>
          <w:sz w:val="20"/>
        </w:rPr>
        <w:noBreakHyphen/>
        <w:t>51004481, [2013] J.Q. n</w:t>
      </w:r>
      <w:r w:rsidRPr="008D22BA">
        <w:rPr>
          <w:sz w:val="20"/>
          <w:vertAlign w:val="superscript"/>
        </w:rPr>
        <w:t>o</w:t>
      </w:r>
      <w:r w:rsidRPr="008D22BA">
        <w:rPr>
          <w:sz w:val="20"/>
        </w:rPr>
        <w:t> 12486 (QL), 2013 CarswellQue 9362 (WL Can.), setting aside a decision of the Quebec Human Rights Tribunal, 2010 QCTDP 16, [2011] R.J.Q. 225, [2010] AZ</w:t>
      </w:r>
      <w:r w:rsidRPr="008D22BA">
        <w:rPr>
          <w:sz w:val="20"/>
        </w:rPr>
        <w:noBreakHyphen/>
        <w:t xml:space="preserve">50698315, [2010] Q.H.R.T.J. No. 16 (QL), 2010 CarswellQue 15544 (WL Can.). </w:t>
      </w:r>
      <w:r w:rsidRPr="008D22BA">
        <w:rPr>
          <w:sz w:val="20"/>
          <w:lang w:val="fr-CA"/>
        </w:rPr>
        <w:t>Appeals dismissed.</w:t>
      </w:r>
    </w:p>
    <w:p w:rsidR="005D5CCB" w:rsidRDefault="005D5CCB" w:rsidP="005D5CCB">
      <w:pPr>
        <w:pStyle w:val="SCCNormalDoubleSpacing"/>
        <w:spacing w:line="240" w:lineRule="auto"/>
        <w:rPr>
          <w:rStyle w:val="SCCCounselNameChar"/>
          <w:i w:val="0"/>
          <w:sz w:val="20"/>
          <w:lang w:val="fr-CA"/>
        </w:rPr>
      </w:pPr>
    </w:p>
    <w:p w:rsidR="005D5CCB" w:rsidRPr="008D22BA" w:rsidRDefault="005D5CCB" w:rsidP="005D5CCB">
      <w:pPr>
        <w:pStyle w:val="SCCNormalDoubleSpacing"/>
        <w:spacing w:line="240" w:lineRule="auto"/>
        <w:rPr>
          <w:sz w:val="20"/>
          <w:lang w:val="fr-CA"/>
        </w:rPr>
      </w:pPr>
      <w:r w:rsidRPr="008D22BA">
        <w:rPr>
          <w:rStyle w:val="SCCCounselNameChar"/>
          <w:sz w:val="20"/>
          <w:lang w:val="fr-CA"/>
        </w:rPr>
        <w:tab/>
        <w:t>Athanassia Bitzakidis</w:t>
      </w:r>
      <w:r w:rsidRPr="008D22BA">
        <w:rPr>
          <w:rStyle w:val="SCCCounselSeparatorChar"/>
          <w:sz w:val="20"/>
        </w:rPr>
        <w:t xml:space="preserve"> and </w:t>
      </w:r>
      <w:r w:rsidRPr="008D22BA">
        <w:rPr>
          <w:rStyle w:val="SCCCounselNameChar"/>
          <w:sz w:val="20"/>
          <w:lang w:val="fr-CA"/>
        </w:rPr>
        <w:t>Christian Baillargeon</w:t>
      </w:r>
      <w:r w:rsidRPr="008D22BA">
        <w:rPr>
          <w:rStyle w:val="SCCCounselPartyRoleChar"/>
          <w:sz w:val="20"/>
          <w:lang w:val="fr-CA"/>
        </w:rPr>
        <w:t>, for the appellant/respondent Commission des droits de la personne et des droits de la jeunesse.</w:t>
      </w:r>
    </w:p>
    <w:p w:rsidR="005D5CCB" w:rsidRDefault="005D5CCB" w:rsidP="005D5CCB">
      <w:pPr>
        <w:pStyle w:val="SCCNormalDoubleSpacing"/>
        <w:spacing w:line="240" w:lineRule="auto"/>
        <w:rPr>
          <w:rStyle w:val="SCCCounselNameChar"/>
          <w:i w:val="0"/>
          <w:sz w:val="20"/>
          <w:lang w:val="fr-CA"/>
        </w:rPr>
      </w:pPr>
    </w:p>
    <w:p w:rsidR="005D5CCB" w:rsidRPr="008D22BA" w:rsidRDefault="005D5CCB" w:rsidP="005D5CCB">
      <w:pPr>
        <w:pStyle w:val="SCCNormalDoubleSpacing"/>
        <w:spacing w:line="240" w:lineRule="auto"/>
        <w:rPr>
          <w:sz w:val="20"/>
        </w:rPr>
      </w:pPr>
      <w:r w:rsidRPr="008D22BA">
        <w:rPr>
          <w:rStyle w:val="SCCCounselNameChar"/>
          <w:sz w:val="20"/>
          <w:lang w:val="fr-CA"/>
        </w:rPr>
        <w:tab/>
      </w:r>
      <w:r w:rsidRPr="008D22BA">
        <w:rPr>
          <w:rStyle w:val="SCCCounselNameChar"/>
          <w:sz w:val="20"/>
        </w:rPr>
        <w:t>Mathieu Bouchard and Catherine Elizabeth McKenzie</w:t>
      </w:r>
      <w:r w:rsidRPr="008D22BA">
        <w:rPr>
          <w:rStyle w:val="SCCCounselPartyRoleChar"/>
          <w:sz w:val="20"/>
        </w:rPr>
        <w:t>, for the respondent/appellant Javed Latif.</w:t>
      </w:r>
    </w:p>
    <w:p w:rsidR="005D5CCB" w:rsidRDefault="005D5CCB" w:rsidP="005D5CCB">
      <w:pPr>
        <w:pStyle w:val="SCCNormalDoubleSpacing"/>
        <w:spacing w:line="240" w:lineRule="auto"/>
        <w:rPr>
          <w:rStyle w:val="SCCCounselNameChar"/>
          <w:i w:val="0"/>
          <w:sz w:val="20"/>
        </w:rPr>
      </w:pPr>
    </w:p>
    <w:p w:rsidR="005D5CCB" w:rsidRPr="008D22BA" w:rsidRDefault="005D5CCB" w:rsidP="005D5CCB">
      <w:pPr>
        <w:pStyle w:val="SCCNormalDoubleSpacing"/>
        <w:spacing w:line="240" w:lineRule="auto"/>
        <w:rPr>
          <w:sz w:val="20"/>
        </w:rPr>
      </w:pPr>
      <w:r w:rsidRPr="008D22BA">
        <w:rPr>
          <w:rStyle w:val="SCCCounselNameChar"/>
          <w:sz w:val="20"/>
        </w:rPr>
        <w:tab/>
        <w:t>Michel Sylvestre</w:t>
      </w:r>
      <w:r w:rsidRPr="005D5CCB">
        <w:rPr>
          <w:rStyle w:val="SCCCounselSeparatorChar"/>
          <w:sz w:val="20"/>
          <w:lang w:val="en-CA"/>
        </w:rPr>
        <w:t xml:space="preserve">, </w:t>
      </w:r>
      <w:r w:rsidRPr="008D22BA">
        <w:rPr>
          <w:rStyle w:val="SCCCounselNameChar"/>
          <w:sz w:val="20"/>
        </w:rPr>
        <w:t>Andres Garin</w:t>
      </w:r>
      <w:r w:rsidRPr="005D5CCB">
        <w:rPr>
          <w:rStyle w:val="SCCCounselSeparatorChar"/>
          <w:sz w:val="20"/>
          <w:lang w:val="en-CA"/>
        </w:rPr>
        <w:t xml:space="preserve"> and </w:t>
      </w:r>
      <w:r w:rsidRPr="008D22BA">
        <w:rPr>
          <w:rStyle w:val="SCCCounselNameChar"/>
          <w:sz w:val="20"/>
        </w:rPr>
        <w:t>Sébastien Beauregard</w:t>
      </w:r>
      <w:r w:rsidRPr="008D22BA">
        <w:rPr>
          <w:rStyle w:val="SCCCounselPartyRoleChar"/>
          <w:sz w:val="20"/>
        </w:rPr>
        <w:t>, for the respondent Bombardier Inc. (Bombardier Aerospace Training Center).</w:t>
      </w:r>
    </w:p>
    <w:p w:rsidR="005D5CCB" w:rsidRDefault="005D5CCB" w:rsidP="005D5CCB">
      <w:pPr>
        <w:pStyle w:val="SCCNormalDoubleSpacing"/>
        <w:spacing w:line="240" w:lineRule="auto"/>
        <w:rPr>
          <w:rStyle w:val="SCCCounselNameChar"/>
          <w:i w:val="0"/>
          <w:sz w:val="20"/>
        </w:rPr>
      </w:pPr>
    </w:p>
    <w:p w:rsidR="005D5CCB" w:rsidRPr="008D22BA" w:rsidRDefault="005D5CCB" w:rsidP="005D5CCB">
      <w:pPr>
        <w:pStyle w:val="SCCNormalDoubleSpacing"/>
        <w:spacing w:line="240" w:lineRule="auto"/>
        <w:rPr>
          <w:sz w:val="20"/>
        </w:rPr>
      </w:pPr>
      <w:r w:rsidRPr="008D22BA">
        <w:rPr>
          <w:rStyle w:val="SCCCounselNameChar"/>
          <w:sz w:val="20"/>
        </w:rPr>
        <w:tab/>
        <w:t>Andrew K. Lokan</w:t>
      </w:r>
      <w:r w:rsidRPr="005D5CCB">
        <w:rPr>
          <w:rStyle w:val="SCCCounselSeparatorChar"/>
          <w:sz w:val="20"/>
          <w:lang w:val="en-CA"/>
        </w:rPr>
        <w:t xml:space="preserve"> and </w:t>
      </w:r>
      <w:r w:rsidRPr="008D22BA">
        <w:rPr>
          <w:rStyle w:val="SCCCounselNameChar"/>
          <w:sz w:val="20"/>
        </w:rPr>
        <w:t>Jean</w:t>
      </w:r>
      <w:r w:rsidRPr="008D22BA">
        <w:rPr>
          <w:rStyle w:val="SCCCounselNameChar"/>
          <w:sz w:val="20"/>
        </w:rPr>
        <w:noBreakHyphen/>
        <w:t>Claude Killey</w:t>
      </w:r>
      <w:r w:rsidRPr="008D22BA">
        <w:rPr>
          <w:rStyle w:val="SCCCounselPartyRoleChar"/>
          <w:sz w:val="20"/>
        </w:rPr>
        <w:t>, for the intervener the Canadian Civil Liberties Association.</w:t>
      </w:r>
    </w:p>
    <w:p w:rsidR="005D5CCB" w:rsidRDefault="005D5CCB" w:rsidP="005D5CCB">
      <w:pPr>
        <w:pStyle w:val="SCCNormalDoubleSpacing"/>
        <w:spacing w:line="240" w:lineRule="auto"/>
        <w:rPr>
          <w:rStyle w:val="SCCCounselNameChar"/>
          <w:i w:val="0"/>
          <w:sz w:val="20"/>
        </w:rPr>
      </w:pPr>
    </w:p>
    <w:p w:rsidR="005D5CCB" w:rsidRPr="008D22BA" w:rsidRDefault="005D5CCB" w:rsidP="005D5CCB">
      <w:pPr>
        <w:pStyle w:val="SCCNormalDoubleSpacing"/>
        <w:spacing w:line="240" w:lineRule="auto"/>
        <w:rPr>
          <w:sz w:val="20"/>
        </w:rPr>
      </w:pPr>
      <w:r w:rsidRPr="008D22BA">
        <w:rPr>
          <w:rStyle w:val="SCCCounselNameChar"/>
          <w:sz w:val="20"/>
        </w:rPr>
        <w:tab/>
        <w:t>Philippe Dufresne</w:t>
      </w:r>
      <w:r w:rsidRPr="005D5CCB">
        <w:rPr>
          <w:rStyle w:val="SCCCounselSeparatorChar"/>
          <w:sz w:val="20"/>
          <w:lang w:val="en-CA"/>
        </w:rPr>
        <w:t xml:space="preserve"> and </w:t>
      </w:r>
      <w:r w:rsidRPr="008D22BA">
        <w:rPr>
          <w:rStyle w:val="SCCCounselNameChar"/>
          <w:sz w:val="20"/>
        </w:rPr>
        <w:t>Sheila Osborne</w:t>
      </w:r>
      <w:r w:rsidRPr="008D22BA">
        <w:rPr>
          <w:rStyle w:val="SCCCounselNameChar"/>
          <w:sz w:val="20"/>
        </w:rPr>
        <w:noBreakHyphen/>
        <w:t>Brown</w:t>
      </w:r>
      <w:r w:rsidRPr="008D22BA">
        <w:rPr>
          <w:rStyle w:val="SCCCounselPartyRoleChar"/>
          <w:sz w:val="20"/>
        </w:rPr>
        <w:t>, for the intervener the Canadian Human Rights Commission.</w:t>
      </w:r>
    </w:p>
    <w:p w:rsidR="005D5CCB" w:rsidRDefault="005D5CCB" w:rsidP="005D5CCB">
      <w:pPr>
        <w:pStyle w:val="SCCNormalDoubleSpacing"/>
        <w:spacing w:line="240" w:lineRule="auto"/>
        <w:rPr>
          <w:rStyle w:val="SCCCounselNameChar"/>
          <w:i w:val="0"/>
          <w:sz w:val="20"/>
        </w:rPr>
      </w:pPr>
    </w:p>
    <w:p w:rsidR="005D5CCB" w:rsidRPr="008D22BA" w:rsidRDefault="005D5CCB" w:rsidP="005D5CCB">
      <w:pPr>
        <w:pStyle w:val="SCCNormalDoubleSpacing"/>
        <w:spacing w:line="240" w:lineRule="auto"/>
        <w:rPr>
          <w:sz w:val="20"/>
        </w:rPr>
      </w:pPr>
      <w:r w:rsidRPr="008D22BA">
        <w:rPr>
          <w:rStyle w:val="SCCCounselNameChar"/>
          <w:sz w:val="20"/>
        </w:rPr>
        <w:tab/>
        <w:t xml:space="preserve">Selwyn Pieters </w:t>
      </w:r>
      <w:r w:rsidRPr="005D5CCB">
        <w:rPr>
          <w:rStyle w:val="SCCCounselSeparatorChar"/>
          <w:sz w:val="20"/>
          <w:lang w:val="en-CA"/>
        </w:rPr>
        <w:t>and</w:t>
      </w:r>
      <w:r w:rsidRPr="008D22BA">
        <w:rPr>
          <w:rStyle w:val="SCCCounselNameChar"/>
          <w:sz w:val="20"/>
        </w:rPr>
        <w:t xml:space="preserve"> Aymar Missakila</w:t>
      </w:r>
      <w:r w:rsidRPr="008D22BA">
        <w:rPr>
          <w:rStyle w:val="SCCCounselPartyRoleChar"/>
          <w:sz w:val="20"/>
        </w:rPr>
        <w:t>, for the intervener the Center for Research</w:t>
      </w:r>
      <w:r w:rsidRPr="008D22BA">
        <w:rPr>
          <w:rStyle w:val="SCCCounselPartyRoleChar"/>
          <w:sz w:val="20"/>
        </w:rPr>
        <w:noBreakHyphen/>
        <w:t>Action on Race Relations.</w:t>
      </w:r>
    </w:p>
    <w:p w:rsidR="005D5CCB" w:rsidRDefault="005D5CCB" w:rsidP="005D5CCB">
      <w:pPr>
        <w:pStyle w:val="SCCNormalDoubleSpacing"/>
        <w:spacing w:line="240" w:lineRule="auto"/>
        <w:rPr>
          <w:rStyle w:val="SCCCounselNameChar"/>
          <w:i w:val="0"/>
          <w:sz w:val="20"/>
        </w:rPr>
      </w:pPr>
    </w:p>
    <w:p w:rsidR="005D5CCB" w:rsidRPr="008D22BA" w:rsidRDefault="005D5CCB" w:rsidP="005D5CCB">
      <w:pPr>
        <w:pStyle w:val="SCCNormalDoubleSpacing"/>
        <w:spacing w:line="240" w:lineRule="auto"/>
        <w:rPr>
          <w:sz w:val="20"/>
        </w:rPr>
      </w:pPr>
      <w:r w:rsidRPr="008D22BA">
        <w:rPr>
          <w:rStyle w:val="SCCCounselNameChar"/>
          <w:sz w:val="20"/>
        </w:rPr>
        <w:tab/>
        <w:t>Faisal Bhabha</w:t>
      </w:r>
      <w:r w:rsidRPr="005D5CCB">
        <w:rPr>
          <w:rStyle w:val="SCCCounselSeparatorChar"/>
          <w:sz w:val="20"/>
          <w:lang w:val="en-CA"/>
        </w:rPr>
        <w:t xml:space="preserve">, </w:t>
      </w:r>
      <w:r w:rsidRPr="008D22BA">
        <w:rPr>
          <w:rStyle w:val="SCCCounselNameChar"/>
          <w:sz w:val="20"/>
        </w:rPr>
        <w:t>Khalid M. Elgazzar</w:t>
      </w:r>
      <w:r w:rsidRPr="005D5CCB">
        <w:rPr>
          <w:rStyle w:val="SCCCounselSeparatorChar"/>
          <w:sz w:val="20"/>
          <w:lang w:val="en-CA"/>
        </w:rPr>
        <w:t xml:space="preserve"> and </w:t>
      </w:r>
      <w:r w:rsidRPr="008D22BA">
        <w:rPr>
          <w:rStyle w:val="SCCCounselNameChar"/>
          <w:sz w:val="20"/>
        </w:rPr>
        <w:t>Faisal Mirza</w:t>
      </w:r>
      <w:r w:rsidRPr="008D22BA">
        <w:rPr>
          <w:rStyle w:val="SCCCounselPartyRoleChar"/>
          <w:sz w:val="20"/>
        </w:rPr>
        <w:t>, for the interveners the National Council of Canadian Muslims and the Canadian Muslim Lawyers Association.</w:t>
      </w:r>
    </w:p>
    <w:p w:rsidR="005D5CCB" w:rsidRDefault="005D5CCB" w:rsidP="005D5CCB">
      <w:pPr>
        <w:pStyle w:val="SCCNormalDoubleSpacing"/>
        <w:spacing w:line="240" w:lineRule="auto"/>
        <w:rPr>
          <w:rStyle w:val="SCCCounselNameChar"/>
          <w:i w:val="0"/>
          <w:sz w:val="20"/>
        </w:rPr>
      </w:pPr>
    </w:p>
    <w:p w:rsidR="005D5CCB" w:rsidRPr="008D22BA" w:rsidRDefault="005D5CCB" w:rsidP="005D5CCB">
      <w:pPr>
        <w:pStyle w:val="SCCNormalDoubleSpacing"/>
        <w:spacing w:line="240" w:lineRule="auto"/>
        <w:rPr>
          <w:sz w:val="20"/>
        </w:rPr>
      </w:pPr>
      <w:r w:rsidRPr="008D22BA">
        <w:rPr>
          <w:rStyle w:val="SCCCounselNameChar"/>
          <w:sz w:val="20"/>
        </w:rPr>
        <w:tab/>
        <w:t>Ranjan K. Agarwal</w:t>
      </w:r>
      <w:r w:rsidRPr="005D5CCB">
        <w:rPr>
          <w:rStyle w:val="SCCCounselSeparatorChar"/>
          <w:sz w:val="20"/>
          <w:lang w:val="en-CA"/>
        </w:rPr>
        <w:t xml:space="preserve"> and </w:t>
      </w:r>
      <w:r w:rsidRPr="008D22BA">
        <w:rPr>
          <w:rStyle w:val="SCCCounselNameChar"/>
          <w:sz w:val="20"/>
        </w:rPr>
        <w:t>Preet K. Bell</w:t>
      </w:r>
      <w:r w:rsidRPr="008D22BA">
        <w:rPr>
          <w:rStyle w:val="SCCCounselPartyRoleChar"/>
          <w:sz w:val="20"/>
        </w:rPr>
        <w:t>, for the intervener the South Asian Legal Clinic of Ontario.</w:t>
      </w:r>
    </w:p>
    <w:p w:rsidR="005D5CCB" w:rsidRDefault="005D5CCB" w:rsidP="005D5CCB">
      <w:pPr>
        <w:pStyle w:val="SCCLawFirm"/>
        <w:spacing w:line="240" w:lineRule="auto"/>
        <w:rPr>
          <w:sz w:val="20"/>
        </w:rPr>
      </w:pPr>
    </w:p>
    <w:p w:rsidR="005D5CCB" w:rsidRPr="008D22BA" w:rsidRDefault="005D5CCB" w:rsidP="005D5CCB">
      <w:pPr>
        <w:pStyle w:val="SCCLawFirm"/>
        <w:spacing w:line="240" w:lineRule="auto"/>
        <w:rPr>
          <w:sz w:val="20"/>
          <w:lang w:val="fr-CA"/>
        </w:rPr>
      </w:pPr>
      <w:r w:rsidRPr="008D22BA">
        <w:rPr>
          <w:sz w:val="20"/>
        </w:rPr>
        <w:tab/>
      </w:r>
      <w:r w:rsidRPr="008D22BA">
        <w:rPr>
          <w:sz w:val="20"/>
          <w:lang w:val="fr-CA"/>
        </w:rPr>
        <w:t xml:space="preserve">Solicitors for the </w:t>
      </w:r>
      <w:r w:rsidRPr="008D22BA">
        <w:rPr>
          <w:rStyle w:val="SCCCounselPartyRoleChar"/>
          <w:sz w:val="20"/>
          <w:lang w:val="fr-CA"/>
        </w:rPr>
        <w:t>appellant/respondent Commission des droits de la personne et des droits de la jeunesse</w:t>
      </w:r>
      <w:r w:rsidRPr="008D22BA">
        <w:rPr>
          <w:sz w:val="20"/>
          <w:lang w:val="fr-CA"/>
        </w:rPr>
        <w:t>: Boies Drapeau Bourdeau, Montréal.</w:t>
      </w:r>
    </w:p>
    <w:p w:rsidR="005D5CCB" w:rsidRDefault="005D5CCB" w:rsidP="005D5CCB">
      <w:pPr>
        <w:pStyle w:val="SCCLawFirm"/>
        <w:spacing w:line="240" w:lineRule="auto"/>
        <w:rPr>
          <w:sz w:val="20"/>
          <w:lang w:val="fr-CA"/>
        </w:rPr>
      </w:pPr>
    </w:p>
    <w:p w:rsidR="005D5CCB" w:rsidRPr="008D22BA" w:rsidRDefault="005D5CCB" w:rsidP="005D5CCB">
      <w:pPr>
        <w:pStyle w:val="SCCLawFirm"/>
        <w:spacing w:line="240" w:lineRule="auto"/>
        <w:rPr>
          <w:sz w:val="20"/>
        </w:rPr>
      </w:pPr>
      <w:r w:rsidRPr="008D22BA">
        <w:rPr>
          <w:sz w:val="20"/>
          <w:lang w:val="fr-CA"/>
        </w:rPr>
        <w:tab/>
      </w:r>
      <w:r w:rsidRPr="008D22BA">
        <w:rPr>
          <w:sz w:val="20"/>
        </w:rPr>
        <w:t xml:space="preserve">Solicitors for the </w:t>
      </w:r>
      <w:r w:rsidRPr="008D22BA">
        <w:rPr>
          <w:rStyle w:val="SCCCounselPartyRoleChar"/>
          <w:sz w:val="20"/>
        </w:rPr>
        <w:t>respondent/appellant Javed Latif</w:t>
      </w:r>
      <w:r w:rsidRPr="008D22BA">
        <w:rPr>
          <w:sz w:val="20"/>
        </w:rPr>
        <w:t>: Irving Mitchell Kalichman, Westmount, Quebec.</w:t>
      </w:r>
    </w:p>
    <w:p w:rsidR="005D5CCB" w:rsidRDefault="005D5CCB" w:rsidP="005D5CCB">
      <w:pPr>
        <w:pStyle w:val="SCCLawFirm"/>
        <w:spacing w:line="240" w:lineRule="auto"/>
        <w:rPr>
          <w:sz w:val="20"/>
        </w:rPr>
      </w:pPr>
    </w:p>
    <w:p w:rsidR="005D5CCB" w:rsidRPr="008D22BA" w:rsidRDefault="005D5CCB" w:rsidP="005D5CCB">
      <w:pPr>
        <w:pStyle w:val="SCCLawFirm"/>
        <w:spacing w:line="240" w:lineRule="auto"/>
        <w:rPr>
          <w:sz w:val="20"/>
        </w:rPr>
      </w:pPr>
      <w:r w:rsidRPr="008D22BA">
        <w:rPr>
          <w:sz w:val="20"/>
        </w:rPr>
        <w:tab/>
        <w:t xml:space="preserve">Solicitors for the respondent </w:t>
      </w:r>
      <w:r w:rsidRPr="008D22BA">
        <w:rPr>
          <w:rStyle w:val="SCCCounselPartyRoleChar"/>
          <w:sz w:val="20"/>
        </w:rPr>
        <w:t>Bombardier Inc. (Bombardier Aerospace Training Center)</w:t>
      </w:r>
      <w:r w:rsidRPr="008D22BA">
        <w:rPr>
          <w:sz w:val="20"/>
        </w:rPr>
        <w:t>: Norton Rose Fulbright Canada, Montréal.</w:t>
      </w:r>
    </w:p>
    <w:p w:rsidR="005D5CCB" w:rsidRDefault="005D5CCB" w:rsidP="005D5CCB">
      <w:pPr>
        <w:pStyle w:val="SCCLawFirm"/>
        <w:spacing w:line="240" w:lineRule="auto"/>
        <w:rPr>
          <w:sz w:val="20"/>
        </w:rPr>
      </w:pPr>
    </w:p>
    <w:p w:rsidR="005D5CCB" w:rsidRPr="008D22BA" w:rsidRDefault="005D5CCB" w:rsidP="005D5CCB">
      <w:pPr>
        <w:pStyle w:val="SCCLawFirm"/>
        <w:spacing w:line="240" w:lineRule="auto"/>
        <w:rPr>
          <w:sz w:val="20"/>
        </w:rPr>
      </w:pPr>
      <w:r w:rsidRPr="008D22BA">
        <w:rPr>
          <w:sz w:val="20"/>
        </w:rPr>
        <w:tab/>
        <w:t>Solicitors for the intervener the Canadian Civil Liberties Association: Paliare Roland Rosenberg Rothstein, Toronto.</w:t>
      </w:r>
    </w:p>
    <w:p w:rsidR="005D5CCB" w:rsidRDefault="005D5CCB" w:rsidP="005D5CCB">
      <w:pPr>
        <w:pStyle w:val="SCCLawFirm"/>
        <w:spacing w:line="240" w:lineRule="auto"/>
        <w:rPr>
          <w:sz w:val="20"/>
        </w:rPr>
      </w:pPr>
    </w:p>
    <w:p w:rsidR="005D5CCB" w:rsidRPr="008D22BA" w:rsidRDefault="005D5CCB" w:rsidP="005D5CCB">
      <w:pPr>
        <w:pStyle w:val="SCCLawFirm"/>
        <w:spacing w:line="240" w:lineRule="auto"/>
        <w:rPr>
          <w:sz w:val="20"/>
        </w:rPr>
      </w:pPr>
      <w:r w:rsidRPr="008D22BA">
        <w:rPr>
          <w:sz w:val="20"/>
        </w:rPr>
        <w:tab/>
        <w:t>Solicitor for the intervener the Canadian Human Rights Commission: Canadian Human Rights Commission, Ottawa.</w:t>
      </w:r>
    </w:p>
    <w:p w:rsidR="005D5CCB" w:rsidRDefault="005D5CCB" w:rsidP="005D5CCB">
      <w:pPr>
        <w:pStyle w:val="SCCLawFirm"/>
        <w:spacing w:line="240" w:lineRule="auto"/>
        <w:rPr>
          <w:sz w:val="20"/>
        </w:rPr>
      </w:pPr>
    </w:p>
    <w:p w:rsidR="005D5CCB" w:rsidRPr="008D22BA" w:rsidRDefault="005D5CCB" w:rsidP="005D5CCB">
      <w:pPr>
        <w:pStyle w:val="SCCLawFirm"/>
        <w:spacing w:line="240" w:lineRule="auto"/>
        <w:rPr>
          <w:sz w:val="20"/>
        </w:rPr>
      </w:pPr>
      <w:r w:rsidRPr="008D22BA">
        <w:rPr>
          <w:sz w:val="20"/>
        </w:rPr>
        <w:tab/>
        <w:t>Solicitors for the intervener the Center for Research</w:t>
      </w:r>
      <w:r w:rsidRPr="008D22BA">
        <w:rPr>
          <w:sz w:val="20"/>
        </w:rPr>
        <w:noBreakHyphen/>
        <w:t>Action on Race Relations: Selwyn Pieters, Toronto; Aymar Missakila, Montréal.</w:t>
      </w:r>
    </w:p>
    <w:p w:rsidR="005D5CCB" w:rsidRDefault="005D5CCB" w:rsidP="005D5CCB">
      <w:pPr>
        <w:pStyle w:val="SCCLawFirm"/>
        <w:spacing w:line="240" w:lineRule="auto"/>
        <w:rPr>
          <w:sz w:val="20"/>
        </w:rPr>
      </w:pPr>
    </w:p>
    <w:p w:rsidR="005D5CCB" w:rsidRPr="008D22BA" w:rsidRDefault="005D5CCB" w:rsidP="005D5CCB">
      <w:pPr>
        <w:pStyle w:val="SCCLawFirm"/>
        <w:spacing w:line="240" w:lineRule="auto"/>
        <w:rPr>
          <w:sz w:val="20"/>
        </w:rPr>
      </w:pPr>
      <w:r w:rsidRPr="008D22BA">
        <w:rPr>
          <w:sz w:val="20"/>
        </w:rPr>
        <w:lastRenderedPageBreak/>
        <w:tab/>
        <w:t xml:space="preserve">Solicitors for the interveners the National Council of Canadian Muslims </w:t>
      </w:r>
      <w:r w:rsidRPr="008D22BA">
        <w:rPr>
          <w:rStyle w:val="SCCCounselPartyRoleChar"/>
          <w:sz w:val="20"/>
        </w:rPr>
        <w:t>and the Canadian Muslim Lawyers Association</w:t>
      </w:r>
      <w:r w:rsidRPr="008D22BA">
        <w:rPr>
          <w:sz w:val="20"/>
        </w:rPr>
        <w:t>: Office of Khalid Elgazzar, Barrister, Ottawa.</w:t>
      </w:r>
    </w:p>
    <w:p w:rsidR="005D5CCB" w:rsidRDefault="005D5CCB" w:rsidP="005D5CCB">
      <w:pPr>
        <w:pStyle w:val="SCCLawFirm"/>
        <w:spacing w:line="240" w:lineRule="auto"/>
        <w:rPr>
          <w:sz w:val="20"/>
        </w:rPr>
      </w:pPr>
    </w:p>
    <w:p w:rsidR="005D5CCB" w:rsidRDefault="005D5CCB" w:rsidP="005D5CCB">
      <w:pPr>
        <w:pStyle w:val="SCCLawFirm"/>
        <w:spacing w:line="240" w:lineRule="auto"/>
        <w:rPr>
          <w:sz w:val="20"/>
        </w:rPr>
      </w:pPr>
      <w:r w:rsidRPr="008D22BA">
        <w:rPr>
          <w:sz w:val="20"/>
        </w:rPr>
        <w:tab/>
        <w:t>Solicitors for the intervener the South Asian Legal Clinic of Ontario: Bennett Jones, Toronto.</w:t>
      </w:r>
    </w:p>
    <w:p w:rsidR="003B3977" w:rsidRPr="0052229C" w:rsidRDefault="003B3977" w:rsidP="005C6840">
      <w:pPr>
        <w:rPr>
          <w:rFonts w:cs="Times New Roman"/>
          <w:sz w:val="20"/>
          <w:szCs w:val="20"/>
        </w:rPr>
      </w:pPr>
    </w:p>
    <w:p w:rsidR="00902E51" w:rsidRPr="00352A49" w:rsidRDefault="00310DA4" w:rsidP="00F660C7">
      <w:pPr>
        <w:rPr>
          <w:sz w:val="20"/>
          <w:szCs w:val="20"/>
          <w:lang w:val="fr-CA"/>
        </w:rPr>
      </w:pPr>
      <w:r>
        <w:rPr>
          <w:rFonts w:cs="Times New Roman"/>
          <w:sz w:val="20"/>
          <w:szCs w:val="20"/>
          <w:lang w:val="fr-CA"/>
        </w:rPr>
        <w:pict>
          <v:rect id="_x0000_i1065" style="width:144.3pt;height:1pt" o:hrpct="300" o:hralign="center" o:hrstd="t" o:hrnoshade="t" o:hr="t" fillcolor="black [3213]" stroked="f"/>
        </w:pict>
      </w:r>
    </w:p>
    <w:p w:rsidR="00902E51" w:rsidRDefault="00902E51" w:rsidP="00902E51">
      <w:pPr>
        <w:rPr>
          <w:rFonts w:cs="Times New Roman"/>
          <w:sz w:val="20"/>
          <w:szCs w:val="20"/>
          <w:lang w:val="fr-CA"/>
        </w:rPr>
      </w:pPr>
    </w:p>
    <w:p w:rsidR="005C6840" w:rsidRPr="00C50A5C" w:rsidRDefault="005C6840"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63"/>
          <w:headerReference w:type="default" r:id="rId64"/>
          <w:footerReference w:type="even" r:id="rId65"/>
          <w:footerReference w:type="default" r:id="rId66"/>
          <w:headerReference w:type="first" r:id="rId67"/>
          <w:footerReference w:type="first" r:id="rId68"/>
          <w:pgSz w:w="12240" w:h="15840"/>
          <w:pgMar w:top="720" w:right="965" w:bottom="1080" w:left="1656" w:header="576" w:footer="960" w:gutter="0"/>
          <w:cols w:space="720"/>
          <w:titlePg/>
          <w:docGrid w:linePitch="272"/>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320"/>
        <w:gridCol w:w="840"/>
        <w:gridCol w:w="4320"/>
      </w:tblGrid>
      <w:tr w:rsidR="006B6926" w:rsidRPr="00310DA4" w:rsidTr="0085476B">
        <w:tc>
          <w:tcPr>
            <w:tcW w:w="4320" w:type="dxa"/>
            <w:shd w:val="clear" w:color="auto" w:fill="auto"/>
          </w:tcPr>
          <w:p w:rsidR="006B6926" w:rsidRPr="00C50A5C" w:rsidRDefault="006B6926" w:rsidP="006B6926">
            <w:pPr>
              <w:keepNext/>
              <w:keepLines/>
              <w:rPr>
                <w:b/>
                <w:bCs/>
                <w:szCs w:val="24"/>
                <w:lang w:val="en-GB"/>
              </w:rPr>
            </w:pPr>
            <w:r w:rsidRPr="00C50A5C">
              <w:rPr>
                <w:b/>
                <w:bCs/>
                <w:szCs w:val="24"/>
                <w:lang w:val="en-GB"/>
              </w:rPr>
              <w:lastRenderedPageBreak/>
              <w:t>SUPREME COURT REPORTS</w:t>
            </w:r>
          </w:p>
        </w:tc>
        <w:tc>
          <w:tcPr>
            <w:tcW w:w="840" w:type="dxa"/>
            <w:shd w:val="clear" w:color="auto" w:fill="auto"/>
          </w:tcPr>
          <w:p w:rsidR="006B6926" w:rsidRPr="00C50A5C" w:rsidRDefault="006B6926" w:rsidP="006B6926">
            <w:pPr>
              <w:jc w:val="center"/>
              <w:rPr>
                <w:b/>
                <w:bCs/>
                <w:szCs w:val="24"/>
                <w:lang w:val="en-GB"/>
              </w:rPr>
            </w:pPr>
          </w:p>
          <w:p w:rsidR="006B6926" w:rsidRPr="00C50A5C" w:rsidRDefault="006B6926" w:rsidP="006B6926">
            <w:pPr>
              <w:jc w:val="center"/>
              <w:rPr>
                <w:b/>
                <w:bCs/>
                <w:szCs w:val="24"/>
                <w:lang w:val="en-GB"/>
              </w:rPr>
            </w:pPr>
          </w:p>
          <w:p w:rsidR="006B6926" w:rsidRPr="00C50A5C" w:rsidRDefault="006B6926" w:rsidP="006B6926">
            <w:pPr>
              <w:jc w:val="center"/>
              <w:rPr>
                <w:b/>
                <w:bCs/>
                <w:szCs w:val="24"/>
                <w:lang w:val="en-GB"/>
              </w:rPr>
            </w:pPr>
          </w:p>
        </w:tc>
        <w:tc>
          <w:tcPr>
            <w:tcW w:w="4320" w:type="dxa"/>
            <w:shd w:val="clear" w:color="auto" w:fill="auto"/>
          </w:tcPr>
          <w:p w:rsidR="006B6926" w:rsidRPr="00C50A5C" w:rsidRDefault="006B6926" w:rsidP="006B6926">
            <w:pPr>
              <w:keepNext/>
              <w:keepLines/>
              <w:rPr>
                <w:b/>
                <w:bCs/>
                <w:szCs w:val="24"/>
                <w:lang w:val="fr-CA"/>
              </w:rPr>
            </w:pPr>
            <w:r w:rsidRPr="00C50A5C">
              <w:rPr>
                <w:b/>
                <w:bCs/>
                <w:szCs w:val="24"/>
                <w:lang w:val="fr-CA"/>
              </w:rPr>
              <w:t>RECUEIL DES ARRÊTS DE LA COUR SUPRÊME</w:t>
            </w:r>
          </w:p>
        </w:tc>
      </w:tr>
    </w:tbl>
    <w:p w:rsidR="006B6926" w:rsidRDefault="006B6926" w:rsidP="006B6926">
      <w:pPr>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20"/>
        <w:gridCol w:w="840"/>
        <w:gridCol w:w="4320"/>
      </w:tblGrid>
      <w:tr w:rsidR="00A956D3" w:rsidRPr="00310DA4" w:rsidTr="008F59A3">
        <w:trPr>
          <w:cantSplit/>
          <w:trHeight w:val="1152"/>
        </w:trPr>
        <w:tc>
          <w:tcPr>
            <w:tcW w:w="4320" w:type="dxa"/>
            <w:tcBorders>
              <w:top w:val="nil"/>
              <w:left w:val="nil"/>
              <w:bottom w:val="nil"/>
              <w:right w:val="nil"/>
            </w:tcBorders>
          </w:tcPr>
          <w:p w:rsidR="00A956D3" w:rsidRPr="00DD0B49" w:rsidRDefault="00A956D3" w:rsidP="008F59A3">
            <w:pPr>
              <w:keepNext/>
              <w:keepLines/>
              <w:jc w:val="both"/>
              <w:rPr>
                <w:rFonts w:cs="Times New Roman"/>
                <w:sz w:val="20"/>
                <w:szCs w:val="20"/>
                <w:lang w:val="en-GB"/>
              </w:rPr>
            </w:pPr>
            <w:r w:rsidRPr="00DD0B49">
              <w:rPr>
                <w:rFonts w:cs="Times New Roman"/>
                <w:b/>
                <w:bCs/>
                <w:sz w:val="20"/>
                <w:szCs w:val="20"/>
                <w:lang w:val="en-GB"/>
              </w:rPr>
              <w:t>THE STYLES OF CAUSE IN THE PRESENT TABLE ARE THE STANDARDIZED STYLES OF CAUSE (AS EXPRESSED UNDER THE "INDEXED AS" ENTRY IN EACH CASE).</w:t>
            </w:r>
          </w:p>
        </w:tc>
        <w:tc>
          <w:tcPr>
            <w:tcW w:w="840" w:type="dxa"/>
            <w:tcBorders>
              <w:top w:val="nil"/>
              <w:left w:val="nil"/>
              <w:bottom w:val="nil"/>
              <w:right w:val="nil"/>
            </w:tcBorders>
          </w:tcPr>
          <w:p w:rsidR="00A956D3" w:rsidRPr="00DD0B49" w:rsidRDefault="00A956D3" w:rsidP="008F59A3">
            <w:pPr>
              <w:rPr>
                <w:rFonts w:cs="Times New Roman"/>
                <w:b/>
                <w:bCs/>
                <w:sz w:val="20"/>
                <w:szCs w:val="20"/>
                <w:lang w:val="en-GB"/>
              </w:rPr>
            </w:pPr>
          </w:p>
        </w:tc>
        <w:tc>
          <w:tcPr>
            <w:tcW w:w="4320" w:type="dxa"/>
            <w:tcBorders>
              <w:top w:val="nil"/>
              <w:left w:val="nil"/>
              <w:bottom w:val="nil"/>
              <w:right w:val="nil"/>
            </w:tcBorders>
          </w:tcPr>
          <w:p w:rsidR="00A956D3" w:rsidRPr="00DD0B49" w:rsidRDefault="00A956D3" w:rsidP="008F59A3">
            <w:pPr>
              <w:keepNext/>
              <w:keepLines/>
              <w:jc w:val="both"/>
              <w:rPr>
                <w:rFonts w:cs="Times New Roman"/>
                <w:b/>
                <w:bCs/>
                <w:sz w:val="20"/>
                <w:szCs w:val="20"/>
                <w:lang w:val="fr-CA"/>
              </w:rPr>
            </w:pPr>
            <w:r w:rsidRPr="00DD0B49">
              <w:rPr>
                <w:rFonts w:cs="Times New Roman"/>
                <w:b/>
                <w:bCs/>
                <w:sz w:val="20"/>
                <w:szCs w:val="20"/>
                <w:lang w:val="fr-CA"/>
              </w:rPr>
              <w:t>LES INTITULÉS UTILISÉS DANS CETTE TABLE SONT LES INTITULÉS NORMALISÉS DE LA RUBRIQUE "RÉPERTORIÉ" DANS CHAQUE ARRÊT.</w:t>
            </w:r>
          </w:p>
        </w:tc>
      </w:tr>
      <w:tr w:rsidR="00A956D3" w:rsidRPr="00DD0B49" w:rsidTr="008F59A3">
        <w:tc>
          <w:tcPr>
            <w:tcW w:w="4320" w:type="dxa"/>
            <w:tcBorders>
              <w:top w:val="nil"/>
              <w:left w:val="nil"/>
              <w:bottom w:val="nil"/>
              <w:right w:val="nil"/>
            </w:tcBorders>
          </w:tcPr>
          <w:p w:rsidR="00A956D3" w:rsidRPr="00DD0B49" w:rsidRDefault="00A956D3" w:rsidP="008F59A3">
            <w:pPr>
              <w:rPr>
                <w:rFonts w:cs="Times New Roman"/>
                <w:sz w:val="20"/>
                <w:szCs w:val="20"/>
                <w:lang w:val="en-GB"/>
              </w:rPr>
            </w:pPr>
            <w:r w:rsidRPr="00DD0B49">
              <w:rPr>
                <w:rFonts w:cs="Times New Roman"/>
                <w:b/>
                <w:bCs/>
                <w:sz w:val="20"/>
                <w:szCs w:val="20"/>
                <w:lang w:val="en-GB"/>
              </w:rPr>
              <w:t>Judgments reported in [201</w:t>
            </w:r>
            <w:r w:rsidR="00F660C7">
              <w:rPr>
                <w:rFonts w:cs="Times New Roman"/>
                <w:b/>
                <w:bCs/>
                <w:sz w:val="20"/>
                <w:szCs w:val="20"/>
                <w:lang w:val="en-GB"/>
              </w:rPr>
              <w:t>5</w:t>
            </w:r>
            <w:r w:rsidRPr="00DD0B49">
              <w:rPr>
                <w:rFonts w:cs="Times New Roman"/>
                <w:b/>
                <w:bCs/>
                <w:sz w:val="20"/>
                <w:szCs w:val="20"/>
                <w:lang w:val="en-GB"/>
              </w:rPr>
              <w:t xml:space="preserve">] </w:t>
            </w:r>
            <w:r w:rsidR="00F660C7">
              <w:rPr>
                <w:rFonts w:cs="Times New Roman"/>
                <w:b/>
                <w:bCs/>
                <w:sz w:val="20"/>
                <w:szCs w:val="20"/>
                <w:lang w:val="en-GB"/>
              </w:rPr>
              <w:t>1</w:t>
            </w:r>
            <w:r w:rsidRPr="00DD0B49">
              <w:rPr>
                <w:rFonts w:cs="Times New Roman"/>
                <w:b/>
                <w:bCs/>
                <w:sz w:val="20"/>
                <w:szCs w:val="20"/>
                <w:lang w:val="en-GB"/>
              </w:rPr>
              <w:t xml:space="preserve"> S.C.R. Part </w:t>
            </w:r>
            <w:r>
              <w:rPr>
                <w:rFonts w:cs="Times New Roman"/>
                <w:b/>
                <w:bCs/>
                <w:sz w:val="20"/>
                <w:szCs w:val="20"/>
                <w:lang w:val="en-GB"/>
              </w:rPr>
              <w:t>1</w:t>
            </w:r>
          </w:p>
          <w:p w:rsidR="00A956D3" w:rsidRPr="00DD0B49" w:rsidRDefault="00A956D3" w:rsidP="008F59A3">
            <w:pPr>
              <w:rPr>
                <w:rFonts w:cs="Times New Roman"/>
                <w:sz w:val="20"/>
                <w:szCs w:val="20"/>
                <w:lang w:val="en-GB"/>
              </w:rPr>
            </w:pPr>
          </w:p>
          <w:p w:rsidR="00A956D3" w:rsidRPr="00DD0B49" w:rsidRDefault="00F660C7" w:rsidP="008F59A3">
            <w:pPr>
              <w:rPr>
                <w:rFonts w:cs="Times New Roman"/>
                <w:sz w:val="20"/>
                <w:szCs w:val="20"/>
                <w:lang w:val="en-GB"/>
              </w:rPr>
            </w:pPr>
            <w:r>
              <w:rPr>
                <w:rFonts w:cs="Times New Roman"/>
                <w:sz w:val="20"/>
                <w:szCs w:val="20"/>
                <w:lang w:val="en-GB"/>
              </w:rPr>
              <w:t>Mounted Police Association of Ontario</w:t>
            </w:r>
            <w:r w:rsidR="00A956D3" w:rsidRPr="00DD0B49">
              <w:rPr>
                <w:rFonts w:cs="Times New Roman"/>
                <w:sz w:val="20"/>
                <w:szCs w:val="20"/>
                <w:lang w:val="en-GB"/>
              </w:rPr>
              <w:t xml:space="preserve"> </w:t>
            </w:r>
            <w:r w:rsidR="00A956D3" w:rsidRPr="00DD0B49">
              <w:rPr>
                <w:rFonts w:cs="Times New Roman"/>
                <w:i/>
                <w:sz w:val="20"/>
                <w:szCs w:val="20"/>
                <w:lang w:val="en-GB"/>
              </w:rPr>
              <w:t>v.</w:t>
            </w:r>
            <w:r w:rsidR="00A956D3" w:rsidRPr="00DD0B49">
              <w:rPr>
                <w:rFonts w:cs="Times New Roman"/>
                <w:sz w:val="20"/>
                <w:szCs w:val="20"/>
                <w:lang w:val="en-GB"/>
              </w:rPr>
              <w:t xml:space="preserve"> </w:t>
            </w:r>
            <w:r>
              <w:rPr>
                <w:rFonts w:cs="Times New Roman"/>
                <w:sz w:val="20"/>
                <w:szCs w:val="20"/>
                <w:lang w:val="en-GB"/>
              </w:rPr>
              <w:t>C</w:t>
            </w:r>
            <w:r w:rsidR="00A956D3">
              <w:rPr>
                <w:rFonts w:cs="Times New Roman"/>
                <w:sz w:val="20"/>
                <w:szCs w:val="20"/>
                <w:lang w:val="en-GB"/>
              </w:rPr>
              <w:t>a</w:t>
            </w:r>
            <w:r>
              <w:rPr>
                <w:rFonts w:cs="Times New Roman"/>
                <w:sz w:val="20"/>
                <w:szCs w:val="20"/>
                <w:lang w:val="en-GB"/>
              </w:rPr>
              <w:t>na</w:t>
            </w:r>
            <w:r w:rsidR="00A956D3">
              <w:rPr>
                <w:rFonts w:cs="Times New Roman"/>
                <w:sz w:val="20"/>
                <w:szCs w:val="20"/>
                <w:lang w:val="en-GB"/>
              </w:rPr>
              <w:t>da</w:t>
            </w:r>
            <w:r>
              <w:rPr>
                <w:rFonts w:cs="Times New Roman"/>
                <w:sz w:val="20"/>
                <w:szCs w:val="20"/>
                <w:lang w:val="en-GB"/>
              </w:rPr>
              <w:t xml:space="preserve"> (Atto</w:t>
            </w:r>
            <w:r w:rsidR="00A956D3">
              <w:rPr>
                <w:rFonts w:cs="Times New Roman"/>
                <w:sz w:val="20"/>
                <w:szCs w:val="20"/>
                <w:lang w:val="en-GB"/>
              </w:rPr>
              <w:t>r</w:t>
            </w:r>
            <w:r>
              <w:rPr>
                <w:rFonts w:cs="Times New Roman"/>
                <w:sz w:val="20"/>
                <w:szCs w:val="20"/>
                <w:lang w:val="en-GB"/>
              </w:rPr>
              <w:t>ney General)</w:t>
            </w:r>
            <w:r w:rsidR="00A956D3" w:rsidRPr="00DD0B49">
              <w:rPr>
                <w:rFonts w:cs="Times New Roman"/>
                <w:sz w:val="20"/>
                <w:szCs w:val="20"/>
                <w:lang w:val="en-GB"/>
              </w:rPr>
              <w:t>,</w:t>
            </w:r>
          </w:p>
          <w:p w:rsidR="00A956D3" w:rsidRPr="00DD0B49" w:rsidRDefault="00A956D3" w:rsidP="008F59A3">
            <w:pPr>
              <w:rPr>
                <w:rFonts w:cs="Times New Roman"/>
                <w:sz w:val="20"/>
                <w:szCs w:val="20"/>
                <w:lang w:val="en-GB"/>
              </w:rPr>
            </w:pPr>
            <w:r w:rsidRPr="00DD0B49">
              <w:rPr>
                <w:rFonts w:cs="Times New Roman"/>
                <w:sz w:val="20"/>
                <w:szCs w:val="20"/>
                <w:lang w:val="en-GB"/>
              </w:rPr>
              <w:t>201</w:t>
            </w:r>
            <w:r w:rsidR="00F660C7">
              <w:rPr>
                <w:rFonts w:cs="Times New Roman"/>
                <w:sz w:val="20"/>
                <w:szCs w:val="20"/>
                <w:lang w:val="en-GB"/>
              </w:rPr>
              <w:t>5</w:t>
            </w:r>
            <w:r w:rsidRPr="00DD0B49">
              <w:rPr>
                <w:rFonts w:cs="Times New Roman"/>
                <w:sz w:val="20"/>
                <w:szCs w:val="20"/>
                <w:lang w:val="en-GB"/>
              </w:rPr>
              <w:t xml:space="preserve"> SCC </w:t>
            </w:r>
            <w:r>
              <w:rPr>
                <w:rFonts w:cs="Times New Roman"/>
                <w:sz w:val="20"/>
                <w:szCs w:val="20"/>
                <w:lang w:val="en-GB"/>
              </w:rPr>
              <w:t>1</w:t>
            </w:r>
            <w:r w:rsidRPr="00DD0B49">
              <w:rPr>
                <w:rFonts w:cs="Times New Roman"/>
                <w:sz w:val="20"/>
                <w:szCs w:val="20"/>
                <w:lang w:val="en-GB"/>
              </w:rPr>
              <w:t>, [201</w:t>
            </w:r>
            <w:r w:rsidR="00F660C7">
              <w:rPr>
                <w:rFonts w:cs="Times New Roman"/>
                <w:sz w:val="20"/>
                <w:szCs w:val="20"/>
                <w:lang w:val="en-GB"/>
              </w:rPr>
              <w:t>5</w:t>
            </w:r>
            <w:r w:rsidRPr="00DD0B49">
              <w:rPr>
                <w:rFonts w:cs="Times New Roman"/>
                <w:sz w:val="20"/>
                <w:szCs w:val="20"/>
                <w:lang w:val="en-GB"/>
              </w:rPr>
              <w:t xml:space="preserve">] </w:t>
            </w:r>
            <w:r w:rsidR="00F660C7">
              <w:rPr>
                <w:rFonts w:cs="Times New Roman"/>
                <w:sz w:val="20"/>
                <w:szCs w:val="20"/>
                <w:lang w:val="en-GB"/>
              </w:rPr>
              <w:t>1</w:t>
            </w:r>
            <w:r w:rsidRPr="00DD0B49">
              <w:rPr>
                <w:rFonts w:cs="Times New Roman"/>
                <w:sz w:val="20"/>
                <w:szCs w:val="20"/>
                <w:lang w:val="en-GB"/>
              </w:rPr>
              <w:t xml:space="preserve"> S.C.R. </w:t>
            </w:r>
            <w:r>
              <w:rPr>
                <w:rFonts w:cs="Times New Roman"/>
                <w:sz w:val="20"/>
                <w:szCs w:val="20"/>
                <w:lang w:val="en-GB"/>
              </w:rPr>
              <w:t>3</w:t>
            </w:r>
          </w:p>
          <w:p w:rsidR="00A956D3" w:rsidRPr="00DD0B49" w:rsidRDefault="00A956D3" w:rsidP="008F59A3">
            <w:pPr>
              <w:rPr>
                <w:rFonts w:cs="Times New Roman"/>
                <w:sz w:val="20"/>
                <w:szCs w:val="20"/>
                <w:lang w:val="en-GB"/>
              </w:rPr>
            </w:pPr>
          </w:p>
          <w:p w:rsidR="00A956D3" w:rsidRPr="00DD0B49" w:rsidRDefault="00F660C7" w:rsidP="008F59A3">
            <w:pPr>
              <w:rPr>
                <w:rFonts w:cs="Times New Roman"/>
                <w:sz w:val="20"/>
                <w:szCs w:val="20"/>
                <w:lang w:val="en-GB"/>
              </w:rPr>
            </w:pPr>
            <w:r>
              <w:rPr>
                <w:rFonts w:cs="Times New Roman"/>
                <w:sz w:val="20"/>
                <w:szCs w:val="20"/>
                <w:lang w:val="en-GB"/>
              </w:rPr>
              <w:t>Meredith</w:t>
            </w:r>
            <w:r w:rsidR="00A956D3">
              <w:rPr>
                <w:rFonts w:cs="Times New Roman"/>
                <w:sz w:val="20"/>
                <w:szCs w:val="20"/>
                <w:lang w:val="en-GB"/>
              </w:rPr>
              <w:t xml:space="preserve"> </w:t>
            </w:r>
            <w:r w:rsidR="00A956D3" w:rsidRPr="00DD0B49">
              <w:rPr>
                <w:rFonts w:cs="Times New Roman"/>
                <w:i/>
                <w:iCs/>
                <w:sz w:val="20"/>
                <w:szCs w:val="20"/>
                <w:lang w:val="en-GB"/>
              </w:rPr>
              <w:t>v.</w:t>
            </w:r>
            <w:r w:rsidR="00A956D3" w:rsidRPr="00DD0B49">
              <w:rPr>
                <w:rFonts w:cs="Times New Roman"/>
                <w:iCs/>
                <w:sz w:val="20"/>
                <w:szCs w:val="20"/>
                <w:lang w:val="en-GB"/>
              </w:rPr>
              <w:t xml:space="preserve"> </w:t>
            </w:r>
            <w:r w:rsidR="00A956D3">
              <w:rPr>
                <w:rFonts w:cs="Times New Roman"/>
                <w:iCs/>
                <w:sz w:val="20"/>
                <w:szCs w:val="20"/>
                <w:lang w:val="en-GB"/>
              </w:rPr>
              <w:t>Canada (</w:t>
            </w:r>
            <w:r>
              <w:rPr>
                <w:rFonts w:cs="Times New Roman"/>
                <w:iCs/>
                <w:sz w:val="20"/>
                <w:szCs w:val="20"/>
                <w:lang w:val="en-GB"/>
              </w:rPr>
              <w:t>A</w:t>
            </w:r>
            <w:r w:rsidR="00A956D3">
              <w:rPr>
                <w:rFonts w:cs="Times New Roman"/>
                <w:iCs/>
                <w:sz w:val="20"/>
                <w:szCs w:val="20"/>
                <w:lang w:val="en-GB"/>
              </w:rPr>
              <w:t>t</w:t>
            </w:r>
            <w:r>
              <w:rPr>
                <w:rFonts w:cs="Times New Roman"/>
                <w:iCs/>
                <w:sz w:val="20"/>
                <w:szCs w:val="20"/>
                <w:lang w:val="en-GB"/>
              </w:rPr>
              <w:t>torne</w:t>
            </w:r>
            <w:r w:rsidR="00A956D3">
              <w:rPr>
                <w:rFonts w:cs="Times New Roman"/>
                <w:iCs/>
                <w:sz w:val="20"/>
                <w:szCs w:val="20"/>
                <w:lang w:val="en-GB"/>
              </w:rPr>
              <w:t xml:space="preserve">y </w:t>
            </w:r>
            <w:r>
              <w:rPr>
                <w:rFonts w:cs="Times New Roman"/>
                <w:iCs/>
                <w:sz w:val="20"/>
                <w:szCs w:val="20"/>
                <w:lang w:val="en-GB"/>
              </w:rPr>
              <w:t>G</w:t>
            </w:r>
            <w:r w:rsidR="00A956D3">
              <w:rPr>
                <w:rFonts w:cs="Times New Roman"/>
                <w:iCs/>
                <w:sz w:val="20"/>
                <w:szCs w:val="20"/>
                <w:lang w:val="en-GB"/>
              </w:rPr>
              <w:t>ener</w:t>
            </w:r>
            <w:r>
              <w:rPr>
                <w:rFonts w:cs="Times New Roman"/>
                <w:iCs/>
                <w:sz w:val="20"/>
                <w:szCs w:val="20"/>
                <w:lang w:val="en-GB"/>
              </w:rPr>
              <w:t>al</w:t>
            </w:r>
            <w:r w:rsidR="00A956D3">
              <w:rPr>
                <w:rFonts w:cs="Times New Roman"/>
                <w:iCs/>
                <w:sz w:val="20"/>
                <w:szCs w:val="20"/>
                <w:lang w:val="en-GB"/>
              </w:rPr>
              <w:t>)</w:t>
            </w:r>
            <w:r w:rsidR="00A956D3" w:rsidRPr="00DD0B49">
              <w:rPr>
                <w:rFonts w:cs="Times New Roman"/>
                <w:sz w:val="20"/>
                <w:szCs w:val="20"/>
                <w:lang w:val="en-GB"/>
              </w:rPr>
              <w:t>,</w:t>
            </w:r>
          </w:p>
          <w:p w:rsidR="00A956D3" w:rsidRPr="00DD0B49" w:rsidRDefault="00A956D3" w:rsidP="008F59A3">
            <w:pPr>
              <w:rPr>
                <w:rFonts w:cs="Times New Roman"/>
                <w:sz w:val="20"/>
                <w:szCs w:val="20"/>
                <w:lang w:val="en-GB"/>
              </w:rPr>
            </w:pPr>
            <w:r w:rsidRPr="00DD0B49">
              <w:rPr>
                <w:rFonts w:cs="Times New Roman"/>
                <w:sz w:val="20"/>
                <w:szCs w:val="20"/>
                <w:lang w:val="en-GB"/>
              </w:rPr>
              <w:t>201</w:t>
            </w:r>
            <w:r w:rsidR="00F660C7">
              <w:rPr>
                <w:rFonts w:cs="Times New Roman"/>
                <w:sz w:val="20"/>
                <w:szCs w:val="20"/>
                <w:lang w:val="en-GB"/>
              </w:rPr>
              <w:t>5</w:t>
            </w:r>
            <w:r w:rsidRPr="00DD0B49">
              <w:rPr>
                <w:rFonts w:cs="Times New Roman"/>
                <w:sz w:val="20"/>
                <w:szCs w:val="20"/>
                <w:lang w:val="en-GB"/>
              </w:rPr>
              <w:t xml:space="preserve"> SCC </w:t>
            </w:r>
            <w:r w:rsidR="00F660C7">
              <w:rPr>
                <w:rFonts w:cs="Times New Roman"/>
                <w:sz w:val="20"/>
                <w:szCs w:val="20"/>
                <w:lang w:val="en-GB"/>
              </w:rPr>
              <w:t>2</w:t>
            </w:r>
            <w:r w:rsidRPr="00DD0B49">
              <w:rPr>
                <w:rFonts w:cs="Times New Roman"/>
                <w:sz w:val="20"/>
                <w:szCs w:val="20"/>
                <w:lang w:val="en-GB"/>
              </w:rPr>
              <w:t>, [201</w:t>
            </w:r>
            <w:r w:rsidR="00F660C7">
              <w:rPr>
                <w:rFonts w:cs="Times New Roman"/>
                <w:sz w:val="20"/>
                <w:szCs w:val="20"/>
                <w:lang w:val="en-GB"/>
              </w:rPr>
              <w:t>5</w:t>
            </w:r>
            <w:r w:rsidRPr="00DD0B49">
              <w:rPr>
                <w:rFonts w:cs="Times New Roman"/>
                <w:sz w:val="20"/>
                <w:szCs w:val="20"/>
                <w:lang w:val="en-GB"/>
              </w:rPr>
              <w:t xml:space="preserve">] </w:t>
            </w:r>
            <w:r w:rsidR="00F660C7">
              <w:rPr>
                <w:rFonts w:cs="Times New Roman"/>
                <w:sz w:val="20"/>
                <w:szCs w:val="20"/>
                <w:lang w:val="en-GB"/>
              </w:rPr>
              <w:t>1</w:t>
            </w:r>
            <w:r w:rsidRPr="00DD0B49">
              <w:rPr>
                <w:rFonts w:cs="Times New Roman"/>
                <w:sz w:val="20"/>
                <w:szCs w:val="20"/>
                <w:lang w:val="en-GB"/>
              </w:rPr>
              <w:t xml:space="preserve"> S.C.R. </w:t>
            </w:r>
            <w:r>
              <w:rPr>
                <w:rFonts w:cs="Times New Roman"/>
                <w:sz w:val="20"/>
                <w:szCs w:val="20"/>
                <w:lang w:val="en-GB"/>
              </w:rPr>
              <w:t>1</w:t>
            </w:r>
            <w:r w:rsidR="00F660C7">
              <w:rPr>
                <w:rFonts w:cs="Times New Roman"/>
                <w:sz w:val="20"/>
                <w:szCs w:val="20"/>
                <w:lang w:val="en-GB"/>
              </w:rPr>
              <w:t>2</w:t>
            </w:r>
            <w:r w:rsidRPr="00DD0B49">
              <w:rPr>
                <w:rFonts w:cs="Times New Roman"/>
                <w:sz w:val="20"/>
                <w:szCs w:val="20"/>
                <w:lang w:val="en-GB"/>
              </w:rPr>
              <w:t>5</w:t>
            </w:r>
          </w:p>
          <w:p w:rsidR="00A956D3" w:rsidRPr="00DD0B49" w:rsidRDefault="00A956D3" w:rsidP="008F59A3">
            <w:pPr>
              <w:rPr>
                <w:rFonts w:cs="Times New Roman"/>
                <w:iCs/>
                <w:sz w:val="20"/>
                <w:szCs w:val="20"/>
                <w:lang w:val="en-GB"/>
              </w:rPr>
            </w:pPr>
          </w:p>
          <w:p w:rsidR="00A956D3" w:rsidRPr="00DD0B49" w:rsidRDefault="00F660C7" w:rsidP="008F59A3">
            <w:pPr>
              <w:rPr>
                <w:rFonts w:cs="Times New Roman"/>
                <w:iCs/>
                <w:sz w:val="20"/>
                <w:szCs w:val="20"/>
                <w:lang w:val="en-GB"/>
              </w:rPr>
            </w:pPr>
            <w:r>
              <w:rPr>
                <w:rFonts w:cs="Times New Roman"/>
                <w:iCs/>
                <w:sz w:val="20"/>
                <w:szCs w:val="20"/>
                <w:lang w:val="en-GB"/>
              </w:rPr>
              <w:t>Terv</w:t>
            </w:r>
            <w:r w:rsidR="00A956D3">
              <w:rPr>
                <w:rFonts w:cs="Times New Roman"/>
                <w:iCs/>
                <w:sz w:val="20"/>
                <w:szCs w:val="20"/>
                <w:lang w:val="en-GB"/>
              </w:rPr>
              <w:t>i</w:t>
            </w:r>
            <w:r>
              <w:rPr>
                <w:rFonts w:cs="Times New Roman"/>
                <w:iCs/>
                <w:sz w:val="20"/>
                <w:szCs w:val="20"/>
                <w:lang w:val="en-GB"/>
              </w:rPr>
              <w:t xml:space="preserve">ta </w:t>
            </w:r>
            <w:r w:rsidR="00A956D3">
              <w:rPr>
                <w:rFonts w:cs="Times New Roman"/>
                <w:iCs/>
                <w:sz w:val="20"/>
                <w:szCs w:val="20"/>
                <w:lang w:val="en-GB"/>
              </w:rPr>
              <w:t>C</w:t>
            </w:r>
            <w:r>
              <w:rPr>
                <w:rFonts w:cs="Times New Roman"/>
                <w:iCs/>
                <w:sz w:val="20"/>
                <w:szCs w:val="20"/>
                <w:lang w:val="en-GB"/>
              </w:rPr>
              <w:t>o</w:t>
            </w:r>
            <w:r w:rsidR="00A956D3">
              <w:rPr>
                <w:rFonts w:cs="Times New Roman"/>
                <w:iCs/>
                <w:sz w:val="20"/>
                <w:szCs w:val="20"/>
                <w:lang w:val="en-GB"/>
              </w:rPr>
              <w:t>r</w:t>
            </w:r>
            <w:r>
              <w:rPr>
                <w:rFonts w:cs="Times New Roman"/>
                <w:iCs/>
                <w:sz w:val="20"/>
                <w:szCs w:val="20"/>
                <w:lang w:val="en-GB"/>
              </w:rPr>
              <w:t>p.</w:t>
            </w:r>
            <w:r w:rsidR="00A956D3">
              <w:rPr>
                <w:rFonts w:cs="Times New Roman"/>
                <w:iCs/>
                <w:sz w:val="20"/>
                <w:szCs w:val="20"/>
                <w:lang w:val="en-GB"/>
              </w:rPr>
              <w:t xml:space="preserve"> </w:t>
            </w:r>
            <w:r w:rsidR="00A956D3" w:rsidRPr="00DD0B49">
              <w:rPr>
                <w:rFonts w:cs="Times New Roman"/>
                <w:i/>
                <w:iCs/>
                <w:sz w:val="20"/>
                <w:szCs w:val="20"/>
                <w:lang w:val="en-GB"/>
              </w:rPr>
              <w:t>v.</w:t>
            </w:r>
            <w:r w:rsidR="00A956D3" w:rsidRPr="00DD0B49">
              <w:rPr>
                <w:rFonts w:cs="Times New Roman"/>
                <w:iCs/>
                <w:sz w:val="20"/>
                <w:szCs w:val="20"/>
                <w:lang w:val="en-GB"/>
              </w:rPr>
              <w:t xml:space="preserve"> </w:t>
            </w:r>
            <w:r w:rsidR="00A956D3">
              <w:rPr>
                <w:rFonts w:cs="Times New Roman"/>
                <w:iCs/>
                <w:sz w:val="20"/>
                <w:szCs w:val="20"/>
                <w:lang w:val="en-GB"/>
              </w:rPr>
              <w:t>Canada</w:t>
            </w:r>
            <w:r>
              <w:rPr>
                <w:rFonts w:cs="Times New Roman"/>
                <w:iCs/>
                <w:sz w:val="20"/>
                <w:szCs w:val="20"/>
                <w:lang w:val="en-GB"/>
              </w:rPr>
              <w:t xml:space="preserve"> (Commissioner of Competition)</w:t>
            </w:r>
            <w:r w:rsidR="00A956D3" w:rsidRPr="00DD0B49">
              <w:rPr>
                <w:rFonts w:cs="Times New Roman"/>
                <w:iCs/>
                <w:sz w:val="20"/>
                <w:szCs w:val="20"/>
                <w:lang w:val="en-GB"/>
              </w:rPr>
              <w:t>,</w:t>
            </w:r>
          </w:p>
          <w:p w:rsidR="00A956D3" w:rsidRPr="00DD0B49" w:rsidRDefault="00A956D3" w:rsidP="008F59A3">
            <w:pPr>
              <w:rPr>
                <w:rFonts w:cs="Times New Roman"/>
                <w:sz w:val="20"/>
                <w:szCs w:val="20"/>
                <w:lang w:val="en-GB"/>
              </w:rPr>
            </w:pPr>
            <w:r w:rsidRPr="00DD0B49">
              <w:rPr>
                <w:rFonts w:cs="Times New Roman"/>
                <w:sz w:val="20"/>
                <w:szCs w:val="20"/>
                <w:lang w:val="en-GB"/>
              </w:rPr>
              <w:t>201</w:t>
            </w:r>
            <w:r w:rsidR="00F660C7">
              <w:rPr>
                <w:rFonts w:cs="Times New Roman"/>
                <w:sz w:val="20"/>
                <w:szCs w:val="20"/>
                <w:lang w:val="en-GB"/>
              </w:rPr>
              <w:t>5</w:t>
            </w:r>
            <w:r w:rsidRPr="00DD0B49">
              <w:rPr>
                <w:rFonts w:cs="Times New Roman"/>
                <w:sz w:val="20"/>
                <w:szCs w:val="20"/>
                <w:lang w:val="en-GB"/>
              </w:rPr>
              <w:t xml:space="preserve"> SCC </w:t>
            </w:r>
            <w:r w:rsidR="00F660C7">
              <w:rPr>
                <w:rFonts w:cs="Times New Roman"/>
                <w:sz w:val="20"/>
                <w:szCs w:val="20"/>
                <w:lang w:val="en-GB"/>
              </w:rPr>
              <w:t>3</w:t>
            </w:r>
            <w:r w:rsidRPr="00DD0B49">
              <w:rPr>
                <w:rFonts w:cs="Times New Roman"/>
                <w:sz w:val="20"/>
                <w:szCs w:val="20"/>
                <w:lang w:val="en-GB"/>
              </w:rPr>
              <w:t>, [201</w:t>
            </w:r>
            <w:r w:rsidR="00F660C7">
              <w:rPr>
                <w:rFonts w:cs="Times New Roman"/>
                <w:sz w:val="20"/>
                <w:szCs w:val="20"/>
                <w:lang w:val="en-GB"/>
              </w:rPr>
              <w:t>5</w:t>
            </w:r>
            <w:r w:rsidRPr="00DD0B49">
              <w:rPr>
                <w:rFonts w:cs="Times New Roman"/>
                <w:sz w:val="20"/>
                <w:szCs w:val="20"/>
                <w:lang w:val="en-GB"/>
              </w:rPr>
              <w:t xml:space="preserve">] </w:t>
            </w:r>
            <w:r w:rsidR="00F660C7">
              <w:rPr>
                <w:rFonts w:cs="Times New Roman"/>
                <w:sz w:val="20"/>
                <w:szCs w:val="20"/>
                <w:lang w:val="en-GB"/>
              </w:rPr>
              <w:t>1</w:t>
            </w:r>
            <w:r w:rsidRPr="00DD0B49">
              <w:rPr>
                <w:rFonts w:cs="Times New Roman"/>
                <w:sz w:val="20"/>
                <w:szCs w:val="20"/>
                <w:lang w:val="en-GB"/>
              </w:rPr>
              <w:t xml:space="preserve"> S.C.R. </w:t>
            </w:r>
            <w:r>
              <w:rPr>
                <w:rFonts w:cs="Times New Roman"/>
                <w:sz w:val="20"/>
                <w:szCs w:val="20"/>
                <w:lang w:val="en-GB"/>
              </w:rPr>
              <w:t>1</w:t>
            </w:r>
            <w:r w:rsidR="00F660C7">
              <w:rPr>
                <w:rFonts w:cs="Times New Roman"/>
                <w:sz w:val="20"/>
                <w:szCs w:val="20"/>
                <w:lang w:val="en-GB"/>
              </w:rPr>
              <w:t>6</w:t>
            </w:r>
            <w:r>
              <w:rPr>
                <w:rFonts w:cs="Times New Roman"/>
                <w:sz w:val="20"/>
                <w:szCs w:val="20"/>
                <w:lang w:val="en-GB"/>
              </w:rPr>
              <w:t>1</w:t>
            </w:r>
          </w:p>
          <w:p w:rsidR="00A956D3" w:rsidRPr="00DD0B49" w:rsidRDefault="00A956D3" w:rsidP="008F59A3">
            <w:pPr>
              <w:rPr>
                <w:rFonts w:cs="Times New Roman"/>
                <w:sz w:val="20"/>
                <w:szCs w:val="20"/>
                <w:lang w:val="en-GB"/>
              </w:rPr>
            </w:pPr>
          </w:p>
          <w:p w:rsidR="00A956D3" w:rsidRPr="00DD0B49" w:rsidRDefault="00F660C7" w:rsidP="008F59A3">
            <w:pPr>
              <w:rPr>
                <w:rFonts w:cs="Times New Roman"/>
                <w:sz w:val="20"/>
                <w:szCs w:val="20"/>
                <w:lang w:val="en-GB"/>
              </w:rPr>
            </w:pPr>
            <w:r>
              <w:rPr>
                <w:rFonts w:cs="Times New Roman"/>
                <w:sz w:val="20"/>
                <w:szCs w:val="20"/>
                <w:lang w:val="en-GB"/>
              </w:rPr>
              <w:t>S</w:t>
            </w:r>
            <w:r w:rsidR="00A956D3">
              <w:rPr>
                <w:rFonts w:cs="Times New Roman"/>
                <w:sz w:val="20"/>
                <w:szCs w:val="20"/>
                <w:lang w:val="en-GB"/>
              </w:rPr>
              <w:t>a</w:t>
            </w:r>
            <w:r>
              <w:rPr>
                <w:rFonts w:cs="Times New Roman"/>
                <w:sz w:val="20"/>
                <w:szCs w:val="20"/>
                <w:lang w:val="en-GB"/>
              </w:rPr>
              <w:t>skatchewa</w:t>
            </w:r>
            <w:r w:rsidR="00A956D3">
              <w:rPr>
                <w:rFonts w:cs="Times New Roman"/>
                <w:sz w:val="20"/>
                <w:szCs w:val="20"/>
                <w:lang w:val="en-GB"/>
              </w:rPr>
              <w:t>n</w:t>
            </w:r>
            <w:r>
              <w:rPr>
                <w:rFonts w:cs="Times New Roman"/>
                <w:sz w:val="20"/>
                <w:szCs w:val="20"/>
                <w:lang w:val="en-GB"/>
              </w:rPr>
              <w:t xml:space="preserve"> F</w:t>
            </w:r>
            <w:r w:rsidR="00A956D3">
              <w:rPr>
                <w:rFonts w:cs="Times New Roman"/>
                <w:sz w:val="20"/>
                <w:szCs w:val="20"/>
                <w:lang w:val="en-GB"/>
              </w:rPr>
              <w:t>e</w:t>
            </w:r>
            <w:r>
              <w:rPr>
                <w:rFonts w:cs="Times New Roman"/>
                <w:sz w:val="20"/>
                <w:szCs w:val="20"/>
                <w:lang w:val="en-GB"/>
              </w:rPr>
              <w:t>d</w:t>
            </w:r>
            <w:r w:rsidR="00A956D3">
              <w:rPr>
                <w:rFonts w:cs="Times New Roman"/>
                <w:sz w:val="20"/>
                <w:szCs w:val="20"/>
                <w:lang w:val="en-GB"/>
              </w:rPr>
              <w:t>eration</w:t>
            </w:r>
            <w:r w:rsidR="00F165DA">
              <w:rPr>
                <w:rFonts w:cs="Times New Roman"/>
                <w:sz w:val="20"/>
                <w:szCs w:val="20"/>
                <w:lang w:val="en-GB"/>
              </w:rPr>
              <w:t xml:space="preserve"> of </w:t>
            </w:r>
            <w:r w:rsidR="00A956D3">
              <w:rPr>
                <w:rFonts w:cs="Times New Roman"/>
                <w:sz w:val="20"/>
                <w:szCs w:val="20"/>
                <w:lang w:val="en-GB"/>
              </w:rPr>
              <w:t>L</w:t>
            </w:r>
            <w:r w:rsidR="00F165DA">
              <w:rPr>
                <w:rFonts w:cs="Times New Roman"/>
                <w:sz w:val="20"/>
                <w:szCs w:val="20"/>
                <w:lang w:val="en-GB"/>
              </w:rPr>
              <w:t>abour</w:t>
            </w:r>
            <w:r w:rsidR="00A956D3" w:rsidRPr="00DD0B49">
              <w:rPr>
                <w:rFonts w:cs="Times New Roman"/>
                <w:sz w:val="20"/>
                <w:szCs w:val="20"/>
                <w:lang w:val="en-GB"/>
              </w:rPr>
              <w:t xml:space="preserve"> </w:t>
            </w:r>
            <w:r w:rsidR="00A956D3" w:rsidRPr="00DD0B49">
              <w:rPr>
                <w:rFonts w:cs="Times New Roman"/>
                <w:i/>
                <w:iCs/>
                <w:sz w:val="20"/>
                <w:szCs w:val="20"/>
                <w:lang w:val="en-GB"/>
              </w:rPr>
              <w:t>v.</w:t>
            </w:r>
            <w:r w:rsidR="00A956D3" w:rsidRPr="00DD0B49">
              <w:rPr>
                <w:rFonts w:cs="Times New Roman"/>
                <w:sz w:val="20"/>
                <w:szCs w:val="20"/>
                <w:lang w:val="en-GB"/>
              </w:rPr>
              <w:t xml:space="preserve"> </w:t>
            </w:r>
            <w:r w:rsidR="00F165DA">
              <w:rPr>
                <w:rFonts w:cs="Times New Roman"/>
                <w:sz w:val="20"/>
                <w:szCs w:val="20"/>
                <w:lang w:val="en-GB"/>
              </w:rPr>
              <w:t>S</w:t>
            </w:r>
            <w:r w:rsidR="00A956D3">
              <w:rPr>
                <w:rFonts w:cs="Times New Roman"/>
                <w:sz w:val="20"/>
                <w:szCs w:val="20"/>
                <w:lang w:val="en-GB"/>
              </w:rPr>
              <w:t>a</w:t>
            </w:r>
            <w:r w:rsidR="00F165DA">
              <w:rPr>
                <w:rFonts w:cs="Times New Roman"/>
                <w:sz w:val="20"/>
                <w:szCs w:val="20"/>
                <w:lang w:val="en-GB"/>
              </w:rPr>
              <w:t>sk</w:t>
            </w:r>
            <w:r w:rsidR="00A956D3">
              <w:rPr>
                <w:rFonts w:cs="Times New Roman"/>
                <w:sz w:val="20"/>
                <w:szCs w:val="20"/>
                <w:lang w:val="en-GB"/>
              </w:rPr>
              <w:t>at</w:t>
            </w:r>
            <w:r w:rsidR="00F165DA">
              <w:rPr>
                <w:rFonts w:cs="Times New Roman"/>
                <w:sz w:val="20"/>
                <w:szCs w:val="20"/>
                <w:lang w:val="en-GB"/>
              </w:rPr>
              <w:t>ch</w:t>
            </w:r>
            <w:r w:rsidR="00A956D3">
              <w:rPr>
                <w:rFonts w:cs="Times New Roman"/>
                <w:sz w:val="20"/>
                <w:szCs w:val="20"/>
                <w:lang w:val="en-GB"/>
              </w:rPr>
              <w:t>e</w:t>
            </w:r>
            <w:r w:rsidR="00F165DA">
              <w:rPr>
                <w:rFonts w:cs="Times New Roman"/>
                <w:sz w:val="20"/>
                <w:szCs w:val="20"/>
                <w:lang w:val="en-GB"/>
              </w:rPr>
              <w:t>wan</w:t>
            </w:r>
            <w:r w:rsidR="00A956D3" w:rsidRPr="00DD0B49">
              <w:rPr>
                <w:rFonts w:cs="Times New Roman"/>
                <w:sz w:val="20"/>
                <w:szCs w:val="20"/>
                <w:lang w:val="en-GB"/>
              </w:rPr>
              <w:t>,</w:t>
            </w:r>
          </w:p>
          <w:p w:rsidR="00A956D3" w:rsidRPr="00DD0B49" w:rsidRDefault="00A956D3" w:rsidP="008F59A3">
            <w:pPr>
              <w:rPr>
                <w:rFonts w:cs="Times New Roman"/>
                <w:sz w:val="20"/>
                <w:szCs w:val="20"/>
                <w:lang w:val="en-GB"/>
              </w:rPr>
            </w:pPr>
            <w:r w:rsidRPr="00DD0B49">
              <w:rPr>
                <w:rFonts w:cs="Times New Roman"/>
                <w:sz w:val="20"/>
                <w:szCs w:val="20"/>
                <w:lang w:val="en-GB"/>
              </w:rPr>
              <w:t>201</w:t>
            </w:r>
            <w:r w:rsidR="00F660C7">
              <w:rPr>
                <w:rFonts w:cs="Times New Roman"/>
                <w:sz w:val="20"/>
                <w:szCs w:val="20"/>
                <w:lang w:val="en-GB"/>
              </w:rPr>
              <w:t>5</w:t>
            </w:r>
            <w:r w:rsidRPr="00DD0B49">
              <w:rPr>
                <w:rFonts w:cs="Times New Roman"/>
                <w:sz w:val="20"/>
                <w:szCs w:val="20"/>
                <w:lang w:val="en-GB"/>
              </w:rPr>
              <w:t xml:space="preserve"> SCC </w:t>
            </w:r>
            <w:r>
              <w:rPr>
                <w:rFonts w:cs="Times New Roman"/>
                <w:sz w:val="20"/>
                <w:szCs w:val="20"/>
                <w:lang w:val="en-GB"/>
              </w:rPr>
              <w:t>4</w:t>
            </w:r>
            <w:r w:rsidRPr="00DD0B49">
              <w:rPr>
                <w:rFonts w:cs="Times New Roman"/>
                <w:sz w:val="20"/>
                <w:szCs w:val="20"/>
                <w:lang w:val="en-GB"/>
              </w:rPr>
              <w:t>, [201</w:t>
            </w:r>
            <w:r w:rsidR="00F660C7">
              <w:rPr>
                <w:rFonts w:cs="Times New Roman"/>
                <w:sz w:val="20"/>
                <w:szCs w:val="20"/>
                <w:lang w:val="en-GB"/>
              </w:rPr>
              <w:t>5</w:t>
            </w:r>
            <w:r w:rsidRPr="00DD0B49">
              <w:rPr>
                <w:rFonts w:cs="Times New Roman"/>
                <w:sz w:val="20"/>
                <w:szCs w:val="20"/>
                <w:lang w:val="en-GB"/>
              </w:rPr>
              <w:t xml:space="preserve">] </w:t>
            </w:r>
            <w:r w:rsidR="00F660C7">
              <w:rPr>
                <w:rFonts w:cs="Times New Roman"/>
                <w:sz w:val="20"/>
                <w:szCs w:val="20"/>
                <w:lang w:val="en-GB"/>
              </w:rPr>
              <w:t>1</w:t>
            </w:r>
            <w:r w:rsidRPr="00DD0B49">
              <w:rPr>
                <w:rFonts w:cs="Times New Roman"/>
                <w:sz w:val="20"/>
                <w:szCs w:val="20"/>
                <w:lang w:val="en-GB"/>
              </w:rPr>
              <w:t xml:space="preserve"> S.C.R. </w:t>
            </w:r>
            <w:r w:rsidR="00F660C7">
              <w:rPr>
                <w:rFonts w:cs="Times New Roman"/>
                <w:sz w:val="20"/>
                <w:szCs w:val="20"/>
                <w:lang w:val="en-GB"/>
              </w:rPr>
              <w:t>245</w:t>
            </w:r>
          </w:p>
          <w:p w:rsidR="00A956D3" w:rsidRDefault="00A956D3" w:rsidP="008F59A3">
            <w:pPr>
              <w:rPr>
                <w:rFonts w:cs="Times New Roman"/>
                <w:sz w:val="20"/>
                <w:szCs w:val="20"/>
                <w:lang w:val="en-GB"/>
              </w:rPr>
            </w:pPr>
          </w:p>
          <w:p w:rsidR="00A956D3" w:rsidRDefault="00310DA4" w:rsidP="00D21BEF">
            <w:pPr>
              <w:keepNext/>
              <w:keepLines/>
              <w:rPr>
                <w:rFonts w:cs="Times New Roman"/>
                <w:sz w:val="20"/>
                <w:szCs w:val="20"/>
              </w:rPr>
            </w:pPr>
            <w:r>
              <w:rPr>
                <w:rFonts w:cs="Times New Roman"/>
                <w:sz w:val="20"/>
                <w:szCs w:val="20"/>
              </w:rPr>
              <w:pict>
                <v:rect id="_x0000_i1068" style="width:129.6pt;height:1pt" o:hrpct="600" o:hralign="center" o:hrstd="t" o:hrnoshade="t" o:hr="t" fillcolor="black [3213]" stroked="f"/>
              </w:pict>
            </w:r>
          </w:p>
          <w:p w:rsidR="00D21BEF" w:rsidRPr="00DD0B49" w:rsidRDefault="00D21BEF" w:rsidP="00D21BEF">
            <w:pPr>
              <w:keepNext/>
              <w:keepLines/>
              <w:rPr>
                <w:rFonts w:cs="Times New Roman"/>
                <w:bCs/>
                <w:sz w:val="20"/>
                <w:szCs w:val="20"/>
                <w:lang w:val="fr-CA"/>
              </w:rPr>
            </w:pPr>
          </w:p>
        </w:tc>
        <w:tc>
          <w:tcPr>
            <w:tcW w:w="840" w:type="dxa"/>
            <w:tcBorders>
              <w:top w:val="nil"/>
              <w:left w:val="nil"/>
              <w:bottom w:val="nil"/>
              <w:right w:val="nil"/>
            </w:tcBorders>
          </w:tcPr>
          <w:p w:rsidR="00A956D3" w:rsidRPr="00DD0B49" w:rsidRDefault="00A956D3" w:rsidP="008F59A3">
            <w:pPr>
              <w:rPr>
                <w:rFonts w:cs="Times New Roman"/>
                <w:b/>
                <w:bCs/>
                <w:sz w:val="20"/>
                <w:szCs w:val="20"/>
                <w:lang w:val="fr-CA"/>
              </w:rPr>
            </w:pPr>
          </w:p>
        </w:tc>
        <w:tc>
          <w:tcPr>
            <w:tcW w:w="4320" w:type="dxa"/>
            <w:tcBorders>
              <w:top w:val="nil"/>
              <w:left w:val="nil"/>
              <w:bottom w:val="nil"/>
              <w:right w:val="nil"/>
            </w:tcBorders>
          </w:tcPr>
          <w:p w:rsidR="00A956D3" w:rsidRPr="00DD0B49" w:rsidRDefault="00A956D3" w:rsidP="008F59A3">
            <w:pPr>
              <w:rPr>
                <w:rFonts w:cs="Times New Roman"/>
                <w:b/>
                <w:bCs/>
                <w:sz w:val="20"/>
                <w:szCs w:val="20"/>
                <w:lang w:val="fr-CA"/>
              </w:rPr>
            </w:pPr>
            <w:r w:rsidRPr="00DD0B49">
              <w:rPr>
                <w:rFonts w:cs="Times New Roman"/>
                <w:b/>
                <w:bCs/>
                <w:sz w:val="20"/>
                <w:szCs w:val="20"/>
                <w:lang w:val="fr-CA"/>
              </w:rPr>
              <w:t>Jugements publiés dans [201</w:t>
            </w:r>
            <w:r w:rsidR="00F660C7">
              <w:rPr>
                <w:rFonts w:cs="Times New Roman"/>
                <w:b/>
                <w:bCs/>
                <w:sz w:val="20"/>
                <w:szCs w:val="20"/>
                <w:lang w:val="fr-CA"/>
              </w:rPr>
              <w:t>5</w:t>
            </w:r>
            <w:r w:rsidRPr="00DD0B49">
              <w:rPr>
                <w:rFonts w:cs="Times New Roman"/>
                <w:b/>
                <w:bCs/>
                <w:sz w:val="20"/>
                <w:szCs w:val="20"/>
                <w:lang w:val="fr-CA"/>
              </w:rPr>
              <w:t xml:space="preserve">] </w:t>
            </w:r>
            <w:r w:rsidR="00F660C7">
              <w:rPr>
                <w:rFonts w:cs="Times New Roman"/>
                <w:b/>
                <w:bCs/>
                <w:sz w:val="20"/>
                <w:szCs w:val="20"/>
                <w:lang w:val="fr-CA"/>
              </w:rPr>
              <w:t>1</w:t>
            </w:r>
            <w:r w:rsidRPr="00DD0B49">
              <w:rPr>
                <w:rFonts w:cs="Times New Roman"/>
                <w:b/>
                <w:bCs/>
                <w:sz w:val="20"/>
                <w:szCs w:val="20"/>
                <w:lang w:val="fr-CA"/>
              </w:rPr>
              <w:t xml:space="preserve"> R.C.S. Partie </w:t>
            </w:r>
            <w:r>
              <w:rPr>
                <w:rFonts w:cs="Times New Roman"/>
                <w:b/>
                <w:bCs/>
                <w:sz w:val="20"/>
                <w:szCs w:val="20"/>
                <w:lang w:val="fr-CA"/>
              </w:rPr>
              <w:t>1</w:t>
            </w:r>
          </w:p>
          <w:p w:rsidR="00A956D3" w:rsidRPr="00DD0B49" w:rsidRDefault="00A956D3" w:rsidP="008F59A3">
            <w:pPr>
              <w:rPr>
                <w:rFonts w:cs="Times New Roman"/>
                <w:b/>
                <w:bCs/>
                <w:sz w:val="20"/>
                <w:szCs w:val="20"/>
                <w:lang w:val="fr-CA"/>
              </w:rPr>
            </w:pPr>
          </w:p>
          <w:p w:rsidR="00A956D3" w:rsidRPr="00EE0831" w:rsidRDefault="00F660C7" w:rsidP="008F59A3">
            <w:pPr>
              <w:rPr>
                <w:rFonts w:cs="Times New Roman"/>
                <w:sz w:val="20"/>
                <w:szCs w:val="20"/>
                <w:lang w:val="fr-CA"/>
              </w:rPr>
            </w:pPr>
            <w:r>
              <w:rPr>
                <w:rFonts w:cs="Times New Roman"/>
                <w:sz w:val="20"/>
                <w:szCs w:val="20"/>
                <w:lang w:val="fr-CA"/>
              </w:rPr>
              <w:t>Ass</w:t>
            </w:r>
            <w:r w:rsidR="00A956D3" w:rsidRPr="00EE0831">
              <w:rPr>
                <w:rFonts w:cs="Times New Roman"/>
                <w:sz w:val="20"/>
                <w:szCs w:val="20"/>
                <w:lang w:val="fr-CA"/>
              </w:rPr>
              <w:t>o</w:t>
            </w:r>
            <w:r>
              <w:rPr>
                <w:rFonts w:cs="Times New Roman"/>
                <w:sz w:val="20"/>
                <w:szCs w:val="20"/>
                <w:lang w:val="fr-CA"/>
              </w:rPr>
              <w:t>c</w:t>
            </w:r>
            <w:r w:rsidR="00A956D3" w:rsidRPr="00EE0831">
              <w:rPr>
                <w:rFonts w:cs="Times New Roman"/>
                <w:sz w:val="20"/>
                <w:szCs w:val="20"/>
                <w:lang w:val="fr-CA"/>
              </w:rPr>
              <w:t>i</w:t>
            </w:r>
            <w:r>
              <w:rPr>
                <w:rFonts w:cs="Times New Roman"/>
                <w:sz w:val="20"/>
                <w:szCs w:val="20"/>
                <w:lang w:val="fr-CA"/>
              </w:rPr>
              <w:t>ation d</w:t>
            </w:r>
            <w:r w:rsidR="00A956D3" w:rsidRPr="00EE0831">
              <w:rPr>
                <w:rFonts w:cs="Times New Roman"/>
                <w:sz w:val="20"/>
                <w:szCs w:val="20"/>
                <w:lang w:val="fr-CA"/>
              </w:rPr>
              <w:t>e</w:t>
            </w:r>
            <w:r>
              <w:rPr>
                <w:rFonts w:cs="Times New Roman"/>
                <w:sz w:val="20"/>
                <w:szCs w:val="20"/>
                <w:lang w:val="fr-CA"/>
              </w:rPr>
              <w:t xml:space="preserve"> la pol</w:t>
            </w:r>
            <w:r w:rsidR="00A956D3" w:rsidRPr="00EE0831">
              <w:rPr>
                <w:rFonts w:cs="Times New Roman"/>
                <w:sz w:val="20"/>
                <w:szCs w:val="20"/>
                <w:lang w:val="fr-CA"/>
              </w:rPr>
              <w:t>i</w:t>
            </w:r>
            <w:r>
              <w:rPr>
                <w:rFonts w:cs="Times New Roman"/>
                <w:sz w:val="20"/>
                <w:szCs w:val="20"/>
                <w:lang w:val="fr-CA"/>
              </w:rPr>
              <w:t>c</w:t>
            </w:r>
            <w:r w:rsidR="00A956D3" w:rsidRPr="00EE0831">
              <w:rPr>
                <w:rFonts w:cs="Times New Roman"/>
                <w:sz w:val="20"/>
                <w:szCs w:val="20"/>
                <w:lang w:val="fr-CA"/>
              </w:rPr>
              <w:t xml:space="preserve">e </w:t>
            </w:r>
            <w:r>
              <w:rPr>
                <w:rFonts w:cs="Times New Roman"/>
                <w:sz w:val="20"/>
                <w:szCs w:val="20"/>
                <w:lang w:val="fr-CA"/>
              </w:rPr>
              <w:t xml:space="preserve">montée de l’Ontario </w:t>
            </w:r>
            <w:r w:rsidR="00A956D3" w:rsidRPr="00EE0831">
              <w:rPr>
                <w:rFonts w:cs="Times New Roman"/>
                <w:i/>
                <w:sz w:val="20"/>
                <w:szCs w:val="20"/>
                <w:lang w:val="fr-CA"/>
              </w:rPr>
              <w:t>c.</w:t>
            </w:r>
            <w:r w:rsidR="00A956D3" w:rsidRPr="00EE0831">
              <w:rPr>
                <w:rFonts w:cs="Times New Roman"/>
                <w:sz w:val="20"/>
                <w:szCs w:val="20"/>
                <w:lang w:val="fr-CA"/>
              </w:rPr>
              <w:t xml:space="preserve"> </w:t>
            </w:r>
            <w:r>
              <w:rPr>
                <w:rFonts w:cs="Times New Roman"/>
                <w:sz w:val="20"/>
                <w:szCs w:val="20"/>
                <w:lang w:val="fr-CA"/>
              </w:rPr>
              <w:t>C</w:t>
            </w:r>
            <w:r w:rsidR="00A956D3" w:rsidRPr="00EE0831">
              <w:rPr>
                <w:rFonts w:cs="Times New Roman"/>
                <w:sz w:val="20"/>
                <w:szCs w:val="20"/>
                <w:lang w:val="fr-CA"/>
              </w:rPr>
              <w:t>a</w:t>
            </w:r>
            <w:r>
              <w:rPr>
                <w:rFonts w:cs="Times New Roman"/>
                <w:sz w:val="20"/>
                <w:szCs w:val="20"/>
                <w:lang w:val="fr-CA"/>
              </w:rPr>
              <w:t>na</w:t>
            </w:r>
            <w:r w:rsidR="00A956D3" w:rsidRPr="00EE0831">
              <w:rPr>
                <w:rFonts w:cs="Times New Roman"/>
                <w:sz w:val="20"/>
                <w:szCs w:val="20"/>
                <w:lang w:val="fr-CA"/>
              </w:rPr>
              <w:t>da</w:t>
            </w:r>
            <w:r>
              <w:rPr>
                <w:rFonts w:cs="Times New Roman"/>
                <w:sz w:val="20"/>
                <w:szCs w:val="20"/>
                <w:lang w:val="fr-CA"/>
              </w:rPr>
              <w:t xml:space="preserve"> (</w:t>
            </w:r>
            <w:r w:rsidR="00A956D3" w:rsidRPr="00EE0831">
              <w:rPr>
                <w:rFonts w:cs="Times New Roman"/>
                <w:sz w:val="20"/>
                <w:szCs w:val="20"/>
                <w:lang w:val="fr-CA"/>
              </w:rPr>
              <w:t>Pr</w:t>
            </w:r>
            <w:r>
              <w:rPr>
                <w:rFonts w:cs="Times New Roman"/>
                <w:sz w:val="20"/>
                <w:szCs w:val="20"/>
                <w:lang w:val="fr-CA"/>
              </w:rPr>
              <w:t>oc</w:t>
            </w:r>
            <w:r w:rsidR="00A956D3" w:rsidRPr="00EE0831">
              <w:rPr>
                <w:rFonts w:cs="Times New Roman"/>
                <w:sz w:val="20"/>
                <w:szCs w:val="20"/>
                <w:lang w:val="fr-CA"/>
              </w:rPr>
              <w:t>u</w:t>
            </w:r>
            <w:r>
              <w:rPr>
                <w:rFonts w:cs="Times New Roman"/>
                <w:sz w:val="20"/>
                <w:szCs w:val="20"/>
                <w:lang w:val="fr-CA"/>
              </w:rPr>
              <w:t>reur général)</w:t>
            </w:r>
            <w:r w:rsidR="00A956D3" w:rsidRPr="00EE0831">
              <w:rPr>
                <w:rFonts w:cs="Times New Roman"/>
                <w:sz w:val="20"/>
                <w:szCs w:val="20"/>
                <w:lang w:val="fr-CA"/>
              </w:rPr>
              <w:t>,</w:t>
            </w:r>
          </w:p>
          <w:p w:rsidR="00A956D3" w:rsidRPr="00EE0831" w:rsidRDefault="00A956D3" w:rsidP="008F59A3">
            <w:pPr>
              <w:rPr>
                <w:rFonts w:cs="Times New Roman"/>
                <w:sz w:val="20"/>
                <w:szCs w:val="20"/>
                <w:lang w:val="fr-CA"/>
              </w:rPr>
            </w:pPr>
            <w:r w:rsidRPr="00EE0831">
              <w:rPr>
                <w:rFonts w:cs="Times New Roman"/>
                <w:sz w:val="20"/>
                <w:szCs w:val="20"/>
                <w:lang w:val="fr-CA"/>
              </w:rPr>
              <w:t>201</w:t>
            </w:r>
            <w:r w:rsidR="00F660C7">
              <w:rPr>
                <w:rFonts w:cs="Times New Roman"/>
                <w:sz w:val="20"/>
                <w:szCs w:val="20"/>
                <w:lang w:val="fr-CA"/>
              </w:rPr>
              <w:t>5</w:t>
            </w:r>
            <w:r w:rsidRPr="00EE0831">
              <w:rPr>
                <w:rFonts w:cs="Times New Roman"/>
                <w:sz w:val="20"/>
                <w:szCs w:val="20"/>
                <w:lang w:val="fr-CA"/>
              </w:rPr>
              <w:t xml:space="preserve"> CSC 1, [201</w:t>
            </w:r>
            <w:r w:rsidR="00F660C7">
              <w:rPr>
                <w:rFonts w:cs="Times New Roman"/>
                <w:sz w:val="20"/>
                <w:szCs w:val="20"/>
                <w:lang w:val="fr-CA"/>
              </w:rPr>
              <w:t>5</w:t>
            </w:r>
            <w:r w:rsidRPr="00EE0831">
              <w:rPr>
                <w:rFonts w:cs="Times New Roman"/>
                <w:sz w:val="20"/>
                <w:szCs w:val="20"/>
                <w:lang w:val="fr-CA"/>
              </w:rPr>
              <w:t xml:space="preserve">] </w:t>
            </w:r>
            <w:r w:rsidR="00F660C7">
              <w:rPr>
                <w:rFonts w:cs="Times New Roman"/>
                <w:sz w:val="20"/>
                <w:szCs w:val="20"/>
                <w:lang w:val="fr-CA"/>
              </w:rPr>
              <w:t>1</w:t>
            </w:r>
            <w:r w:rsidRPr="00EE0831">
              <w:rPr>
                <w:rFonts w:cs="Times New Roman"/>
                <w:sz w:val="20"/>
                <w:szCs w:val="20"/>
                <w:lang w:val="fr-CA"/>
              </w:rPr>
              <w:t xml:space="preserve"> R.C.S. 3</w:t>
            </w:r>
          </w:p>
          <w:p w:rsidR="00A956D3" w:rsidRPr="00EE0831" w:rsidRDefault="00A956D3" w:rsidP="008F59A3">
            <w:pPr>
              <w:rPr>
                <w:rFonts w:cs="Times New Roman"/>
                <w:sz w:val="20"/>
                <w:szCs w:val="20"/>
                <w:lang w:val="fr-CA"/>
              </w:rPr>
            </w:pPr>
          </w:p>
          <w:p w:rsidR="00A956D3" w:rsidRPr="00EE0831" w:rsidRDefault="00F660C7" w:rsidP="008F59A3">
            <w:pPr>
              <w:rPr>
                <w:rFonts w:cs="Times New Roman"/>
                <w:sz w:val="20"/>
                <w:szCs w:val="20"/>
                <w:lang w:val="fr-CA"/>
              </w:rPr>
            </w:pPr>
            <w:r>
              <w:rPr>
                <w:rFonts w:cs="Times New Roman"/>
                <w:sz w:val="20"/>
                <w:szCs w:val="20"/>
                <w:lang w:val="fr-CA"/>
              </w:rPr>
              <w:t>Mered</w:t>
            </w:r>
            <w:r w:rsidR="00A956D3" w:rsidRPr="00EE0831">
              <w:rPr>
                <w:rFonts w:cs="Times New Roman"/>
                <w:sz w:val="20"/>
                <w:szCs w:val="20"/>
                <w:lang w:val="fr-CA"/>
              </w:rPr>
              <w:t>it</w:t>
            </w:r>
            <w:r>
              <w:rPr>
                <w:rFonts w:cs="Times New Roman"/>
                <w:sz w:val="20"/>
                <w:szCs w:val="20"/>
                <w:lang w:val="fr-CA"/>
              </w:rPr>
              <w:t>h</w:t>
            </w:r>
            <w:r w:rsidR="00A956D3" w:rsidRPr="00EE0831">
              <w:rPr>
                <w:rFonts w:cs="Times New Roman"/>
                <w:sz w:val="20"/>
                <w:szCs w:val="20"/>
                <w:lang w:val="fr-CA"/>
              </w:rPr>
              <w:t xml:space="preserve"> </w:t>
            </w:r>
            <w:r w:rsidR="00A956D3" w:rsidRPr="00EE0831">
              <w:rPr>
                <w:rFonts w:cs="Times New Roman"/>
                <w:i/>
                <w:iCs/>
                <w:sz w:val="20"/>
                <w:szCs w:val="20"/>
                <w:lang w:val="fr-CA"/>
              </w:rPr>
              <w:t>c.</w:t>
            </w:r>
            <w:r w:rsidR="00A956D3" w:rsidRPr="00EE0831">
              <w:rPr>
                <w:rFonts w:cs="Times New Roman"/>
                <w:iCs/>
                <w:sz w:val="20"/>
                <w:szCs w:val="20"/>
                <w:lang w:val="fr-CA"/>
              </w:rPr>
              <w:t xml:space="preserve"> Canada (</w:t>
            </w:r>
            <w:r>
              <w:rPr>
                <w:rFonts w:cs="Times New Roman"/>
                <w:iCs/>
                <w:sz w:val="20"/>
                <w:szCs w:val="20"/>
                <w:lang w:val="fr-CA"/>
              </w:rPr>
              <w:t>P</w:t>
            </w:r>
            <w:r w:rsidR="00A956D3" w:rsidRPr="00EE0831">
              <w:rPr>
                <w:rFonts w:cs="Times New Roman"/>
                <w:iCs/>
                <w:sz w:val="20"/>
                <w:szCs w:val="20"/>
                <w:lang w:val="fr-CA"/>
              </w:rPr>
              <w:t>roc</w:t>
            </w:r>
            <w:r>
              <w:rPr>
                <w:rFonts w:cs="Times New Roman"/>
                <w:iCs/>
                <w:sz w:val="20"/>
                <w:szCs w:val="20"/>
                <w:lang w:val="fr-CA"/>
              </w:rPr>
              <w:t>ureur gé</w:t>
            </w:r>
            <w:r w:rsidR="00A956D3" w:rsidRPr="00EE0831">
              <w:rPr>
                <w:rFonts w:cs="Times New Roman"/>
                <w:iCs/>
                <w:sz w:val="20"/>
                <w:szCs w:val="20"/>
                <w:lang w:val="fr-CA"/>
              </w:rPr>
              <w:t>n</w:t>
            </w:r>
            <w:r>
              <w:rPr>
                <w:rFonts w:cs="Times New Roman"/>
                <w:iCs/>
                <w:sz w:val="20"/>
                <w:szCs w:val="20"/>
                <w:lang w:val="fr-CA"/>
              </w:rPr>
              <w:t>éra</w:t>
            </w:r>
            <w:r w:rsidR="00A956D3" w:rsidRPr="00EE0831">
              <w:rPr>
                <w:rFonts w:cs="Times New Roman"/>
                <w:iCs/>
                <w:sz w:val="20"/>
                <w:szCs w:val="20"/>
                <w:lang w:val="fr-CA"/>
              </w:rPr>
              <w:t>l)</w:t>
            </w:r>
            <w:r w:rsidR="00A956D3" w:rsidRPr="00EE0831">
              <w:rPr>
                <w:rFonts w:cs="Times New Roman"/>
                <w:sz w:val="20"/>
                <w:szCs w:val="20"/>
                <w:lang w:val="fr-CA"/>
              </w:rPr>
              <w:t>,</w:t>
            </w:r>
          </w:p>
          <w:p w:rsidR="00A956D3" w:rsidRPr="00F660C7" w:rsidRDefault="00A956D3" w:rsidP="008F59A3">
            <w:pPr>
              <w:rPr>
                <w:rFonts w:cs="Times New Roman"/>
                <w:sz w:val="20"/>
                <w:szCs w:val="20"/>
                <w:lang w:val="fr-CA"/>
              </w:rPr>
            </w:pPr>
            <w:r w:rsidRPr="00F660C7">
              <w:rPr>
                <w:rFonts w:cs="Times New Roman"/>
                <w:sz w:val="20"/>
                <w:szCs w:val="20"/>
                <w:lang w:val="fr-CA"/>
              </w:rPr>
              <w:t>201</w:t>
            </w:r>
            <w:r w:rsidR="00F660C7" w:rsidRPr="00F660C7">
              <w:rPr>
                <w:rFonts w:cs="Times New Roman"/>
                <w:sz w:val="20"/>
                <w:szCs w:val="20"/>
                <w:lang w:val="fr-CA"/>
              </w:rPr>
              <w:t>5</w:t>
            </w:r>
            <w:r w:rsidRPr="00F660C7">
              <w:rPr>
                <w:rFonts w:cs="Times New Roman"/>
                <w:sz w:val="20"/>
                <w:szCs w:val="20"/>
                <w:lang w:val="fr-CA"/>
              </w:rPr>
              <w:t xml:space="preserve"> CSC </w:t>
            </w:r>
            <w:r w:rsidR="00F660C7" w:rsidRPr="00F660C7">
              <w:rPr>
                <w:rFonts w:cs="Times New Roman"/>
                <w:sz w:val="20"/>
                <w:szCs w:val="20"/>
                <w:lang w:val="fr-CA"/>
              </w:rPr>
              <w:t>2</w:t>
            </w:r>
            <w:r w:rsidRPr="00F660C7">
              <w:rPr>
                <w:rFonts w:cs="Times New Roman"/>
                <w:sz w:val="20"/>
                <w:szCs w:val="20"/>
                <w:lang w:val="fr-CA"/>
              </w:rPr>
              <w:t>, [201</w:t>
            </w:r>
            <w:r w:rsidR="00F660C7" w:rsidRPr="00F660C7">
              <w:rPr>
                <w:rFonts w:cs="Times New Roman"/>
                <w:sz w:val="20"/>
                <w:szCs w:val="20"/>
                <w:lang w:val="fr-CA"/>
              </w:rPr>
              <w:t>5</w:t>
            </w:r>
            <w:r w:rsidRPr="00F660C7">
              <w:rPr>
                <w:rFonts w:cs="Times New Roman"/>
                <w:sz w:val="20"/>
                <w:szCs w:val="20"/>
                <w:lang w:val="fr-CA"/>
              </w:rPr>
              <w:t xml:space="preserve">] </w:t>
            </w:r>
            <w:r w:rsidR="00F660C7" w:rsidRPr="00F660C7">
              <w:rPr>
                <w:rFonts w:cs="Times New Roman"/>
                <w:sz w:val="20"/>
                <w:szCs w:val="20"/>
                <w:lang w:val="fr-CA"/>
              </w:rPr>
              <w:t>1</w:t>
            </w:r>
            <w:r w:rsidRPr="00F660C7">
              <w:rPr>
                <w:rFonts w:cs="Times New Roman"/>
                <w:sz w:val="20"/>
                <w:szCs w:val="20"/>
                <w:lang w:val="fr-CA"/>
              </w:rPr>
              <w:t xml:space="preserve"> R.C.S. 1</w:t>
            </w:r>
            <w:r w:rsidR="00F660C7" w:rsidRPr="00F660C7">
              <w:rPr>
                <w:rFonts w:cs="Times New Roman"/>
                <w:sz w:val="20"/>
                <w:szCs w:val="20"/>
                <w:lang w:val="fr-CA"/>
              </w:rPr>
              <w:t>2</w:t>
            </w:r>
            <w:r w:rsidRPr="00F660C7">
              <w:rPr>
                <w:rFonts w:cs="Times New Roman"/>
                <w:sz w:val="20"/>
                <w:szCs w:val="20"/>
                <w:lang w:val="fr-CA"/>
              </w:rPr>
              <w:t>5</w:t>
            </w:r>
          </w:p>
          <w:p w:rsidR="00A956D3" w:rsidRPr="00F660C7" w:rsidRDefault="00A956D3" w:rsidP="008F59A3">
            <w:pPr>
              <w:rPr>
                <w:rFonts w:cs="Times New Roman"/>
                <w:iCs/>
                <w:sz w:val="20"/>
                <w:szCs w:val="20"/>
                <w:lang w:val="fr-CA"/>
              </w:rPr>
            </w:pPr>
          </w:p>
          <w:p w:rsidR="00A956D3" w:rsidRPr="00F660C7" w:rsidRDefault="00F660C7" w:rsidP="008F59A3">
            <w:pPr>
              <w:rPr>
                <w:rFonts w:cs="Times New Roman"/>
                <w:sz w:val="20"/>
                <w:szCs w:val="20"/>
                <w:lang w:val="fr-CA"/>
              </w:rPr>
            </w:pPr>
            <w:r w:rsidRPr="00F660C7">
              <w:rPr>
                <w:rFonts w:cs="Times New Roman"/>
                <w:iCs/>
                <w:sz w:val="20"/>
                <w:szCs w:val="20"/>
                <w:lang w:val="fr-CA"/>
              </w:rPr>
              <w:t>Ter</w:t>
            </w:r>
            <w:r w:rsidR="00A956D3" w:rsidRPr="00F660C7">
              <w:rPr>
                <w:rFonts w:cs="Times New Roman"/>
                <w:iCs/>
                <w:sz w:val="20"/>
                <w:szCs w:val="20"/>
                <w:lang w:val="fr-CA"/>
              </w:rPr>
              <w:t>vi</w:t>
            </w:r>
            <w:r w:rsidRPr="00F660C7">
              <w:rPr>
                <w:rFonts w:cs="Times New Roman"/>
                <w:iCs/>
                <w:sz w:val="20"/>
                <w:szCs w:val="20"/>
                <w:lang w:val="fr-CA"/>
              </w:rPr>
              <w:t xml:space="preserve">ta </w:t>
            </w:r>
            <w:r w:rsidR="00A956D3" w:rsidRPr="00F660C7">
              <w:rPr>
                <w:rFonts w:cs="Times New Roman"/>
                <w:iCs/>
                <w:sz w:val="20"/>
                <w:szCs w:val="20"/>
                <w:lang w:val="fr-CA"/>
              </w:rPr>
              <w:t>C</w:t>
            </w:r>
            <w:r w:rsidRPr="00F660C7">
              <w:rPr>
                <w:rFonts w:cs="Times New Roman"/>
                <w:iCs/>
                <w:sz w:val="20"/>
                <w:szCs w:val="20"/>
                <w:lang w:val="fr-CA"/>
              </w:rPr>
              <w:t>o</w:t>
            </w:r>
            <w:r w:rsidR="00A956D3" w:rsidRPr="00F660C7">
              <w:rPr>
                <w:rFonts w:cs="Times New Roman"/>
                <w:iCs/>
                <w:sz w:val="20"/>
                <w:szCs w:val="20"/>
                <w:lang w:val="fr-CA"/>
              </w:rPr>
              <w:t>r</w:t>
            </w:r>
            <w:r w:rsidRPr="00F660C7">
              <w:rPr>
                <w:rFonts w:cs="Times New Roman"/>
                <w:iCs/>
                <w:sz w:val="20"/>
                <w:szCs w:val="20"/>
                <w:lang w:val="fr-CA"/>
              </w:rPr>
              <w:t>p.</w:t>
            </w:r>
            <w:r w:rsidR="00A956D3" w:rsidRPr="00F660C7">
              <w:rPr>
                <w:rFonts w:cs="Times New Roman"/>
                <w:iCs/>
                <w:sz w:val="20"/>
                <w:szCs w:val="20"/>
                <w:lang w:val="fr-CA"/>
              </w:rPr>
              <w:t xml:space="preserve"> </w:t>
            </w:r>
            <w:r w:rsidR="00A956D3" w:rsidRPr="00F660C7">
              <w:rPr>
                <w:rFonts w:cs="Times New Roman"/>
                <w:i/>
                <w:iCs/>
                <w:sz w:val="20"/>
                <w:szCs w:val="20"/>
                <w:lang w:val="fr-CA"/>
              </w:rPr>
              <w:t>c.</w:t>
            </w:r>
            <w:r w:rsidR="00A956D3" w:rsidRPr="00F660C7">
              <w:rPr>
                <w:rFonts w:cs="Times New Roman"/>
                <w:iCs/>
                <w:sz w:val="20"/>
                <w:szCs w:val="20"/>
                <w:lang w:val="fr-CA"/>
              </w:rPr>
              <w:t xml:space="preserve"> Canada</w:t>
            </w:r>
            <w:r w:rsidRPr="00F660C7">
              <w:rPr>
                <w:rFonts w:cs="Times New Roman"/>
                <w:iCs/>
                <w:sz w:val="20"/>
                <w:szCs w:val="20"/>
                <w:lang w:val="fr-CA"/>
              </w:rPr>
              <w:t xml:space="preserve"> (Commissaire de la concurrence)</w:t>
            </w:r>
            <w:r w:rsidR="00A956D3" w:rsidRPr="00F660C7">
              <w:rPr>
                <w:rFonts w:cs="Times New Roman"/>
                <w:iCs/>
                <w:sz w:val="20"/>
                <w:szCs w:val="20"/>
                <w:lang w:val="fr-CA"/>
              </w:rPr>
              <w:t>,</w:t>
            </w:r>
          </w:p>
          <w:p w:rsidR="00A956D3" w:rsidRPr="00F165DA" w:rsidRDefault="00A956D3" w:rsidP="008F59A3">
            <w:pPr>
              <w:rPr>
                <w:rFonts w:cs="Times New Roman"/>
                <w:sz w:val="20"/>
                <w:szCs w:val="20"/>
              </w:rPr>
            </w:pPr>
            <w:r w:rsidRPr="00F165DA">
              <w:rPr>
                <w:rFonts w:cs="Times New Roman"/>
                <w:sz w:val="20"/>
                <w:szCs w:val="20"/>
              </w:rPr>
              <w:t>201</w:t>
            </w:r>
            <w:r w:rsidR="00F660C7" w:rsidRPr="00F165DA">
              <w:rPr>
                <w:rFonts w:cs="Times New Roman"/>
                <w:sz w:val="20"/>
                <w:szCs w:val="20"/>
              </w:rPr>
              <w:t>5</w:t>
            </w:r>
            <w:r w:rsidRPr="00F165DA">
              <w:rPr>
                <w:rFonts w:cs="Times New Roman"/>
                <w:sz w:val="20"/>
                <w:szCs w:val="20"/>
              </w:rPr>
              <w:t xml:space="preserve"> CSC </w:t>
            </w:r>
            <w:r w:rsidR="00F660C7" w:rsidRPr="00F165DA">
              <w:rPr>
                <w:rFonts w:cs="Times New Roman"/>
                <w:sz w:val="20"/>
                <w:szCs w:val="20"/>
              </w:rPr>
              <w:t>3</w:t>
            </w:r>
            <w:r w:rsidRPr="00F165DA">
              <w:rPr>
                <w:rFonts w:cs="Times New Roman"/>
                <w:sz w:val="20"/>
                <w:szCs w:val="20"/>
              </w:rPr>
              <w:t>, [201</w:t>
            </w:r>
            <w:r w:rsidR="00F660C7" w:rsidRPr="00F165DA">
              <w:rPr>
                <w:rFonts w:cs="Times New Roman"/>
                <w:sz w:val="20"/>
                <w:szCs w:val="20"/>
              </w:rPr>
              <w:t>5</w:t>
            </w:r>
            <w:r w:rsidRPr="00F165DA">
              <w:rPr>
                <w:rFonts w:cs="Times New Roman"/>
                <w:sz w:val="20"/>
                <w:szCs w:val="20"/>
              </w:rPr>
              <w:t xml:space="preserve">] </w:t>
            </w:r>
            <w:r w:rsidR="00F660C7" w:rsidRPr="00F165DA">
              <w:rPr>
                <w:rFonts w:cs="Times New Roman"/>
                <w:sz w:val="20"/>
                <w:szCs w:val="20"/>
              </w:rPr>
              <w:t>1</w:t>
            </w:r>
            <w:r w:rsidRPr="00F165DA">
              <w:rPr>
                <w:rFonts w:cs="Times New Roman"/>
                <w:sz w:val="20"/>
                <w:szCs w:val="20"/>
              </w:rPr>
              <w:t xml:space="preserve"> R.C.S. 1</w:t>
            </w:r>
            <w:r w:rsidR="00F660C7" w:rsidRPr="00F165DA">
              <w:rPr>
                <w:rFonts w:cs="Times New Roman"/>
                <w:sz w:val="20"/>
                <w:szCs w:val="20"/>
              </w:rPr>
              <w:t>6</w:t>
            </w:r>
            <w:r w:rsidRPr="00F165DA">
              <w:rPr>
                <w:rFonts w:cs="Times New Roman"/>
                <w:sz w:val="20"/>
                <w:szCs w:val="20"/>
              </w:rPr>
              <w:t>1</w:t>
            </w:r>
          </w:p>
          <w:p w:rsidR="00A956D3" w:rsidRPr="00F165DA" w:rsidRDefault="00A956D3" w:rsidP="008F59A3">
            <w:pPr>
              <w:rPr>
                <w:rFonts w:cs="Times New Roman"/>
                <w:iCs/>
                <w:sz w:val="20"/>
                <w:szCs w:val="20"/>
              </w:rPr>
            </w:pPr>
          </w:p>
          <w:p w:rsidR="00A956D3" w:rsidRPr="00DD0B49" w:rsidRDefault="00F165DA" w:rsidP="008F59A3">
            <w:pPr>
              <w:rPr>
                <w:rFonts w:cs="Times New Roman"/>
                <w:iCs/>
                <w:sz w:val="20"/>
                <w:szCs w:val="20"/>
                <w:lang w:val="en-GB"/>
              </w:rPr>
            </w:pPr>
            <w:r>
              <w:rPr>
                <w:rFonts w:cs="Times New Roman"/>
                <w:sz w:val="20"/>
                <w:szCs w:val="20"/>
                <w:lang w:val="en-GB"/>
              </w:rPr>
              <w:t>Saskatchewan Federation of Labour</w:t>
            </w:r>
            <w:r w:rsidR="00A956D3" w:rsidRPr="00DD0B49">
              <w:rPr>
                <w:rFonts w:cs="Times New Roman"/>
                <w:sz w:val="20"/>
                <w:szCs w:val="20"/>
                <w:lang w:val="en-GB"/>
              </w:rPr>
              <w:t xml:space="preserve"> </w:t>
            </w:r>
            <w:r w:rsidR="00A956D3">
              <w:rPr>
                <w:rFonts w:cs="Times New Roman"/>
                <w:i/>
                <w:iCs/>
                <w:sz w:val="20"/>
                <w:szCs w:val="20"/>
                <w:lang w:val="en-GB"/>
              </w:rPr>
              <w:t>c</w:t>
            </w:r>
            <w:r w:rsidR="00A956D3" w:rsidRPr="00DD0B49">
              <w:rPr>
                <w:rFonts w:cs="Times New Roman"/>
                <w:i/>
                <w:iCs/>
                <w:sz w:val="20"/>
                <w:szCs w:val="20"/>
                <w:lang w:val="en-GB"/>
              </w:rPr>
              <w:t>.</w:t>
            </w:r>
            <w:r w:rsidR="00A956D3" w:rsidRPr="00DD0B49">
              <w:rPr>
                <w:rFonts w:cs="Times New Roman"/>
                <w:sz w:val="20"/>
                <w:szCs w:val="20"/>
                <w:lang w:val="en-GB"/>
              </w:rPr>
              <w:t xml:space="preserve"> </w:t>
            </w:r>
            <w:r>
              <w:rPr>
                <w:rFonts w:cs="Times New Roman"/>
                <w:sz w:val="20"/>
                <w:szCs w:val="20"/>
                <w:lang w:val="en-GB"/>
              </w:rPr>
              <w:t>Saskatchewan</w:t>
            </w:r>
            <w:r w:rsidR="00A956D3" w:rsidRPr="00DD0B49">
              <w:rPr>
                <w:rFonts w:cs="Times New Roman"/>
                <w:iCs/>
                <w:sz w:val="20"/>
                <w:szCs w:val="20"/>
                <w:lang w:val="en-GB"/>
              </w:rPr>
              <w:t>,</w:t>
            </w:r>
          </w:p>
          <w:p w:rsidR="00A956D3" w:rsidRPr="00DD0B49" w:rsidRDefault="00A956D3" w:rsidP="008F59A3">
            <w:pPr>
              <w:rPr>
                <w:rFonts w:cs="Times New Roman"/>
                <w:sz w:val="20"/>
                <w:szCs w:val="20"/>
                <w:lang w:val="en-GB"/>
              </w:rPr>
            </w:pPr>
            <w:r w:rsidRPr="00DD0B49">
              <w:rPr>
                <w:rFonts w:cs="Times New Roman"/>
                <w:sz w:val="20"/>
                <w:szCs w:val="20"/>
                <w:lang w:val="en-GB"/>
              </w:rPr>
              <w:t>201</w:t>
            </w:r>
            <w:r w:rsidR="00F165DA">
              <w:rPr>
                <w:rFonts w:cs="Times New Roman"/>
                <w:sz w:val="20"/>
                <w:szCs w:val="20"/>
                <w:lang w:val="en-GB"/>
              </w:rPr>
              <w:t>5</w:t>
            </w:r>
            <w:r w:rsidRPr="00DD0B49">
              <w:rPr>
                <w:rFonts w:cs="Times New Roman"/>
                <w:sz w:val="20"/>
                <w:szCs w:val="20"/>
                <w:lang w:val="en-GB"/>
              </w:rPr>
              <w:t xml:space="preserve"> CSC </w:t>
            </w:r>
            <w:r>
              <w:rPr>
                <w:rFonts w:cs="Times New Roman"/>
                <w:sz w:val="20"/>
                <w:szCs w:val="20"/>
                <w:lang w:val="en-GB"/>
              </w:rPr>
              <w:t>4</w:t>
            </w:r>
            <w:r w:rsidRPr="00DD0B49">
              <w:rPr>
                <w:rFonts w:cs="Times New Roman"/>
                <w:sz w:val="20"/>
                <w:szCs w:val="20"/>
                <w:lang w:val="en-GB"/>
              </w:rPr>
              <w:t>, [201</w:t>
            </w:r>
            <w:r w:rsidR="00F660C7">
              <w:rPr>
                <w:rFonts w:cs="Times New Roman"/>
                <w:sz w:val="20"/>
                <w:szCs w:val="20"/>
                <w:lang w:val="en-GB"/>
              </w:rPr>
              <w:t>5</w:t>
            </w:r>
            <w:r w:rsidRPr="00DD0B49">
              <w:rPr>
                <w:rFonts w:cs="Times New Roman"/>
                <w:sz w:val="20"/>
                <w:szCs w:val="20"/>
                <w:lang w:val="en-GB"/>
              </w:rPr>
              <w:t xml:space="preserve">] </w:t>
            </w:r>
            <w:r w:rsidR="00F660C7">
              <w:rPr>
                <w:rFonts w:cs="Times New Roman"/>
                <w:sz w:val="20"/>
                <w:szCs w:val="20"/>
                <w:lang w:val="en-GB"/>
              </w:rPr>
              <w:t>1</w:t>
            </w:r>
            <w:r w:rsidRPr="00DD0B49">
              <w:rPr>
                <w:rFonts w:cs="Times New Roman"/>
                <w:sz w:val="20"/>
                <w:szCs w:val="20"/>
                <w:lang w:val="en-GB"/>
              </w:rPr>
              <w:t xml:space="preserve"> R.C.S. </w:t>
            </w:r>
            <w:r w:rsidR="00F165DA">
              <w:rPr>
                <w:rFonts w:cs="Times New Roman"/>
                <w:sz w:val="20"/>
                <w:szCs w:val="20"/>
                <w:lang w:val="en-GB"/>
              </w:rPr>
              <w:t>24</w:t>
            </w:r>
            <w:r>
              <w:rPr>
                <w:rFonts w:cs="Times New Roman"/>
                <w:sz w:val="20"/>
                <w:szCs w:val="20"/>
                <w:lang w:val="en-GB"/>
              </w:rPr>
              <w:t>5</w:t>
            </w:r>
          </w:p>
          <w:p w:rsidR="00A956D3" w:rsidRPr="00FF4756" w:rsidRDefault="00A956D3" w:rsidP="008F59A3">
            <w:pPr>
              <w:keepNext/>
              <w:keepLines/>
              <w:rPr>
                <w:rFonts w:cs="Times New Roman"/>
                <w:bCs/>
                <w:sz w:val="20"/>
                <w:szCs w:val="20"/>
              </w:rPr>
            </w:pPr>
          </w:p>
          <w:p w:rsidR="00A956D3" w:rsidRDefault="00310DA4" w:rsidP="00D21BEF">
            <w:pPr>
              <w:rPr>
                <w:rFonts w:cs="Times New Roman"/>
                <w:sz w:val="20"/>
                <w:szCs w:val="20"/>
              </w:rPr>
            </w:pPr>
            <w:r>
              <w:rPr>
                <w:rFonts w:cs="Times New Roman"/>
                <w:sz w:val="20"/>
                <w:szCs w:val="20"/>
              </w:rPr>
              <w:pict>
                <v:rect id="_x0000_i1069" style="width:129.6pt;height:1pt" o:hrpct="600" o:hralign="center" o:hrstd="t" o:hrnoshade="t" o:hr="t" fillcolor="black [3213]" stroked="f"/>
              </w:pict>
            </w:r>
          </w:p>
          <w:p w:rsidR="00D21BEF" w:rsidRPr="00DD0B49" w:rsidRDefault="00D21BEF" w:rsidP="00D21BEF">
            <w:pPr>
              <w:rPr>
                <w:rFonts w:cs="Times New Roman"/>
                <w:bCs/>
                <w:sz w:val="20"/>
                <w:szCs w:val="20"/>
                <w:lang w:val="fr-CA"/>
              </w:rPr>
            </w:pPr>
          </w:p>
        </w:tc>
      </w:tr>
    </w:tbl>
    <w:p w:rsidR="00A956D3" w:rsidRDefault="00A956D3" w:rsidP="00A956D3">
      <w:pPr>
        <w:rPr>
          <w:sz w:val="20"/>
          <w:szCs w:val="20"/>
          <w:lang w:val="fr-CA"/>
        </w:rPr>
      </w:pPr>
    </w:p>
    <w:p w:rsidR="00D21BEF" w:rsidRDefault="00D21BEF" w:rsidP="00A956D3">
      <w:pPr>
        <w:rPr>
          <w:sz w:val="20"/>
          <w:szCs w:val="20"/>
          <w:lang w:val="fr-CA"/>
        </w:rPr>
      </w:pPr>
    </w:p>
    <w:p w:rsidR="00D21BEF" w:rsidRDefault="00D21BEF" w:rsidP="00A956D3">
      <w:pPr>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20"/>
        <w:gridCol w:w="840"/>
        <w:gridCol w:w="4320"/>
      </w:tblGrid>
      <w:tr w:rsidR="00A956D3" w:rsidRPr="00310DA4" w:rsidTr="008F59A3">
        <w:trPr>
          <w:cantSplit/>
          <w:trHeight w:val="1152"/>
        </w:trPr>
        <w:tc>
          <w:tcPr>
            <w:tcW w:w="4320" w:type="dxa"/>
            <w:tcBorders>
              <w:top w:val="nil"/>
              <w:left w:val="nil"/>
              <w:bottom w:val="nil"/>
              <w:right w:val="nil"/>
            </w:tcBorders>
          </w:tcPr>
          <w:p w:rsidR="00A956D3" w:rsidRPr="00DD0B49" w:rsidRDefault="00A956D3" w:rsidP="008F59A3">
            <w:pPr>
              <w:keepNext/>
              <w:keepLines/>
              <w:jc w:val="both"/>
              <w:rPr>
                <w:rFonts w:cs="Times New Roman"/>
                <w:sz w:val="20"/>
                <w:szCs w:val="20"/>
                <w:lang w:val="en-GB"/>
              </w:rPr>
            </w:pPr>
            <w:r w:rsidRPr="00DD0B49">
              <w:rPr>
                <w:rFonts w:cs="Times New Roman"/>
                <w:b/>
                <w:bCs/>
                <w:sz w:val="20"/>
                <w:szCs w:val="20"/>
                <w:lang w:val="en-GB"/>
              </w:rPr>
              <w:t>THE STYLES OF CAUSE IN THE PRESENT TABLE ARE THE STANDARDIZED STYLES OF CAUSE (AS EXPRESSED UNDER THE "INDEXED AS" ENTRY IN EACH CASE).</w:t>
            </w:r>
          </w:p>
        </w:tc>
        <w:tc>
          <w:tcPr>
            <w:tcW w:w="840" w:type="dxa"/>
            <w:tcBorders>
              <w:top w:val="nil"/>
              <w:left w:val="nil"/>
              <w:bottom w:val="nil"/>
              <w:right w:val="nil"/>
            </w:tcBorders>
          </w:tcPr>
          <w:p w:rsidR="00A956D3" w:rsidRPr="00DD0B49" w:rsidRDefault="00A956D3" w:rsidP="008F59A3">
            <w:pPr>
              <w:rPr>
                <w:rFonts w:cs="Times New Roman"/>
                <w:b/>
                <w:bCs/>
                <w:sz w:val="20"/>
                <w:szCs w:val="20"/>
                <w:lang w:val="en-GB"/>
              </w:rPr>
            </w:pPr>
          </w:p>
        </w:tc>
        <w:tc>
          <w:tcPr>
            <w:tcW w:w="4320" w:type="dxa"/>
            <w:tcBorders>
              <w:top w:val="nil"/>
              <w:left w:val="nil"/>
              <w:bottom w:val="nil"/>
              <w:right w:val="nil"/>
            </w:tcBorders>
          </w:tcPr>
          <w:p w:rsidR="00A956D3" w:rsidRPr="00DD0B49" w:rsidRDefault="00A956D3" w:rsidP="008F59A3">
            <w:pPr>
              <w:keepNext/>
              <w:keepLines/>
              <w:jc w:val="both"/>
              <w:rPr>
                <w:rFonts w:cs="Times New Roman"/>
                <w:b/>
                <w:bCs/>
                <w:sz w:val="20"/>
                <w:szCs w:val="20"/>
                <w:lang w:val="fr-CA"/>
              </w:rPr>
            </w:pPr>
            <w:r w:rsidRPr="00DD0B49">
              <w:rPr>
                <w:rFonts w:cs="Times New Roman"/>
                <w:b/>
                <w:bCs/>
                <w:sz w:val="20"/>
                <w:szCs w:val="20"/>
                <w:lang w:val="fr-CA"/>
              </w:rPr>
              <w:t>LES INTITULÉS UTILISÉS DANS CETTE TABLE SONT LES INTITULÉS NORMALISÉS DE LA RUBRIQUE "RÉPERTORIÉ" DANS CHAQUE ARRÊT.</w:t>
            </w:r>
          </w:p>
        </w:tc>
      </w:tr>
      <w:tr w:rsidR="00A956D3" w:rsidRPr="00DD0B49" w:rsidTr="008F59A3">
        <w:tc>
          <w:tcPr>
            <w:tcW w:w="4320" w:type="dxa"/>
            <w:tcBorders>
              <w:top w:val="nil"/>
              <w:left w:val="nil"/>
              <w:bottom w:val="nil"/>
              <w:right w:val="nil"/>
            </w:tcBorders>
          </w:tcPr>
          <w:p w:rsidR="00A956D3" w:rsidRPr="00DD0B49" w:rsidRDefault="00A956D3" w:rsidP="008F59A3">
            <w:pPr>
              <w:rPr>
                <w:rFonts w:cs="Times New Roman"/>
                <w:sz w:val="20"/>
                <w:szCs w:val="20"/>
                <w:lang w:val="en-GB"/>
              </w:rPr>
            </w:pPr>
            <w:r w:rsidRPr="00DD0B49">
              <w:rPr>
                <w:rFonts w:cs="Times New Roman"/>
                <w:b/>
                <w:bCs/>
                <w:sz w:val="20"/>
                <w:szCs w:val="20"/>
                <w:lang w:val="en-GB"/>
              </w:rPr>
              <w:t>Judgments reported in [201</w:t>
            </w:r>
            <w:r w:rsidR="00F165DA">
              <w:rPr>
                <w:rFonts w:cs="Times New Roman"/>
                <w:b/>
                <w:bCs/>
                <w:sz w:val="20"/>
                <w:szCs w:val="20"/>
                <w:lang w:val="en-GB"/>
              </w:rPr>
              <w:t>5</w:t>
            </w:r>
            <w:r w:rsidRPr="00DD0B49">
              <w:rPr>
                <w:rFonts w:cs="Times New Roman"/>
                <w:b/>
                <w:bCs/>
                <w:sz w:val="20"/>
                <w:szCs w:val="20"/>
                <w:lang w:val="en-GB"/>
              </w:rPr>
              <w:t xml:space="preserve">] </w:t>
            </w:r>
            <w:r w:rsidR="00F165DA">
              <w:rPr>
                <w:rFonts w:cs="Times New Roman"/>
                <w:b/>
                <w:bCs/>
                <w:sz w:val="20"/>
                <w:szCs w:val="20"/>
                <w:lang w:val="en-GB"/>
              </w:rPr>
              <w:t>1</w:t>
            </w:r>
            <w:r w:rsidRPr="00DD0B49">
              <w:rPr>
                <w:rFonts w:cs="Times New Roman"/>
                <w:b/>
                <w:bCs/>
                <w:sz w:val="20"/>
                <w:szCs w:val="20"/>
                <w:lang w:val="en-GB"/>
              </w:rPr>
              <w:t xml:space="preserve"> S.C.R. Part </w:t>
            </w:r>
            <w:r>
              <w:rPr>
                <w:rFonts w:cs="Times New Roman"/>
                <w:b/>
                <w:bCs/>
                <w:sz w:val="20"/>
                <w:szCs w:val="20"/>
                <w:lang w:val="en-GB"/>
              </w:rPr>
              <w:t>2</w:t>
            </w:r>
          </w:p>
          <w:p w:rsidR="00A956D3" w:rsidRPr="00DD0B49" w:rsidRDefault="00A956D3" w:rsidP="008F59A3">
            <w:pPr>
              <w:rPr>
                <w:rFonts w:cs="Times New Roman"/>
                <w:sz w:val="20"/>
                <w:szCs w:val="20"/>
                <w:lang w:val="en-GB"/>
              </w:rPr>
            </w:pPr>
          </w:p>
          <w:p w:rsidR="00A956D3" w:rsidRPr="00DD0B49" w:rsidRDefault="00A956D3" w:rsidP="008F59A3">
            <w:pPr>
              <w:rPr>
                <w:rFonts w:cs="Times New Roman"/>
                <w:sz w:val="20"/>
                <w:szCs w:val="20"/>
                <w:lang w:val="en-GB"/>
              </w:rPr>
            </w:pPr>
            <w:r>
              <w:rPr>
                <w:rFonts w:cs="Times New Roman"/>
                <w:sz w:val="20"/>
                <w:szCs w:val="20"/>
                <w:lang w:val="en-GB"/>
              </w:rPr>
              <w:t>Ca</w:t>
            </w:r>
            <w:r w:rsidR="002717DD">
              <w:rPr>
                <w:rFonts w:cs="Times New Roman"/>
                <w:sz w:val="20"/>
                <w:szCs w:val="20"/>
                <w:lang w:val="en-GB"/>
              </w:rPr>
              <w:t>r</w:t>
            </w:r>
            <w:r>
              <w:rPr>
                <w:rFonts w:cs="Times New Roman"/>
                <w:sz w:val="20"/>
                <w:szCs w:val="20"/>
                <w:lang w:val="en-GB"/>
              </w:rPr>
              <w:t>t</w:t>
            </w:r>
            <w:r w:rsidR="002717DD">
              <w:rPr>
                <w:rFonts w:cs="Times New Roman"/>
                <w:sz w:val="20"/>
                <w:szCs w:val="20"/>
                <w:lang w:val="en-GB"/>
              </w:rPr>
              <w:t xml:space="preserve">er </w:t>
            </w:r>
            <w:r w:rsidRPr="00DD0B49">
              <w:rPr>
                <w:rFonts w:cs="Times New Roman"/>
                <w:i/>
                <w:sz w:val="20"/>
                <w:szCs w:val="20"/>
                <w:lang w:val="en-GB"/>
              </w:rPr>
              <w:t>v.</w:t>
            </w:r>
            <w:r w:rsidRPr="00DD0B49">
              <w:rPr>
                <w:rFonts w:cs="Times New Roman"/>
                <w:sz w:val="20"/>
                <w:szCs w:val="20"/>
                <w:lang w:val="en-GB"/>
              </w:rPr>
              <w:t xml:space="preserve"> </w:t>
            </w:r>
            <w:r w:rsidR="002717DD">
              <w:rPr>
                <w:rFonts w:cs="Times New Roman"/>
                <w:sz w:val="20"/>
                <w:szCs w:val="20"/>
                <w:lang w:val="en-GB"/>
              </w:rPr>
              <w:t>Ca</w:t>
            </w:r>
            <w:r>
              <w:rPr>
                <w:rFonts w:cs="Times New Roman"/>
                <w:sz w:val="20"/>
                <w:szCs w:val="20"/>
                <w:lang w:val="en-GB"/>
              </w:rPr>
              <w:t>na</w:t>
            </w:r>
            <w:r w:rsidR="002717DD">
              <w:rPr>
                <w:rFonts w:cs="Times New Roman"/>
                <w:sz w:val="20"/>
                <w:szCs w:val="20"/>
                <w:lang w:val="en-GB"/>
              </w:rPr>
              <w:t>da</w:t>
            </w:r>
            <w:r>
              <w:rPr>
                <w:rFonts w:cs="Times New Roman"/>
                <w:sz w:val="20"/>
                <w:szCs w:val="20"/>
                <w:lang w:val="en-GB"/>
              </w:rPr>
              <w:t xml:space="preserve"> (</w:t>
            </w:r>
            <w:r w:rsidR="002717DD">
              <w:rPr>
                <w:rFonts w:cs="Times New Roman"/>
                <w:sz w:val="20"/>
                <w:szCs w:val="20"/>
                <w:lang w:val="en-GB"/>
              </w:rPr>
              <w:t>Att</w:t>
            </w:r>
            <w:r>
              <w:rPr>
                <w:rFonts w:cs="Times New Roman"/>
                <w:sz w:val="20"/>
                <w:szCs w:val="20"/>
                <w:lang w:val="en-GB"/>
              </w:rPr>
              <w:t>o</w:t>
            </w:r>
            <w:r w:rsidR="002717DD">
              <w:rPr>
                <w:rFonts w:cs="Times New Roman"/>
                <w:sz w:val="20"/>
                <w:szCs w:val="20"/>
                <w:lang w:val="en-GB"/>
              </w:rPr>
              <w:t>r</w:t>
            </w:r>
            <w:r>
              <w:rPr>
                <w:rFonts w:cs="Times New Roman"/>
                <w:sz w:val="20"/>
                <w:szCs w:val="20"/>
                <w:lang w:val="en-GB"/>
              </w:rPr>
              <w:t>n</w:t>
            </w:r>
            <w:r w:rsidR="002717DD">
              <w:rPr>
                <w:rFonts w:cs="Times New Roman"/>
                <w:sz w:val="20"/>
                <w:szCs w:val="20"/>
                <w:lang w:val="en-GB"/>
              </w:rPr>
              <w:t>ey Ge</w:t>
            </w:r>
            <w:r>
              <w:rPr>
                <w:rFonts w:cs="Times New Roman"/>
                <w:sz w:val="20"/>
                <w:szCs w:val="20"/>
                <w:lang w:val="en-GB"/>
              </w:rPr>
              <w:t>n</w:t>
            </w:r>
            <w:r w:rsidR="002717DD">
              <w:rPr>
                <w:rFonts w:cs="Times New Roman"/>
                <w:sz w:val="20"/>
                <w:szCs w:val="20"/>
                <w:lang w:val="en-GB"/>
              </w:rPr>
              <w:t>eral</w:t>
            </w:r>
            <w:r>
              <w:rPr>
                <w:rFonts w:cs="Times New Roman"/>
                <w:sz w:val="20"/>
                <w:szCs w:val="20"/>
                <w:lang w:val="en-GB"/>
              </w:rPr>
              <w:t>)</w:t>
            </w:r>
            <w:r w:rsidRPr="00DD0B49">
              <w:rPr>
                <w:rFonts w:cs="Times New Roman"/>
                <w:sz w:val="20"/>
                <w:szCs w:val="20"/>
                <w:lang w:val="en-GB"/>
              </w:rPr>
              <w:t>,</w:t>
            </w:r>
          </w:p>
          <w:p w:rsidR="00A956D3" w:rsidRPr="00CE4499" w:rsidRDefault="00A956D3" w:rsidP="008F59A3">
            <w:pPr>
              <w:rPr>
                <w:rFonts w:cs="Times New Roman"/>
                <w:sz w:val="20"/>
                <w:szCs w:val="20"/>
              </w:rPr>
            </w:pPr>
            <w:r w:rsidRPr="00CE4499">
              <w:rPr>
                <w:rFonts w:cs="Times New Roman"/>
                <w:sz w:val="20"/>
                <w:szCs w:val="20"/>
              </w:rPr>
              <w:t>201</w:t>
            </w:r>
            <w:r w:rsidR="00F165DA" w:rsidRPr="00CE4499">
              <w:rPr>
                <w:rFonts w:cs="Times New Roman"/>
                <w:sz w:val="20"/>
                <w:szCs w:val="20"/>
              </w:rPr>
              <w:t>5</w:t>
            </w:r>
            <w:r w:rsidRPr="00CE4499">
              <w:rPr>
                <w:rFonts w:cs="Times New Roman"/>
                <w:sz w:val="20"/>
                <w:szCs w:val="20"/>
              </w:rPr>
              <w:t xml:space="preserve"> SCC 5, [201</w:t>
            </w:r>
            <w:r w:rsidR="00F165DA" w:rsidRPr="00CE4499">
              <w:rPr>
                <w:rFonts w:cs="Times New Roman"/>
                <w:sz w:val="20"/>
                <w:szCs w:val="20"/>
              </w:rPr>
              <w:t>5</w:t>
            </w:r>
            <w:r w:rsidRPr="00CE4499">
              <w:rPr>
                <w:rFonts w:cs="Times New Roman"/>
                <w:sz w:val="20"/>
                <w:szCs w:val="20"/>
              </w:rPr>
              <w:t xml:space="preserve">] </w:t>
            </w:r>
            <w:r w:rsidR="00F165DA" w:rsidRPr="00CE4499">
              <w:rPr>
                <w:rFonts w:cs="Times New Roman"/>
                <w:sz w:val="20"/>
                <w:szCs w:val="20"/>
              </w:rPr>
              <w:t>1</w:t>
            </w:r>
            <w:r w:rsidRPr="00CE4499">
              <w:rPr>
                <w:rFonts w:cs="Times New Roman"/>
                <w:sz w:val="20"/>
                <w:szCs w:val="20"/>
              </w:rPr>
              <w:t xml:space="preserve"> S.C.R. 33</w:t>
            </w:r>
            <w:r w:rsidR="002717DD" w:rsidRPr="00CE4499">
              <w:rPr>
                <w:rFonts w:cs="Times New Roman"/>
                <w:sz w:val="20"/>
                <w:szCs w:val="20"/>
              </w:rPr>
              <w:t>1</w:t>
            </w:r>
          </w:p>
          <w:p w:rsidR="00A956D3" w:rsidRPr="00CE4499" w:rsidRDefault="00A956D3" w:rsidP="008F59A3">
            <w:pPr>
              <w:rPr>
                <w:rFonts w:cs="Times New Roman"/>
                <w:sz w:val="20"/>
                <w:szCs w:val="20"/>
              </w:rPr>
            </w:pPr>
          </w:p>
          <w:p w:rsidR="00A956D3" w:rsidRPr="002717DD" w:rsidRDefault="002717DD" w:rsidP="008F59A3">
            <w:pPr>
              <w:rPr>
                <w:rFonts w:cs="Times New Roman"/>
                <w:sz w:val="20"/>
                <w:szCs w:val="20"/>
              </w:rPr>
            </w:pPr>
            <w:r w:rsidRPr="002717DD">
              <w:rPr>
                <w:rFonts w:cs="Times New Roman"/>
                <w:sz w:val="20"/>
                <w:szCs w:val="20"/>
              </w:rPr>
              <w:t>R.</w:t>
            </w:r>
            <w:r w:rsidR="00A956D3" w:rsidRPr="002717DD">
              <w:rPr>
                <w:rFonts w:cs="Times New Roman"/>
                <w:sz w:val="20"/>
                <w:szCs w:val="20"/>
              </w:rPr>
              <w:t xml:space="preserve"> </w:t>
            </w:r>
            <w:r w:rsidR="00A956D3" w:rsidRPr="002717DD">
              <w:rPr>
                <w:rFonts w:cs="Times New Roman"/>
                <w:i/>
                <w:sz w:val="20"/>
                <w:szCs w:val="20"/>
              </w:rPr>
              <w:t>v.</w:t>
            </w:r>
            <w:r w:rsidR="00A956D3" w:rsidRPr="002717DD">
              <w:rPr>
                <w:rFonts w:cs="Times New Roman"/>
                <w:sz w:val="20"/>
                <w:szCs w:val="20"/>
              </w:rPr>
              <w:t xml:space="preserve"> </w:t>
            </w:r>
            <w:r w:rsidRPr="002717DD">
              <w:rPr>
                <w:rFonts w:cs="Times New Roman"/>
                <w:sz w:val="20"/>
                <w:szCs w:val="20"/>
              </w:rPr>
              <w:t>G</w:t>
            </w:r>
            <w:r w:rsidR="00A956D3" w:rsidRPr="002717DD">
              <w:rPr>
                <w:rFonts w:cs="Times New Roman"/>
                <w:sz w:val="20"/>
                <w:szCs w:val="20"/>
              </w:rPr>
              <w:t>o</w:t>
            </w:r>
            <w:r w:rsidRPr="002717DD">
              <w:rPr>
                <w:rFonts w:cs="Times New Roman"/>
                <w:sz w:val="20"/>
                <w:szCs w:val="20"/>
              </w:rPr>
              <w:t>lesk</w:t>
            </w:r>
            <w:r w:rsidR="00A956D3" w:rsidRPr="002717DD">
              <w:rPr>
                <w:rFonts w:cs="Times New Roman"/>
                <w:sz w:val="20"/>
                <w:szCs w:val="20"/>
              </w:rPr>
              <w:t>i,</w:t>
            </w:r>
          </w:p>
          <w:p w:rsidR="00A956D3" w:rsidRPr="00E240C2" w:rsidRDefault="00A956D3" w:rsidP="008F59A3">
            <w:pPr>
              <w:rPr>
                <w:rFonts w:cs="Times New Roman"/>
                <w:sz w:val="20"/>
                <w:szCs w:val="20"/>
                <w:lang w:val="en-GB"/>
              </w:rPr>
            </w:pPr>
            <w:r w:rsidRPr="00E240C2">
              <w:rPr>
                <w:rFonts w:cs="Times New Roman"/>
                <w:sz w:val="20"/>
                <w:szCs w:val="20"/>
                <w:lang w:val="en-GB"/>
              </w:rPr>
              <w:t>201</w:t>
            </w:r>
            <w:r w:rsidR="00F165DA">
              <w:rPr>
                <w:rFonts w:cs="Times New Roman"/>
                <w:sz w:val="20"/>
                <w:szCs w:val="20"/>
                <w:lang w:val="en-GB"/>
              </w:rPr>
              <w:t>5</w:t>
            </w:r>
            <w:r w:rsidRPr="00E240C2">
              <w:rPr>
                <w:rFonts w:cs="Times New Roman"/>
                <w:sz w:val="20"/>
                <w:szCs w:val="20"/>
                <w:lang w:val="en-GB"/>
              </w:rPr>
              <w:t xml:space="preserve"> SCC </w:t>
            </w:r>
            <w:r w:rsidR="00F165DA">
              <w:rPr>
                <w:rFonts w:cs="Times New Roman"/>
                <w:sz w:val="20"/>
                <w:szCs w:val="20"/>
                <w:lang w:val="en-GB"/>
              </w:rPr>
              <w:t>6</w:t>
            </w:r>
            <w:r w:rsidRPr="00E240C2">
              <w:rPr>
                <w:rFonts w:cs="Times New Roman"/>
                <w:sz w:val="20"/>
                <w:szCs w:val="20"/>
                <w:lang w:val="en-GB"/>
              </w:rPr>
              <w:t>, [201</w:t>
            </w:r>
            <w:r w:rsidR="00F165DA">
              <w:rPr>
                <w:rFonts w:cs="Times New Roman"/>
                <w:sz w:val="20"/>
                <w:szCs w:val="20"/>
                <w:lang w:val="en-GB"/>
              </w:rPr>
              <w:t>5</w:t>
            </w:r>
            <w:r w:rsidRPr="00E240C2">
              <w:rPr>
                <w:rFonts w:cs="Times New Roman"/>
                <w:sz w:val="20"/>
                <w:szCs w:val="20"/>
                <w:lang w:val="en-GB"/>
              </w:rPr>
              <w:t xml:space="preserve">] </w:t>
            </w:r>
            <w:r w:rsidR="00F165DA">
              <w:rPr>
                <w:rFonts w:cs="Times New Roman"/>
                <w:sz w:val="20"/>
                <w:szCs w:val="20"/>
                <w:lang w:val="en-GB"/>
              </w:rPr>
              <w:t>1</w:t>
            </w:r>
            <w:r w:rsidRPr="00E240C2">
              <w:rPr>
                <w:rFonts w:cs="Times New Roman"/>
                <w:sz w:val="20"/>
                <w:szCs w:val="20"/>
                <w:lang w:val="en-GB"/>
              </w:rPr>
              <w:t xml:space="preserve"> S.C.R. 3</w:t>
            </w:r>
            <w:r w:rsidR="002717DD">
              <w:rPr>
                <w:rFonts w:cs="Times New Roman"/>
                <w:sz w:val="20"/>
                <w:szCs w:val="20"/>
                <w:lang w:val="en-GB"/>
              </w:rPr>
              <w:t>99</w:t>
            </w:r>
          </w:p>
          <w:p w:rsidR="00A956D3" w:rsidRPr="00E240C2" w:rsidRDefault="00A956D3" w:rsidP="008F59A3">
            <w:pPr>
              <w:rPr>
                <w:rFonts w:cs="Times New Roman"/>
                <w:sz w:val="20"/>
                <w:szCs w:val="20"/>
                <w:lang w:val="en-GB"/>
              </w:rPr>
            </w:pPr>
          </w:p>
          <w:p w:rsidR="00A956D3" w:rsidRPr="002717DD" w:rsidRDefault="002717DD" w:rsidP="008F59A3">
            <w:pPr>
              <w:rPr>
                <w:rFonts w:cs="Times New Roman"/>
                <w:sz w:val="20"/>
                <w:szCs w:val="20"/>
              </w:rPr>
            </w:pPr>
            <w:r w:rsidRPr="002717DD">
              <w:rPr>
                <w:rFonts w:cs="Times New Roman"/>
                <w:sz w:val="20"/>
                <w:szCs w:val="20"/>
              </w:rPr>
              <w:t>Canada (Att</w:t>
            </w:r>
            <w:r w:rsidR="00A956D3" w:rsidRPr="002717DD">
              <w:rPr>
                <w:rFonts w:cs="Times New Roman"/>
                <w:sz w:val="20"/>
                <w:szCs w:val="20"/>
              </w:rPr>
              <w:t>o</w:t>
            </w:r>
            <w:r w:rsidRPr="002717DD">
              <w:rPr>
                <w:rFonts w:cs="Times New Roman"/>
                <w:sz w:val="20"/>
                <w:szCs w:val="20"/>
              </w:rPr>
              <w:t>r</w:t>
            </w:r>
            <w:r w:rsidR="00A956D3" w:rsidRPr="002717DD">
              <w:rPr>
                <w:rFonts w:cs="Times New Roman"/>
                <w:sz w:val="20"/>
                <w:szCs w:val="20"/>
              </w:rPr>
              <w:t>n</w:t>
            </w:r>
            <w:r w:rsidRPr="002717DD">
              <w:rPr>
                <w:rFonts w:cs="Times New Roman"/>
                <w:sz w:val="20"/>
                <w:szCs w:val="20"/>
              </w:rPr>
              <w:t>ey G</w:t>
            </w:r>
            <w:r w:rsidR="00A956D3" w:rsidRPr="002717DD">
              <w:rPr>
                <w:rFonts w:cs="Times New Roman"/>
                <w:sz w:val="20"/>
                <w:szCs w:val="20"/>
              </w:rPr>
              <w:t>en</w:t>
            </w:r>
            <w:r w:rsidRPr="002717DD">
              <w:rPr>
                <w:rFonts w:cs="Times New Roman"/>
                <w:sz w:val="20"/>
                <w:szCs w:val="20"/>
              </w:rPr>
              <w:t>era</w:t>
            </w:r>
            <w:r w:rsidR="00A956D3" w:rsidRPr="002717DD">
              <w:rPr>
                <w:rFonts w:cs="Times New Roman"/>
                <w:sz w:val="20"/>
                <w:szCs w:val="20"/>
              </w:rPr>
              <w:t>l</w:t>
            </w:r>
            <w:r w:rsidRPr="002717DD">
              <w:rPr>
                <w:rFonts w:cs="Times New Roman"/>
                <w:sz w:val="20"/>
                <w:szCs w:val="20"/>
              </w:rPr>
              <w:t xml:space="preserve">) </w:t>
            </w:r>
            <w:r w:rsidR="00A956D3" w:rsidRPr="002717DD">
              <w:rPr>
                <w:rFonts w:cs="Times New Roman"/>
                <w:i/>
                <w:iCs/>
                <w:sz w:val="20"/>
                <w:szCs w:val="20"/>
              </w:rPr>
              <w:t xml:space="preserve">v. </w:t>
            </w:r>
            <w:r>
              <w:rPr>
                <w:rFonts w:cs="Times New Roman"/>
                <w:iCs/>
                <w:sz w:val="20"/>
                <w:szCs w:val="20"/>
              </w:rPr>
              <w:t>Fedra</w:t>
            </w:r>
            <w:r w:rsidR="00A956D3" w:rsidRPr="002717DD">
              <w:rPr>
                <w:rFonts w:cs="Times New Roman"/>
                <w:iCs/>
                <w:sz w:val="20"/>
                <w:szCs w:val="20"/>
              </w:rPr>
              <w:t>tion</w:t>
            </w:r>
            <w:r>
              <w:rPr>
                <w:rFonts w:cs="Times New Roman"/>
                <w:iCs/>
                <w:sz w:val="20"/>
                <w:szCs w:val="20"/>
              </w:rPr>
              <w:t xml:space="preserve"> of Law S</w:t>
            </w:r>
            <w:r w:rsidR="00A956D3" w:rsidRPr="002717DD">
              <w:rPr>
                <w:rFonts w:cs="Times New Roman"/>
                <w:iCs/>
                <w:sz w:val="20"/>
                <w:szCs w:val="20"/>
              </w:rPr>
              <w:t>o</w:t>
            </w:r>
            <w:r>
              <w:rPr>
                <w:rFonts w:cs="Times New Roman"/>
                <w:iCs/>
                <w:sz w:val="20"/>
                <w:szCs w:val="20"/>
              </w:rPr>
              <w:t>cie</w:t>
            </w:r>
            <w:r w:rsidR="00A956D3" w:rsidRPr="002717DD">
              <w:rPr>
                <w:rFonts w:cs="Times New Roman"/>
                <w:iCs/>
                <w:sz w:val="20"/>
                <w:szCs w:val="20"/>
              </w:rPr>
              <w:t>t</w:t>
            </w:r>
            <w:r>
              <w:rPr>
                <w:rFonts w:cs="Times New Roman"/>
                <w:iCs/>
                <w:sz w:val="20"/>
                <w:szCs w:val="20"/>
              </w:rPr>
              <w:t>i</w:t>
            </w:r>
            <w:r w:rsidR="00A956D3" w:rsidRPr="002717DD">
              <w:rPr>
                <w:rFonts w:cs="Times New Roman"/>
                <w:iCs/>
                <w:sz w:val="20"/>
                <w:szCs w:val="20"/>
              </w:rPr>
              <w:t>es</w:t>
            </w:r>
            <w:r>
              <w:rPr>
                <w:rFonts w:cs="Times New Roman"/>
                <w:iCs/>
                <w:sz w:val="20"/>
                <w:szCs w:val="20"/>
              </w:rPr>
              <w:t xml:space="preserve"> of Canada</w:t>
            </w:r>
            <w:r w:rsidR="00A956D3" w:rsidRPr="002717DD">
              <w:rPr>
                <w:rFonts w:cs="Times New Roman"/>
                <w:iCs/>
                <w:sz w:val="20"/>
                <w:szCs w:val="20"/>
              </w:rPr>
              <w:t>,</w:t>
            </w:r>
          </w:p>
          <w:p w:rsidR="00A956D3" w:rsidRPr="002717DD" w:rsidRDefault="00A956D3" w:rsidP="008F59A3">
            <w:pPr>
              <w:rPr>
                <w:rFonts w:cs="Times New Roman"/>
                <w:sz w:val="20"/>
                <w:szCs w:val="20"/>
              </w:rPr>
            </w:pPr>
            <w:r w:rsidRPr="002717DD">
              <w:rPr>
                <w:rFonts w:cs="Times New Roman"/>
                <w:sz w:val="20"/>
                <w:szCs w:val="20"/>
              </w:rPr>
              <w:t>201</w:t>
            </w:r>
            <w:r w:rsidR="00F165DA" w:rsidRPr="002717DD">
              <w:rPr>
                <w:rFonts w:cs="Times New Roman"/>
                <w:sz w:val="20"/>
                <w:szCs w:val="20"/>
              </w:rPr>
              <w:t>5</w:t>
            </w:r>
            <w:r w:rsidRPr="002717DD">
              <w:rPr>
                <w:rFonts w:cs="Times New Roman"/>
                <w:sz w:val="20"/>
                <w:szCs w:val="20"/>
              </w:rPr>
              <w:t xml:space="preserve"> SCC </w:t>
            </w:r>
            <w:r w:rsidR="00F165DA" w:rsidRPr="002717DD">
              <w:rPr>
                <w:rFonts w:cs="Times New Roman"/>
                <w:sz w:val="20"/>
                <w:szCs w:val="20"/>
              </w:rPr>
              <w:t>7</w:t>
            </w:r>
            <w:r w:rsidRPr="002717DD">
              <w:rPr>
                <w:rFonts w:cs="Times New Roman"/>
                <w:sz w:val="20"/>
                <w:szCs w:val="20"/>
              </w:rPr>
              <w:t>, [201</w:t>
            </w:r>
            <w:r w:rsidR="00F165DA" w:rsidRPr="002717DD">
              <w:rPr>
                <w:rFonts w:cs="Times New Roman"/>
                <w:sz w:val="20"/>
                <w:szCs w:val="20"/>
              </w:rPr>
              <w:t>5</w:t>
            </w:r>
            <w:r w:rsidRPr="002717DD">
              <w:rPr>
                <w:rFonts w:cs="Times New Roman"/>
                <w:sz w:val="20"/>
                <w:szCs w:val="20"/>
              </w:rPr>
              <w:t xml:space="preserve">] </w:t>
            </w:r>
            <w:r w:rsidR="00F165DA" w:rsidRPr="002717DD">
              <w:rPr>
                <w:rFonts w:cs="Times New Roman"/>
                <w:sz w:val="20"/>
                <w:szCs w:val="20"/>
              </w:rPr>
              <w:t>1</w:t>
            </w:r>
            <w:r w:rsidRPr="002717DD">
              <w:rPr>
                <w:rFonts w:cs="Times New Roman"/>
                <w:sz w:val="20"/>
                <w:szCs w:val="20"/>
              </w:rPr>
              <w:t xml:space="preserve"> S.C.R. </w:t>
            </w:r>
            <w:r w:rsidR="002717DD" w:rsidRPr="002717DD">
              <w:rPr>
                <w:rFonts w:cs="Times New Roman"/>
                <w:sz w:val="20"/>
                <w:szCs w:val="20"/>
              </w:rPr>
              <w:t>4</w:t>
            </w:r>
            <w:r w:rsidRPr="002717DD">
              <w:rPr>
                <w:rFonts w:cs="Times New Roman"/>
                <w:sz w:val="20"/>
                <w:szCs w:val="20"/>
              </w:rPr>
              <w:t>0</w:t>
            </w:r>
            <w:r w:rsidR="002717DD" w:rsidRPr="002717DD">
              <w:rPr>
                <w:rFonts w:cs="Times New Roman"/>
                <w:sz w:val="20"/>
                <w:szCs w:val="20"/>
              </w:rPr>
              <w:t>1</w:t>
            </w:r>
          </w:p>
          <w:p w:rsidR="00A956D3" w:rsidRPr="002717DD" w:rsidRDefault="00A956D3" w:rsidP="008F59A3">
            <w:pPr>
              <w:rPr>
                <w:rFonts w:cs="Times New Roman"/>
                <w:sz w:val="20"/>
                <w:szCs w:val="20"/>
              </w:rPr>
            </w:pPr>
          </w:p>
          <w:p w:rsidR="00A956D3" w:rsidRPr="002717DD" w:rsidRDefault="00A956D3" w:rsidP="008F59A3">
            <w:pPr>
              <w:rPr>
                <w:rFonts w:cs="Times New Roman"/>
                <w:sz w:val="20"/>
                <w:szCs w:val="20"/>
              </w:rPr>
            </w:pPr>
            <w:r w:rsidRPr="002717DD">
              <w:rPr>
                <w:rFonts w:cs="Times New Roman"/>
                <w:sz w:val="20"/>
                <w:szCs w:val="20"/>
              </w:rPr>
              <w:t xml:space="preserve">R. </w:t>
            </w:r>
            <w:r w:rsidRPr="002717DD">
              <w:rPr>
                <w:rFonts w:cs="Times New Roman"/>
                <w:i/>
                <w:iCs/>
                <w:sz w:val="20"/>
                <w:szCs w:val="20"/>
              </w:rPr>
              <w:t>v.</w:t>
            </w:r>
            <w:r w:rsidRPr="002717DD">
              <w:rPr>
                <w:rFonts w:cs="Times New Roman"/>
                <w:iCs/>
                <w:sz w:val="20"/>
                <w:szCs w:val="20"/>
              </w:rPr>
              <w:t xml:space="preserve"> </w:t>
            </w:r>
            <w:r w:rsidR="002717DD" w:rsidRPr="002717DD">
              <w:rPr>
                <w:rFonts w:cs="Times New Roman"/>
                <w:iCs/>
                <w:sz w:val="20"/>
                <w:szCs w:val="20"/>
              </w:rPr>
              <w:t>Pe</w:t>
            </w:r>
            <w:r w:rsidRPr="002717DD">
              <w:rPr>
                <w:rFonts w:cs="Times New Roman"/>
                <w:iCs/>
                <w:sz w:val="20"/>
                <w:szCs w:val="20"/>
              </w:rPr>
              <w:t>r</w:t>
            </w:r>
            <w:r w:rsidR="002717DD" w:rsidRPr="002717DD">
              <w:rPr>
                <w:rFonts w:cs="Times New Roman"/>
                <w:iCs/>
                <w:sz w:val="20"/>
                <w:szCs w:val="20"/>
              </w:rPr>
              <w:t>ro</w:t>
            </w:r>
            <w:r w:rsidRPr="002717DD">
              <w:rPr>
                <w:rFonts w:cs="Times New Roman"/>
                <w:iCs/>
                <w:sz w:val="20"/>
                <w:szCs w:val="20"/>
              </w:rPr>
              <w:t>ne</w:t>
            </w:r>
            <w:r w:rsidRPr="002717DD">
              <w:rPr>
                <w:rFonts w:cs="Times New Roman"/>
                <w:sz w:val="20"/>
                <w:szCs w:val="20"/>
              </w:rPr>
              <w:t>,</w:t>
            </w:r>
          </w:p>
          <w:p w:rsidR="00A956D3" w:rsidRPr="00F165DA" w:rsidRDefault="00A956D3" w:rsidP="008F59A3">
            <w:pPr>
              <w:rPr>
                <w:rFonts w:cs="Times New Roman"/>
                <w:sz w:val="20"/>
                <w:szCs w:val="20"/>
                <w:lang w:val="fr-CA"/>
              </w:rPr>
            </w:pPr>
            <w:r w:rsidRPr="00F165DA">
              <w:rPr>
                <w:rFonts w:cs="Times New Roman"/>
                <w:sz w:val="20"/>
                <w:szCs w:val="20"/>
                <w:lang w:val="fr-CA"/>
              </w:rPr>
              <w:t>201</w:t>
            </w:r>
            <w:r w:rsidR="00F165DA">
              <w:rPr>
                <w:rFonts w:cs="Times New Roman"/>
                <w:sz w:val="20"/>
                <w:szCs w:val="20"/>
                <w:lang w:val="fr-CA"/>
              </w:rPr>
              <w:t>5</w:t>
            </w:r>
            <w:r w:rsidRPr="00F165DA">
              <w:rPr>
                <w:rFonts w:cs="Times New Roman"/>
                <w:sz w:val="20"/>
                <w:szCs w:val="20"/>
                <w:lang w:val="fr-CA"/>
              </w:rPr>
              <w:t xml:space="preserve"> SCC </w:t>
            </w:r>
            <w:r w:rsidR="00F165DA" w:rsidRPr="00F165DA">
              <w:rPr>
                <w:rFonts w:cs="Times New Roman"/>
                <w:sz w:val="20"/>
                <w:szCs w:val="20"/>
                <w:lang w:val="fr-CA"/>
              </w:rPr>
              <w:t>8</w:t>
            </w:r>
            <w:r w:rsidRPr="00F165DA">
              <w:rPr>
                <w:rFonts w:cs="Times New Roman"/>
                <w:sz w:val="20"/>
                <w:szCs w:val="20"/>
                <w:lang w:val="fr-CA"/>
              </w:rPr>
              <w:t>, [201</w:t>
            </w:r>
            <w:r w:rsidR="00F165DA">
              <w:rPr>
                <w:rFonts w:cs="Times New Roman"/>
                <w:sz w:val="20"/>
                <w:szCs w:val="20"/>
                <w:lang w:val="fr-CA"/>
              </w:rPr>
              <w:t>5</w:t>
            </w:r>
            <w:r w:rsidRPr="00F165DA">
              <w:rPr>
                <w:rFonts w:cs="Times New Roman"/>
                <w:sz w:val="20"/>
                <w:szCs w:val="20"/>
                <w:lang w:val="fr-CA"/>
              </w:rPr>
              <w:t xml:space="preserve">] </w:t>
            </w:r>
            <w:r w:rsidR="00F165DA">
              <w:rPr>
                <w:rFonts w:cs="Times New Roman"/>
                <w:sz w:val="20"/>
                <w:szCs w:val="20"/>
                <w:lang w:val="fr-CA"/>
              </w:rPr>
              <w:t>1</w:t>
            </w:r>
            <w:r w:rsidRPr="00F165DA">
              <w:rPr>
                <w:rFonts w:cs="Times New Roman"/>
                <w:sz w:val="20"/>
                <w:szCs w:val="20"/>
                <w:lang w:val="fr-CA"/>
              </w:rPr>
              <w:t xml:space="preserve"> S.C.R. 4</w:t>
            </w:r>
            <w:r w:rsidR="002717DD">
              <w:rPr>
                <w:rFonts w:cs="Times New Roman"/>
                <w:sz w:val="20"/>
                <w:szCs w:val="20"/>
                <w:lang w:val="fr-CA"/>
              </w:rPr>
              <w:t>73</w:t>
            </w:r>
          </w:p>
          <w:p w:rsidR="00A956D3" w:rsidRPr="00F165DA" w:rsidRDefault="00A956D3" w:rsidP="008F59A3">
            <w:pPr>
              <w:rPr>
                <w:rFonts w:cs="Times New Roman"/>
                <w:iCs/>
                <w:sz w:val="20"/>
                <w:szCs w:val="20"/>
                <w:lang w:val="fr-CA"/>
              </w:rPr>
            </w:pPr>
          </w:p>
          <w:p w:rsidR="00A956D3" w:rsidRPr="00E836F1" w:rsidRDefault="00A956D3" w:rsidP="008F59A3">
            <w:pPr>
              <w:rPr>
                <w:rFonts w:cs="Times New Roman"/>
                <w:iCs/>
                <w:sz w:val="20"/>
                <w:szCs w:val="20"/>
                <w:lang w:val="fr-CA"/>
              </w:rPr>
            </w:pPr>
            <w:r w:rsidRPr="00E836F1">
              <w:rPr>
                <w:rFonts w:cs="Times New Roman"/>
                <w:iCs/>
                <w:sz w:val="20"/>
                <w:szCs w:val="20"/>
                <w:lang w:val="fr-CA"/>
              </w:rPr>
              <w:t xml:space="preserve">R. </w:t>
            </w:r>
            <w:r w:rsidRPr="00E836F1">
              <w:rPr>
                <w:rFonts w:cs="Times New Roman"/>
                <w:i/>
                <w:iCs/>
                <w:sz w:val="20"/>
                <w:szCs w:val="20"/>
                <w:lang w:val="fr-CA"/>
              </w:rPr>
              <w:t>v.</w:t>
            </w:r>
            <w:r w:rsidR="002717DD">
              <w:rPr>
                <w:rFonts w:cs="Times New Roman"/>
                <w:iCs/>
                <w:sz w:val="20"/>
                <w:szCs w:val="20"/>
                <w:lang w:val="fr-CA"/>
              </w:rPr>
              <w:t xml:space="preserve"> Gr</w:t>
            </w:r>
            <w:r w:rsidRPr="00E836F1">
              <w:rPr>
                <w:rFonts w:cs="Times New Roman"/>
                <w:iCs/>
                <w:sz w:val="20"/>
                <w:szCs w:val="20"/>
                <w:lang w:val="fr-CA"/>
              </w:rPr>
              <w:t>a</w:t>
            </w:r>
            <w:r w:rsidR="002717DD">
              <w:rPr>
                <w:rFonts w:cs="Times New Roman"/>
                <w:iCs/>
                <w:sz w:val="20"/>
                <w:szCs w:val="20"/>
                <w:lang w:val="fr-CA"/>
              </w:rPr>
              <w:t>nt</w:t>
            </w:r>
            <w:r w:rsidRPr="00E836F1">
              <w:rPr>
                <w:rFonts w:cs="Times New Roman"/>
                <w:iCs/>
                <w:sz w:val="20"/>
                <w:szCs w:val="20"/>
                <w:lang w:val="fr-CA"/>
              </w:rPr>
              <w:t>,</w:t>
            </w:r>
          </w:p>
          <w:p w:rsidR="00A956D3" w:rsidRPr="00CE4499" w:rsidRDefault="00A956D3" w:rsidP="008F59A3">
            <w:pPr>
              <w:rPr>
                <w:rFonts w:cs="Times New Roman"/>
                <w:sz w:val="20"/>
                <w:szCs w:val="20"/>
              </w:rPr>
            </w:pPr>
            <w:r w:rsidRPr="00CE4499">
              <w:rPr>
                <w:rFonts w:cs="Times New Roman"/>
                <w:sz w:val="20"/>
                <w:szCs w:val="20"/>
              </w:rPr>
              <w:t>201</w:t>
            </w:r>
            <w:r w:rsidR="00F165DA" w:rsidRPr="00CE4499">
              <w:rPr>
                <w:rFonts w:cs="Times New Roman"/>
                <w:sz w:val="20"/>
                <w:szCs w:val="20"/>
              </w:rPr>
              <w:t>5</w:t>
            </w:r>
            <w:r w:rsidRPr="00CE4499">
              <w:rPr>
                <w:rFonts w:cs="Times New Roman"/>
                <w:sz w:val="20"/>
                <w:szCs w:val="20"/>
              </w:rPr>
              <w:t xml:space="preserve"> SCC </w:t>
            </w:r>
            <w:r w:rsidR="00F165DA" w:rsidRPr="00CE4499">
              <w:rPr>
                <w:rFonts w:cs="Times New Roman"/>
                <w:sz w:val="20"/>
                <w:szCs w:val="20"/>
              </w:rPr>
              <w:t>9</w:t>
            </w:r>
            <w:r w:rsidRPr="00CE4499">
              <w:rPr>
                <w:rFonts w:cs="Times New Roman"/>
                <w:sz w:val="20"/>
                <w:szCs w:val="20"/>
              </w:rPr>
              <w:t>, [201</w:t>
            </w:r>
            <w:r w:rsidR="00F165DA" w:rsidRPr="00CE4499">
              <w:rPr>
                <w:rFonts w:cs="Times New Roman"/>
                <w:sz w:val="20"/>
                <w:szCs w:val="20"/>
              </w:rPr>
              <w:t>5</w:t>
            </w:r>
            <w:r w:rsidRPr="00CE4499">
              <w:rPr>
                <w:rFonts w:cs="Times New Roman"/>
                <w:sz w:val="20"/>
                <w:szCs w:val="20"/>
              </w:rPr>
              <w:t xml:space="preserve">] </w:t>
            </w:r>
            <w:r w:rsidR="00F165DA" w:rsidRPr="00CE4499">
              <w:rPr>
                <w:rFonts w:cs="Times New Roman"/>
                <w:sz w:val="20"/>
                <w:szCs w:val="20"/>
              </w:rPr>
              <w:t>1</w:t>
            </w:r>
            <w:r w:rsidRPr="00CE4499">
              <w:rPr>
                <w:rFonts w:cs="Times New Roman"/>
                <w:sz w:val="20"/>
                <w:szCs w:val="20"/>
              </w:rPr>
              <w:t xml:space="preserve"> S.C.R. 4</w:t>
            </w:r>
            <w:r w:rsidR="002717DD" w:rsidRPr="00CE4499">
              <w:rPr>
                <w:rFonts w:cs="Times New Roman"/>
                <w:sz w:val="20"/>
                <w:szCs w:val="20"/>
              </w:rPr>
              <w:t>7</w:t>
            </w:r>
            <w:r w:rsidRPr="00CE4499">
              <w:rPr>
                <w:rFonts w:cs="Times New Roman"/>
                <w:sz w:val="20"/>
                <w:szCs w:val="20"/>
              </w:rPr>
              <w:t>5</w:t>
            </w:r>
          </w:p>
          <w:p w:rsidR="00F165DA" w:rsidRPr="00CE4499" w:rsidRDefault="00F165DA" w:rsidP="008F59A3">
            <w:pPr>
              <w:rPr>
                <w:rFonts w:cs="Times New Roman"/>
                <w:sz w:val="20"/>
                <w:szCs w:val="20"/>
              </w:rPr>
            </w:pPr>
          </w:p>
          <w:p w:rsidR="00F165DA" w:rsidRPr="00DD0B49" w:rsidRDefault="00F165DA" w:rsidP="00F165DA">
            <w:pPr>
              <w:rPr>
                <w:rFonts w:cs="Times New Roman"/>
                <w:sz w:val="20"/>
                <w:szCs w:val="20"/>
              </w:rPr>
            </w:pPr>
            <w:r>
              <w:rPr>
                <w:rFonts w:cs="Times New Roman"/>
                <w:sz w:val="20"/>
                <w:szCs w:val="20"/>
              </w:rPr>
              <w:t>P</w:t>
            </w:r>
            <w:r w:rsidRPr="00DD0B49">
              <w:rPr>
                <w:rFonts w:cs="Times New Roman"/>
                <w:sz w:val="20"/>
                <w:szCs w:val="20"/>
              </w:rPr>
              <w:t>o</w:t>
            </w:r>
            <w:r w:rsidR="002717DD">
              <w:rPr>
                <w:rFonts w:cs="Times New Roman"/>
                <w:sz w:val="20"/>
                <w:szCs w:val="20"/>
              </w:rPr>
              <w:t>tter</w:t>
            </w:r>
            <w:r w:rsidRPr="00DD0B49">
              <w:rPr>
                <w:rFonts w:cs="Times New Roman"/>
                <w:sz w:val="20"/>
                <w:szCs w:val="20"/>
              </w:rPr>
              <w:t xml:space="preserve"> </w:t>
            </w:r>
            <w:r w:rsidRPr="00DD0B49">
              <w:rPr>
                <w:rFonts w:cs="Times New Roman"/>
                <w:i/>
                <w:iCs/>
                <w:sz w:val="20"/>
                <w:szCs w:val="20"/>
              </w:rPr>
              <w:t>v.</w:t>
            </w:r>
            <w:r w:rsidRPr="00DD0B49">
              <w:rPr>
                <w:rFonts w:cs="Times New Roman"/>
                <w:sz w:val="20"/>
                <w:szCs w:val="20"/>
              </w:rPr>
              <w:t xml:space="preserve"> </w:t>
            </w:r>
            <w:r w:rsidR="002717DD">
              <w:rPr>
                <w:rFonts w:cs="Times New Roman"/>
                <w:sz w:val="20"/>
                <w:szCs w:val="20"/>
              </w:rPr>
              <w:t>New Brunswick Legal Aid Se</w:t>
            </w:r>
            <w:r>
              <w:rPr>
                <w:rFonts w:cs="Times New Roman"/>
                <w:sz w:val="20"/>
                <w:szCs w:val="20"/>
              </w:rPr>
              <w:t>r</w:t>
            </w:r>
            <w:r w:rsidR="002717DD">
              <w:rPr>
                <w:rFonts w:cs="Times New Roman"/>
                <w:sz w:val="20"/>
                <w:szCs w:val="20"/>
              </w:rPr>
              <w:t>vices Commissio</w:t>
            </w:r>
            <w:r>
              <w:rPr>
                <w:rFonts w:cs="Times New Roman"/>
                <w:sz w:val="20"/>
                <w:szCs w:val="20"/>
              </w:rPr>
              <w:t>n</w:t>
            </w:r>
            <w:r w:rsidRPr="00DD0B49">
              <w:rPr>
                <w:rFonts w:cs="Times New Roman"/>
                <w:sz w:val="20"/>
                <w:szCs w:val="20"/>
              </w:rPr>
              <w:t>,</w:t>
            </w:r>
          </w:p>
          <w:p w:rsidR="00F165DA" w:rsidRPr="00E53B92" w:rsidRDefault="00F165DA" w:rsidP="00F165DA">
            <w:pPr>
              <w:rPr>
                <w:rFonts w:cs="Times New Roman"/>
                <w:sz w:val="20"/>
                <w:szCs w:val="20"/>
              </w:rPr>
            </w:pPr>
            <w:r w:rsidRPr="00E53B92">
              <w:rPr>
                <w:rFonts w:cs="Times New Roman"/>
                <w:sz w:val="20"/>
                <w:szCs w:val="20"/>
              </w:rPr>
              <w:t>201</w:t>
            </w:r>
            <w:r>
              <w:rPr>
                <w:rFonts w:cs="Times New Roman"/>
                <w:sz w:val="20"/>
                <w:szCs w:val="20"/>
              </w:rPr>
              <w:t>5</w:t>
            </w:r>
            <w:r w:rsidRPr="00E53B92">
              <w:rPr>
                <w:rFonts w:cs="Times New Roman"/>
                <w:sz w:val="20"/>
                <w:szCs w:val="20"/>
              </w:rPr>
              <w:t xml:space="preserve"> SCC </w:t>
            </w:r>
            <w:r>
              <w:rPr>
                <w:rFonts w:cs="Times New Roman"/>
                <w:sz w:val="20"/>
                <w:szCs w:val="20"/>
              </w:rPr>
              <w:t>10</w:t>
            </w:r>
            <w:r w:rsidRPr="00E53B92">
              <w:rPr>
                <w:rFonts w:cs="Times New Roman"/>
                <w:sz w:val="20"/>
                <w:szCs w:val="20"/>
              </w:rPr>
              <w:t>, [201</w:t>
            </w:r>
            <w:r>
              <w:rPr>
                <w:rFonts w:cs="Times New Roman"/>
                <w:sz w:val="20"/>
                <w:szCs w:val="20"/>
              </w:rPr>
              <w:t>5</w:t>
            </w:r>
            <w:r w:rsidRPr="00E53B92">
              <w:rPr>
                <w:rFonts w:cs="Times New Roman"/>
                <w:sz w:val="20"/>
                <w:szCs w:val="20"/>
              </w:rPr>
              <w:t xml:space="preserve">] </w:t>
            </w:r>
            <w:r>
              <w:rPr>
                <w:rFonts w:cs="Times New Roman"/>
                <w:sz w:val="20"/>
                <w:szCs w:val="20"/>
              </w:rPr>
              <w:t>1</w:t>
            </w:r>
            <w:r w:rsidRPr="00E53B92">
              <w:rPr>
                <w:rFonts w:cs="Times New Roman"/>
                <w:sz w:val="20"/>
                <w:szCs w:val="20"/>
              </w:rPr>
              <w:t xml:space="preserve"> S.C.R. </w:t>
            </w:r>
            <w:r w:rsidR="002717DD">
              <w:rPr>
                <w:rFonts w:cs="Times New Roman"/>
                <w:sz w:val="20"/>
                <w:szCs w:val="20"/>
              </w:rPr>
              <w:t>500</w:t>
            </w:r>
          </w:p>
          <w:p w:rsidR="00F165DA" w:rsidRPr="00E53B92" w:rsidRDefault="00F165DA" w:rsidP="00F165DA">
            <w:pPr>
              <w:rPr>
                <w:rFonts w:cs="Times New Roman"/>
                <w:sz w:val="20"/>
                <w:szCs w:val="20"/>
              </w:rPr>
            </w:pPr>
          </w:p>
          <w:p w:rsidR="00A956D3" w:rsidRPr="00F165DA" w:rsidRDefault="00A956D3" w:rsidP="008F59A3">
            <w:pPr>
              <w:rPr>
                <w:rFonts w:cs="Times New Roman"/>
                <w:iCs/>
                <w:sz w:val="20"/>
                <w:szCs w:val="20"/>
              </w:rPr>
            </w:pPr>
            <w:r w:rsidRPr="00F165DA">
              <w:rPr>
                <w:rFonts w:cs="Times New Roman"/>
                <w:iCs/>
                <w:sz w:val="20"/>
                <w:szCs w:val="20"/>
              </w:rPr>
              <w:lastRenderedPageBreak/>
              <w:t xml:space="preserve">R. </w:t>
            </w:r>
            <w:r w:rsidRPr="00F165DA">
              <w:rPr>
                <w:rFonts w:cs="Times New Roman"/>
                <w:i/>
                <w:iCs/>
                <w:sz w:val="20"/>
                <w:szCs w:val="20"/>
              </w:rPr>
              <w:t>v.</w:t>
            </w:r>
            <w:r w:rsidRPr="00F165DA">
              <w:rPr>
                <w:rFonts w:cs="Times New Roman"/>
                <w:iCs/>
                <w:sz w:val="20"/>
                <w:szCs w:val="20"/>
              </w:rPr>
              <w:t xml:space="preserve"> </w:t>
            </w:r>
            <w:r w:rsidR="00D21BEF">
              <w:rPr>
                <w:rFonts w:cs="Times New Roman"/>
                <w:iCs/>
                <w:sz w:val="20"/>
                <w:szCs w:val="20"/>
              </w:rPr>
              <w:t>Araya</w:t>
            </w:r>
            <w:r w:rsidRPr="00F165DA">
              <w:rPr>
                <w:rFonts w:cs="Times New Roman"/>
                <w:iCs/>
                <w:sz w:val="20"/>
                <w:szCs w:val="20"/>
              </w:rPr>
              <w:t>,</w:t>
            </w:r>
          </w:p>
          <w:p w:rsidR="00A956D3" w:rsidRPr="00D21BEF" w:rsidRDefault="00A956D3" w:rsidP="008F59A3">
            <w:pPr>
              <w:rPr>
                <w:rFonts w:cs="Times New Roman"/>
                <w:sz w:val="20"/>
                <w:szCs w:val="20"/>
              </w:rPr>
            </w:pPr>
            <w:r w:rsidRPr="00D21BEF">
              <w:rPr>
                <w:rFonts w:cs="Times New Roman"/>
                <w:sz w:val="20"/>
                <w:szCs w:val="20"/>
              </w:rPr>
              <w:t>201</w:t>
            </w:r>
            <w:r w:rsidR="00F165DA" w:rsidRPr="00D21BEF">
              <w:rPr>
                <w:rFonts w:cs="Times New Roman"/>
                <w:sz w:val="20"/>
                <w:szCs w:val="20"/>
              </w:rPr>
              <w:t>5</w:t>
            </w:r>
            <w:r w:rsidRPr="00D21BEF">
              <w:rPr>
                <w:rFonts w:cs="Times New Roman"/>
                <w:sz w:val="20"/>
                <w:szCs w:val="20"/>
              </w:rPr>
              <w:t xml:space="preserve"> SCC </w:t>
            </w:r>
            <w:r w:rsidR="00F165DA" w:rsidRPr="00D21BEF">
              <w:rPr>
                <w:rFonts w:cs="Times New Roman"/>
                <w:sz w:val="20"/>
                <w:szCs w:val="20"/>
              </w:rPr>
              <w:t>11</w:t>
            </w:r>
            <w:r w:rsidRPr="00D21BEF">
              <w:rPr>
                <w:rFonts w:cs="Times New Roman"/>
                <w:sz w:val="20"/>
                <w:szCs w:val="20"/>
              </w:rPr>
              <w:t>, [201</w:t>
            </w:r>
            <w:r w:rsidR="00F165DA" w:rsidRPr="00D21BEF">
              <w:rPr>
                <w:rFonts w:cs="Times New Roman"/>
                <w:sz w:val="20"/>
                <w:szCs w:val="20"/>
              </w:rPr>
              <w:t>5</w:t>
            </w:r>
            <w:r w:rsidRPr="00D21BEF">
              <w:rPr>
                <w:rFonts w:cs="Times New Roman"/>
                <w:sz w:val="20"/>
                <w:szCs w:val="20"/>
              </w:rPr>
              <w:t xml:space="preserve">] </w:t>
            </w:r>
            <w:r w:rsidR="00F165DA" w:rsidRPr="00D21BEF">
              <w:rPr>
                <w:rFonts w:cs="Times New Roman"/>
                <w:sz w:val="20"/>
                <w:szCs w:val="20"/>
              </w:rPr>
              <w:t>1</w:t>
            </w:r>
            <w:r w:rsidRPr="00D21BEF">
              <w:rPr>
                <w:rFonts w:cs="Times New Roman"/>
                <w:sz w:val="20"/>
                <w:szCs w:val="20"/>
              </w:rPr>
              <w:t xml:space="preserve"> S.C.R. </w:t>
            </w:r>
            <w:r w:rsidR="00D21BEF" w:rsidRPr="00D21BEF">
              <w:rPr>
                <w:rFonts w:cs="Times New Roman"/>
                <w:sz w:val="20"/>
                <w:szCs w:val="20"/>
              </w:rPr>
              <w:t>5</w:t>
            </w:r>
            <w:r w:rsidRPr="00D21BEF">
              <w:rPr>
                <w:rFonts w:cs="Times New Roman"/>
                <w:sz w:val="20"/>
                <w:szCs w:val="20"/>
              </w:rPr>
              <w:t>8</w:t>
            </w:r>
            <w:r w:rsidR="00D21BEF" w:rsidRPr="00D21BEF">
              <w:rPr>
                <w:rFonts w:cs="Times New Roman"/>
                <w:sz w:val="20"/>
                <w:szCs w:val="20"/>
              </w:rPr>
              <w:t>1</w:t>
            </w:r>
          </w:p>
          <w:p w:rsidR="00A956D3" w:rsidRPr="00E15380" w:rsidRDefault="00A956D3" w:rsidP="008F59A3">
            <w:pPr>
              <w:keepNext/>
              <w:keepLines/>
              <w:rPr>
                <w:rFonts w:cs="Times New Roman"/>
                <w:bCs/>
                <w:sz w:val="20"/>
                <w:szCs w:val="20"/>
              </w:rPr>
            </w:pPr>
          </w:p>
          <w:p w:rsidR="00A956D3" w:rsidRPr="00DD0B49" w:rsidRDefault="00310DA4" w:rsidP="008F59A3">
            <w:pPr>
              <w:keepNext/>
              <w:keepLines/>
              <w:rPr>
                <w:rFonts w:cs="Times New Roman"/>
                <w:bCs/>
                <w:sz w:val="20"/>
                <w:szCs w:val="20"/>
                <w:lang w:val="fr-CA"/>
              </w:rPr>
            </w:pPr>
            <w:r>
              <w:rPr>
                <w:rFonts w:cs="Times New Roman"/>
                <w:sz w:val="20"/>
                <w:szCs w:val="20"/>
              </w:rPr>
              <w:pict>
                <v:rect id="_x0000_i1070" style="width:129.6pt;height:1pt" o:hrpct="600" o:hralign="center" o:hrstd="t" o:hrnoshade="t" o:hr="t" fillcolor="black [3213]" stroked="f"/>
              </w:pict>
            </w:r>
          </w:p>
          <w:p w:rsidR="00A956D3" w:rsidRPr="00DD0B49" w:rsidRDefault="00A956D3" w:rsidP="008F59A3">
            <w:pPr>
              <w:keepNext/>
              <w:keepLines/>
              <w:rPr>
                <w:rFonts w:cs="Times New Roman"/>
                <w:bCs/>
                <w:sz w:val="20"/>
                <w:szCs w:val="20"/>
                <w:lang w:val="fr-CA"/>
              </w:rPr>
            </w:pPr>
          </w:p>
        </w:tc>
        <w:tc>
          <w:tcPr>
            <w:tcW w:w="840" w:type="dxa"/>
            <w:tcBorders>
              <w:top w:val="nil"/>
              <w:left w:val="nil"/>
              <w:bottom w:val="nil"/>
              <w:right w:val="nil"/>
            </w:tcBorders>
          </w:tcPr>
          <w:p w:rsidR="00A956D3" w:rsidRPr="00DD0B49" w:rsidRDefault="00A956D3" w:rsidP="008F59A3">
            <w:pPr>
              <w:rPr>
                <w:rFonts w:cs="Times New Roman"/>
                <w:b/>
                <w:bCs/>
                <w:sz w:val="20"/>
                <w:szCs w:val="20"/>
                <w:lang w:val="fr-CA"/>
              </w:rPr>
            </w:pPr>
          </w:p>
        </w:tc>
        <w:tc>
          <w:tcPr>
            <w:tcW w:w="4320" w:type="dxa"/>
            <w:tcBorders>
              <w:top w:val="nil"/>
              <w:left w:val="nil"/>
              <w:bottom w:val="nil"/>
              <w:right w:val="nil"/>
            </w:tcBorders>
          </w:tcPr>
          <w:p w:rsidR="00A956D3" w:rsidRPr="00DD0B49" w:rsidRDefault="00A956D3" w:rsidP="008F59A3">
            <w:pPr>
              <w:rPr>
                <w:rFonts w:cs="Times New Roman"/>
                <w:b/>
                <w:bCs/>
                <w:sz w:val="20"/>
                <w:szCs w:val="20"/>
                <w:lang w:val="fr-CA"/>
              </w:rPr>
            </w:pPr>
            <w:r w:rsidRPr="00DD0B49">
              <w:rPr>
                <w:rFonts w:cs="Times New Roman"/>
                <w:b/>
                <w:bCs/>
                <w:sz w:val="20"/>
                <w:szCs w:val="20"/>
                <w:lang w:val="fr-CA"/>
              </w:rPr>
              <w:t>Jugements publiés dans [201</w:t>
            </w:r>
            <w:r w:rsidR="00F165DA">
              <w:rPr>
                <w:rFonts w:cs="Times New Roman"/>
                <w:b/>
                <w:bCs/>
                <w:sz w:val="20"/>
                <w:szCs w:val="20"/>
                <w:lang w:val="fr-CA"/>
              </w:rPr>
              <w:t>5</w:t>
            </w:r>
            <w:r w:rsidRPr="00DD0B49">
              <w:rPr>
                <w:rFonts w:cs="Times New Roman"/>
                <w:b/>
                <w:bCs/>
                <w:sz w:val="20"/>
                <w:szCs w:val="20"/>
                <w:lang w:val="fr-CA"/>
              </w:rPr>
              <w:t xml:space="preserve">] </w:t>
            </w:r>
            <w:r w:rsidR="00F165DA">
              <w:rPr>
                <w:rFonts w:cs="Times New Roman"/>
                <w:b/>
                <w:bCs/>
                <w:sz w:val="20"/>
                <w:szCs w:val="20"/>
                <w:lang w:val="fr-CA"/>
              </w:rPr>
              <w:t>1</w:t>
            </w:r>
            <w:r w:rsidRPr="00DD0B49">
              <w:rPr>
                <w:rFonts w:cs="Times New Roman"/>
                <w:b/>
                <w:bCs/>
                <w:sz w:val="20"/>
                <w:szCs w:val="20"/>
                <w:lang w:val="fr-CA"/>
              </w:rPr>
              <w:t xml:space="preserve"> R.C.S. Partie </w:t>
            </w:r>
            <w:r>
              <w:rPr>
                <w:rFonts w:cs="Times New Roman"/>
                <w:b/>
                <w:bCs/>
                <w:sz w:val="20"/>
                <w:szCs w:val="20"/>
                <w:lang w:val="fr-CA"/>
              </w:rPr>
              <w:t>2</w:t>
            </w:r>
          </w:p>
          <w:p w:rsidR="00A956D3" w:rsidRPr="00DD0B49" w:rsidRDefault="00A956D3" w:rsidP="008F59A3">
            <w:pPr>
              <w:rPr>
                <w:rFonts w:cs="Times New Roman"/>
                <w:b/>
                <w:bCs/>
                <w:sz w:val="20"/>
                <w:szCs w:val="20"/>
                <w:lang w:val="fr-CA"/>
              </w:rPr>
            </w:pPr>
          </w:p>
          <w:p w:rsidR="00A956D3" w:rsidRPr="00F029FD" w:rsidRDefault="00A956D3" w:rsidP="008F59A3">
            <w:pPr>
              <w:rPr>
                <w:rFonts w:cs="Times New Roman"/>
                <w:sz w:val="20"/>
                <w:szCs w:val="20"/>
                <w:lang w:val="fr-CA"/>
              </w:rPr>
            </w:pPr>
            <w:r>
              <w:rPr>
                <w:rFonts w:cs="Times New Roman"/>
                <w:sz w:val="20"/>
                <w:szCs w:val="20"/>
                <w:lang w:val="fr-CA"/>
              </w:rPr>
              <w:t>C</w:t>
            </w:r>
            <w:r w:rsidR="002717DD">
              <w:rPr>
                <w:rFonts w:cs="Times New Roman"/>
                <w:sz w:val="20"/>
                <w:szCs w:val="20"/>
                <w:lang w:val="fr-CA"/>
              </w:rPr>
              <w:t>ar</w:t>
            </w:r>
            <w:r>
              <w:rPr>
                <w:rFonts w:cs="Times New Roman"/>
                <w:sz w:val="20"/>
                <w:szCs w:val="20"/>
                <w:lang w:val="fr-CA"/>
              </w:rPr>
              <w:t>te</w:t>
            </w:r>
            <w:r w:rsidRPr="00F029FD">
              <w:rPr>
                <w:rFonts w:cs="Times New Roman"/>
                <w:sz w:val="20"/>
                <w:szCs w:val="20"/>
                <w:lang w:val="fr-CA"/>
              </w:rPr>
              <w:t>r</w:t>
            </w:r>
            <w:r>
              <w:rPr>
                <w:rFonts w:cs="Times New Roman"/>
                <w:sz w:val="20"/>
                <w:szCs w:val="20"/>
                <w:lang w:val="fr-CA"/>
              </w:rPr>
              <w:t xml:space="preserve"> </w:t>
            </w:r>
            <w:r w:rsidRPr="00F029FD">
              <w:rPr>
                <w:rFonts w:cs="Times New Roman"/>
                <w:i/>
                <w:sz w:val="20"/>
                <w:szCs w:val="20"/>
                <w:lang w:val="fr-CA"/>
              </w:rPr>
              <w:t>c.</w:t>
            </w:r>
            <w:r w:rsidRPr="00F029FD">
              <w:rPr>
                <w:rFonts w:cs="Times New Roman"/>
                <w:sz w:val="20"/>
                <w:szCs w:val="20"/>
                <w:lang w:val="fr-CA"/>
              </w:rPr>
              <w:t xml:space="preserve"> </w:t>
            </w:r>
            <w:r w:rsidR="002717DD">
              <w:rPr>
                <w:rFonts w:cs="Times New Roman"/>
                <w:sz w:val="20"/>
                <w:szCs w:val="20"/>
                <w:lang w:val="fr-CA"/>
              </w:rPr>
              <w:t>C</w:t>
            </w:r>
            <w:r w:rsidRPr="00F029FD">
              <w:rPr>
                <w:rFonts w:cs="Times New Roman"/>
                <w:sz w:val="20"/>
                <w:szCs w:val="20"/>
                <w:lang w:val="fr-CA"/>
              </w:rPr>
              <w:t>a</w:t>
            </w:r>
            <w:r w:rsidR="002717DD">
              <w:rPr>
                <w:rFonts w:cs="Times New Roman"/>
                <w:sz w:val="20"/>
                <w:szCs w:val="20"/>
                <w:lang w:val="fr-CA"/>
              </w:rPr>
              <w:t>nada (Pr</w:t>
            </w:r>
            <w:r>
              <w:rPr>
                <w:rFonts w:cs="Times New Roman"/>
                <w:sz w:val="20"/>
                <w:szCs w:val="20"/>
                <w:lang w:val="fr-CA"/>
              </w:rPr>
              <w:t>o</w:t>
            </w:r>
            <w:r w:rsidR="002717DD">
              <w:rPr>
                <w:rFonts w:cs="Times New Roman"/>
                <w:sz w:val="20"/>
                <w:szCs w:val="20"/>
                <w:lang w:val="fr-CA"/>
              </w:rPr>
              <w:t>c</w:t>
            </w:r>
            <w:r>
              <w:rPr>
                <w:rFonts w:cs="Times New Roman"/>
                <w:sz w:val="20"/>
                <w:szCs w:val="20"/>
                <w:lang w:val="fr-CA"/>
              </w:rPr>
              <w:t>u</w:t>
            </w:r>
            <w:r w:rsidR="002717DD">
              <w:rPr>
                <w:rFonts w:cs="Times New Roman"/>
                <w:sz w:val="20"/>
                <w:szCs w:val="20"/>
                <w:lang w:val="fr-CA"/>
              </w:rPr>
              <w:t>reur généra</w:t>
            </w:r>
            <w:r>
              <w:rPr>
                <w:rFonts w:cs="Times New Roman"/>
                <w:sz w:val="20"/>
                <w:szCs w:val="20"/>
                <w:lang w:val="fr-CA"/>
              </w:rPr>
              <w:t>l</w:t>
            </w:r>
            <w:r w:rsidR="002717DD">
              <w:rPr>
                <w:rFonts w:cs="Times New Roman"/>
                <w:sz w:val="20"/>
                <w:szCs w:val="20"/>
                <w:lang w:val="fr-CA"/>
              </w:rPr>
              <w:t>)</w:t>
            </w:r>
            <w:r w:rsidRPr="00F029FD">
              <w:rPr>
                <w:rFonts w:cs="Times New Roman"/>
                <w:sz w:val="20"/>
                <w:szCs w:val="20"/>
                <w:lang w:val="fr-CA"/>
              </w:rPr>
              <w:t>,</w:t>
            </w:r>
          </w:p>
          <w:p w:rsidR="00A956D3" w:rsidRPr="00CE4499" w:rsidRDefault="00A956D3" w:rsidP="008F59A3">
            <w:pPr>
              <w:rPr>
                <w:rFonts w:cs="Times New Roman"/>
                <w:sz w:val="20"/>
                <w:szCs w:val="20"/>
              </w:rPr>
            </w:pPr>
            <w:r w:rsidRPr="00CE4499">
              <w:rPr>
                <w:rFonts w:cs="Times New Roman"/>
                <w:sz w:val="20"/>
                <w:szCs w:val="20"/>
              </w:rPr>
              <w:t>201</w:t>
            </w:r>
            <w:r w:rsidR="00F165DA" w:rsidRPr="00CE4499">
              <w:rPr>
                <w:rFonts w:cs="Times New Roman"/>
                <w:sz w:val="20"/>
                <w:szCs w:val="20"/>
              </w:rPr>
              <w:t>5</w:t>
            </w:r>
            <w:r w:rsidRPr="00CE4499">
              <w:rPr>
                <w:rFonts w:cs="Times New Roman"/>
                <w:sz w:val="20"/>
                <w:szCs w:val="20"/>
              </w:rPr>
              <w:t xml:space="preserve"> CSC 5, [201</w:t>
            </w:r>
            <w:r w:rsidR="00F165DA" w:rsidRPr="00CE4499">
              <w:rPr>
                <w:rFonts w:cs="Times New Roman"/>
                <w:sz w:val="20"/>
                <w:szCs w:val="20"/>
              </w:rPr>
              <w:t>5</w:t>
            </w:r>
            <w:r w:rsidRPr="00CE4499">
              <w:rPr>
                <w:rFonts w:cs="Times New Roman"/>
                <w:sz w:val="20"/>
                <w:szCs w:val="20"/>
              </w:rPr>
              <w:t xml:space="preserve">] </w:t>
            </w:r>
            <w:r w:rsidR="00F165DA" w:rsidRPr="00CE4499">
              <w:rPr>
                <w:rFonts w:cs="Times New Roman"/>
                <w:sz w:val="20"/>
                <w:szCs w:val="20"/>
              </w:rPr>
              <w:t>1</w:t>
            </w:r>
            <w:r w:rsidRPr="00CE4499">
              <w:rPr>
                <w:rFonts w:cs="Times New Roman"/>
                <w:sz w:val="20"/>
                <w:szCs w:val="20"/>
              </w:rPr>
              <w:t xml:space="preserve"> R.C.S. 3</w:t>
            </w:r>
            <w:r w:rsidR="002717DD" w:rsidRPr="00CE4499">
              <w:rPr>
                <w:rFonts w:cs="Times New Roman"/>
                <w:sz w:val="20"/>
                <w:szCs w:val="20"/>
              </w:rPr>
              <w:t>3</w:t>
            </w:r>
            <w:r w:rsidRPr="00CE4499">
              <w:rPr>
                <w:rFonts w:cs="Times New Roman"/>
                <w:sz w:val="20"/>
                <w:szCs w:val="20"/>
              </w:rPr>
              <w:t>1</w:t>
            </w:r>
          </w:p>
          <w:p w:rsidR="00A956D3" w:rsidRPr="00CE4499" w:rsidRDefault="00A956D3" w:rsidP="008F59A3">
            <w:pPr>
              <w:rPr>
                <w:rFonts w:cs="Times New Roman"/>
                <w:sz w:val="20"/>
                <w:szCs w:val="20"/>
              </w:rPr>
            </w:pPr>
          </w:p>
          <w:p w:rsidR="00A956D3" w:rsidRPr="002717DD" w:rsidRDefault="002717DD" w:rsidP="008F59A3">
            <w:pPr>
              <w:rPr>
                <w:rFonts w:cs="Times New Roman"/>
                <w:sz w:val="20"/>
                <w:szCs w:val="20"/>
              </w:rPr>
            </w:pPr>
            <w:r w:rsidRPr="002717DD">
              <w:rPr>
                <w:rFonts w:cs="Times New Roman"/>
                <w:sz w:val="20"/>
                <w:szCs w:val="20"/>
              </w:rPr>
              <w:t>R.</w:t>
            </w:r>
            <w:r w:rsidR="00A956D3" w:rsidRPr="002717DD">
              <w:rPr>
                <w:rFonts w:cs="Times New Roman"/>
                <w:sz w:val="20"/>
                <w:szCs w:val="20"/>
              </w:rPr>
              <w:t xml:space="preserve"> </w:t>
            </w:r>
            <w:r w:rsidR="00A956D3" w:rsidRPr="002717DD">
              <w:rPr>
                <w:rFonts w:cs="Times New Roman"/>
                <w:i/>
                <w:iCs/>
                <w:sz w:val="20"/>
                <w:szCs w:val="20"/>
              </w:rPr>
              <w:t>c.</w:t>
            </w:r>
            <w:r w:rsidR="00A956D3" w:rsidRPr="002717DD">
              <w:rPr>
                <w:rFonts w:cs="Times New Roman"/>
                <w:sz w:val="20"/>
                <w:szCs w:val="20"/>
              </w:rPr>
              <w:t xml:space="preserve"> </w:t>
            </w:r>
            <w:r w:rsidRPr="002717DD">
              <w:rPr>
                <w:rFonts w:cs="Times New Roman"/>
                <w:sz w:val="20"/>
                <w:szCs w:val="20"/>
              </w:rPr>
              <w:t>G</w:t>
            </w:r>
            <w:r w:rsidR="00A956D3" w:rsidRPr="002717DD">
              <w:rPr>
                <w:rFonts w:cs="Times New Roman"/>
                <w:sz w:val="20"/>
                <w:szCs w:val="20"/>
              </w:rPr>
              <w:t>o</w:t>
            </w:r>
            <w:r w:rsidRPr="002717DD">
              <w:rPr>
                <w:rFonts w:cs="Times New Roman"/>
                <w:sz w:val="20"/>
                <w:szCs w:val="20"/>
              </w:rPr>
              <w:t>lesk</w:t>
            </w:r>
            <w:r w:rsidR="00A956D3" w:rsidRPr="002717DD">
              <w:rPr>
                <w:rFonts w:cs="Times New Roman"/>
                <w:sz w:val="20"/>
                <w:szCs w:val="20"/>
              </w:rPr>
              <w:t>i,</w:t>
            </w:r>
          </w:p>
          <w:p w:rsidR="00A956D3" w:rsidRPr="002717DD" w:rsidRDefault="00A956D3" w:rsidP="008F59A3">
            <w:pPr>
              <w:rPr>
                <w:rFonts w:cs="Times New Roman"/>
                <w:sz w:val="20"/>
                <w:szCs w:val="20"/>
                <w:lang w:val="fr-CA"/>
              </w:rPr>
            </w:pPr>
            <w:r w:rsidRPr="002717DD">
              <w:rPr>
                <w:rFonts w:cs="Times New Roman"/>
                <w:sz w:val="20"/>
                <w:szCs w:val="20"/>
                <w:lang w:val="fr-CA"/>
              </w:rPr>
              <w:t>201</w:t>
            </w:r>
            <w:r w:rsidR="00F165DA" w:rsidRPr="002717DD">
              <w:rPr>
                <w:rFonts w:cs="Times New Roman"/>
                <w:sz w:val="20"/>
                <w:szCs w:val="20"/>
                <w:lang w:val="fr-CA"/>
              </w:rPr>
              <w:t>5</w:t>
            </w:r>
            <w:r w:rsidRPr="002717DD">
              <w:rPr>
                <w:rFonts w:cs="Times New Roman"/>
                <w:sz w:val="20"/>
                <w:szCs w:val="20"/>
                <w:lang w:val="fr-CA"/>
              </w:rPr>
              <w:t xml:space="preserve"> CSC </w:t>
            </w:r>
            <w:r w:rsidR="00F165DA" w:rsidRPr="002717DD">
              <w:rPr>
                <w:rFonts w:cs="Times New Roman"/>
                <w:sz w:val="20"/>
                <w:szCs w:val="20"/>
                <w:lang w:val="fr-CA"/>
              </w:rPr>
              <w:t>6</w:t>
            </w:r>
            <w:r w:rsidRPr="002717DD">
              <w:rPr>
                <w:rFonts w:cs="Times New Roman"/>
                <w:sz w:val="20"/>
                <w:szCs w:val="20"/>
                <w:lang w:val="fr-CA"/>
              </w:rPr>
              <w:t>, [201</w:t>
            </w:r>
            <w:r w:rsidR="00F165DA" w:rsidRPr="002717DD">
              <w:rPr>
                <w:rFonts w:cs="Times New Roman"/>
                <w:sz w:val="20"/>
                <w:szCs w:val="20"/>
                <w:lang w:val="fr-CA"/>
              </w:rPr>
              <w:t>5</w:t>
            </w:r>
            <w:r w:rsidRPr="002717DD">
              <w:rPr>
                <w:rFonts w:cs="Times New Roman"/>
                <w:sz w:val="20"/>
                <w:szCs w:val="20"/>
                <w:lang w:val="fr-CA"/>
              </w:rPr>
              <w:t xml:space="preserve">] </w:t>
            </w:r>
            <w:r w:rsidR="00F165DA" w:rsidRPr="002717DD">
              <w:rPr>
                <w:rFonts w:cs="Times New Roman"/>
                <w:sz w:val="20"/>
                <w:szCs w:val="20"/>
                <w:lang w:val="fr-CA"/>
              </w:rPr>
              <w:t>1</w:t>
            </w:r>
            <w:r w:rsidRPr="002717DD">
              <w:rPr>
                <w:rFonts w:cs="Times New Roman"/>
                <w:sz w:val="20"/>
                <w:szCs w:val="20"/>
                <w:lang w:val="fr-CA"/>
              </w:rPr>
              <w:t xml:space="preserve"> R.C.S. 3</w:t>
            </w:r>
            <w:r w:rsidR="002717DD" w:rsidRPr="002717DD">
              <w:rPr>
                <w:rFonts w:cs="Times New Roman"/>
                <w:sz w:val="20"/>
                <w:szCs w:val="20"/>
                <w:lang w:val="fr-CA"/>
              </w:rPr>
              <w:t>99</w:t>
            </w:r>
          </w:p>
          <w:p w:rsidR="00A956D3" w:rsidRPr="002717DD" w:rsidRDefault="00A956D3" w:rsidP="008F59A3">
            <w:pPr>
              <w:rPr>
                <w:rFonts w:cs="Times New Roman"/>
                <w:sz w:val="20"/>
                <w:szCs w:val="20"/>
                <w:lang w:val="fr-CA"/>
              </w:rPr>
            </w:pPr>
          </w:p>
          <w:p w:rsidR="00A956D3" w:rsidRPr="00F029FD" w:rsidRDefault="002717DD" w:rsidP="008F59A3">
            <w:pPr>
              <w:rPr>
                <w:rFonts w:cs="Times New Roman"/>
                <w:sz w:val="20"/>
                <w:szCs w:val="20"/>
                <w:lang w:val="fr-CA"/>
              </w:rPr>
            </w:pPr>
            <w:r w:rsidRPr="002717DD">
              <w:rPr>
                <w:rFonts w:cs="Times New Roman"/>
                <w:sz w:val="20"/>
                <w:szCs w:val="20"/>
                <w:lang w:val="fr-CA"/>
              </w:rPr>
              <w:t>Canada (Procur</w:t>
            </w:r>
            <w:r w:rsidR="00A956D3">
              <w:rPr>
                <w:rFonts w:cs="Times New Roman"/>
                <w:sz w:val="20"/>
                <w:szCs w:val="20"/>
                <w:lang w:val="fr-CA"/>
              </w:rPr>
              <w:t>e</w:t>
            </w:r>
            <w:r>
              <w:rPr>
                <w:rFonts w:cs="Times New Roman"/>
                <w:sz w:val="20"/>
                <w:szCs w:val="20"/>
                <w:lang w:val="fr-CA"/>
              </w:rPr>
              <w:t xml:space="preserve">ur </w:t>
            </w:r>
            <w:r w:rsidR="00A956D3">
              <w:rPr>
                <w:rFonts w:cs="Times New Roman"/>
                <w:sz w:val="20"/>
                <w:szCs w:val="20"/>
                <w:lang w:val="fr-CA"/>
              </w:rPr>
              <w:t>g</w:t>
            </w:r>
            <w:r>
              <w:rPr>
                <w:rFonts w:cs="Times New Roman"/>
                <w:sz w:val="20"/>
                <w:szCs w:val="20"/>
                <w:lang w:val="fr-CA"/>
              </w:rPr>
              <w:t>énéral)</w:t>
            </w:r>
            <w:r w:rsidR="00A956D3" w:rsidRPr="00DD0B49">
              <w:rPr>
                <w:rFonts w:cs="Times New Roman"/>
                <w:sz w:val="20"/>
                <w:szCs w:val="20"/>
                <w:lang w:val="fr-CA"/>
              </w:rPr>
              <w:t xml:space="preserve"> </w:t>
            </w:r>
            <w:r>
              <w:rPr>
                <w:rFonts w:cs="Times New Roman"/>
                <w:i/>
                <w:iCs/>
                <w:sz w:val="20"/>
                <w:szCs w:val="20"/>
                <w:lang w:val="fr-CA"/>
              </w:rPr>
              <w:t>c</w:t>
            </w:r>
            <w:r w:rsidR="00A956D3" w:rsidRPr="00DD0B49">
              <w:rPr>
                <w:rFonts w:cs="Times New Roman"/>
                <w:i/>
                <w:iCs/>
                <w:sz w:val="20"/>
                <w:szCs w:val="20"/>
                <w:lang w:val="fr-CA"/>
              </w:rPr>
              <w:t xml:space="preserve">. </w:t>
            </w:r>
            <w:r>
              <w:rPr>
                <w:rFonts w:cs="Times New Roman"/>
                <w:iCs/>
                <w:sz w:val="20"/>
                <w:szCs w:val="20"/>
                <w:lang w:val="fr-CA"/>
              </w:rPr>
              <w:t>Fédéra</w:t>
            </w:r>
            <w:r w:rsidR="00A956D3">
              <w:rPr>
                <w:rFonts w:cs="Times New Roman"/>
                <w:iCs/>
                <w:sz w:val="20"/>
                <w:szCs w:val="20"/>
                <w:lang w:val="fr-CA"/>
              </w:rPr>
              <w:t>tion</w:t>
            </w:r>
            <w:r>
              <w:rPr>
                <w:rFonts w:cs="Times New Roman"/>
                <w:iCs/>
                <w:sz w:val="20"/>
                <w:szCs w:val="20"/>
                <w:lang w:val="fr-CA"/>
              </w:rPr>
              <w:t xml:space="preserve"> des ordres professionnels de juris</w:t>
            </w:r>
            <w:r w:rsidR="00A956D3">
              <w:rPr>
                <w:rFonts w:cs="Times New Roman"/>
                <w:iCs/>
                <w:sz w:val="20"/>
                <w:szCs w:val="20"/>
                <w:lang w:val="fr-CA"/>
              </w:rPr>
              <w:t>tes</w:t>
            </w:r>
            <w:r>
              <w:rPr>
                <w:rFonts w:cs="Times New Roman"/>
                <w:iCs/>
                <w:sz w:val="20"/>
                <w:szCs w:val="20"/>
                <w:lang w:val="fr-CA"/>
              </w:rPr>
              <w:t xml:space="preserve"> du Canada</w:t>
            </w:r>
            <w:r w:rsidR="00A956D3" w:rsidRPr="00F029FD">
              <w:rPr>
                <w:rFonts w:cs="Times New Roman"/>
                <w:sz w:val="20"/>
                <w:szCs w:val="20"/>
                <w:lang w:val="fr-CA"/>
              </w:rPr>
              <w:t>,</w:t>
            </w:r>
          </w:p>
          <w:p w:rsidR="00A956D3" w:rsidRPr="002717DD" w:rsidRDefault="00A956D3" w:rsidP="008F59A3">
            <w:pPr>
              <w:rPr>
                <w:rFonts w:cs="Times New Roman"/>
                <w:sz w:val="20"/>
                <w:szCs w:val="20"/>
              </w:rPr>
            </w:pPr>
            <w:r w:rsidRPr="002717DD">
              <w:rPr>
                <w:rFonts w:cs="Times New Roman"/>
                <w:sz w:val="20"/>
                <w:szCs w:val="20"/>
              </w:rPr>
              <w:t>201</w:t>
            </w:r>
            <w:r w:rsidR="00F165DA" w:rsidRPr="002717DD">
              <w:rPr>
                <w:rFonts w:cs="Times New Roman"/>
                <w:sz w:val="20"/>
                <w:szCs w:val="20"/>
              </w:rPr>
              <w:t>5</w:t>
            </w:r>
            <w:r w:rsidRPr="002717DD">
              <w:rPr>
                <w:rFonts w:cs="Times New Roman"/>
                <w:sz w:val="20"/>
                <w:szCs w:val="20"/>
              </w:rPr>
              <w:t xml:space="preserve"> CSC </w:t>
            </w:r>
            <w:r w:rsidR="00F165DA" w:rsidRPr="002717DD">
              <w:rPr>
                <w:rFonts w:cs="Times New Roman"/>
                <w:sz w:val="20"/>
                <w:szCs w:val="20"/>
              </w:rPr>
              <w:t>7</w:t>
            </w:r>
            <w:r w:rsidRPr="002717DD">
              <w:rPr>
                <w:rFonts w:cs="Times New Roman"/>
                <w:sz w:val="20"/>
                <w:szCs w:val="20"/>
              </w:rPr>
              <w:t>, [201</w:t>
            </w:r>
            <w:r w:rsidR="00F165DA" w:rsidRPr="002717DD">
              <w:rPr>
                <w:rFonts w:cs="Times New Roman"/>
                <w:sz w:val="20"/>
                <w:szCs w:val="20"/>
              </w:rPr>
              <w:t>5</w:t>
            </w:r>
            <w:r w:rsidRPr="002717DD">
              <w:rPr>
                <w:rFonts w:cs="Times New Roman"/>
                <w:sz w:val="20"/>
                <w:szCs w:val="20"/>
              </w:rPr>
              <w:t xml:space="preserve">] </w:t>
            </w:r>
            <w:r w:rsidR="00F165DA" w:rsidRPr="002717DD">
              <w:rPr>
                <w:rFonts w:cs="Times New Roman"/>
                <w:sz w:val="20"/>
                <w:szCs w:val="20"/>
              </w:rPr>
              <w:t>1</w:t>
            </w:r>
            <w:r w:rsidRPr="002717DD">
              <w:rPr>
                <w:rFonts w:cs="Times New Roman"/>
                <w:sz w:val="20"/>
                <w:szCs w:val="20"/>
              </w:rPr>
              <w:t xml:space="preserve"> R.C.S. </w:t>
            </w:r>
            <w:r w:rsidR="002717DD" w:rsidRPr="002717DD">
              <w:rPr>
                <w:rFonts w:cs="Times New Roman"/>
                <w:sz w:val="20"/>
                <w:szCs w:val="20"/>
              </w:rPr>
              <w:t>4</w:t>
            </w:r>
            <w:r w:rsidRPr="002717DD">
              <w:rPr>
                <w:rFonts w:cs="Times New Roman"/>
                <w:sz w:val="20"/>
                <w:szCs w:val="20"/>
              </w:rPr>
              <w:t>0</w:t>
            </w:r>
            <w:r w:rsidR="002717DD" w:rsidRPr="002717DD">
              <w:rPr>
                <w:rFonts w:cs="Times New Roman"/>
                <w:sz w:val="20"/>
                <w:szCs w:val="20"/>
              </w:rPr>
              <w:t>1</w:t>
            </w:r>
          </w:p>
          <w:p w:rsidR="00A956D3" w:rsidRPr="002717DD" w:rsidRDefault="00A956D3" w:rsidP="008F59A3">
            <w:pPr>
              <w:rPr>
                <w:rFonts w:cs="Times New Roman"/>
                <w:sz w:val="20"/>
                <w:szCs w:val="20"/>
              </w:rPr>
            </w:pPr>
          </w:p>
          <w:p w:rsidR="00A956D3" w:rsidRPr="002717DD" w:rsidRDefault="00A956D3" w:rsidP="008F59A3">
            <w:pPr>
              <w:rPr>
                <w:rFonts w:cs="Times New Roman"/>
                <w:sz w:val="20"/>
                <w:szCs w:val="20"/>
              </w:rPr>
            </w:pPr>
            <w:r w:rsidRPr="002717DD">
              <w:rPr>
                <w:rFonts w:cs="Times New Roman"/>
                <w:sz w:val="20"/>
                <w:szCs w:val="20"/>
              </w:rPr>
              <w:t xml:space="preserve">R. </w:t>
            </w:r>
            <w:r w:rsidRPr="002717DD">
              <w:rPr>
                <w:rFonts w:cs="Times New Roman"/>
                <w:i/>
                <w:iCs/>
                <w:sz w:val="20"/>
                <w:szCs w:val="20"/>
              </w:rPr>
              <w:t>c.</w:t>
            </w:r>
            <w:r w:rsidRPr="002717DD">
              <w:rPr>
                <w:rFonts w:cs="Times New Roman"/>
                <w:iCs/>
                <w:sz w:val="20"/>
                <w:szCs w:val="20"/>
              </w:rPr>
              <w:t xml:space="preserve"> </w:t>
            </w:r>
            <w:r w:rsidR="002717DD" w:rsidRPr="002717DD">
              <w:rPr>
                <w:rFonts w:cs="Times New Roman"/>
                <w:iCs/>
                <w:sz w:val="20"/>
                <w:szCs w:val="20"/>
              </w:rPr>
              <w:t>Pe</w:t>
            </w:r>
            <w:r w:rsidRPr="002717DD">
              <w:rPr>
                <w:rFonts w:cs="Times New Roman"/>
                <w:iCs/>
                <w:sz w:val="20"/>
                <w:szCs w:val="20"/>
              </w:rPr>
              <w:t>r</w:t>
            </w:r>
            <w:r w:rsidR="002717DD" w:rsidRPr="002717DD">
              <w:rPr>
                <w:rFonts w:cs="Times New Roman"/>
                <w:iCs/>
                <w:sz w:val="20"/>
                <w:szCs w:val="20"/>
              </w:rPr>
              <w:t>ro</w:t>
            </w:r>
            <w:r w:rsidRPr="002717DD">
              <w:rPr>
                <w:rFonts w:cs="Times New Roman"/>
                <w:iCs/>
                <w:sz w:val="20"/>
                <w:szCs w:val="20"/>
              </w:rPr>
              <w:t>ne</w:t>
            </w:r>
            <w:r w:rsidRPr="002717DD">
              <w:rPr>
                <w:rFonts w:cs="Times New Roman"/>
                <w:sz w:val="20"/>
                <w:szCs w:val="20"/>
              </w:rPr>
              <w:t>,</w:t>
            </w:r>
          </w:p>
          <w:p w:rsidR="00A956D3" w:rsidRPr="00F165DA" w:rsidRDefault="00A956D3" w:rsidP="008F59A3">
            <w:pPr>
              <w:rPr>
                <w:rFonts w:cs="Times New Roman"/>
                <w:sz w:val="20"/>
                <w:szCs w:val="20"/>
                <w:lang w:val="fr-CA"/>
              </w:rPr>
            </w:pPr>
            <w:r w:rsidRPr="00F165DA">
              <w:rPr>
                <w:rFonts w:cs="Times New Roman"/>
                <w:sz w:val="20"/>
                <w:szCs w:val="20"/>
                <w:lang w:val="fr-CA"/>
              </w:rPr>
              <w:t>201</w:t>
            </w:r>
            <w:r w:rsidR="00F165DA">
              <w:rPr>
                <w:rFonts w:cs="Times New Roman"/>
                <w:sz w:val="20"/>
                <w:szCs w:val="20"/>
                <w:lang w:val="fr-CA"/>
              </w:rPr>
              <w:t>5</w:t>
            </w:r>
            <w:r w:rsidRPr="00F165DA">
              <w:rPr>
                <w:rFonts w:cs="Times New Roman"/>
                <w:sz w:val="20"/>
                <w:szCs w:val="20"/>
                <w:lang w:val="fr-CA"/>
              </w:rPr>
              <w:t xml:space="preserve"> CSC </w:t>
            </w:r>
            <w:r w:rsidR="00F165DA" w:rsidRPr="00F165DA">
              <w:rPr>
                <w:rFonts w:cs="Times New Roman"/>
                <w:sz w:val="20"/>
                <w:szCs w:val="20"/>
                <w:lang w:val="fr-CA"/>
              </w:rPr>
              <w:t>8</w:t>
            </w:r>
            <w:r w:rsidRPr="00F165DA">
              <w:rPr>
                <w:rFonts w:cs="Times New Roman"/>
                <w:sz w:val="20"/>
                <w:szCs w:val="20"/>
                <w:lang w:val="fr-CA"/>
              </w:rPr>
              <w:t>, [201</w:t>
            </w:r>
            <w:r w:rsidR="00F165DA">
              <w:rPr>
                <w:rFonts w:cs="Times New Roman"/>
                <w:sz w:val="20"/>
                <w:szCs w:val="20"/>
                <w:lang w:val="fr-CA"/>
              </w:rPr>
              <w:t>5</w:t>
            </w:r>
            <w:r w:rsidRPr="00F165DA">
              <w:rPr>
                <w:rFonts w:cs="Times New Roman"/>
                <w:sz w:val="20"/>
                <w:szCs w:val="20"/>
                <w:lang w:val="fr-CA"/>
              </w:rPr>
              <w:t xml:space="preserve">] </w:t>
            </w:r>
            <w:r w:rsidR="00F165DA">
              <w:rPr>
                <w:rFonts w:cs="Times New Roman"/>
                <w:sz w:val="20"/>
                <w:szCs w:val="20"/>
                <w:lang w:val="fr-CA"/>
              </w:rPr>
              <w:t>1</w:t>
            </w:r>
            <w:r w:rsidRPr="00F165DA">
              <w:rPr>
                <w:rFonts w:cs="Times New Roman"/>
                <w:sz w:val="20"/>
                <w:szCs w:val="20"/>
                <w:lang w:val="fr-CA"/>
              </w:rPr>
              <w:t xml:space="preserve"> R.C.S. 4</w:t>
            </w:r>
            <w:r w:rsidR="002717DD">
              <w:rPr>
                <w:rFonts w:cs="Times New Roman"/>
                <w:sz w:val="20"/>
                <w:szCs w:val="20"/>
                <w:lang w:val="fr-CA"/>
              </w:rPr>
              <w:t>73</w:t>
            </w:r>
          </w:p>
          <w:p w:rsidR="00A956D3" w:rsidRPr="00F165DA" w:rsidRDefault="00A956D3" w:rsidP="008F59A3">
            <w:pPr>
              <w:rPr>
                <w:rFonts w:cs="Times New Roman"/>
                <w:iCs/>
                <w:sz w:val="20"/>
                <w:szCs w:val="20"/>
                <w:lang w:val="fr-CA"/>
              </w:rPr>
            </w:pPr>
          </w:p>
          <w:p w:rsidR="00A956D3" w:rsidRPr="0088234F" w:rsidRDefault="00A956D3" w:rsidP="008F59A3">
            <w:pPr>
              <w:rPr>
                <w:rFonts w:cs="Times New Roman"/>
                <w:iCs/>
                <w:sz w:val="20"/>
                <w:szCs w:val="20"/>
                <w:lang w:val="fr-CA"/>
              </w:rPr>
            </w:pPr>
            <w:r w:rsidRPr="0088234F">
              <w:rPr>
                <w:rFonts w:cs="Times New Roman"/>
                <w:iCs/>
                <w:sz w:val="20"/>
                <w:szCs w:val="20"/>
                <w:lang w:val="fr-CA"/>
              </w:rPr>
              <w:t xml:space="preserve">R. </w:t>
            </w:r>
            <w:r w:rsidRPr="0088234F">
              <w:rPr>
                <w:rFonts w:cs="Times New Roman"/>
                <w:i/>
                <w:iCs/>
                <w:sz w:val="20"/>
                <w:szCs w:val="20"/>
                <w:lang w:val="fr-CA"/>
              </w:rPr>
              <w:t>c.</w:t>
            </w:r>
            <w:r w:rsidR="002717DD">
              <w:rPr>
                <w:rFonts w:cs="Times New Roman"/>
                <w:iCs/>
                <w:sz w:val="20"/>
                <w:szCs w:val="20"/>
                <w:lang w:val="fr-CA"/>
              </w:rPr>
              <w:t xml:space="preserve"> Gr</w:t>
            </w:r>
            <w:r w:rsidRPr="0088234F">
              <w:rPr>
                <w:rFonts w:cs="Times New Roman"/>
                <w:iCs/>
                <w:sz w:val="20"/>
                <w:szCs w:val="20"/>
                <w:lang w:val="fr-CA"/>
              </w:rPr>
              <w:t>a</w:t>
            </w:r>
            <w:r w:rsidR="002717DD">
              <w:rPr>
                <w:rFonts w:cs="Times New Roman"/>
                <w:iCs/>
                <w:sz w:val="20"/>
                <w:szCs w:val="20"/>
                <w:lang w:val="fr-CA"/>
              </w:rPr>
              <w:t>nt</w:t>
            </w:r>
            <w:r w:rsidRPr="0088234F">
              <w:rPr>
                <w:rFonts w:cs="Times New Roman"/>
                <w:iCs/>
                <w:sz w:val="20"/>
                <w:szCs w:val="20"/>
                <w:lang w:val="fr-CA"/>
              </w:rPr>
              <w:t>,</w:t>
            </w:r>
          </w:p>
          <w:p w:rsidR="00A956D3" w:rsidRPr="0088234F" w:rsidRDefault="00A956D3" w:rsidP="008F59A3">
            <w:pPr>
              <w:rPr>
                <w:rFonts w:cs="Times New Roman"/>
                <w:sz w:val="20"/>
                <w:szCs w:val="20"/>
                <w:lang w:val="fr-CA"/>
              </w:rPr>
            </w:pPr>
            <w:r w:rsidRPr="0088234F">
              <w:rPr>
                <w:rFonts w:cs="Times New Roman"/>
                <w:sz w:val="20"/>
                <w:szCs w:val="20"/>
                <w:lang w:val="fr-CA"/>
              </w:rPr>
              <w:t>201</w:t>
            </w:r>
            <w:r w:rsidR="00F165DA">
              <w:rPr>
                <w:rFonts w:cs="Times New Roman"/>
                <w:sz w:val="20"/>
                <w:szCs w:val="20"/>
                <w:lang w:val="fr-CA"/>
              </w:rPr>
              <w:t>5</w:t>
            </w:r>
            <w:r w:rsidRPr="0088234F">
              <w:rPr>
                <w:rFonts w:cs="Times New Roman"/>
                <w:sz w:val="20"/>
                <w:szCs w:val="20"/>
                <w:lang w:val="fr-CA"/>
              </w:rPr>
              <w:t xml:space="preserve"> CSC </w:t>
            </w:r>
            <w:r w:rsidR="00F165DA">
              <w:rPr>
                <w:rFonts w:cs="Times New Roman"/>
                <w:sz w:val="20"/>
                <w:szCs w:val="20"/>
                <w:lang w:val="fr-CA"/>
              </w:rPr>
              <w:t>9</w:t>
            </w:r>
            <w:r w:rsidRPr="0088234F">
              <w:rPr>
                <w:rFonts w:cs="Times New Roman"/>
                <w:sz w:val="20"/>
                <w:szCs w:val="20"/>
                <w:lang w:val="fr-CA"/>
              </w:rPr>
              <w:t>, [201</w:t>
            </w:r>
            <w:r w:rsidR="00F165DA">
              <w:rPr>
                <w:rFonts w:cs="Times New Roman"/>
                <w:sz w:val="20"/>
                <w:szCs w:val="20"/>
                <w:lang w:val="fr-CA"/>
              </w:rPr>
              <w:t>5</w:t>
            </w:r>
            <w:r w:rsidRPr="0088234F">
              <w:rPr>
                <w:rFonts w:cs="Times New Roman"/>
                <w:sz w:val="20"/>
                <w:szCs w:val="20"/>
                <w:lang w:val="fr-CA"/>
              </w:rPr>
              <w:t xml:space="preserve">] </w:t>
            </w:r>
            <w:r w:rsidR="00F165DA">
              <w:rPr>
                <w:rFonts w:cs="Times New Roman"/>
                <w:sz w:val="20"/>
                <w:szCs w:val="20"/>
                <w:lang w:val="fr-CA"/>
              </w:rPr>
              <w:t>1</w:t>
            </w:r>
            <w:r w:rsidRPr="0088234F">
              <w:rPr>
                <w:rFonts w:cs="Times New Roman"/>
                <w:sz w:val="20"/>
                <w:szCs w:val="20"/>
                <w:lang w:val="fr-CA"/>
              </w:rPr>
              <w:t xml:space="preserve"> R.C.S. 4</w:t>
            </w:r>
            <w:r w:rsidR="002717DD">
              <w:rPr>
                <w:rFonts w:cs="Times New Roman"/>
                <w:sz w:val="20"/>
                <w:szCs w:val="20"/>
                <w:lang w:val="fr-CA"/>
              </w:rPr>
              <w:t>7</w:t>
            </w:r>
            <w:r w:rsidRPr="0088234F">
              <w:rPr>
                <w:rFonts w:cs="Times New Roman"/>
                <w:sz w:val="20"/>
                <w:szCs w:val="20"/>
                <w:lang w:val="fr-CA"/>
              </w:rPr>
              <w:t>5</w:t>
            </w:r>
          </w:p>
          <w:p w:rsidR="00A956D3" w:rsidRDefault="00A956D3" w:rsidP="008F59A3">
            <w:pPr>
              <w:rPr>
                <w:rFonts w:cs="Times New Roman"/>
                <w:sz w:val="20"/>
                <w:szCs w:val="20"/>
                <w:lang w:val="fr-CA"/>
              </w:rPr>
            </w:pPr>
          </w:p>
          <w:p w:rsidR="00F165DA" w:rsidRPr="00D21BEF" w:rsidRDefault="00F165DA" w:rsidP="00F165DA">
            <w:pPr>
              <w:rPr>
                <w:rFonts w:cs="Times New Roman"/>
                <w:sz w:val="20"/>
                <w:szCs w:val="20"/>
                <w:lang w:val="fr-CA"/>
              </w:rPr>
            </w:pPr>
            <w:r w:rsidRPr="00D21BEF">
              <w:rPr>
                <w:rFonts w:cs="Times New Roman"/>
                <w:sz w:val="20"/>
                <w:szCs w:val="20"/>
                <w:lang w:val="fr-CA"/>
              </w:rPr>
              <w:t>P</w:t>
            </w:r>
            <w:r w:rsidR="002717DD" w:rsidRPr="00D21BEF">
              <w:rPr>
                <w:rFonts w:cs="Times New Roman"/>
                <w:sz w:val="20"/>
                <w:szCs w:val="20"/>
                <w:lang w:val="fr-CA"/>
              </w:rPr>
              <w:t>otte</w:t>
            </w:r>
            <w:r w:rsidRPr="00D21BEF">
              <w:rPr>
                <w:rFonts w:cs="Times New Roman"/>
                <w:sz w:val="20"/>
                <w:szCs w:val="20"/>
                <w:lang w:val="fr-CA"/>
              </w:rPr>
              <w:t>r</w:t>
            </w:r>
            <w:r w:rsidR="002717DD" w:rsidRPr="00D21BEF">
              <w:rPr>
                <w:rFonts w:cs="Times New Roman"/>
                <w:sz w:val="20"/>
                <w:szCs w:val="20"/>
                <w:lang w:val="fr-CA"/>
              </w:rPr>
              <w:t xml:space="preserve"> </w:t>
            </w:r>
            <w:r w:rsidRPr="00D21BEF">
              <w:rPr>
                <w:rFonts w:cs="Times New Roman"/>
                <w:i/>
                <w:iCs/>
                <w:sz w:val="20"/>
                <w:szCs w:val="20"/>
                <w:lang w:val="fr-CA"/>
              </w:rPr>
              <w:t>c.</w:t>
            </w:r>
            <w:r w:rsidRPr="00D21BEF">
              <w:rPr>
                <w:rFonts w:cs="Times New Roman"/>
                <w:sz w:val="20"/>
                <w:szCs w:val="20"/>
                <w:lang w:val="fr-CA"/>
              </w:rPr>
              <w:t xml:space="preserve"> </w:t>
            </w:r>
            <w:r w:rsidR="002717DD" w:rsidRPr="00D21BEF">
              <w:rPr>
                <w:rFonts w:cs="Times New Roman"/>
                <w:sz w:val="20"/>
                <w:szCs w:val="20"/>
                <w:lang w:val="fr-CA"/>
              </w:rPr>
              <w:t>C</w:t>
            </w:r>
            <w:r w:rsidRPr="00D21BEF">
              <w:rPr>
                <w:rFonts w:cs="Times New Roman"/>
                <w:sz w:val="20"/>
                <w:szCs w:val="20"/>
                <w:lang w:val="fr-CA"/>
              </w:rPr>
              <w:t>o</w:t>
            </w:r>
            <w:r w:rsidR="002717DD" w:rsidRPr="00D21BEF">
              <w:rPr>
                <w:rFonts w:cs="Times New Roman"/>
                <w:sz w:val="20"/>
                <w:szCs w:val="20"/>
                <w:lang w:val="fr-CA"/>
              </w:rPr>
              <w:t>mmis</w:t>
            </w:r>
            <w:r w:rsidRPr="00D21BEF">
              <w:rPr>
                <w:rFonts w:cs="Times New Roman"/>
                <w:sz w:val="20"/>
                <w:szCs w:val="20"/>
                <w:lang w:val="fr-CA"/>
              </w:rPr>
              <w:t>s</w:t>
            </w:r>
            <w:r w:rsidR="002717DD" w:rsidRPr="00D21BEF">
              <w:rPr>
                <w:rFonts w:cs="Times New Roman"/>
                <w:sz w:val="20"/>
                <w:szCs w:val="20"/>
                <w:lang w:val="fr-CA"/>
              </w:rPr>
              <w:t>i</w:t>
            </w:r>
            <w:r w:rsidRPr="00D21BEF">
              <w:rPr>
                <w:rFonts w:cs="Times New Roman"/>
                <w:sz w:val="20"/>
                <w:szCs w:val="20"/>
                <w:lang w:val="fr-CA"/>
              </w:rPr>
              <w:t>o</w:t>
            </w:r>
            <w:r w:rsidR="002717DD" w:rsidRPr="00D21BEF">
              <w:rPr>
                <w:rFonts w:cs="Times New Roman"/>
                <w:sz w:val="20"/>
                <w:szCs w:val="20"/>
                <w:lang w:val="fr-CA"/>
              </w:rPr>
              <w:t>n des services d’aide juridique du Nouveau-B</w:t>
            </w:r>
            <w:r w:rsidRPr="00D21BEF">
              <w:rPr>
                <w:rFonts w:cs="Times New Roman"/>
                <w:sz w:val="20"/>
                <w:szCs w:val="20"/>
                <w:lang w:val="fr-CA"/>
              </w:rPr>
              <w:t>r</w:t>
            </w:r>
            <w:r w:rsidR="002717DD" w:rsidRPr="00D21BEF">
              <w:rPr>
                <w:rFonts w:cs="Times New Roman"/>
                <w:sz w:val="20"/>
                <w:szCs w:val="20"/>
                <w:lang w:val="fr-CA"/>
              </w:rPr>
              <w:t>unswick</w:t>
            </w:r>
            <w:r w:rsidRPr="00D21BEF">
              <w:rPr>
                <w:rFonts w:cs="Times New Roman"/>
                <w:sz w:val="20"/>
                <w:szCs w:val="20"/>
                <w:lang w:val="fr-CA"/>
              </w:rPr>
              <w:t>,</w:t>
            </w:r>
          </w:p>
          <w:p w:rsidR="00F165DA" w:rsidRPr="00D21BEF" w:rsidRDefault="00F165DA" w:rsidP="00F165DA">
            <w:pPr>
              <w:rPr>
                <w:rFonts w:cs="Times New Roman"/>
                <w:sz w:val="20"/>
                <w:szCs w:val="20"/>
              </w:rPr>
            </w:pPr>
            <w:r w:rsidRPr="00D21BEF">
              <w:rPr>
                <w:rFonts w:cs="Times New Roman"/>
                <w:sz w:val="20"/>
                <w:szCs w:val="20"/>
              </w:rPr>
              <w:t xml:space="preserve">2015 CSC 10, [2015] 1 R.C.S. </w:t>
            </w:r>
            <w:r w:rsidR="00D21BEF" w:rsidRPr="00D21BEF">
              <w:rPr>
                <w:rFonts w:cs="Times New Roman"/>
                <w:sz w:val="20"/>
                <w:szCs w:val="20"/>
              </w:rPr>
              <w:t>500</w:t>
            </w:r>
          </w:p>
          <w:p w:rsidR="00F165DA" w:rsidRPr="00D21BEF" w:rsidRDefault="00F165DA" w:rsidP="00F165DA">
            <w:pPr>
              <w:rPr>
                <w:rFonts w:cs="Times New Roman"/>
                <w:sz w:val="20"/>
                <w:szCs w:val="20"/>
              </w:rPr>
            </w:pPr>
          </w:p>
          <w:p w:rsidR="00A956D3" w:rsidRPr="00F165DA" w:rsidRDefault="00A956D3" w:rsidP="008F59A3">
            <w:pPr>
              <w:rPr>
                <w:rFonts w:cs="Times New Roman"/>
                <w:iCs/>
                <w:sz w:val="20"/>
                <w:szCs w:val="20"/>
              </w:rPr>
            </w:pPr>
            <w:r w:rsidRPr="00F165DA">
              <w:rPr>
                <w:rFonts w:cs="Times New Roman"/>
                <w:iCs/>
                <w:sz w:val="20"/>
                <w:szCs w:val="20"/>
              </w:rPr>
              <w:lastRenderedPageBreak/>
              <w:t xml:space="preserve">R. </w:t>
            </w:r>
            <w:r w:rsidRPr="00F165DA">
              <w:rPr>
                <w:rFonts w:cs="Times New Roman"/>
                <w:i/>
                <w:iCs/>
                <w:sz w:val="20"/>
                <w:szCs w:val="20"/>
              </w:rPr>
              <w:t>c.</w:t>
            </w:r>
            <w:r w:rsidRPr="00F165DA">
              <w:rPr>
                <w:rFonts w:cs="Times New Roman"/>
                <w:iCs/>
                <w:sz w:val="20"/>
                <w:szCs w:val="20"/>
              </w:rPr>
              <w:t xml:space="preserve"> </w:t>
            </w:r>
            <w:r w:rsidR="00D21BEF">
              <w:rPr>
                <w:rFonts w:cs="Times New Roman"/>
                <w:iCs/>
                <w:sz w:val="20"/>
                <w:szCs w:val="20"/>
              </w:rPr>
              <w:t>Araya</w:t>
            </w:r>
            <w:r w:rsidRPr="00F165DA">
              <w:rPr>
                <w:rFonts w:cs="Times New Roman"/>
                <w:iCs/>
                <w:sz w:val="20"/>
                <w:szCs w:val="20"/>
              </w:rPr>
              <w:t>,</w:t>
            </w:r>
          </w:p>
          <w:p w:rsidR="00A956D3" w:rsidRPr="00E836F1" w:rsidRDefault="00A956D3" w:rsidP="008F59A3">
            <w:pPr>
              <w:rPr>
                <w:rFonts w:cs="Times New Roman"/>
                <w:sz w:val="20"/>
                <w:szCs w:val="20"/>
                <w:lang w:val="fr-CA"/>
              </w:rPr>
            </w:pPr>
            <w:r w:rsidRPr="00E836F1">
              <w:rPr>
                <w:rFonts w:cs="Times New Roman"/>
                <w:sz w:val="20"/>
                <w:szCs w:val="20"/>
                <w:lang w:val="fr-CA"/>
              </w:rPr>
              <w:t>201</w:t>
            </w:r>
            <w:r w:rsidR="00F165DA">
              <w:rPr>
                <w:rFonts w:cs="Times New Roman"/>
                <w:sz w:val="20"/>
                <w:szCs w:val="20"/>
                <w:lang w:val="fr-CA"/>
              </w:rPr>
              <w:t>5</w:t>
            </w:r>
            <w:r w:rsidRPr="00E836F1">
              <w:rPr>
                <w:rFonts w:cs="Times New Roman"/>
                <w:sz w:val="20"/>
                <w:szCs w:val="20"/>
                <w:lang w:val="fr-CA"/>
              </w:rPr>
              <w:t xml:space="preserve"> CSC </w:t>
            </w:r>
            <w:r w:rsidR="00F165DA">
              <w:rPr>
                <w:rFonts w:cs="Times New Roman"/>
                <w:sz w:val="20"/>
                <w:szCs w:val="20"/>
                <w:lang w:val="fr-CA"/>
              </w:rPr>
              <w:t>11</w:t>
            </w:r>
            <w:r w:rsidRPr="00E836F1">
              <w:rPr>
                <w:rFonts w:cs="Times New Roman"/>
                <w:sz w:val="20"/>
                <w:szCs w:val="20"/>
                <w:lang w:val="fr-CA"/>
              </w:rPr>
              <w:t>, [201</w:t>
            </w:r>
            <w:r w:rsidR="00F165DA">
              <w:rPr>
                <w:rFonts w:cs="Times New Roman"/>
                <w:sz w:val="20"/>
                <w:szCs w:val="20"/>
                <w:lang w:val="fr-CA"/>
              </w:rPr>
              <w:t>5</w:t>
            </w:r>
            <w:r w:rsidRPr="00E836F1">
              <w:rPr>
                <w:rFonts w:cs="Times New Roman"/>
                <w:sz w:val="20"/>
                <w:szCs w:val="20"/>
                <w:lang w:val="fr-CA"/>
              </w:rPr>
              <w:t xml:space="preserve">] </w:t>
            </w:r>
            <w:r w:rsidR="00F165DA">
              <w:rPr>
                <w:rFonts w:cs="Times New Roman"/>
                <w:sz w:val="20"/>
                <w:szCs w:val="20"/>
                <w:lang w:val="fr-CA"/>
              </w:rPr>
              <w:t>1</w:t>
            </w:r>
            <w:r w:rsidRPr="00E836F1">
              <w:rPr>
                <w:rFonts w:cs="Times New Roman"/>
                <w:sz w:val="20"/>
                <w:szCs w:val="20"/>
                <w:lang w:val="fr-CA"/>
              </w:rPr>
              <w:t xml:space="preserve"> R.C.S. </w:t>
            </w:r>
            <w:r w:rsidR="00D21BEF">
              <w:rPr>
                <w:rFonts w:cs="Times New Roman"/>
                <w:sz w:val="20"/>
                <w:szCs w:val="20"/>
                <w:lang w:val="fr-CA"/>
              </w:rPr>
              <w:t>5</w:t>
            </w:r>
            <w:r w:rsidRPr="00E836F1">
              <w:rPr>
                <w:rFonts w:cs="Times New Roman"/>
                <w:sz w:val="20"/>
                <w:szCs w:val="20"/>
                <w:lang w:val="fr-CA"/>
              </w:rPr>
              <w:t>8</w:t>
            </w:r>
            <w:r w:rsidR="00D21BEF">
              <w:rPr>
                <w:rFonts w:cs="Times New Roman"/>
                <w:sz w:val="20"/>
                <w:szCs w:val="20"/>
                <w:lang w:val="fr-CA"/>
              </w:rPr>
              <w:t>1</w:t>
            </w:r>
          </w:p>
          <w:p w:rsidR="00A956D3" w:rsidRPr="00E15380" w:rsidRDefault="00A956D3" w:rsidP="008F59A3">
            <w:pPr>
              <w:keepNext/>
              <w:keepLines/>
              <w:rPr>
                <w:rFonts w:cs="Times New Roman"/>
                <w:bCs/>
                <w:sz w:val="20"/>
                <w:szCs w:val="20"/>
              </w:rPr>
            </w:pPr>
          </w:p>
          <w:p w:rsidR="00A956D3" w:rsidRPr="00DD0B49" w:rsidRDefault="00310DA4" w:rsidP="008F59A3">
            <w:pPr>
              <w:rPr>
                <w:rFonts w:cs="Times New Roman"/>
                <w:sz w:val="20"/>
                <w:szCs w:val="20"/>
              </w:rPr>
            </w:pPr>
            <w:r>
              <w:rPr>
                <w:rFonts w:cs="Times New Roman"/>
                <w:sz w:val="20"/>
                <w:szCs w:val="20"/>
              </w:rPr>
              <w:pict>
                <v:rect id="_x0000_i1071" style="width:129.6pt;height:1pt" o:hrpct="600" o:hralign="center" o:hrstd="t" o:hrnoshade="t" o:hr="t" fillcolor="black [3213]" stroked="f"/>
              </w:pict>
            </w:r>
          </w:p>
          <w:p w:rsidR="00A956D3" w:rsidRPr="00DD0B49" w:rsidRDefault="00A956D3" w:rsidP="008F59A3">
            <w:pPr>
              <w:keepNext/>
              <w:keepLines/>
              <w:rPr>
                <w:rFonts w:cs="Times New Roman"/>
                <w:bCs/>
                <w:sz w:val="20"/>
                <w:szCs w:val="20"/>
                <w:lang w:val="fr-CA"/>
              </w:rPr>
            </w:pPr>
          </w:p>
        </w:tc>
      </w:tr>
    </w:tbl>
    <w:p w:rsidR="00A956D3" w:rsidRDefault="00A956D3" w:rsidP="00A956D3">
      <w:pPr>
        <w:rPr>
          <w:sz w:val="20"/>
          <w:szCs w:val="20"/>
          <w:lang w:val="fr-CA"/>
        </w:rPr>
      </w:pPr>
    </w:p>
    <w:p w:rsidR="006B6926" w:rsidRPr="00C50A5C" w:rsidRDefault="006B6926" w:rsidP="00782AE4">
      <w:pPr>
        <w:jc w:val="both"/>
        <w:rPr>
          <w:sz w:val="20"/>
          <w:szCs w:val="20"/>
          <w:lang w:val="fr-CA"/>
        </w:rPr>
      </w:pPr>
    </w:p>
    <w:p w:rsidR="006B6926" w:rsidRPr="00C50A5C" w:rsidRDefault="006B6926" w:rsidP="00782AE4">
      <w:pPr>
        <w:jc w:val="both"/>
        <w:rPr>
          <w:sz w:val="20"/>
          <w:szCs w:val="20"/>
          <w:lang w:val="fr-CA"/>
        </w:rPr>
        <w:sectPr w:rsidR="006B6926" w:rsidRPr="00C50A5C" w:rsidSect="006B6926">
          <w:headerReference w:type="default" r:id="rId69"/>
          <w:footerReference w:type="default" r:id="rId70"/>
          <w:headerReference w:type="first" r:id="rId71"/>
          <w:footerReference w:type="first" r:id="rId72"/>
          <w:pgSz w:w="12240" w:h="15840"/>
          <w:pgMar w:top="720" w:right="965" w:bottom="1080" w:left="1656" w:header="720" w:footer="965" w:gutter="0"/>
          <w:cols w:space="720"/>
          <w:titlePg/>
          <w:docGrid w:linePitch="326"/>
        </w:sectPr>
      </w:pPr>
    </w:p>
    <w:p w:rsidR="00F419A1" w:rsidRPr="00AA7443" w:rsidRDefault="0086075F" w:rsidP="00F419A1">
      <w:pPr>
        <w:widowControl w:val="0"/>
        <w:spacing w:line="180" w:lineRule="auto"/>
        <w:jc w:val="center"/>
        <w:rPr>
          <w:rFonts w:asciiTheme="minorHAnsi" w:hAnsiTheme="minorHAnsi" w:cstheme="minorHAnsi"/>
          <w:b/>
          <w:szCs w:val="24"/>
          <w:lang w:val="fr-CA"/>
        </w:rPr>
      </w:pPr>
      <w:r w:rsidRPr="002E0C7E">
        <w:rPr>
          <w:rFonts w:asciiTheme="minorHAnsi" w:hAnsiTheme="minorHAnsi" w:cstheme="minorHAnsi"/>
          <w:b/>
          <w:szCs w:val="24"/>
        </w:rPr>
        <w:lastRenderedPageBreak/>
        <w:fldChar w:fldCharType="begin"/>
      </w:r>
      <w:r w:rsidR="00F419A1" w:rsidRPr="00AA7443">
        <w:rPr>
          <w:rFonts w:asciiTheme="minorHAnsi" w:hAnsiTheme="minorHAnsi" w:cstheme="minorHAnsi"/>
          <w:b/>
          <w:szCs w:val="24"/>
          <w:lang w:val="fr-CA"/>
        </w:rPr>
        <w:instrText xml:space="preserve"> SEQ CHAPTER \h \r 1</w:instrText>
      </w:r>
      <w:r w:rsidRPr="002E0C7E">
        <w:rPr>
          <w:rFonts w:asciiTheme="minorHAnsi" w:hAnsiTheme="minorHAnsi" w:cstheme="minorHAnsi"/>
          <w:b/>
          <w:szCs w:val="24"/>
        </w:rPr>
        <w:fldChar w:fldCharType="end"/>
      </w:r>
      <w:r w:rsidR="00F419A1" w:rsidRPr="00AA7443">
        <w:rPr>
          <w:rFonts w:asciiTheme="minorHAnsi" w:hAnsiTheme="minorHAnsi" w:cstheme="minorHAnsi"/>
          <w:b/>
          <w:szCs w:val="24"/>
          <w:lang w:val="fr-CA"/>
        </w:rPr>
        <w:t>SUPREME COURT OF CANADA SCHEDULE / CALENDRIER DE LA COUR SUPREME</w:t>
      </w:r>
    </w:p>
    <w:p w:rsidR="00F419A1" w:rsidRPr="00AA7443" w:rsidRDefault="00F419A1" w:rsidP="00F419A1">
      <w:pPr>
        <w:widowControl w:val="0"/>
        <w:spacing w:line="180" w:lineRule="auto"/>
        <w:rPr>
          <w:rFonts w:asciiTheme="minorHAnsi" w:hAnsiTheme="minorHAnsi" w:cstheme="minorHAnsi"/>
          <w:szCs w:val="24"/>
          <w:lang w:val="fr-CA"/>
        </w:rPr>
      </w:pPr>
    </w:p>
    <w:p w:rsidR="00F419A1" w:rsidRPr="00AA7443" w:rsidRDefault="00F419A1" w:rsidP="00F419A1">
      <w:pPr>
        <w:widowControl w:val="0"/>
        <w:tabs>
          <w:tab w:val="center" w:pos="5400"/>
          <w:tab w:val="right" w:pos="10440"/>
        </w:tabs>
        <w:rPr>
          <w:rFonts w:ascii="Arial" w:hAnsi="Arial"/>
          <w:sz w:val="18"/>
          <w:lang w:val="fr-CA"/>
        </w:rPr>
      </w:pPr>
      <w:r w:rsidRPr="00AA7443">
        <w:rPr>
          <w:rFonts w:ascii="Arial" w:hAnsi="Arial"/>
          <w:sz w:val="18"/>
          <w:lang w:val="fr-CA"/>
        </w:rPr>
        <w:tab/>
      </w:r>
      <w:r w:rsidRPr="00AA7443">
        <w:rPr>
          <w:rFonts w:ascii="Arial" w:hAnsi="Arial"/>
          <w:i/>
          <w:sz w:val="36"/>
          <w:lang w:val="fr-CA"/>
        </w:rPr>
        <w:t xml:space="preserve">- </w:t>
      </w:r>
      <w:r w:rsidRPr="00AA7443">
        <w:rPr>
          <w:rFonts w:ascii="Arial" w:hAnsi="Arial"/>
          <w:b/>
          <w:i/>
          <w:sz w:val="36"/>
          <w:lang w:val="fr-CA"/>
        </w:rPr>
        <w:t>2015</w:t>
      </w:r>
      <w:r w:rsidRPr="00AA7443">
        <w:rPr>
          <w:rFonts w:ascii="Arial" w:hAnsi="Arial"/>
          <w:i/>
          <w:sz w:val="36"/>
          <w:lang w:val="fr-CA"/>
        </w:rPr>
        <w:t xml:space="preserve"> -</w:t>
      </w:r>
      <w:r w:rsidRPr="00AA7443">
        <w:rPr>
          <w:rFonts w:ascii="Arial" w:hAnsi="Arial"/>
          <w:sz w:val="18"/>
          <w:lang w:val="fr-CA"/>
        </w:rPr>
        <w:tab/>
      </w:r>
    </w:p>
    <w:tbl>
      <w:tblPr>
        <w:tblW w:w="10797"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70"/>
        <w:gridCol w:w="469"/>
        <w:gridCol w:w="470"/>
        <w:gridCol w:w="469"/>
        <w:gridCol w:w="470"/>
        <w:gridCol w:w="469"/>
        <w:gridCol w:w="469"/>
        <w:gridCol w:w="470"/>
        <w:gridCol w:w="469"/>
        <w:gridCol w:w="470"/>
        <w:gridCol w:w="469"/>
        <w:gridCol w:w="470"/>
        <w:gridCol w:w="469"/>
        <w:gridCol w:w="469"/>
        <w:gridCol w:w="470"/>
        <w:gridCol w:w="469"/>
        <w:gridCol w:w="470"/>
        <w:gridCol w:w="469"/>
        <w:gridCol w:w="470"/>
        <w:gridCol w:w="469"/>
        <w:gridCol w:w="470"/>
      </w:tblGrid>
      <w:tr w:rsidR="00F419A1" w:rsidRPr="002E0C7E" w:rsidTr="008F59A3">
        <w:trPr>
          <w:cantSplit/>
          <w:jc w:val="center"/>
        </w:trPr>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F419A1" w:rsidRPr="002E0C7E" w:rsidRDefault="00F419A1" w:rsidP="008F59A3">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F419A1" w:rsidRPr="002E0C7E" w:rsidRDefault="00F419A1" w:rsidP="008F59A3">
            <w:pPr>
              <w:widowControl w:val="0"/>
              <w:jc w:val="center"/>
              <w:rPr>
                <w:rFonts w:ascii="Arial" w:hAnsi="Arial"/>
                <w:sz w:val="14"/>
              </w:rPr>
            </w:pPr>
          </w:p>
        </w:tc>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F419A1" w:rsidRPr="002E0C7E" w:rsidRDefault="00F419A1" w:rsidP="008F59A3">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F419A1" w:rsidRPr="002E0C7E" w:rsidRDefault="00F419A1" w:rsidP="008F59A3">
            <w:pPr>
              <w:widowControl w:val="0"/>
              <w:jc w:val="center"/>
              <w:rPr>
                <w:rFonts w:ascii="Arial" w:hAnsi="Arial"/>
                <w:sz w:val="14"/>
              </w:rPr>
            </w:pPr>
          </w:p>
        </w:tc>
        <w:tc>
          <w:tcPr>
            <w:tcW w:w="3287"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F419A1" w:rsidRPr="002E0C7E" w:rsidRDefault="00F419A1" w:rsidP="008F59A3">
            <w:pPr>
              <w:widowControl w:val="0"/>
              <w:jc w:val="center"/>
              <w:rPr>
                <w:rFonts w:ascii="Arial" w:hAnsi="Arial"/>
                <w:sz w:val="14"/>
              </w:rPr>
            </w:pPr>
            <w:r w:rsidRPr="002E0C7E">
              <w:rPr>
                <w:rFonts w:ascii="Arial" w:hAnsi="Arial"/>
                <w:b/>
                <w:sz w:val="14"/>
              </w:rPr>
              <w:t>DECEMBER - DÉCEMBRE</w:t>
            </w:r>
          </w:p>
        </w:tc>
      </w:tr>
      <w:tr w:rsidR="00F419A1" w:rsidRPr="002E0C7E" w:rsidTr="008F59A3">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r w:rsidRPr="002E0C7E">
              <w:rPr>
                <w:rFonts w:ascii="Arial" w:hAnsi="Arial"/>
                <w:sz w:val="14"/>
              </w:rPr>
              <w:t>S</w:t>
            </w:r>
          </w:p>
          <w:p w:rsidR="00F419A1" w:rsidRPr="002E0C7E" w:rsidRDefault="00F419A1" w:rsidP="008F59A3">
            <w:pPr>
              <w:widowControl w:val="0"/>
              <w:jc w:val="center"/>
              <w:rPr>
                <w:rFonts w:ascii="Arial" w:hAnsi="Arial"/>
                <w:sz w:val="14"/>
              </w:rPr>
            </w:pPr>
            <w:r w:rsidRPr="002E0C7E">
              <w:rPr>
                <w:rFonts w:ascii="Arial" w:hAnsi="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r w:rsidRPr="002E0C7E">
              <w:rPr>
                <w:rFonts w:ascii="Arial" w:hAnsi="Arial"/>
                <w:sz w:val="14"/>
              </w:rPr>
              <w:t>M</w:t>
            </w:r>
          </w:p>
          <w:p w:rsidR="00F419A1" w:rsidRPr="002E0C7E" w:rsidRDefault="00F419A1" w:rsidP="008F59A3">
            <w:pPr>
              <w:widowControl w:val="0"/>
              <w:jc w:val="center"/>
              <w:rPr>
                <w:rFonts w:ascii="Arial" w:hAnsi="Arial"/>
                <w:sz w:val="14"/>
              </w:rPr>
            </w:pPr>
            <w:r w:rsidRPr="002E0C7E">
              <w:rPr>
                <w:rFonts w:ascii="Arial" w:hAnsi="Arial"/>
                <w:sz w:val="14"/>
              </w:rPr>
              <w:t>L</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r w:rsidRPr="002E0C7E">
              <w:rPr>
                <w:rFonts w:ascii="Arial" w:hAnsi="Arial"/>
                <w:sz w:val="14"/>
              </w:rPr>
              <w:t>T</w:t>
            </w:r>
          </w:p>
          <w:p w:rsidR="00F419A1" w:rsidRPr="002E0C7E" w:rsidRDefault="00F419A1" w:rsidP="008F59A3">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r w:rsidRPr="002E0C7E">
              <w:rPr>
                <w:rFonts w:ascii="Arial" w:hAnsi="Arial"/>
                <w:sz w:val="14"/>
              </w:rPr>
              <w:t>W</w:t>
            </w:r>
          </w:p>
          <w:p w:rsidR="00F419A1" w:rsidRPr="002E0C7E" w:rsidRDefault="00F419A1" w:rsidP="008F59A3">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r w:rsidRPr="002E0C7E">
              <w:rPr>
                <w:rFonts w:ascii="Arial" w:hAnsi="Arial"/>
                <w:sz w:val="14"/>
              </w:rPr>
              <w:t>T</w:t>
            </w:r>
          </w:p>
          <w:p w:rsidR="00F419A1" w:rsidRPr="002E0C7E" w:rsidRDefault="00F419A1" w:rsidP="008F59A3">
            <w:pPr>
              <w:widowControl w:val="0"/>
              <w:jc w:val="center"/>
              <w:rPr>
                <w:rFonts w:ascii="Arial" w:hAnsi="Arial"/>
                <w:sz w:val="14"/>
              </w:rPr>
            </w:pPr>
            <w:r w:rsidRPr="002E0C7E">
              <w:rPr>
                <w:rFonts w:ascii="Arial" w:hAnsi="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r w:rsidRPr="002E0C7E">
              <w:rPr>
                <w:rFonts w:ascii="Arial" w:hAnsi="Arial"/>
                <w:sz w:val="14"/>
              </w:rPr>
              <w:t>F</w:t>
            </w:r>
          </w:p>
          <w:p w:rsidR="00F419A1" w:rsidRPr="002E0C7E" w:rsidRDefault="00F419A1" w:rsidP="008F59A3">
            <w:pPr>
              <w:widowControl w:val="0"/>
              <w:jc w:val="center"/>
              <w:rPr>
                <w:rFonts w:ascii="Arial" w:hAnsi="Arial"/>
                <w:sz w:val="14"/>
              </w:rPr>
            </w:pPr>
            <w:r w:rsidRPr="002E0C7E">
              <w:rPr>
                <w:rFonts w:ascii="Arial" w:hAnsi="Arial"/>
                <w:sz w:val="14"/>
              </w:rPr>
              <w:t>V</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r w:rsidRPr="002E0C7E">
              <w:rPr>
                <w:rFonts w:ascii="Arial" w:hAnsi="Arial"/>
                <w:sz w:val="14"/>
              </w:rPr>
              <w:t>S</w:t>
            </w:r>
          </w:p>
          <w:p w:rsidR="00F419A1" w:rsidRPr="002E0C7E" w:rsidRDefault="00F419A1" w:rsidP="008F59A3">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r w:rsidRPr="002E0C7E">
              <w:rPr>
                <w:rFonts w:ascii="Arial" w:hAnsi="Arial"/>
                <w:sz w:val="14"/>
              </w:rPr>
              <w:t>S</w:t>
            </w:r>
          </w:p>
          <w:p w:rsidR="00F419A1" w:rsidRPr="002E0C7E" w:rsidRDefault="00F419A1" w:rsidP="008F59A3">
            <w:pPr>
              <w:widowControl w:val="0"/>
              <w:jc w:val="center"/>
              <w:rPr>
                <w:rFonts w:ascii="Arial" w:hAnsi="Arial"/>
                <w:sz w:val="14"/>
              </w:rPr>
            </w:pPr>
            <w:r w:rsidRPr="002E0C7E">
              <w:rPr>
                <w:rFonts w:ascii="Arial" w:hAnsi="Arial"/>
                <w:sz w:val="14"/>
              </w:rPr>
              <w:t>D</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r w:rsidRPr="002E0C7E">
              <w:rPr>
                <w:rFonts w:ascii="Arial" w:hAnsi="Arial"/>
                <w:sz w:val="14"/>
              </w:rPr>
              <w:t>M</w:t>
            </w:r>
          </w:p>
          <w:p w:rsidR="00F419A1" w:rsidRPr="002E0C7E" w:rsidRDefault="00F419A1" w:rsidP="008F59A3">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r w:rsidRPr="002E0C7E">
              <w:rPr>
                <w:rFonts w:ascii="Arial" w:hAnsi="Arial"/>
                <w:sz w:val="14"/>
              </w:rPr>
              <w:t>T</w:t>
            </w:r>
          </w:p>
          <w:p w:rsidR="00F419A1" w:rsidRPr="002E0C7E" w:rsidRDefault="00F419A1" w:rsidP="008F59A3">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r w:rsidRPr="002E0C7E">
              <w:rPr>
                <w:rFonts w:ascii="Arial" w:hAnsi="Arial"/>
                <w:sz w:val="14"/>
              </w:rPr>
              <w:t>W</w:t>
            </w:r>
          </w:p>
          <w:p w:rsidR="00F419A1" w:rsidRPr="002E0C7E" w:rsidRDefault="00F419A1" w:rsidP="008F59A3">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r w:rsidRPr="002E0C7E">
              <w:rPr>
                <w:rFonts w:ascii="Arial" w:hAnsi="Arial"/>
                <w:sz w:val="14"/>
              </w:rPr>
              <w:t>T</w:t>
            </w:r>
          </w:p>
          <w:p w:rsidR="00F419A1" w:rsidRPr="002E0C7E" w:rsidRDefault="00F419A1" w:rsidP="008F59A3">
            <w:pPr>
              <w:widowControl w:val="0"/>
              <w:jc w:val="center"/>
              <w:rPr>
                <w:rFonts w:ascii="Arial" w:hAnsi="Arial"/>
                <w:sz w:val="14"/>
              </w:rPr>
            </w:pPr>
            <w:r w:rsidRPr="002E0C7E">
              <w:rPr>
                <w:rFonts w:ascii="Arial" w:hAnsi="Arial"/>
                <w:sz w:val="14"/>
              </w:rPr>
              <w:t>J</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r w:rsidRPr="002E0C7E">
              <w:rPr>
                <w:rFonts w:ascii="Arial" w:hAnsi="Arial"/>
                <w:sz w:val="14"/>
              </w:rPr>
              <w:t>F</w:t>
            </w:r>
          </w:p>
          <w:p w:rsidR="00F419A1" w:rsidRPr="002E0C7E" w:rsidRDefault="00F419A1" w:rsidP="008F59A3">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r w:rsidRPr="002E0C7E">
              <w:rPr>
                <w:rFonts w:ascii="Arial" w:hAnsi="Arial"/>
                <w:sz w:val="14"/>
              </w:rPr>
              <w:t>S</w:t>
            </w:r>
          </w:p>
          <w:p w:rsidR="00F419A1" w:rsidRPr="002E0C7E" w:rsidRDefault="00F419A1" w:rsidP="008F59A3">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tc>
        <w:tc>
          <w:tcPr>
            <w:tcW w:w="470" w:type="dxa"/>
            <w:tcBorders>
              <w:top w:val="double" w:sz="6" w:space="0" w:color="000000"/>
              <w:left w:val="double" w:sz="6" w:space="0" w:color="000000"/>
              <w:bottom w:val="single" w:sz="8" w:space="0" w:color="000000"/>
              <w:right w:val="single" w:sz="4" w:space="0" w:color="auto"/>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r w:rsidRPr="002E0C7E">
              <w:rPr>
                <w:rFonts w:ascii="Arial" w:hAnsi="Arial"/>
                <w:sz w:val="14"/>
              </w:rPr>
              <w:t>S</w:t>
            </w:r>
          </w:p>
          <w:p w:rsidR="00F419A1" w:rsidRPr="002E0C7E" w:rsidRDefault="00F419A1" w:rsidP="008F59A3">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4" w:space="0" w:color="auto"/>
              <w:bottom w:val="single" w:sz="8" w:space="0" w:color="000000"/>
              <w:right w:val="single" w:sz="8"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r w:rsidRPr="002E0C7E">
              <w:rPr>
                <w:rFonts w:ascii="Arial" w:hAnsi="Arial"/>
                <w:sz w:val="14"/>
              </w:rPr>
              <w:t>M</w:t>
            </w:r>
          </w:p>
          <w:p w:rsidR="00F419A1" w:rsidRPr="002E0C7E" w:rsidRDefault="00F419A1" w:rsidP="008F59A3">
            <w:pPr>
              <w:widowControl w:val="0"/>
              <w:jc w:val="center"/>
              <w:rPr>
                <w:rFonts w:ascii="Arial" w:hAnsi="Arial"/>
                <w:sz w:val="14"/>
              </w:rPr>
            </w:pPr>
            <w:r w:rsidRPr="002E0C7E">
              <w:rPr>
                <w:rFonts w:ascii="Arial" w:hAnsi="Arial"/>
                <w:sz w:val="14"/>
              </w:rPr>
              <w:t>L</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r w:rsidRPr="002E0C7E">
              <w:rPr>
                <w:rFonts w:ascii="Arial" w:hAnsi="Arial"/>
                <w:sz w:val="14"/>
              </w:rPr>
              <w:t>T</w:t>
            </w:r>
          </w:p>
          <w:p w:rsidR="00F419A1" w:rsidRPr="002E0C7E" w:rsidRDefault="00F419A1" w:rsidP="008F59A3">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r w:rsidRPr="002E0C7E">
              <w:rPr>
                <w:rFonts w:ascii="Arial" w:hAnsi="Arial"/>
                <w:sz w:val="14"/>
              </w:rPr>
              <w:t>W</w:t>
            </w:r>
          </w:p>
          <w:p w:rsidR="00F419A1" w:rsidRPr="002E0C7E" w:rsidRDefault="00F419A1" w:rsidP="008F59A3">
            <w:pPr>
              <w:widowControl w:val="0"/>
              <w:jc w:val="center"/>
              <w:rPr>
                <w:rFonts w:ascii="Arial" w:hAnsi="Arial"/>
                <w:sz w:val="14"/>
              </w:rPr>
            </w:pPr>
            <w:r w:rsidRPr="002E0C7E">
              <w:rPr>
                <w:rFonts w:ascii="Arial" w:hAnsi="Arial"/>
                <w:sz w:val="14"/>
              </w:rPr>
              <w:t>M</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r w:rsidRPr="002E0C7E">
              <w:rPr>
                <w:rFonts w:ascii="Arial" w:hAnsi="Arial"/>
                <w:sz w:val="14"/>
              </w:rPr>
              <w:t>T</w:t>
            </w:r>
          </w:p>
          <w:p w:rsidR="00F419A1" w:rsidRPr="002E0C7E" w:rsidRDefault="00F419A1" w:rsidP="008F59A3">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r w:rsidRPr="002E0C7E">
              <w:rPr>
                <w:rFonts w:ascii="Arial" w:hAnsi="Arial"/>
                <w:sz w:val="14"/>
              </w:rPr>
              <w:t>F</w:t>
            </w:r>
          </w:p>
          <w:p w:rsidR="00F419A1" w:rsidRPr="002E0C7E" w:rsidRDefault="00F419A1" w:rsidP="008F59A3">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r w:rsidRPr="002E0C7E">
              <w:rPr>
                <w:rFonts w:ascii="Arial" w:hAnsi="Arial"/>
                <w:sz w:val="14"/>
              </w:rPr>
              <w:t>S</w:t>
            </w:r>
          </w:p>
          <w:p w:rsidR="00F419A1" w:rsidRPr="002E0C7E" w:rsidRDefault="00F419A1" w:rsidP="008F59A3">
            <w:pPr>
              <w:widowControl w:val="0"/>
              <w:jc w:val="center"/>
              <w:rPr>
                <w:rFonts w:ascii="Arial" w:hAnsi="Arial"/>
                <w:sz w:val="14"/>
              </w:rPr>
            </w:pPr>
            <w:r w:rsidRPr="002E0C7E">
              <w:rPr>
                <w:rFonts w:ascii="Arial" w:hAnsi="Arial"/>
                <w:sz w:val="14"/>
              </w:rPr>
              <w:t>S</w:t>
            </w:r>
          </w:p>
        </w:tc>
      </w:tr>
      <w:tr w:rsidR="00F419A1" w:rsidRPr="002E0C7E" w:rsidTr="008F59A3">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2</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1</w:t>
            </w:r>
          </w:p>
        </w:tc>
        <w:tc>
          <w:tcPr>
            <w:tcW w:w="470"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F419A1" w:rsidRPr="002E0C7E" w:rsidRDefault="00F419A1" w:rsidP="008F59A3">
            <w:pPr>
              <w:widowControl w:val="0"/>
              <w:jc w:val="center"/>
              <w:rPr>
                <w:rFonts w:ascii="Arial" w:hAnsi="Arial"/>
                <w:sz w:val="14"/>
              </w:rPr>
            </w:pPr>
            <w:r w:rsidRPr="002E0C7E">
              <w:rPr>
                <w:rFonts w:ascii="Arial" w:hAnsi="Arial"/>
                <w:b/>
                <w:sz w:val="14"/>
              </w:rPr>
              <w:t>M</w:t>
            </w:r>
          </w:p>
          <w:p w:rsidR="00F419A1" w:rsidRPr="002E0C7E" w:rsidRDefault="00F419A1" w:rsidP="008F59A3">
            <w:pPr>
              <w:widowControl w:val="0"/>
              <w:jc w:val="center"/>
              <w:rPr>
                <w:rFonts w:ascii="Arial" w:hAnsi="Arial"/>
                <w:sz w:val="14"/>
              </w:rPr>
            </w:pPr>
            <w:r>
              <w:rPr>
                <w:rFonts w:ascii="Arial" w:hAnsi="Arial"/>
                <w:sz w:val="14"/>
              </w:rPr>
              <w:t>2</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F419A1"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F419A1" w:rsidRPr="00C411C2"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2</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5</w:t>
            </w:r>
          </w:p>
        </w:tc>
      </w:tr>
      <w:tr w:rsidR="00F419A1" w:rsidRPr="002E0C7E" w:rsidTr="008F59A3">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4</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F419A1" w:rsidRPr="000C583B" w:rsidRDefault="00F419A1" w:rsidP="008F59A3">
            <w:pPr>
              <w:widowControl w:val="0"/>
              <w:jc w:val="center"/>
              <w:rPr>
                <w:rFonts w:ascii="Arial" w:hAnsi="Arial"/>
                <w:b/>
                <w:sz w:val="14"/>
              </w:rPr>
            </w:pPr>
            <w:r>
              <w:rPr>
                <w:rFonts w:ascii="Arial" w:hAnsi="Arial"/>
                <w:b/>
                <w:sz w:val="14"/>
              </w:rPr>
              <w:t>M</w:t>
            </w:r>
          </w:p>
          <w:p w:rsidR="00F419A1" w:rsidRPr="002E0C7E" w:rsidRDefault="00F419A1" w:rsidP="008F59A3">
            <w:pPr>
              <w:widowControl w:val="0"/>
              <w:jc w:val="center"/>
              <w:rPr>
                <w:rFonts w:ascii="Arial" w:hAnsi="Arial"/>
                <w:sz w:val="14"/>
              </w:rPr>
            </w:pPr>
            <w:r>
              <w:rPr>
                <w:rFonts w:ascii="Arial" w:hAnsi="Arial"/>
                <w:sz w:val="14"/>
              </w:rPr>
              <w:t>5</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F419A1" w:rsidRPr="000C583B" w:rsidRDefault="00F419A1" w:rsidP="008F59A3">
            <w:pPr>
              <w:widowControl w:val="0"/>
              <w:jc w:val="center"/>
              <w:rPr>
                <w:rFonts w:ascii="Arial" w:hAnsi="Arial"/>
                <w:b/>
                <w:sz w:val="14"/>
              </w:rPr>
            </w:pPr>
          </w:p>
          <w:p w:rsidR="00F419A1" w:rsidRPr="002E0C7E" w:rsidRDefault="00F419A1" w:rsidP="008F59A3">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10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8</w:t>
            </w:r>
          </w:p>
        </w:tc>
        <w:tc>
          <w:tcPr>
            <w:tcW w:w="470"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double" w:sz="6" w:space="0" w:color="000000"/>
            </w:tcBorders>
            <w:shd w:val="pct30" w:color="000000" w:fill="auto"/>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10</w:t>
            </w:r>
          </w:p>
        </w:tc>
        <w:tc>
          <w:tcPr>
            <w:tcW w:w="470" w:type="dxa"/>
            <w:tcBorders>
              <w:top w:val="double" w:sz="6" w:space="0" w:color="000000"/>
              <w:left w:val="double" w:sz="6" w:space="0" w:color="000000"/>
              <w:bottom w:val="double" w:sz="6" w:space="0" w:color="000000"/>
              <w:right w:val="double" w:sz="6" w:space="0" w:color="000000"/>
            </w:tcBorders>
            <w:shd w:val="clear" w:color="000000" w:fill="auto"/>
            <w:tcMar>
              <w:top w:w="72" w:type="dxa"/>
              <w:left w:w="0" w:type="dxa"/>
              <w:bottom w:w="43" w:type="dxa"/>
              <w:right w:w="0" w:type="dxa"/>
            </w:tcMar>
          </w:tcPr>
          <w:p w:rsidR="00F419A1" w:rsidRPr="002A4724" w:rsidRDefault="00F419A1" w:rsidP="008F59A3">
            <w:pPr>
              <w:widowControl w:val="0"/>
              <w:jc w:val="center"/>
              <w:rPr>
                <w:rFonts w:ascii="Arial" w:hAnsi="Arial"/>
                <w:b/>
                <w:sz w:val="14"/>
              </w:rPr>
            </w:pPr>
            <w:r w:rsidRPr="002A4724">
              <w:rPr>
                <w:rFonts w:ascii="Arial" w:hAnsi="Arial"/>
                <w:b/>
                <w:sz w:val="14"/>
              </w:rPr>
              <w:t>H</w:t>
            </w:r>
          </w:p>
          <w:p w:rsidR="00F419A1" w:rsidRPr="002E0C7E" w:rsidRDefault="00F419A1" w:rsidP="008F59A3">
            <w:pPr>
              <w:widowControl w:val="0"/>
              <w:jc w:val="center"/>
              <w:rPr>
                <w:rFonts w:ascii="Arial" w:hAnsi="Arial"/>
                <w:sz w:val="14"/>
              </w:rPr>
            </w:pPr>
            <w:r>
              <w:rPr>
                <w:rFonts w:ascii="Arial" w:hAnsi="Arial"/>
                <w:sz w:val="14"/>
              </w:rPr>
              <w:t>11</w:t>
            </w:r>
          </w:p>
        </w:tc>
        <w:tc>
          <w:tcPr>
            <w:tcW w:w="469" w:type="dxa"/>
            <w:tcBorders>
              <w:top w:val="single" w:sz="8" w:space="0" w:color="000000"/>
              <w:left w:val="double" w:sz="6" w:space="0" w:color="000000"/>
              <w:bottom w:val="nil"/>
              <w:right w:val="single" w:sz="8" w:space="0" w:color="000000"/>
            </w:tcBorders>
            <w:shd w:val="pct30" w:color="000000" w:fill="auto"/>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14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12</w:t>
            </w:r>
          </w:p>
        </w:tc>
      </w:tr>
      <w:tr w:rsidR="00F419A1" w:rsidRPr="002E0C7E" w:rsidTr="008F59A3">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11</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F419A1" w:rsidRPr="000C583B" w:rsidRDefault="00F419A1" w:rsidP="008F59A3">
            <w:pPr>
              <w:widowControl w:val="0"/>
              <w:jc w:val="center"/>
              <w:rPr>
                <w:rFonts w:ascii="Arial" w:hAnsi="Arial"/>
                <w:b/>
                <w:sz w:val="14"/>
              </w:rPr>
            </w:pPr>
            <w:r>
              <w:rPr>
                <w:rFonts w:ascii="Arial" w:hAnsi="Arial"/>
                <w:b/>
                <w:sz w:val="14"/>
              </w:rPr>
              <w:t>H</w:t>
            </w:r>
          </w:p>
          <w:p w:rsidR="00F419A1" w:rsidRPr="002E0C7E" w:rsidRDefault="00F419A1" w:rsidP="008F59A3">
            <w:pPr>
              <w:widowControl w:val="0"/>
              <w:jc w:val="center"/>
              <w:rPr>
                <w:rFonts w:ascii="Arial" w:hAnsi="Arial"/>
                <w:sz w:val="14"/>
              </w:rPr>
            </w:pPr>
            <w:r w:rsidRPr="002E0C7E">
              <w:rPr>
                <w:rFonts w:ascii="Arial" w:hAnsi="Arial"/>
                <w:sz w:val="14"/>
              </w:rPr>
              <w:t>1</w:t>
            </w:r>
            <w:r>
              <w:rPr>
                <w:rFonts w:ascii="Arial" w:hAnsi="Arial"/>
                <w:sz w:val="14"/>
              </w:rPr>
              <w:t>2</w:t>
            </w:r>
          </w:p>
        </w:tc>
        <w:tc>
          <w:tcPr>
            <w:tcW w:w="47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F419A1" w:rsidRPr="000C583B"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17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15</w:t>
            </w:r>
          </w:p>
        </w:tc>
        <w:tc>
          <w:tcPr>
            <w:tcW w:w="470" w:type="dxa"/>
            <w:tcBorders>
              <w:top w:val="single" w:sz="8" w:space="0" w:color="000000"/>
              <w:left w:val="single" w:sz="8" w:space="0" w:color="000000"/>
              <w:bottom w:val="single" w:sz="4" w:space="0" w:color="auto"/>
              <w:right w:val="single" w:sz="8" w:space="0" w:color="000000"/>
            </w:tcBorders>
            <w:shd w:val="clear" w:color="auto" w:fill="auto"/>
            <w:tcMar>
              <w:top w:w="72" w:type="dxa"/>
              <w:left w:w="0" w:type="dxa"/>
              <w:bottom w:w="43" w:type="dxa"/>
              <w:right w:w="0" w:type="dxa"/>
            </w:tcMar>
          </w:tcPr>
          <w:p w:rsidR="00F419A1" w:rsidRPr="004030BA"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F419A1" w:rsidRPr="004F066E" w:rsidRDefault="00F419A1" w:rsidP="008F59A3">
            <w:pPr>
              <w:widowControl w:val="0"/>
              <w:jc w:val="center"/>
              <w:rPr>
                <w:rFonts w:ascii="Arial" w:hAnsi="Arial"/>
                <w:b/>
                <w:sz w:val="14"/>
              </w:rPr>
            </w:pPr>
          </w:p>
          <w:p w:rsidR="00F419A1" w:rsidRPr="002E0C7E" w:rsidRDefault="00F419A1" w:rsidP="008F59A3">
            <w:pPr>
              <w:widowControl w:val="0"/>
              <w:jc w:val="center"/>
              <w:rPr>
                <w:rFonts w:ascii="Arial" w:hAnsi="Arial"/>
                <w:sz w:val="14"/>
              </w:rPr>
            </w:pPr>
            <w:r>
              <w:rPr>
                <w:rFonts w:ascii="Arial" w:hAnsi="Arial"/>
                <w:sz w:val="14"/>
              </w:rPr>
              <w:t>17</w:t>
            </w:r>
          </w:p>
        </w:tc>
        <w:tc>
          <w:tcPr>
            <w:tcW w:w="470" w:type="dxa"/>
            <w:tcBorders>
              <w:top w:val="double" w:sz="6" w:space="0" w:color="000000"/>
              <w:left w:val="single" w:sz="8" w:space="0" w:color="000000"/>
              <w:bottom w:val="nil"/>
              <w:right w:val="nil"/>
            </w:tcBorders>
            <w:shd w:val="clear" w:color="auto" w:fill="auto"/>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sidRPr="002E0C7E">
              <w:rPr>
                <w:rFonts w:ascii="Arial" w:hAnsi="Arial"/>
                <w:sz w:val="14"/>
              </w:rPr>
              <w:t>1</w:t>
            </w:r>
            <w:r>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2</w:t>
            </w:r>
            <w:r w:rsidRPr="002E0C7E">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18</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19</w:t>
            </w:r>
          </w:p>
        </w:tc>
      </w:tr>
      <w:tr w:rsidR="00F419A1" w:rsidRPr="002E0C7E" w:rsidTr="008F59A3">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18</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21</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sidRPr="002E0C7E">
              <w:rPr>
                <w:rFonts w:ascii="Arial" w:hAnsi="Arial"/>
                <w:sz w:val="14"/>
              </w:rPr>
              <w:t>2</w:t>
            </w:r>
            <w:r>
              <w:rPr>
                <w:rFonts w:ascii="Arial" w:hAnsi="Arial"/>
                <w:sz w:val="14"/>
              </w:rPr>
              <w:t>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22</w:t>
            </w:r>
          </w:p>
        </w:tc>
        <w:tc>
          <w:tcPr>
            <w:tcW w:w="470" w:type="dxa"/>
            <w:tcBorders>
              <w:top w:val="single" w:sz="4" w:space="0" w:color="auto"/>
              <w:left w:val="single" w:sz="8" w:space="0" w:color="000000"/>
              <w:bottom w:val="double" w:sz="6" w:space="0" w:color="000000"/>
              <w:right w:val="nil"/>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24</w:t>
            </w:r>
          </w:p>
        </w:tc>
        <w:tc>
          <w:tcPr>
            <w:tcW w:w="470" w:type="dxa"/>
            <w:tcBorders>
              <w:top w:val="single" w:sz="8" w:space="0" w:color="000000"/>
              <w:left w:val="single" w:sz="8" w:space="0" w:color="000000"/>
              <w:bottom w:val="nil"/>
              <w:right w:val="nil"/>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sidRPr="002E0C7E">
              <w:rPr>
                <w:rFonts w:ascii="Arial" w:hAnsi="Arial"/>
                <w:sz w:val="14"/>
              </w:rPr>
              <w:t>2</w:t>
            </w: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21</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auto"/>
              <w:right w:val="single" w:sz="8" w:space="0" w:color="000000"/>
            </w:tcBorders>
            <w:tcMar>
              <w:top w:w="72" w:type="dxa"/>
              <w:left w:w="0" w:type="dxa"/>
              <w:bottom w:w="43" w:type="dxa"/>
              <w:right w:w="0" w:type="dxa"/>
            </w:tcMar>
          </w:tcPr>
          <w:p w:rsidR="00F419A1" w:rsidRPr="00D23ECF" w:rsidRDefault="00F419A1" w:rsidP="008F59A3">
            <w:pPr>
              <w:widowControl w:val="0"/>
              <w:jc w:val="center"/>
              <w:rPr>
                <w:rFonts w:ascii="Arial" w:hAnsi="Arial"/>
                <w:b/>
                <w:sz w:val="14"/>
              </w:rPr>
            </w:pPr>
          </w:p>
          <w:p w:rsidR="00F419A1" w:rsidRPr="002E0C7E" w:rsidRDefault="00F419A1" w:rsidP="008F59A3">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auto"/>
              <w:right w:val="double" w:sz="6" w:space="0" w:color="000000"/>
            </w:tcBorders>
            <w:tcMar>
              <w:top w:w="72" w:type="dxa"/>
              <w:left w:w="0" w:type="dxa"/>
              <w:bottom w:w="43" w:type="dxa"/>
              <w:right w:w="0" w:type="dxa"/>
            </w:tcMar>
          </w:tcPr>
          <w:p w:rsidR="00F419A1" w:rsidRPr="00D23ECF" w:rsidRDefault="00F419A1" w:rsidP="008F59A3">
            <w:pPr>
              <w:widowControl w:val="0"/>
              <w:jc w:val="center"/>
              <w:rPr>
                <w:rFonts w:ascii="Arial" w:hAnsi="Arial"/>
                <w:b/>
                <w:sz w:val="14"/>
              </w:rPr>
            </w:pPr>
          </w:p>
          <w:p w:rsidR="00F419A1" w:rsidRPr="002E0C7E" w:rsidRDefault="00F419A1" w:rsidP="008F59A3">
            <w:pPr>
              <w:widowControl w:val="0"/>
              <w:jc w:val="center"/>
              <w:rPr>
                <w:rFonts w:ascii="Arial" w:hAnsi="Arial"/>
                <w:sz w:val="14"/>
              </w:rPr>
            </w:pPr>
            <w:r>
              <w:rPr>
                <w:rFonts w:ascii="Arial" w:hAnsi="Arial"/>
                <w:sz w:val="14"/>
              </w:rPr>
              <w:t>24</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F419A1" w:rsidRPr="00D23ECF" w:rsidRDefault="00F419A1" w:rsidP="008F59A3">
            <w:pPr>
              <w:widowControl w:val="0"/>
              <w:jc w:val="center"/>
              <w:rPr>
                <w:rFonts w:ascii="Arial" w:hAnsi="Arial"/>
                <w:b/>
                <w:sz w:val="14"/>
              </w:rPr>
            </w:pPr>
            <w:r>
              <w:rPr>
                <w:rFonts w:ascii="Arial" w:hAnsi="Arial"/>
                <w:b/>
                <w:sz w:val="14"/>
              </w:rPr>
              <w:t>H</w:t>
            </w:r>
          </w:p>
          <w:p w:rsidR="00F419A1" w:rsidRPr="002E0C7E" w:rsidRDefault="00F419A1" w:rsidP="008F59A3">
            <w:pPr>
              <w:widowControl w:val="0"/>
              <w:jc w:val="center"/>
              <w:rPr>
                <w:rFonts w:ascii="Arial" w:hAnsi="Arial"/>
                <w:sz w:val="14"/>
              </w:rPr>
            </w:pPr>
            <w:r>
              <w:rPr>
                <w:rFonts w:ascii="Arial" w:hAnsi="Arial"/>
                <w:sz w:val="14"/>
              </w:rPr>
              <w:t>25</w:t>
            </w: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sidRPr="002E0C7E">
              <w:rPr>
                <w:rFonts w:ascii="Arial" w:hAnsi="Arial"/>
                <w:sz w:val="14"/>
              </w:rPr>
              <w:t>2</w:t>
            </w:r>
            <w:r>
              <w:rPr>
                <w:rFonts w:ascii="Arial" w:hAnsi="Arial"/>
                <w:sz w:val="14"/>
              </w:rPr>
              <w:t>6</w:t>
            </w:r>
          </w:p>
        </w:tc>
      </w:tr>
      <w:tr w:rsidR="00F419A1" w:rsidRPr="002E0C7E" w:rsidTr="008F59A3">
        <w:trPr>
          <w:cantSplit/>
          <w:trHeight w:val="288"/>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26</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F419A1"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30</w:t>
            </w: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31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F419A1"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29</w:t>
            </w:r>
          </w:p>
        </w:tc>
        <w:tc>
          <w:tcPr>
            <w:tcW w:w="470"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F419A1" w:rsidRPr="002A4724" w:rsidRDefault="00F419A1" w:rsidP="008F59A3">
            <w:pPr>
              <w:widowControl w:val="0"/>
              <w:jc w:val="center"/>
              <w:rPr>
                <w:rFonts w:ascii="Arial" w:hAnsi="Arial"/>
                <w:b/>
                <w:sz w:val="14"/>
              </w:rPr>
            </w:pPr>
            <w:r w:rsidRPr="002A4724">
              <w:rPr>
                <w:rFonts w:ascii="Arial" w:hAnsi="Arial"/>
                <w:b/>
                <w:sz w:val="14"/>
              </w:rPr>
              <w:t>M</w:t>
            </w:r>
          </w:p>
          <w:p w:rsidR="00F419A1" w:rsidRPr="002E0C7E" w:rsidRDefault="00F419A1" w:rsidP="008F59A3">
            <w:pPr>
              <w:widowControl w:val="0"/>
              <w:jc w:val="center"/>
              <w:rPr>
                <w:rFonts w:ascii="Arial" w:hAnsi="Arial"/>
                <w:sz w:val="14"/>
              </w:rPr>
            </w:pPr>
            <w:r>
              <w:rPr>
                <w:rFonts w:ascii="Arial" w:hAnsi="Arial"/>
                <w:sz w:val="14"/>
              </w:rPr>
              <w:t>30</w:t>
            </w: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F419A1"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tc>
        <w:tc>
          <w:tcPr>
            <w:tcW w:w="470"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27</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F419A1" w:rsidRPr="005158BD" w:rsidRDefault="00F419A1" w:rsidP="008F59A3">
            <w:pPr>
              <w:widowControl w:val="0"/>
              <w:jc w:val="center"/>
              <w:rPr>
                <w:rFonts w:ascii="Arial" w:hAnsi="Arial"/>
                <w:b/>
                <w:sz w:val="14"/>
              </w:rPr>
            </w:pPr>
            <w:r>
              <w:rPr>
                <w:rFonts w:ascii="Arial" w:hAnsi="Arial"/>
                <w:b/>
                <w:sz w:val="14"/>
              </w:rPr>
              <w:t>H</w:t>
            </w:r>
          </w:p>
          <w:p w:rsidR="00F419A1" w:rsidRPr="002E0C7E" w:rsidRDefault="00F419A1" w:rsidP="008F59A3">
            <w:pPr>
              <w:widowControl w:val="0"/>
              <w:jc w:val="center"/>
              <w:rPr>
                <w:rFonts w:ascii="Arial" w:hAnsi="Arial"/>
                <w:sz w:val="14"/>
              </w:rPr>
            </w:pPr>
            <w:r>
              <w:rPr>
                <w:rFonts w:ascii="Arial" w:hAnsi="Arial"/>
                <w:sz w:val="14"/>
              </w:rPr>
              <w:t>28</w:t>
            </w:r>
          </w:p>
        </w:tc>
        <w:tc>
          <w:tcPr>
            <w:tcW w:w="470"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29</w:t>
            </w:r>
          </w:p>
        </w:tc>
        <w:tc>
          <w:tcPr>
            <w:tcW w:w="469" w:type="dxa"/>
            <w:tcBorders>
              <w:top w:val="single" w:sz="8" w:space="0" w:color="auto"/>
              <w:left w:val="single" w:sz="8" w:space="0" w:color="000000"/>
              <w:bottom w:val="double" w:sz="6" w:space="0" w:color="000000"/>
              <w:right w:val="single" w:sz="4" w:space="0" w:color="auto"/>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30</w:t>
            </w:r>
          </w:p>
        </w:tc>
        <w:tc>
          <w:tcPr>
            <w:tcW w:w="470" w:type="dxa"/>
            <w:tcBorders>
              <w:top w:val="single" w:sz="8" w:space="0" w:color="auto"/>
              <w:left w:val="single" w:sz="4" w:space="0" w:color="auto"/>
              <w:bottom w:val="double" w:sz="6" w:space="0" w:color="000000"/>
              <w:right w:val="single" w:sz="8"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31</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p>
        </w:tc>
      </w:tr>
    </w:tbl>
    <w:p w:rsidR="00F419A1" w:rsidRPr="002E0C7E" w:rsidRDefault="00F419A1" w:rsidP="00F419A1">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6</w:t>
      </w:r>
      <w:r w:rsidRPr="002E0C7E">
        <w:rPr>
          <w:rFonts w:ascii="Arial" w:hAnsi="Arial"/>
          <w:i/>
          <w:sz w:val="36"/>
        </w:rPr>
        <w:t xml:space="preserve"> -</w:t>
      </w:r>
    </w:p>
    <w:tbl>
      <w:tblPr>
        <w:tblW w:w="10789"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69"/>
        <w:gridCol w:w="469"/>
        <w:gridCol w:w="469"/>
        <w:gridCol w:w="469"/>
        <w:gridCol w:w="470"/>
        <w:gridCol w:w="469"/>
        <w:gridCol w:w="469"/>
        <w:gridCol w:w="469"/>
        <w:gridCol w:w="469"/>
        <w:gridCol w:w="469"/>
        <w:gridCol w:w="469"/>
        <w:gridCol w:w="469"/>
        <w:gridCol w:w="469"/>
        <w:gridCol w:w="469"/>
        <w:gridCol w:w="469"/>
        <w:gridCol w:w="470"/>
      </w:tblGrid>
      <w:tr w:rsidR="00F419A1" w:rsidRPr="002E0C7E" w:rsidTr="008F59A3">
        <w:trPr>
          <w:cantSplit/>
          <w:jc w:val="center"/>
        </w:trPr>
        <w:tc>
          <w:tcPr>
            <w:tcW w:w="3283"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F419A1" w:rsidRPr="002E0C7E" w:rsidRDefault="00F419A1" w:rsidP="008F59A3">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F419A1" w:rsidRPr="002E0C7E" w:rsidRDefault="00F419A1" w:rsidP="008F59A3">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F419A1" w:rsidRPr="002E0C7E" w:rsidRDefault="00F419A1" w:rsidP="008F59A3">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F419A1" w:rsidRPr="002E0C7E" w:rsidRDefault="00F419A1" w:rsidP="008F59A3">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F419A1" w:rsidRPr="002E0C7E" w:rsidRDefault="00F419A1" w:rsidP="008F59A3">
            <w:pPr>
              <w:widowControl w:val="0"/>
              <w:jc w:val="center"/>
              <w:rPr>
                <w:rFonts w:ascii="Arial" w:hAnsi="Arial"/>
                <w:sz w:val="14"/>
              </w:rPr>
            </w:pPr>
            <w:r w:rsidRPr="002E0C7E">
              <w:rPr>
                <w:rFonts w:ascii="Arial" w:hAnsi="Arial"/>
                <w:b/>
                <w:sz w:val="14"/>
              </w:rPr>
              <w:t>MARCH - MARS</w:t>
            </w:r>
          </w:p>
        </w:tc>
      </w:tr>
      <w:tr w:rsidR="00F419A1" w:rsidRPr="002E0C7E" w:rsidTr="008F59A3">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r w:rsidRPr="002E0C7E">
              <w:rPr>
                <w:rFonts w:ascii="Arial" w:hAnsi="Arial"/>
                <w:sz w:val="14"/>
              </w:rPr>
              <w:t>S</w:t>
            </w:r>
          </w:p>
          <w:p w:rsidR="00F419A1" w:rsidRPr="002E0C7E" w:rsidRDefault="00F419A1" w:rsidP="008F59A3">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r w:rsidRPr="002E0C7E">
              <w:rPr>
                <w:rFonts w:ascii="Arial" w:hAnsi="Arial"/>
                <w:sz w:val="14"/>
              </w:rPr>
              <w:t>M</w:t>
            </w:r>
          </w:p>
          <w:p w:rsidR="00F419A1" w:rsidRPr="002E0C7E" w:rsidRDefault="00F419A1" w:rsidP="008F59A3">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r w:rsidRPr="002E0C7E">
              <w:rPr>
                <w:rFonts w:ascii="Arial" w:hAnsi="Arial"/>
                <w:sz w:val="14"/>
              </w:rPr>
              <w:t>T</w:t>
            </w:r>
          </w:p>
          <w:p w:rsidR="00F419A1" w:rsidRPr="002E0C7E" w:rsidRDefault="00F419A1" w:rsidP="008F59A3">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r w:rsidRPr="002E0C7E">
              <w:rPr>
                <w:rFonts w:ascii="Arial" w:hAnsi="Arial"/>
                <w:sz w:val="14"/>
              </w:rPr>
              <w:t>W</w:t>
            </w:r>
          </w:p>
          <w:p w:rsidR="00F419A1" w:rsidRPr="002E0C7E" w:rsidRDefault="00F419A1" w:rsidP="008F59A3">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r w:rsidRPr="002E0C7E">
              <w:rPr>
                <w:rFonts w:ascii="Arial" w:hAnsi="Arial"/>
                <w:sz w:val="14"/>
              </w:rPr>
              <w:t>T</w:t>
            </w:r>
          </w:p>
          <w:p w:rsidR="00F419A1" w:rsidRPr="002E0C7E" w:rsidRDefault="00F419A1" w:rsidP="008F59A3">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r w:rsidRPr="002E0C7E">
              <w:rPr>
                <w:rFonts w:ascii="Arial" w:hAnsi="Arial"/>
                <w:sz w:val="14"/>
              </w:rPr>
              <w:t>F</w:t>
            </w:r>
          </w:p>
          <w:p w:rsidR="00F419A1" w:rsidRPr="002E0C7E" w:rsidRDefault="00F419A1" w:rsidP="008F59A3">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r w:rsidRPr="002E0C7E">
              <w:rPr>
                <w:rFonts w:ascii="Arial" w:hAnsi="Arial"/>
                <w:sz w:val="14"/>
              </w:rPr>
              <w:t>S</w:t>
            </w:r>
          </w:p>
          <w:p w:rsidR="00F419A1" w:rsidRPr="002E0C7E" w:rsidRDefault="00F419A1" w:rsidP="008F59A3">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r w:rsidRPr="002E0C7E">
              <w:rPr>
                <w:rFonts w:ascii="Arial" w:hAnsi="Arial"/>
                <w:sz w:val="14"/>
              </w:rPr>
              <w:t>S</w:t>
            </w:r>
          </w:p>
          <w:p w:rsidR="00F419A1" w:rsidRPr="002E0C7E" w:rsidRDefault="00F419A1" w:rsidP="008F59A3">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r w:rsidRPr="002E0C7E">
              <w:rPr>
                <w:rFonts w:ascii="Arial" w:hAnsi="Arial"/>
                <w:sz w:val="14"/>
              </w:rPr>
              <w:t>M</w:t>
            </w:r>
          </w:p>
          <w:p w:rsidR="00F419A1" w:rsidRPr="002E0C7E" w:rsidRDefault="00F419A1" w:rsidP="008F59A3">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r w:rsidRPr="002E0C7E">
              <w:rPr>
                <w:rFonts w:ascii="Arial" w:hAnsi="Arial"/>
                <w:sz w:val="14"/>
              </w:rPr>
              <w:t>T</w:t>
            </w:r>
          </w:p>
          <w:p w:rsidR="00F419A1" w:rsidRPr="002E0C7E" w:rsidRDefault="00F419A1" w:rsidP="008F59A3">
            <w:pPr>
              <w:widowControl w:val="0"/>
              <w:jc w:val="center"/>
              <w:rPr>
                <w:rFonts w:ascii="Arial" w:hAnsi="Arial"/>
                <w:sz w:val="14"/>
              </w:rPr>
            </w:pPr>
            <w:r w:rsidRPr="002E0C7E">
              <w:rPr>
                <w:rFonts w:ascii="Arial" w:hAnsi="Arial"/>
                <w:sz w:val="14"/>
              </w:rPr>
              <w:t>M</w:t>
            </w:r>
          </w:p>
        </w:tc>
        <w:tc>
          <w:tcPr>
            <w:tcW w:w="470"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r w:rsidRPr="002E0C7E">
              <w:rPr>
                <w:rFonts w:ascii="Arial" w:hAnsi="Arial"/>
                <w:sz w:val="14"/>
              </w:rPr>
              <w:t>W</w:t>
            </w:r>
          </w:p>
          <w:p w:rsidR="00F419A1" w:rsidRPr="002E0C7E" w:rsidRDefault="00F419A1" w:rsidP="008F59A3">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r w:rsidRPr="002E0C7E">
              <w:rPr>
                <w:rFonts w:ascii="Arial" w:hAnsi="Arial"/>
                <w:sz w:val="14"/>
              </w:rPr>
              <w:t>T</w:t>
            </w:r>
          </w:p>
          <w:p w:rsidR="00F419A1" w:rsidRPr="002E0C7E" w:rsidRDefault="00F419A1" w:rsidP="008F59A3">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r w:rsidRPr="002E0C7E">
              <w:rPr>
                <w:rFonts w:ascii="Arial" w:hAnsi="Arial"/>
                <w:sz w:val="14"/>
              </w:rPr>
              <w:t>F</w:t>
            </w:r>
          </w:p>
          <w:p w:rsidR="00F419A1" w:rsidRPr="002E0C7E" w:rsidRDefault="00F419A1" w:rsidP="008F59A3">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r w:rsidRPr="002E0C7E">
              <w:rPr>
                <w:rFonts w:ascii="Arial" w:hAnsi="Arial"/>
                <w:sz w:val="14"/>
              </w:rPr>
              <w:t>S</w:t>
            </w:r>
          </w:p>
          <w:p w:rsidR="00F419A1" w:rsidRPr="002E0C7E" w:rsidRDefault="00F419A1" w:rsidP="008F59A3">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r w:rsidRPr="002E0C7E">
              <w:rPr>
                <w:rFonts w:ascii="Arial" w:hAnsi="Arial"/>
                <w:sz w:val="14"/>
              </w:rPr>
              <w:t>S</w:t>
            </w:r>
          </w:p>
          <w:p w:rsidR="00F419A1" w:rsidRPr="002E0C7E" w:rsidRDefault="00F419A1" w:rsidP="008F59A3">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r w:rsidRPr="002E0C7E">
              <w:rPr>
                <w:rFonts w:ascii="Arial" w:hAnsi="Arial"/>
                <w:sz w:val="14"/>
              </w:rPr>
              <w:t>M</w:t>
            </w:r>
          </w:p>
          <w:p w:rsidR="00F419A1" w:rsidRPr="002E0C7E" w:rsidRDefault="00F419A1" w:rsidP="008F59A3">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r w:rsidRPr="002E0C7E">
              <w:rPr>
                <w:rFonts w:ascii="Arial" w:hAnsi="Arial"/>
                <w:sz w:val="14"/>
              </w:rPr>
              <w:t>T</w:t>
            </w:r>
          </w:p>
          <w:p w:rsidR="00F419A1" w:rsidRPr="002E0C7E" w:rsidRDefault="00F419A1" w:rsidP="008F59A3">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r w:rsidRPr="002E0C7E">
              <w:rPr>
                <w:rFonts w:ascii="Arial" w:hAnsi="Arial"/>
                <w:sz w:val="14"/>
              </w:rPr>
              <w:t>W</w:t>
            </w:r>
          </w:p>
          <w:p w:rsidR="00F419A1" w:rsidRPr="002E0C7E" w:rsidRDefault="00F419A1" w:rsidP="008F59A3">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r w:rsidRPr="002E0C7E">
              <w:rPr>
                <w:rFonts w:ascii="Arial" w:hAnsi="Arial"/>
                <w:sz w:val="14"/>
              </w:rPr>
              <w:t>T</w:t>
            </w:r>
          </w:p>
          <w:p w:rsidR="00F419A1" w:rsidRPr="002E0C7E" w:rsidRDefault="00F419A1" w:rsidP="008F59A3">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r w:rsidRPr="002E0C7E">
              <w:rPr>
                <w:rFonts w:ascii="Arial" w:hAnsi="Arial"/>
                <w:sz w:val="14"/>
              </w:rPr>
              <w:t>F</w:t>
            </w:r>
          </w:p>
          <w:p w:rsidR="00F419A1" w:rsidRPr="002E0C7E" w:rsidRDefault="00F419A1" w:rsidP="008F59A3">
            <w:pPr>
              <w:widowControl w:val="0"/>
              <w:jc w:val="center"/>
              <w:rPr>
                <w:rFonts w:ascii="Arial" w:hAnsi="Arial"/>
                <w:sz w:val="14"/>
              </w:rPr>
            </w:pPr>
            <w:r w:rsidRPr="002E0C7E">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r w:rsidRPr="002E0C7E">
              <w:rPr>
                <w:rFonts w:ascii="Arial" w:hAnsi="Arial"/>
                <w:sz w:val="14"/>
              </w:rPr>
              <w:t>S</w:t>
            </w:r>
          </w:p>
          <w:p w:rsidR="00F419A1" w:rsidRPr="002E0C7E" w:rsidRDefault="00F419A1" w:rsidP="008F59A3">
            <w:pPr>
              <w:widowControl w:val="0"/>
              <w:jc w:val="center"/>
              <w:rPr>
                <w:rFonts w:ascii="Arial" w:hAnsi="Arial"/>
                <w:sz w:val="14"/>
              </w:rPr>
            </w:pPr>
            <w:r w:rsidRPr="002E0C7E">
              <w:rPr>
                <w:rFonts w:ascii="Arial" w:hAnsi="Arial"/>
                <w:sz w:val="14"/>
              </w:rPr>
              <w:t>S</w:t>
            </w:r>
          </w:p>
        </w:tc>
      </w:tr>
      <w:tr w:rsidR="00F419A1" w:rsidRPr="002E0C7E" w:rsidTr="008F59A3">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419A1" w:rsidRPr="00317A69" w:rsidRDefault="00F419A1" w:rsidP="008F59A3">
            <w:pPr>
              <w:widowControl w:val="0"/>
              <w:jc w:val="center"/>
              <w:rPr>
                <w:rFonts w:ascii="Arial" w:hAnsi="Arial"/>
                <w:b/>
                <w:sz w:val="14"/>
              </w:rPr>
            </w:pPr>
          </w:p>
          <w:p w:rsidR="00F419A1" w:rsidRPr="002E0C7E" w:rsidRDefault="00F419A1" w:rsidP="008F59A3">
            <w:pPr>
              <w:widowControl w:val="0"/>
              <w:jc w:val="center"/>
              <w:rPr>
                <w:rFonts w:ascii="Arial" w:hAnsi="Arial"/>
                <w:sz w:val="14"/>
              </w:rPr>
            </w:pPr>
          </w:p>
        </w:tc>
        <w:tc>
          <w:tcPr>
            <w:tcW w:w="469" w:type="dxa"/>
            <w:tcBorders>
              <w:top w:val="single" w:sz="4" w:space="0" w:color="auto"/>
              <w:left w:val="single" w:sz="8" w:space="0" w:color="000000"/>
              <w:bottom w:val="single" w:sz="8" w:space="0" w:color="000000"/>
              <w:right w:val="single" w:sz="8" w:space="0" w:color="000000"/>
            </w:tcBorders>
            <w:tcMar>
              <w:top w:w="72" w:type="dxa"/>
              <w:left w:w="0" w:type="dxa"/>
              <w:bottom w:w="43" w:type="dxa"/>
              <w:right w:w="0" w:type="dxa"/>
            </w:tcMar>
          </w:tcPr>
          <w:p w:rsidR="00F419A1" w:rsidRPr="00D23ECF" w:rsidRDefault="00F419A1" w:rsidP="008F59A3">
            <w:pPr>
              <w:widowControl w:val="0"/>
              <w:jc w:val="center"/>
              <w:rPr>
                <w:rFonts w:ascii="Arial" w:hAnsi="Arial"/>
                <w:b/>
                <w:sz w:val="14"/>
              </w:rPr>
            </w:pPr>
          </w:p>
          <w:p w:rsidR="00F419A1" w:rsidRPr="002E0C7E" w:rsidRDefault="00F419A1" w:rsidP="008F59A3">
            <w:pPr>
              <w:widowControl w:val="0"/>
              <w:jc w:val="center"/>
              <w:rPr>
                <w:rFonts w:ascii="Arial" w:hAnsi="Arial"/>
                <w:sz w:val="14"/>
              </w:rPr>
            </w:pPr>
          </w:p>
        </w:tc>
        <w:tc>
          <w:tcPr>
            <w:tcW w:w="469" w:type="dxa"/>
            <w:tcBorders>
              <w:top w:val="single" w:sz="4" w:space="0" w:color="auto"/>
              <w:left w:val="single" w:sz="8" w:space="0" w:color="000000"/>
              <w:bottom w:val="single" w:sz="8" w:space="0" w:color="000000"/>
              <w:right w:val="double" w:sz="6" w:space="0" w:color="000000"/>
            </w:tcBorders>
            <w:tcMar>
              <w:top w:w="72" w:type="dxa"/>
              <w:left w:w="0" w:type="dxa"/>
              <w:bottom w:w="43" w:type="dxa"/>
              <w:right w:w="0" w:type="dxa"/>
            </w:tcMar>
          </w:tcPr>
          <w:p w:rsidR="00F419A1" w:rsidRPr="004F066E" w:rsidRDefault="00F419A1" w:rsidP="008F59A3">
            <w:pPr>
              <w:widowControl w:val="0"/>
              <w:jc w:val="center"/>
              <w:rPr>
                <w:rFonts w:ascii="Arial" w:hAnsi="Arial"/>
                <w:b/>
                <w:sz w:val="14"/>
              </w:rPr>
            </w:pPr>
          </w:p>
          <w:p w:rsidR="00F419A1" w:rsidRPr="002E0C7E" w:rsidRDefault="00F419A1" w:rsidP="008F59A3">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F419A1" w:rsidRPr="00CD2D42" w:rsidRDefault="00F419A1" w:rsidP="008F59A3">
            <w:pPr>
              <w:widowControl w:val="0"/>
              <w:jc w:val="center"/>
              <w:rPr>
                <w:rFonts w:ascii="Arial" w:hAnsi="Arial"/>
                <w:b/>
                <w:sz w:val="14"/>
              </w:rPr>
            </w:pPr>
            <w:r w:rsidRPr="00CD2D42">
              <w:rPr>
                <w:rFonts w:ascii="Arial" w:hAnsi="Arial"/>
                <w:b/>
                <w:sz w:val="14"/>
              </w:rPr>
              <w:t>H</w:t>
            </w:r>
          </w:p>
          <w:p w:rsidR="00F419A1" w:rsidRPr="002E0C7E" w:rsidRDefault="00F419A1" w:rsidP="008F59A3">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F419A1"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419A1"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2</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419A1"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5</w:t>
            </w:r>
          </w:p>
        </w:tc>
      </w:tr>
      <w:tr w:rsidR="00F419A1" w:rsidRPr="002E0C7E" w:rsidTr="008F59A3">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F419A1"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13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12</w:t>
            </w:r>
          </w:p>
        </w:tc>
      </w:tr>
      <w:tr w:rsidR="00F419A1" w:rsidRPr="002E0C7E" w:rsidTr="008F59A3">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F419A1" w:rsidRPr="007255AD" w:rsidRDefault="00F419A1" w:rsidP="008F59A3">
            <w:pPr>
              <w:widowControl w:val="0"/>
              <w:jc w:val="center"/>
              <w:rPr>
                <w:rFonts w:ascii="Arial" w:hAnsi="Arial"/>
                <w:b/>
                <w:sz w:val="14"/>
              </w:rPr>
            </w:pPr>
            <w:r>
              <w:rPr>
                <w:rFonts w:ascii="Arial" w:hAnsi="Arial"/>
                <w:b/>
                <w:sz w:val="14"/>
              </w:rPr>
              <w:t>M</w:t>
            </w:r>
          </w:p>
          <w:p w:rsidR="00F419A1" w:rsidRPr="002E0C7E" w:rsidRDefault="00F419A1" w:rsidP="008F59A3">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15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14</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F419A1" w:rsidRPr="000E2B85" w:rsidRDefault="00F419A1" w:rsidP="008F59A3">
            <w:pPr>
              <w:widowControl w:val="0"/>
              <w:jc w:val="center"/>
              <w:rPr>
                <w:rFonts w:ascii="Arial" w:hAnsi="Arial"/>
                <w:b/>
                <w:sz w:val="14"/>
              </w:rPr>
            </w:pPr>
            <w:r>
              <w:rPr>
                <w:rFonts w:ascii="Arial" w:hAnsi="Arial"/>
                <w:b/>
                <w:sz w:val="14"/>
              </w:rPr>
              <w:t>M</w:t>
            </w:r>
          </w:p>
          <w:p w:rsidR="00F419A1" w:rsidRPr="002E0C7E" w:rsidRDefault="00F419A1" w:rsidP="008F59A3">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20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F419A1" w:rsidRPr="007D4CDA"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18</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sidRPr="002E0C7E">
              <w:rPr>
                <w:rFonts w:ascii="Arial" w:hAnsi="Arial"/>
                <w:sz w:val="14"/>
              </w:rPr>
              <w:t>1</w:t>
            </w:r>
            <w:r>
              <w:rPr>
                <w:rFonts w:ascii="Arial" w:hAnsi="Arial"/>
                <w:sz w:val="14"/>
              </w:rPr>
              <w:t>9</w:t>
            </w:r>
          </w:p>
        </w:tc>
      </w:tr>
      <w:tr w:rsidR="00F419A1" w:rsidRPr="002E0C7E" w:rsidTr="008F59A3">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17</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21</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20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F419A1" w:rsidRPr="00D34238" w:rsidRDefault="00F419A1" w:rsidP="008F59A3">
            <w:pPr>
              <w:widowControl w:val="0"/>
              <w:jc w:val="center"/>
              <w:rPr>
                <w:rFonts w:ascii="Arial" w:hAnsi="Arial"/>
                <w:b/>
                <w:sz w:val="14"/>
              </w:rPr>
            </w:pPr>
            <w:r>
              <w:rPr>
                <w:rFonts w:ascii="Arial" w:hAnsi="Arial"/>
                <w:b/>
                <w:sz w:val="14"/>
              </w:rPr>
              <w:t>M</w:t>
            </w:r>
          </w:p>
          <w:p w:rsidR="00F419A1" w:rsidRPr="002E0C7E" w:rsidRDefault="00F419A1" w:rsidP="008F59A3">
            <w:pPr>
              <w:widowControl w:val="0"/>
              <w:jc w:val="center"/>
              <w:rPr>
                <w:rFonts w:ascii="Arial" w:hAnsi="Arial"/>
                <w:sz w:val="14"/>
              </w:rPr>
            </w:pPr>
            <w:r>
              <w:rPr>
                <w:rFonts w:ascii="Arial" w:hAnsi="Arial"/>
                <w:sz w:val="14"/>
              </w:rPr>
              <w:t>21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double" w:sz="6" w:space="0" w:color="000000"/>
            </w:tcBorders>
            <w:shd w:val="pct30" w:color="000000" w:fill="auto"/>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F419A1" w:rsidRPr="008670D0" w:rsidRDefault="00F419A1" w:rsidP="008F59A3">
            <w:pPr>
              <w:widowControl w:val="0"/>
              <w:jc w:val="center"/>
              <w:rPr>
                <w:rFonts w:ascii="Arial" w:hAnsi="Arial"/>
                <w:b/>
                <w:sz w:val="14"/>
              </w:rPr>
            </w:pPr>
            <w:r>
              <w:rPr>
                <w:rFonts w:ascii="Arial" w:hAnsi="Arial"/>
                <w:b/>
                <w:sz w:val="14"/>
              </w:rPr>
              <w:t>H</w:t>
            </w:r>
          </w:p>
          <w:p w:rsidR="00F419A1" w:rsidRPr="002E0C7E" w:rsidRDefault="00F419A1" w:rsidP="008F59A3">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sidRPr="002E0C7E">
              <w:rPr>
                <w:rFonts w:ascii="Arial" w:hAnsi="Arial"/>
                <w:sz w:val="14"/>
              </w:rPr>
              <w:t>2</w:t>
            </w:r>
            <w:r>
              <w:rPr>
                <w:rFonts w:ascii="Arial" w:hAnsi="Arial"/>
                <w:sz w:val="14"/>
              </w:rPr>
              <w:t>6</w:t>
            </w:r>
          </w:p>
        </w:tc>
      </w:tr>
      <w:tr w:rsidR="00F419A1" w:rsidRPr="002E0C7E" w:rsidTr="008F59A3">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F419A1" w:rsidRDefault="00F419A1" w:rsidP="008F59A3">
            <w:pPr>
              <w:widowControl w:val="0"/>
              <w:rPr>
                <w:rFonts w:ascii="Arial" w:hAnsi="Arial"/>
                <w:sz w:val="14"/>
              </w:rPr>
            </w:pPr>
            <w:r>
              <w:rPr>
                <w:rFonts w:ascii="Arial" w:hAnsi="Arial"/>
                <w:sz w:val="14"/>
              </w:rPr>
              <w:t xml:space="preserve"> </w:t>
            </w:r>
            <w:r w:rsidRPr="002E0C7E">
              <w:rPr>
                <w:rFonts w:ascii="Arial" w:hAnsi="Arial"/>
                <w:sz w:val="14"/>
              </w:rPr>
              <w:t>2</w:t>
            </w:r>
            <w:r>
              <w:rPr>
                <w:rFonts w:ascii="Arial" w:hAnsi="Arial"/>
                <w:sz w:val="14"/>
              </w:rPr>
              <w:t>4</w:t>
            </w:r>
          </w:p>
          <w:p w:rsidR="00F419A1" w:rsidRPr="002E0C7E" w:rsidRDefault="00F419A1" w:rsidP="008F59A3">
            <w:pPr>
              <w:widowControl w:val="0"/>
              <w:jc w:val="center"/>
              <w:rPr>
                <w:rFonts w:ascii="Arial" w:hAnsi="Arial"/>
                <w:sz w:val="14"/>
              </w:rPr>
            </w:pPr>
            <w:r>
              <w:rPr>
                <w:rFonts w:ascii="Arial" w:hAnsi="Arial"/>
                <w:sz w:val="14"/>
              </w:rPr>
              <w:t xml:space="preserve">    31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F419A1"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F419A1"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F419A1"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F419A1"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30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27</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F419A1" w:rsidRPr="007D4CDA" w:rsidRDefault="00F419A1" w:rsidP="008F59A3">
            <w:pPr>
              <w:widowControl w:val="0"/>
              <w:jc w:val="center"/>
              <w:rPr>
                <w:rFonts w:ascii="Arial" w:hAnsi="Arial"/>
                <w:b/>
                <w:sz w:val="14"/>
              </w:rPr>
            </w:pPr>
            <w:r>
              <w:rPr>
                <w:rFonts w:ascii="Arial" w:hAnsi="Arial"/>
                <w:b/>
                <w:sz w:val="14"/>
              </w:rPr>
              <w:t>H</w:t>
            </w:r>
          </w:p>
          <w:p w:rsidR="00F419A1" w:rsidRPr="002E0C7E" w:rsidRDefault="00F419A1" w:rsidP="008F59A3">
            <w:pPr>
              <w:widowControl w:val="0"/>
              <w:jc w:val="center"/>
              <w:rPr>
                <w:rFonts w:ascii="Arial" w:hAnsi="Arial"/>
                <w:sz w:val="14"/>
              </w:rPr>
            </w:pPr>
            <w:r>
              <w:rPr>
                <w:rFonts w:ascii="Arial" w:hAnsi="Arial"/>
                <w:sz w:val="14"/>
              </w:rPr>
              <w:t>28</w:t>
            </w:r>
          </w:p>
        </w:tc>
        <w:tc>
          <w:tcPr>
            <w:tcW w:w="469" w:type="dxa"/>
            <w:tcBorders>
              <w:top w:val="single" w:sz="8" w:space="0" w:color="000000"/>
              <w:left w:val="double" w:sz="6" w:space="0" w:color="000000"/>
              <w:bottom w:val="double" w:sz="6" w:space="0" w:color="000000"/>
              <w:right w:val="single" w:sz="8" w:space="0" w:color="000000"/>
            </w:tcBorders>
            <w:shd w:val="pct30" w:color="auto" w:fill="auto"/>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31</w:t>
            </w:r>
          </w:p>
        </w:tc>
        <w:tc>
          <w:tcPr>
            <w:tcW w:w="469" w:type="dxa"/>
            <w:tcBorders>
              <w:top w:val="double" w:sz="6"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F419A1" w:rsidRPr="00261B35" w:rsidRDefault="00F419A1" w:rsidP="008F59A3">
            <w:pPr>
              <w:widowControl w:val="0"/>
              <w:jc w:val="center"/>
              <w:rPr>
                <w:rFonts w:ascii="Arial" w:hAnsi="Arial"/>
                <w:b/>
                <w:sz w:val="14"/>
              </w:rPr>
            </w:pPr>
          </w:p>
          <w:p w:rsidR="00F419A1" w:rsidRPr="002E0C7E" w:rsidRDefault="00F419A1" w:rsidP="008F59A3">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tc>
      </w:tr>
    </w:tbl>
    <w:p w:rsidR="00F419A1" w:rsidRPr="002E0C7E" w:rsidRDefault="00F419A1" w:rsidP="00F419A1">
      <w:pPr>
        <w:widowControl w:val="0"/>
        <w:rPr>
          <w:rFonts w:ascii="Arial" w:hAnsi="Arial"/>
          <w:vanish/>
          <w:szCs w:val="24"/>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70"/>
        <w:gridCol w:w="469"/>
        <w:gridCol w:w="469"/>
        <w:gridCol w:w="469"/>
        <w:gridCol w:w="469"/>
        <w:gridCol w:w="469"/>
        <w:gridCol w:w="469"/>
        <w:gridCol w:w="469"/>
        <w:gridCol w:w="470"/>
        <w:gridCol w:w="469"/>
        <w:gridCol w:w="469"/>
        <w:gridCol w:w="469"/>
        <w:gridCol w:w="469"/>
        <w:gridCol w:w="469"/>
        <w:gridCol w:w="469"/>
        <w:gridCol w:w="470"/>
      </w:tblGrid>
      <w:tr w:rsidR="00F419A1" w:rsidRPr="002E0C7E" w:rsidTr="008F59A3">
        <w:trPr>
          <w:cantSplit/>
          <w:jc w:val="center"/>
        </w:trPr>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F419A1" w:rsidRPr="002E0C7E" w:rsidRDefault="00F419A1" w:rsidP="008F59A3">
            <w:pPr>
              <w:widowControl w:val="0"/>
              <w:jc w:val="center"/>
              <w:rPr>
                <w:rFonts w:ascii="Arial" w:hAnsi="Arial"/>
                <w:sz w:val="14"/>
              </w:rPr>
            </w:pPr>
            <w:r w:rsidRPr="002E0C7E">
              <w:rPr>
                <w:rFonts w:ascii="Arial" w:hAnsi="Arial"/>
                <w:b/>
                <w:sz w:val="14"/>
              </w:rPr>
              <w:t>APRIL - AVRIL</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F419A1" w:rsidRPr="002E0C7E" w:rsidRDefault="00F419A1" w:rsidP="008F59A3">
            <w:pPr>
              <w:widowControl w:val="0"/>
              <w:jc w:val="center"/>
              <w:rPr>
                <w:rFonts w:ascii="Arial" w:hAnsi="Arial"/>
                <w:sz w:val="14"/>
              </w:rPr>
            </w:pPr>
          </w:p>
        </w:tc>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F419A1" w:rsidRPr="002E0C7E" w:rsidRDefault="00F419A1" w:rsidP="008F59A3">
            <w:pPr>
              <w:widowControl w:val="0"/>
              <w:jc w:val="center"/>
              <w:rPr>
                <w:rFonts w:ascii="Arial" w:hAnsi="Arial"/>
                <w:sz w:val="14"/>
              </w:rPr>
            </w:pPr>
            <w:r w:rsidRPr="002E0C7E">
              <w:rPr>
                <w:rFonts w:ascii="Arial" w:hAnsi="Arial"/>
                <w:b/>
                <w:sz w:val="14"/>
              </w:rPr>
              <w:t>MAY - MAI</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F419A1" w:rsidRPr="002E0C7E" w:rsidRDefault="00F419A1" w:rsidP="008F59A3">
            <w:pPr>
              <w:widowControl w:val="0"/>
              <w:jc w:val="center"/>
              <w:rPr>
                <w:rFonts w:ascii="Arial" w:hAnsi="Arial"/>
                <w:sz w:val="14"/>
              </w:rPr>
            </w:pPr>
          </w:p>
        </w:tc>
        <w:tc>
          <w:tcPr>
            <w:tcW w:w="3284"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F419A1" w:rsidRPr="002E0C7E" w:rsidRDefault="00F419A1" w:rsidP="008F59A3">
            <w:pPr>
              <w:widowControl w:val="0"/>
              <w:jc w:val="center"/>
              <w:rPr>
                <w:rFonts w:ascii="Arial" w:hAnsi="Arial"/>
                <w:sz w:val="14"/>
              </w:rPr>
            </w:pPr>
            <w:r w:rsidRPr="002E0C7E">
              <w:rPr>
                <w:rFonts w:ascii="Arial" w:hAnsi="Arial"/>
                <w:b/>
                <w:sz w:val="14"/>
              </w:rPr>
              <w:t>JUNE - JUIN</w:t>
            </w:r>
          </w:p>
        </w:tc>
      </w:tr>
      <w:tr w:rsidR="00F419A1" w:rsidRPr="002E0C7E" w:rsidTr="008F59A3">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r w:rsidRPr="002E0C7E">
              <w:rPr>
                <w:rFonts w:ascii="Arial" w:hAnsi="Arial"/>
                <w:sz w:val="14"/>
              </w:rPr>
              <w:t>S</w:t>
            </w:r>
          </w:p>
          <w:p w:rsidR="00F419A1" w:rsidRPr="002E0C7E" w:rsidRDefault="00F419A1" w:rsidP="008F59A3">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r w:rsidRPr="002E0C7E">
              <w:rPr>
                <w:rFonts w:ascii="Arial" w:hAnsi="Arial"/>
                <w:sz w:val="14"/>
              </w:rPr>
              <w:t>M</w:t>
            </w:r>
          </w:p>
          <w:p w:rsidR="00F419A1" w:rsidRPr="002E0C7E" w:rsidRDefault="00F419A1" w:rsidP="008F59A3">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r w:rsidRPr="002E0C7E">
              <w:rPr>
                <w:rFonts w:ascii="Arial" w:hAnsi="Arial"/>
                <w:sz w:val="14"/>
              </w:rPr>
              <w:t>T</w:t>
            </w:r>
          </w:p>
          <w:p w:rsidR="00F419A1" w:rsidRPr="002E0C7E" w:rsidRDefault="00F419A1" w:rsidP="008F59A3">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r w:rsidRPr="002E0C7E">
              <w:rPr>
                <w:rFonts w:ascii="Arial" w:hAnsi="Arial"/>
                <w:sz w:val="14"/>
              </w:rPr>
              <w:t>W</w:t>
            </w:r>
          </w:p>
          <w:p w:rsidR="00F419A1" w:rsidRPr="002E0C7E" w:rsidRDefault="00F419A1" w:rsidP="008F59A3">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r w:rsidRPr="002E0C7E">
              <w:rPr>
                <w:rFonts w:ascii="Arial" w:hAnsi="Arial"/>
                <w:sz w:val="14"/>
              </w:rPr>
              <w:t>T</w:t>
            </w:r>
          </w:p>
          <w:p w:rsidR="00F419A1" w:rsidRPr="002E0C7E" w:rsidRDefault="00F419A1" w:rsidP="008F59A3">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r w:rsidRPr="002E0C7E">
              <w:rPr>
                <w:rFonts w:ascii="Arial" w:hAnsi="Arial"/>
                <w:sz w:val="14"/>
              </w:rPr>
              <w:t>F</w:t>
            </w:r>
          </w:p>
          <w:p w:rsidR="00F419A1" w:rsidRPr="002E0C7E" w:rsidRDefault="00F419A1" w:rsidP="008F59A3">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r w:rsidRPr="002E0C7E">
              <w:rPr>
                <w:rFonts w:ascii="Arial" w:hAnsi="Arial"/>
                <w:sz w:val="14"/>
              </w:rPr>
              <w:t>S</w:t>
            </w:r>
          </w:p>
          <w:p w:rsidR="00F419A1" w:rsidRPr="002E0C7E" w:rsidRDefault="00F419A1" w:rsidP="008F59A3">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r w:rsidRPr="002E0C7E">
              <w:rPr>
                <w:rFonts w:ascii="Arial" w:hAnsi="Arial"/>
                <w:sz w:val="14"/>
              </w:rPr>
              <w:t>S</w:t>
            </w:r>
          </w:p>
          <w:p w:rsidR="00F419A1" w:rsidRPr="002E0C7E" w:rsidRDefault="00F419A1" w:rsidP="008F59A3">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r w:rsidRPr="002E0C7E">
              <w:rPr>
                <w:rFonts w:ascii="Arial" w:hAnsi="Arial"/>
                <w:sz w:val="14"/>
              </w:rPr>
              <w:t>M</w:t>
            </w:r>
          </w:p>
          <w:p w:rsidR="00F419A1" w:rsidRPr="002E0C7E" w:rsidRDefault="00F419A1" w:rsidP="008F59A3">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r w:rsidRPr="002E0C7E">
              <w:rPr>
                <w:rFonts w:ascii="Arial" w:hAnsi="Arial"/>
                <w:sz w:val="14"/>
              </w:rPr>
              <w:t>T</w:t>
            </w:r>
          </w:p>
          <w:p w:rsidR="00F419A1" w:rsidRPr="002E0C7E" w:rsidRDefault="00F419A1" w:rsidP="008F59A3">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r w:rsidRPr="002E0C7E">
              <w:rPr>
                <w:rFonts w:ascii="Arial" w:hAnsi="Arial"/>
                <w:sz w:val="14"/>
              </w:rPr>
              <w:t>W</w:t>
            </w:r>
          </w:p>
          <w:p w:rsidR="00F419A1" w:rsidRPr="002E0C7E" w:rsidRDefault="00F419A1" w:rsidP="008F59A3">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r w:rsidRPr="002E0C7E">
              <w:rPr>
                <w:rFonts w:ascii="Arial" w:hAnsi="Arial"/>
                <w:sz w:val="14"/>
              </w:rPr>
              <w:t>T</w:t>
            </w:r>
          </w:p>
          <w:p w:rsidR="00F419A1" w:rsidRPr="002E0C7E" w:rsidRDefault="00F419A1" w:rsidP="008F59A3">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r w:rsidRPr="002E0C7E">
              <w:rPr>
                <w:rFonts w:ascii="Arial" w:hAnsi="Arial"/>
                <w:sz w:val="14"/>
              </w:rPr>
              <w:t>F</w:t>
            </w:r>
          </w:p>
          <w:p w:rsidR="00F419A1" w:rsidRPr="002E0C7E" w:rsidRDefault="00F419A1" w:rsidP="008F59A3">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r w:rsidRPr="002E0C7E">
              <w:rPr>
                <w:rFonts w:ascii="Arial" w:hAnsi="Arial"/>
                <w:sz w:val="14"/>
              </w:rPr>
              <w:t>S</w:t>
            </w:r>
          </w:p>
          <w:p w:rsidR="00F419A1" w:rsidRPr="002E0C7E" w:rsidRDefault="00F419A1" w:rsidP="008F59A3">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r w:rsidRPr="002E0C7E">
              <w:rPr>
                <w:rFonts w:ascii="Arial" w:hAnsi="Arial"/>
                <w:sz w:val="14"/>
              </w:rPr>
              <w:t>S</w:t>
            </w:r>
          </w:p>
          <w:p w:rsidR="00F419A1" w:rsidRPr="002E0C7E" w:rsidRDefault="00F419A1" w:rsidP="008F59A3">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r w:rsidRPr="002E0C7E">
              <w:rPr>
                <w:rFonts w:ascii="Arial" w:hAnsi="Arial"/>
                <w:sz w:val="14"/>
              </w:rPr>
              <w:t>M</w:t>
            </w:r>
          </w:p>
          <w:p w:rsidR="00F419A1" w:rsidRPr="002E0C7E" w:rsidRDefault="00F419A1" w:rsidP="008F59A3">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r w:rsidRPr="002E0C7E">
              <w:rPr>
                <w:rFonts w:ascii="Arial" w:hAnsi="Arial"/>
                <w:sz w:val="14"/>
              </w:rPr>
              <w:t>T</w:t>
            </w:r>
          </w:p>
          <w:p w:rsidR="00F419A1" w:rsidRPr="002E0C7E" w:rsidRDefault="00F419A1" w:rsidP="008F59A3">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r w:rsidRPr="002E0C7E">
              <w:rPr>
                <w:rFonts w:ascii="Arial" w:hAnsi="Arial"/>
                <w:sz w:val="14"/>
              </w:rPr>
              <w:t>W</w:t>
            </w:r>
          </w:p>
          <w:p w:rsidR="00F419A1" w:rsidRPr="002E0C7E" w:rsidRDefault="00F419A1" w:rsidP="008F59A3">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r w:rsidRPr="002E0C7E">
              <w:rPr>
                <w:rFonts w:ascii="Arial" w:hAnsi="Arial"/>
                <w:sz w:val="14"/>
              </w:rPr>
              <w:t>T</w:t>
            </w:r>
          </w:p>
          <w:p w:rsidR="00F419A1" w:rsidRPr="002E0C7E" w:rsidRDefault="00F419A1" w:rsidP="008F59A3">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r w:rsidRPr="002E0C7E">
              <w:rPr>
                <w:rFonts w:ascii="Arial" w:hAnsi="Arial"/>
                <w:sz w:val="14"/>
              </w:rPr>
              <w:t>F</w:t>
            </w:r>
          </w:p>
          <w:p w:rsidR="00F419A1" w:rsidRPr="002E0C7E" w:rsidRDefault="00F419A1" w:rsidP="008F59A3">
            <w:pPr>
              <w:widowControl w:val="0"/>
              <w:jc w:val="center"/>
              <w:rPr>
                <w:rFonts w:ascii="Arial" w:hAnsi="Arial"/>
                <w:sz w:val="14"/>
              </w:rPr>
            </w:pPr>
            <w:r>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r>
              <w:rPr>
                <w:rFonts w:ascii="Arial" w:hAnsi="Arial"/>
                <w:sz w:val="14"/>
              </w:rPr>
              <w:t>S</w:t>
            </w:r>
          </w:p>
          <w:p w:rsidR="00F419A1" w:rsidRPr="002E0C7E" w:rsidRDefault="00F419A1" w:rsidP="008F59A3">
            <w:pPr>
              <w:widowControl w:val="0"/>
              <w:jc w:val="center"/>
              <w:rPr>
                <w:rFonts w:ascii="Arial" w:hAnsi="Arial"/>
                <w:sz w:val="14"/>
              </w:rPr>
            </w:pPr>
            <w:r>
              <w:rPr>
                <w:rFonts w:ascii="Arial" w:hAnsi="Arial"/>
                <w:sz w:val="14"/>
              </w:rPr>
              <w:t>S</w:t>
            </w:r>
          </w:p>
        </w:tc>
      </w:tr>
      <w:tr w:rsidR="00F419A1" w:rsidRPr="002E0C7E" w:rsidTr="008F59A3">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419A1"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F419A1" w:rsidRPr="00BC4B65"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2</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b/>
                <w:sz w:val="14"/>
              </w:rPr>
            </w:pPr>
          </w:p>
          <w:p w:rsidR="00F419A1" w:rsidRPr="002E0C7E" w:rsidRDefault="00F419A1" w:rsidP="008F59A3">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7</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4</w:t>
            </w:r>
          </w:p>
        </w:tc>
      </w:tr>
      <w:tr w:rsidR="00F419A1" w:rsidRPr="002E0C7E" w:rsidTr="008F59A3">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F419A1" w:rsidRPr="00BC4B65"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9</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14</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F419A1" w:rsidRPr="00931A11"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11</w:t>
            </w:r>
          </w:p>
        </w:tc>
      </w:tr>
      <w:tr w:rsidR="00F419A1" w:rsidRPr="002E0C7E" w:rsidTr="008F59A3">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F419A1" w:rsidRPr="00BC4B65"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F419A1" w:rsidRPr="00852172" w:rsidRDefault="00F419A1" w:rsidP="008F59A3">
            <w:pPr>
              <w:widowControl w:val="0"/>
              <w:jc w:val="center"/>
              <w:rPr>
                <w:rFonts w:ascii="Arial" w:hAnsi="Arial"/>
                <w:b/>
                <w:sz w:val="14"/>
              </w:rPr>
            </w:pPr>
          </w:p>
          <w:p w:rsidR="00F419A1" w:rsidRPr="002E0C7E" w:rsidRDefault="00F419A1" w:rsidP="008F59A3">
            <w:pPr>
              <w:widowControl w:val="0"/>
              <w:jc w:val="center"/>
              <w:rPr>
                <w:rFonts w:ascii="Arial" w:hAnsi="Arial"/>
                <w:sz w:val="14"/>
              </w:rPr>
            </w:pPr>
            <w:r>
              <w:rPr>
                <w:rFonts w:ascii="Arial" w:hAnsi="Arial"/>
                <w:sz w:val="14"/>
              </w:rPr>
              <w:t>15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16</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F419A1" w:rsidRPr="002453E3" w:rsidRDefault="00F419A1" w:rsidP="008F59A3">
            <w:pPr>
              <w:widowControl w:val="0"/>
              <w:jc w:val="center"/>
              <w:rPr>
                <w:rFonts w:ascii="Arial" w:hAnsi="Arial"/>
                <w:b/>
                <w:sz w:val="14"/>
              </w:rPr>
            </w:pPr>
            <w:r w:rsidRPr="002453E3">
              <w:rPr>
                <w:rFonts w:ascii="Arial" w:hAnsi="Arial"/>
                <w:b/>
                <w:sz w:val="14"/>
              </w:rPr>
              <w:t>M</w:t>
            </w:r>
          </w:p>
          <w:p w:rsidR="00F419A1" w:rsidRPr="002E0C7E" w:rsidRDefault="00F419A1" w:rsidP="008F59A3">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F419A1"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2</w:t>
            </w:r>
            <w:r w:rsidRPr="002E0C7E">
              <w:rPr>
                <w:rFonts w:ascii="Arial" w:hAnsi="Arial"/>
                <w:sz w:val="14"/>
              </w:rPr>
              <w:t>1</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12</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F419A1" w:rsidRPr="00371D2F" w:rsidRDefault="00F419A1" w:rsidP="008F59A3">
            <w:pPr>
              <w:widowControl w:val="0"/>
              <w:jc w:val="center"/>
              <w:rPr>
                <w:rFonts w:ascii="Arial" w:hAnsi="Arial"/>
                <w:b/>
                <w:sz w:val="14"/>
              </w:rPr>
            </w:pPr>
            <w:r>
              <w:rPr>
                <w:rFonts w:ascii="Arial" w:hAnsi="Arial"/>
                <w:b/>
                <w:sz w:val="14"/>
              </w:rPr>
              <w:t>M</w:t>
            </w:r>
          </w:p>
          <w:p w:rsidR="00F419A1" w:rsidRPr="002E0C7E" w:rsidRDefault="00F419A1" w:rsidP="008F59A3">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17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18</w:t>
            </w:r>
          </w:p>
        </w:tc>
      </w:tr>
      <w:tr w:rsidR="00F419A1" w:rsidRPr="002E0C7E" w:rsidTr="008F59A3">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17</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vAlign w:val="center"/>
          </w:tcPr>
          <w:p w:rsidR="00F419A1" w:rsidRPr="0049680E" w:rsidRDefault="00F419A1" w:rsidP="008F59A3">
            <w:pPr>
              <w:widowControl w:val="0"/>
              <w:jc w:val="center"/>
              <w:rPr>
                <w:rFonts w:ascii="Arial" w:hAnsi="Arial"/>
                <w:b/>
                <w:sz w:val="14"/>
              </w:rPr>
            </w:pPr>
            <w:r w:rsidRPr="0049680E">
              <w:rPr>
                <w:rFonts w:ascii="Arial" w:hAnsi="Arial"/>
                <w:b/>
                <w:sz w:val="14"/>
              </w:rPr>
              <w:t>M</w:t>
            </w:r>
          </w:p>
          <w:p w:rsidR="00F419A1" w:rsidRPr="002E0C7E" w:rsidRDefault="00F419A1" w:rsidP="008F59A3">
            <w:pPr>
              <w:widowControl w:val="0"/>
              <w:jc w:val="center"/>
              <w:rPr>
                <w:rFonts w:ascii="Arial" w:hAnsi="Arial"/>
                <w:sz w:val="14"/>
              </w:rPr>
            </w:pPr>
            <w:r>
              <w:rPr>
                <w:rFonts w:ascii="Arial" w:hAnsi="Arial"/>
                <w:sz w:val="14"/>
              </w:rPr>
              <w:t>18</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sidRPr="002E0C7E">
              <w:rPr>
                <w:rFonts w:ascii="Arial" w:hAnsi="Arial"/>
                <w:sz w:val="14"/>
              </w:rPr>
              <w:t>2</w:t>
            </w:r>
            <w:r>
              <w:rPr>
                <w:rFonts w:ascii="Arial" w:hAnsi="Arial"/>
                <w:sz w:val="14"/>
              </w:rPr>
              <w:t>3</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22</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F419A1" w:rsidRPr="002453E3" w:rsidRDefault="00F419A1" w:rsidP="008F59A3">
            <w:pPr>
              <w:widowControl w:val="0"/>
              <w:jc w:val="center"/>
              <w:rPr>
                <w:rFonts w:ascii="Arial" w:hAnsi="Arial"/>
                <w:b/>
                <w:sz w:val="14"/>
              </w:rPr>
            </w:pPr>
            <w:r>
              <w:rPr>
                <w:rFonts w:ascii="Arial" w:hAnsi="Arial"/>
                <w:b/>
                <w:sz w:val="14"/>
              </w:rPr>
              <w:t>H</w:t>
            </w:r>
          </w:p>
          <w:p w:rsidR="00F419A1" w:rsidRPr="002E0C7E" w:rsidRDefault="00F419A1" w:rsidP="008F59A3">
            <w:pPr>
              <w:widowControl w:val="0"/>
              <w:jc w:val="center"/>
              <w:rPr>
                <w:rFonts w:ascii="Arial" w:hAnsi="Arial"/>
                <w:sz w:val="14"/>
              </w:rPr>
            </w:pPr>
            <w:r>
              <w:rPr>
                <w:rFonts w:ascii="Arial" w:hAnsi="Arial"/>
                <w:sz w:val="14"/>
              </w:rPr>
              <w:t>23</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sidRPr="002E0C7E">
              <w:rPr>
                <w:rFonts w:ascii="Arial" w:hAnsi="Arial"/>
                <w:sz w:val="14"/>
              </w:rPr>
              <w:t>2</w:t>
            </w:r>
            <w:r>
              <w:rPr>
                <w:rFonts w:ascii="Arial" w:hAnsi="Arial"/>
                <w:sz w:val="14"/>
              </w:rPr>
              <w:t>8</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F419A1"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sidRPr="002E0C7E">
              <w:rPr>
                <w:rFonts w:ascii="Arial" w:hAnsi="Arial"/>
                <w:sz w:val="14"/>
              </w:rPr>
              <w:t>2</w:t>
            </w:r>
            <w:r>
              <w:rPr>
                <w:rFonts w:ascii="Arial" w:hAnsi="Arial"/>
                <w:sz w:val="14"/>
              </w:rPr>
              <w:t>5</w:t>
            </w:r>
          </w:p>
        </w:tc>
      </w:tr>
      <w:tr w:rsidR="00F419A1" w:rsidRPr="002E0C7E" w:rsidTr="008F59A3">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24</w:t>
            </w:r>
          </w:p>
        </w:tc>
        <w:tc>
          <w:tcPr>
            <w:tcW w:w="469" w:type="dxa"/>
            <w:tcBorders>
              <w:top w:val="double" w:sz="6"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F419A1"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F419A1"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F419A1"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F419A1"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F419A1"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30</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F419A1"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29</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F419A1" w:rsidRPr="002E0C7E" w:rsidRDefault="00F419A1" w:rsidP="008F59A3">
            <w:pPr>
              <w:widowControl w:val="0"/>
              <w:jc w:val="center"/>
              <w:rPr>
                <w:rFonts w:ascii="Arial" w:hAnsi="Arial"/>
                <w:sz w:val="14"/>
              </w:rPr>
            </w:pPr>
          </w:p>
          <w:p w:rsidR="00F419A1" w:rsidRPr="002E0C7E" w:rsidRDefault="00F419A1" w:rsidP="008F59A3">
            <w:pPr>
              <w:widowControl w:val="0"/>
              <w:jc w:val="center"/>
              <w:rPr>
                <w:rFonts w:ascii="Arial" w:hAnsi="Arial"/>
                <w:sz w:val="14"/>
              </w:rPr>
            </w:pPr>
          </w:p>
        </w:tc>
      </w:tr>
    </w:tbl>
    <w:p w:rsidR="00F419A1" w:rsidRPr="002E0C7E" w:rsidRDefault="00F419A1" w:rsidP="00F419A1">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10"/>
        <w:gridCol w:w="540"/>
        <w:gridCol w:w="8370"/>
      </w:tblGrid>
      <w:tr w:rsidR="00F419A1" w:rsidRPr="002E0C7E" w:rsidTr="008F59A3">
        <w:trPr>
          <w:cantSplit/>
        </w:trPr>
        <w:tc>
          <w:tcPr>
            <w:tcW w:w="1710" w:type="dxa"/>
            <w:tcBorders>
              <w:top w:val="nil"/>
              <w:left w:val="nil"/>
              <w:bottom w:val="nil"/>
              <w:right w:val="nil"/>
            </w:tcBorders>
            <w:tcMar>
              <w:top w:w="43" w:type="dxa"/>
              <w:left w:w="120" w:type="dxa"/>
              <w:bottom w:w="29" w:type="dxa"/>
              <w:right w:w="120" w:type="dxa"/>
            </w:tcMar>
          </w:tcPr>
          <w:p w:rsidR="00F419A1" w:rsidRPr="002E0C7E" w:rsidRDefault="00F419A1" w:rsidP="008F59A3">
            <w:pPr>
              <w:widowControl w:val="0"/>
              <w:rPr>
                <w:rFonts w:ascii="Arial" w:hAnsi="Arial"/>
                <w:sz w:val="16"/>
              </w:rPr>
            </w:pPr>
            <w:r w:rsidRPr="002E0C7E">
              <w:rPr>
                <w:rFonts w:ascii="Arial" w:hAnsi="Arial"/>
                <w:sz w:val="16"/>
              </w:rPr>
              <w:t>Sittings of the court:</w:t>
            </w:r>
          </w:p>
          <w:p w:rsidR="00F419A1" w:rsidRPr="002E0C7E" w:rsidRDefault="00F419A1" w:rsidP="008F59A3">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F419A1" w:rsidRPr="002E0C7E" w:rsidRDefault="00F419A1" w:rsidP="008F59A3">
            <w:pPr>
              <w:widowControl w:val="0"/>
              <w:rPr>
                <w:rFonts w:ascii="Arial" w:hAnsi="Arial"/>
                <w:sz w:val="16"/>
              </w:rPr>
            </w:pPr>
          </w:p>
          <w:p w:rsidR="00F419A1" w:rsidRPr="002E0C7E" w:rsidRDefault="00F419A1" w:rsidP="008F59A3">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F419A1" w:rsidRPr="00B058C3" w:rsidRDefault="00F419A1" w:rsidP="008F59A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F419A1" w:rsidRPr="00B058C3" w:rsidRDefault="00F419A1" w:rsidP="008F59A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w:t>
            </w:r>
            <w:r>
              <w:rPr>
                <w:rFonts w:ascii="Arial" w:hAnsi="Arial"/>
                <w:b/>
                <w:sz w:val="16"/>
                <w:lang w:val="fr-CA"/>
              </w:rPr>
              <w:t>5</w:t>
            </w:r>
            <w:r w:rsidRPr="00B058C3">
              <w:rPr>
                <w:rFonts w:ascii="Arial" w:hAnsi="Arial"/>
                <w:b/>
                <w:sz w:val="16"/>
                <w:lang w:val="fr-CA"/>
              </w:rPr>
              <w:t xml:space="preserve">  sitting days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F419A1" w:rsidRPr="00B058C3" w:rsidRDefault="00F419A1" w:rsidP="008F59A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w:t>
            </w:r>
            <w:r>
              <w:rPr>
                <w:rFonts w:ascii="Arial" w:hAnsi="Arial"/>
                <w:b/>
                <w:sz w:val="16"/>
                <w:lang w:val="fr-CA"/>
              </w:rPr>
              <w:t xml:space="preserve"> </w:t>
            </w:r>
            <w:r w:rsidRPr="00B058C3">
              <w:rPr>
                <w:rFonts w:ascii="Arial" w:hAnsi="Arial"/>
                <w:b/>
                <w:sz w:val="16"/>
                <w:lang w:val="fr-CA"/>
              </w:rPr>
              <w:t>/ journées des requêtes et des conférences</w:t>
            </w:r>
          </w:p>
          <w:p w:rsidR="00F419A1" w:rsidRPr="002E0C7E" w:rsidRDefault="00F419A1" w:rsidP="008F59A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Pr>
                <w:rFonts w:ascii="Arial" w:hAnsi="Arial"/>
                <w:b/>
                <w:sz w:val="16"/>
                <w:lang w:val="fr-CA"/>
              </w:rPr>
              <w:t>5</w:t>
            </w:r>
            <w:r w:rsidRPr="002E0C7E">
              <w:rPr>
                <w:rFonts w:ascii="Arial" w:hAnsi="Arial"/>
                <w:b/>
                <w:sz w:val="16"/>
              </w:rPr>
              <w:t xml:space="preserve">    holidays during sitting days</w:t>
            </w:r>
            <w:r>
              <w:rPr>
                <w:rFonts w:ascii="Arial" w:hAnsi="Arial"/>
                <w:b/>
                <w:sz w:val="16"/>
              </w:rPr>
              <w:t xml:space="preserve"> </w:t>
            </w:r>
            <w:r w:rsidRPr="002E0C7E">
              <w:rPr>
                <w:rFonts w:ascii="Arial" w:hAnsi="Arial"/>
                <w:b/>
                <w:sz w:val="16"/>
              </w:rPr>
              <w:t>/ jours fériés durant les sessions</w:t>
            </w:r>
          </w:p>
          <w:p w:rsidR="00F419A1" w:rsidRPr="002E0C7E" w:rsidRDefault="00F419A1" w:rsidP="008F59A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F419A1" w:rsidRPr="002E0C7E" w:rsidTr="008F59A3">
        <w:trPr>
          <w:cantSplit/>
        </w:trPr>
        <w:tc>
          <w:tcPr>
            <w:tcW w:w="1710" w:type="dxa"/>
            <w:tcBorders>
              <w:top w:val="nil"/>
              <w:left w:val="nil"/>
              <w:bottom w:val="nil"/>
              <w:right w:val="double" w:sz="8" w:space="0" w:color="000000"/>
            </w:tcBorders>
            <w:tcMar>
              <w:top w:w="43" w:type="dxa"/>
              <w:left w:w="120" w:type="dxa"/>
              <w:bottom w:w="29" w:type="dxa"/>
              <w:right w:w="120" w:type="dxa"/>
            </w:tcMar>
          </w:tcPr>
          <w:p w:rsidR="00F419A1" w:rsidRPr="002E0C7E" w:rsidRDefault="00F419A1" w:rsidP="008F59A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F419A1" w:rsidRPr="002E0C7E" w:rsidRDefault="00F419A1" w:rsidP="008F59A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F419A1" w:rsidRPr="002E0C7E" w:rsidRDefault="00F419A1" w:rsidP="008F59A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F419A1" w:rsidRPr="002E0C7E" w:rsidRDefault="00F419A1" w:rsidP="008F59A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F419A1" w:rsidRPr="002E0C7E" w:rsidTr="008F59A3">
        <w:trPr>
          <w:cantSplit/>
        </w:trPr>
        <w:tc>
          <w:tcPr>
            <w:tcW w:w="1710" w:type="dxa"/>
            <w:tcBorders>
              <w:top w:val="nil"/>
              <w:left w:val="nil"/>
              <w:bottom w:val="nil"/>
              <w:right w:val="double" w:sz="8" w:space="0" w:color="000000"/>
            </w:tcBorders>
            <w:tcMar>
              <w:top w:w="43" w:type="dxa"/>
              <w:left w:w="120" w:type="dxa"/>
              <w:bottom w:w="29" w:type="dxa"/>
              <w:right w:w="120" w:type="dxa"/>
            </w:tcMar>
          </w:tcPr>
          <w:p w:rsidR="00F419A1" w:rsidRPr="002E0C7E" w:rsidRDefault="00F419A1" w:rsidP="008F59A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F419A1" w:rsidRPr="002E0C7E" w:rsidRDefault="00F419A1" w:rsidP="008F59A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F419A1" w:rsidRPr="002E0C7E" w:rsidRDefault="00F419A1" w:rsidP="008F59A3">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F419A1" w:rsidRPr="002E0C7E" w:rsidRDefault="00F419A1" w:rsidP="008F59A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F419A1" w:rsidRPr="002E0C7E" w:rsidRDefault="00F419A1" w:rsidP="00F419A1">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73"/>
      <w:footerReference w:type="default" r:id="rId74"/>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F47" w:rsidRDefault="00871F47" w:rsidP="00A87207">
      <w:r>
        <w:separator/>
      </w:r>
    </w:p>
  </w:endnote>
  <w:endnote w:type="continuationSeparator" w:id="0">
    <w:p w:rsidR="00871F47" w:rsidRDefault="00871F47"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F47" w:rsidRDefault="00871F47">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F47" w:rsidRDefault="00310DA4">
    <w:pPr>
      <w:pStyle w:val="Footer"/>
      <w:rPr>
        <w:lang w:val="fr-CA"/>
      </w:rPr>
    </w:pPr>
    <w:r>
      <w:rPr>
        <w:lang w:val="fr-CA"/>
      </w:rPr>
      <w:pict>
        <v:rect id="_x0000_i1054" style="width:480.95pt;height:1pt" o:hralign="center" o:hrstd="t" o:hrnoshade="t" o:hr="t" fillcolor="black [3213]" stroked="f"/>
      </w:pict>
    </w:r>
  </w:p>
  <w:p w:rsidR="00871F47" w:rsidRDefault="00871F47" w:rsidP="00245129">
    <w:pPr>
      <w:tabs>
        <w:tab w:val="center" w:pos="4680"/>
      </w:tabs>
    </w:pPr>
    <w:r>
      <w:tab/>
    </w:r>
    <w:r w:rsidRPr="0009648D">
      <w:t xml:space="preserve">- </w:t>
    </w:r>
    <w:r w:rsidR="00352F61">
      <w:fldChar w:fldCharType="begin"/>
    </w:r>
    <w:r w:rsidR="00352F61">
      <w:instrText xml:space="preserve"> PAGE   \* MERGEFORMAT </w:instrText>
    </w:r>
    <w:r w:rsidR="00352F61">
      <w:fldChar w:fldCharType="separate"/>
    </w:r>
    <w:r w:rsidR="00310DA4">
      <w:rPr>
        <w:noProof/>
      </w:rPr>
      <w:t>1177</w:t>
    </w:r>
    <w:r w:rsidR="00352F61">
      <w:rPr>
        <w:noProof/>
      </w:rPr>
      <w:fldChar w:fldCharType="end"/>
    </w:r>
    <w:r w:rsidRPr="0009648D">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F47" w:rsidRDefault="00871F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71F47" w:rsidRDefault="00871F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71F47" w:rsidRDefault="00871F47">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F47" w:rsidRDefault="00310DA4" w:rsidP="00755F22">
    <w:pPr>
      <w:tabs>
        <w:tab w:val="left" w:pos="-1440"/>
        <w:tab w:val="left" w:pos="-720"/>
      </w:tabs>
    </w:pPr>
    <w:r>
      <w:pict>
        <v:rect id="_x0000_i1059" style="width:480.95pt;height:1pt" o:hralign="center" o:hrstd="t" o:hrnoshade="t" o:hr="t" fillcolor="black [3213]" stroked="f"/>
      </w:pict>
    </w:r>
  </w:p>
  <w:p w:rsidR="00871F47" w:rsidRDefault="00871F47" w:rsidP="00EB2B90">
    <w:pPr>
      <w:tabs>
        <w:tab w:val="center" w:pos="4680"/>
      </w:tabs>
    </w:pPr>
    <w:r>
      <w:tab/>
      <w:t xml:space="preserve">- </w:t>
    </w:r>
    <w:r w:rsidR="00352F61">
      <w:fldChar w:fldCharType="begin"/>
    </w:r>
    <w:r w:rsidR="00352F61">
      <w:instrText xml:space="preserve"> PAGE   \* MERGEFORMAT </w:instrText>
    </w:r>
    <w:r w:rsidR="00352F61">
      <w:fldChar w:fldCharType="separate"/>
    </w:r>
    <w:r w:rsidR="00310DA4">
      <w:rPr>
        <w:noProof/>
      </w:rPr>
      <w:t>1192</w:t>
    </w:r>
    <w:r w:rsidR="00352F61">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F47" w:rsidRDefault="00310DA4" w:rsidP="00EB2B90">
    <w:pPr>
      <w:tabs>
        <w:tab w:val="center" w:pos="4680"/>
      </w:tabs>
    </w:pPr>
    <w:r>
      <w:pict>
        <v:rect id="_x0000_i1060" style="width:480.95pt;height:1pt" o:hralign="center" o:hrstd="t" o:hrnoshade="t" o:hr="t" fillcolor="black [3213]" stroked="f"/>
      </w:pict>
    </w:r>
  </w:p>
  <w:p w:rsidR="00871F47" w:rsidRPr="0031432F" w:rsidRDefault="00871F47" w:rsidP="00EB2B90">
    <w:pPr>
      <w:tabs>
        <w:tab w:val="center" w:pos="4680"/>
      </w:tabs>
    </w:pPr>
    <w:r>
      <w:tab/>
      <w:t xml:space="preserve">- </w:t>
    </w:r>
    <w:r w:rsidR="00352F61">
      <w:fldChar w:fldCharType="begin"/>
    </w:r>
    <w:r w:rsidR="00352F61">
      <w:instrText xml:space="preserve"> PAGE   \* MERGEFORMAT </w:instrText>
    </w:r>
    <w:r w:rsidR="00352F61">
      <w:fldChar w:fldCharType="separate"/>
    </w:r>
    <w:r w:rsidR="00310DA4">
      <w:rPr>
        <w:noProof/>
      </w:rPr>
      <w:t>1188</w:t>
    </w:r>
    <w:r w:rsidR="00352F61">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F47" w:rsidRDefault="00871F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71F47" w:rsidRDefault="00871F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71F47" w:rsidRDefault="00871F47">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F47" w:rsidRDefault="00310DA4" w:rsidP="00732DB7">
    <w:r>
      <w:pict>
        <v:rect id="_x0000_i1062" style="width:480.95pt;height:1pt" o:hralign="center" o:hrstd="t" o:hrnoshade="t" o:hr="t" fillcolor="black" stroked="f"/>
      </w:pict>
    </w:r>
  </w:p>
  <w:p w:rsidR="00871F47" w:rsidRDefault="00871F47">
    <w:pPr>
      <w:tabs>
        <w:tab w:val="center" w:pos="4740"/>
      </w:tabs>
      <w:spacing w:line="0" w:lineRule="atLeast"/>
    </w:pPr>
    <w:r>
      <w:tab/>
      <w:t xml:space="preserve">- </w:t>
    </w:r>
    <w:r>
      <w:pgNum/>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F47" w:rsidRDefault="00310DA4">
    <w:pPr>
      <w:pStyle w:val="Footer"/>
    </w:pPr>
    <w:r>
      <w:pict>
        <v:rect id="_x0000_i1063" style="width:480.95pt;height:1pt" o:hralign="center" o:hrstd="t" o:hrnoshade="t" o:hr="t" fillcolor="black [3213]" stroked="f"/>
      </w:pict>
    </w:r>
  </w:p>
  <w:p w:rsidR="00871F47" w:rsidRPr="003C2C0F" w:rsidRDefault="00871F47" w:rsidP="00697C62">
    <w:pPr>
      <w:tabs>
        <w:tab w:val="center" w:pos="4680"/>
      </w:tabs>
    </w:pPr>
    <w:r>
      <w:tab/>
      <w:t xml:space="preserve">- </w:t>
    </w:r>
    <w:r w:rsidR="00352F61">
      <w:fldChar w:fldCharType="begin"/>
    </w:r>
    <w:r w:rsidR="00352F61">
      <w:instrText xml:space="preserve"> PAGE   \* MERGEFORMAT </w:instrText>
    </w:r>
    <w:r w:rsidR="00352F61">
      <w:fldChar w:fldCharType="separate"/>
    </w:r>
    <w:r w:rsidR="00310DA4">
      <w:rPr>
        <w:noProof/>
      </w:rPr>
      <w:t>1194</w:t>
    </w:r>
    <w:r w:rsidR="00352F61">
      <w:rPr>
        <w:noProof/>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F47" w:rsidRDefault="00871F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71F47" w:rsidRDefault="00871F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71F47" w:rsidRDefault="00871F47">
    <w:pPr>
      <w:tabs>
        <w:tab w:val="center" w:pos="4740"/>
      </w:tabs>
    </w:pPr>
    <w:r>
      <w:tab/>
      <w:t xml:space="preserve">- </w:t>
    </w:r>
    <w:r>
      <w:pgNum/>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F47" w:rsidRDefault="00871F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71F47" w:rsidRDefault="00310D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66" style="width:480.95pt;height:1pt" o:hralign="center" o:hrstd="t" o:hrnoshade="t" o:hr="t" fillcolor="black [3213]" stroked="f"/>
      </w:pict>
    </w:r>
  </w:p>
  <w:p w:rsidR="00871F47" w:rsidRDefault="00871F47" w:rsidP="00782AE4">
    <w:pPr>
      <w:tabs>
        <w:tab w:val="center" w:pos="4680"/>
      </w:tabs>
    </w:pPr>
    <w:r>
      <w:tab/>
      <w:t xml:space="preserve">- </w:t>
    </w:r>
    <w:r w:rsidR="0086075F" w:rsidRPr="001775C1">
      <w:rPr>
        <w:szCs w:val="24"/>
      </w:rPr>
      <w:fldChar w:fldCharType="begin"/>
    </w:r>
    <w:r w:rsidRPr="001775C1">
      <w:rPr>
        <w:szCs w:val="24"/>
      </w:rPr>
      <w:instrText xml:space="preserve"> PAGE   \* MERGEFORMAT </w:instrText>
    </w:r>
    <w:r w:rsidR="0086075F" w:rsidRPr="001775C1">
      <w:rPr>
        <w:szCs w:val="24"/>
      </w:rPr>
      <w:fldChar w:fldCharType="separate"/>
    </w:r>
    <w:r w:rsidR="00310DA4">
      <w:rPr>
        <w:noProof/>
        <w:szCs w:val="24"/>
      </w:rPr>
      <w:t>1200</w:t>
    </w:r>
    <w:r w:rsidR="0086075F" w:rsidRPr="001775C1">
      <w:rPr>
        <w:szCs w:val="24"/>
      </w:rPr>
      <w:fldChar w:fldCharType="end"/>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F47" w:rsidRDefault="00310DA4" w:rsidP="00782AE4">
    <w:pPr>
      <w:tabs>
        <w:tab w:val="center" w:pos="4680"/>
      </w:tabs>
    </w:pPr>
    <w:r>
      <w:pict>
        <v:rect id="_x0000_i1067" style="width:480.95pt;height:1pt" o:hralign="center" o:hrstd="t" o:hrnoshade="t" o:hr="t" fillcolor="black [3213]" stroked="f"/>
      </w:pict>
    </w:r>
  </w:p>
  <w:p w:rsidR="00871F47" w:rsidRDefault="00871F47" w:rsidP="00782AE4">
    <w:pPr>
      <w:tabs>
        <w:tab w:val="center" w:pos="4680"/>
      </w:tabs>
    </w:pPr>
    <w:r>
      <w:tab/>
      <w:t xml:space="preserve">- </w:t>
    </w:r>
    <w:r w:rsidR="0086075F" w:rsidRPr="001775C1">
      <w:rPr>
        <w:szCs w:val="24"/>
      </w:rPr>
      <w:fldChar w:fldCharType="begin"/>
    </w:r>
    <w:r w:rsidRPr="001775C1">
      <w:rPr>
        <w:szCs w:val="24"/>
      </w:rPr>
      <w:instrText xml:space="preserve"> PAGE   \* MERGEFORMAT </w:instrText>
    </w:r>
    <w:r w:rsidR="0086075F" w:rsidRPr="001775C1">
      <w:rPr>
        <w:szCs w:val="24"/>
      </w:rPr>
      <w:fldChar w:fldCharType="separate"/>
    </w:r>
    <w:r w:rsidR="00310DA4">
      <w:rPr>
        <w:noProof/>
        <w:szCs w:val="24"/>
      </w:rPr>
      <w:t>1195</w:t>
    </w:r>
    <w:r w:rsidR="0086075F" w:rsidRPr="001775C1">
      <w:rPr>
        <w:szCs w:val="24"/>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F47" w:rsidRDefault="00871F47">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F47" w:rsidRDefault="00310DA4">
    <w:r>
      <w:rPr>
        <w:lang w:val="fr-CA"/>
      </w:rPr>
      <w:pict>
        <v:rect id="_x0000_i1072" style="width:480.95pt;height:1pt" o:hralign="center" o:hrstd="t" o:hrnoshade="t" o:hr="t" fillcolor="black [3213]" stroked="f"/>
      </w:pict>
    </w:r>
  </w:p>
  <w:p w:rsidR="00871F47" w:rsidRDefault="00871F47" w:rsidP="006B6926">
    <w:pPr>
      <w:tabs>
        <w:tab w:val="center" w:pos="4680"/>
      </w:tabs>
    </w:pPr>
    <w:r>
      <w:tab/>
      <w:t xml:space="preserve">- </w:t>
    </w:r>
    <w:r w:rsidR="00352F61">
      <w:fldChar w:fldCharType="begin"/>
    </w:r>
    <w:r w:rsidR="00352F61">
      <w:instrText xml:space="preserve">PAGE </w:instrText>
    </w:r>
    <w:r w:rsidR="00352F61">
      <w:fldChar w:fldCharType="separate"/>
    </w:r>
    <w:r w:rsidR="00310DA4">
      <w:rPr>
        <w:noProof/>
      </w:rPr>
      <w:t>1202</w:t>
    </w:r>
    <w:r w:rsidR="00352F61">
      <w:rPr>
        <w:noProof/>
      </w:rPr>
      <w:fldChar w:fldCharType="end"/>
    </w:r>
    <w: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F47" w:rsidRDefault="00310DA4" w:rsidP="006B6926">
    <w:pPr>
      <w:tabs>
        <w:tab w:val="center" w:pos="4680"/>
      </w:tabs>
      <w:rPr>
        <w:lang w:val="fr-CA"/>
      </w:rPr>
    </w:pPr>
    <w:r>
      <w:rPr>
        <w:lang w:val="fr-CA"/>
      </w:rPr>
      <w:pict>
        <v:rect id="_x0000_i1073" style="width:480.95pt;height:1pt" o:hralign="center" o:hrstd="t" o:hrnoshade="t" o:hr="t" fillcolor="black [3213]" stroked="f"/>
      </w:pict>
    </w:r>
  </w:p>
  <w:p w:rsidR="00871F47" w:rsidRDefault="00871F47" w:rsidP="006B6926">
    <w:pPr>
      <w:tabs>
        <w:tab w:val="center" w:pos="4680"/>
      </w:tabs>
    </w:pPr>
    <w:r>
      <w:tab/>
      <w:t xml:space="preserve">- </w:t>
    </w:r>
    <w:r w:rsidR="00352F61">
      <w:fldChar w:fldCharType="begin"/>
    </w:r>
    <w:r w:rsidR="00352F61">
      <w:instrText xml:space="preserve">PAGE </w:instrText>
    </w:r>
    <w:r w:rsidR="00352F61">
      <w:fldChar w:fldCharType="separate"/>
    </w:r>
    <w:r w:rsidR="00310DA4">
      <w:rPr>
        <w:noProof/>
      </w:rPr>
      <w:t>1201</w:t>
    </w:r>
    <w:r w:rsidR="00352F61">
      <w:rPr>
        <w:noProof/>
      </w:rPr>
      <w:fldChar w:fldCharType="end"/>
    </w:r>
    <w: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F47" w:rsidRPr="00924065" w:rsidRDefault="00871F47"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F47" w:rsidRDefault="00871F4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F47" w:rsidRDefault="00310DA4" w:rsidP="00A87207">
    <w:pPr>
      <w:pStyle w:val="Footer"/>
    </w:pPr>
    <w:r>
      <w:pict>
        <v:rect id="_x0000_i1038" style="width:480.95pt;height:1pt" o:hralign="center" o:hrstd="t" o:hrnoshade="t" o:hr="t" fillcolor="black [3213]" stroked="f"/>
      </w:pict>
    </w:r>
  </w:p>
  <w:p w:rsidR="00871F47" w:rsidRPr="00B7374B" w:rsidRDefault="00871F47" w:rsidP="00B7374B">
    <w:pPr>
      <w:tabs>
        <w:tab w:val="center" w:pos="4680"/>
      </w:tabs>
      <w:rPr>
        <w:szCs w:val="24"/>
      </w:rPr>
    </w:pPr>
    <w:r w:rsidRPr="00954D22">
      <w:rPr>
        <w:szCs w:val="24"/>
      </w:rPr>
      <w:tab/>
      <w:t xml:space="preserve">- </w:t>
    </w:r>
    <w:r w:rsidR="0086075F" w:rsidRPr="00954D22">
      <w:rPr>
        <w:szCs w:val="24"/>
      </w:rPr>
      <w:fldChar w:fldCharType="begin"/>
    </w:r>
    <w:r w:rsidRPr="00954D22">
      <w:rPr>
        <w:szCs w:val="24"/>
      </w:rPr>
      <w:instrText xml:space="preserve"> PAGE   \* MERGEFORMAT </w:instrText>
    </w:r>
    <w:r w:rsidR="0086075F" w:rsidRPr="00954D22">
      <w:rPr>
        <w:szCs w:val="24"/>
      </w:rPr>
      <w:fldChar w:fldCharType="separate"/>
    </w:r>
    <w:r w:rsidR="00310DA4">
      <w:rPr>
        <w:noProof/>
        <w:szCs w:val="24"/>
      </w:rPr>
      <w:t>1175</w:t>
    </w:r>
    <w:r w:rsidR="0086075F"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F47" w:rsidRDefault="00310DA4" w:rsidP="00755F22">
    <w:pPr>
      <w:tabs>
        <w:tab w:val="left" w:pos="-1440"/>
        <w:tab w:val="left" w:pos="-720"/>
      </w:tabs>
    </w:pPr>
    <w:r>
      <w:pict>
        <v:rect id="_x0000_i1039" style="width:480.95pt;height:1pt" o:hralign="center" o:hrstd="t" o:hrnoshade="t" o:hr="t" fillcolor="black [3213]" stroked="f"/>
      </w:pict>
    </w:r>
  </w:p>
  <w:p w:rsidR="00871F47" w:rsidRPr="00954D22" w:rsidRDefault="00871F47" w:rsidP="00B7374B">
    <w:pPr>
      <w:tabs>
        <w:tab w:val="center" w:pos="4680"/>
      </w:tabs>
      <w:rPr>
        <w:szCs w:val="24"/>
      </w:rPr>
    </w:pPr>
    <w:r w:rsidRPr="00954D22">
      <w:rPr>
        <w:szCs w:val="24"/>
      </w:rPr>
      <w:tab/>
      <w:t xml:space="preserve">- </w:t>
    </w:r>
    <w:r w:rsidR="0086075F">
      <w:rPr>
        <w:szCs w:val="24"/>
      </w:rPr>
      <w:fldChar w:fldCharType="begin"/>
    </w:r>
    <w:r>
      <w:rPr>
        <w:szCs w:val="24"/>
      </w:rPr>
      <w:instrText xml:space="preserve"> PAGE   \* MERGEFORMAT </w:instrText>
    </w:r>
    <w:r w:rsidR="0086075F">
      <w:rPr>
        <w:szCs w:val="24"/>
      </w:rPr>
      <w:fldChar w:fldCharType="separate"/>
    </w:r>
    <w:r w:rsidR="00310DA4">
      <w:rPr>
        <w:noProof/>
        <w:szCs w:val="24"/>
      </w:rPr>
      <w:t>1174</w:t>
    </w:r>
    <w:r w:rsidR="0086075F">
      <w:rPr>
        <w:szCs w:val="24"/>
      </w:rPr>
      <w:fldChar w:fldCharType="end"/>
    </w:r>
    <w:r w:rsidRPr="00954D22">
      <w:rPr>
        <w:szCs w:val="24"/>
      </w:rPr>
      <w:t xml:space="preserve"> -</w:t>
    </w:r>
  </w:p>
  <w:p w:rsidR="00871F47" w:rsidRDefault="00871F4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F47" w:rsidRDefault="00310DA4" w:rsidP="00A87207">
    <w:pPr>
      <w:pStyle w:val="Footer"/>
    </w:pPr>
    <w:r>
      <w:pict>
        <v:rect id="_x0000_i1041" style="width:480.95pt;height:1pt" o:hralign="center" o:hrstd="t" o:hrnoshade="t" o:hr="t" fillcolor="black [3213]" stroked="f"/>
      </w:pict>
    </w:r>
  </w:p>
  <w:p w:rsidR="00871F47" w:rsidRPr="00B7374B" w:rsidRDefault="00871F47" w:rsidP="00B7374B">
    <w:pPr>
      <w:tabs>
        <w:tab w:val="center" w:pos="4680"/>
      </w:tabs>
      <w:rPr>
        <w:szCs w:val="24"/>
      </w:rPr>
    </w:pPr>
    <w:r w:rsidRPr="00954D22">
      <w:rPr>
        <w:szCs w:val="24"/>
      </w:rPr>
      <w:tab/>
      <w:t xml:space="preserve">- </w:t>
    </w:r>
    <w:r w:rsidR="0086075F" w:rsidRPr="00954D22">
      <w:rPr>
        <w:szCs w:val="24"/>
      </w:rPr>
      <w:fldChar w:fldCharType="begin"/>
    </w:r>
    <w:r w:rsidRPr="00954D22">
      <w:rPr>
        <w:szCs w:val="24"/>
      </w:rPr>
      <w:instrText xml:space="preserve"> PAGE   \* MERGEFORMAT </w:instrText>
    </w:r>
    <w:r w:rsidR="0086075F" w:rsidRPr="00954D22">
      <w:rPr>
        <w:szCs w:val="24"/>
      </w:rPr>
      <w:fldChar w:fldCharType="separate"/>
    </w:r>
    <w:r>
      <w:rPr>
        <w:noProof/>
        <w:szCs w:val="24"/>
      </w:rPr>
      <w:t>1177</w:t>
    </w:r>
    <w:r w:rsidR="0086075F"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F47" w:rsidRDefault="00310DA4"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2" style="width:480.95pt;height:1pt" o:hralign="center" o:hrstd="t" o:hrnoshade="t" o:hr="t" fillcolor="black [3213]" stroked="f"/>
      </w:pict>
    </w:r>
  </w:p>
  <w:p w:rsidR="00871F47" w:rsidRPr="00954D22" w:rsidRDefault="00871F47" w:rsidP="00B7374B">
    <w:pPr>
      <w:tabs>
        <w:tab w:val="center" w:pos="4680"/>
      </w:tabs>
      <w:rPr>
        <w:szCs w:val="24"/>
      </w:rPr>
    </w:pPr>
    <w:r w:rsidRPr="00954D22">
      <w:rPr>
        <w:szCs w:val="24"/>
      </w:rPr>
      <w:tab/>
      <w:t xml:space="preserve">- </w:t>
    </w:r>
    <w:r w:rsidR="0086075F" w:rsidRPr="00954D22">
      <w:rPr>
        <w:szCs w:val="24"/>
      </w:rPr>
      <w:fldChar w:fldCharType="begin"/>
    </w:r>
    <w:r w:rsidRPr="00954D22">
      <w:rPr>
        <w:szCs w:val="24"/>
      </w:rPr>
      <w:instrText xml:space="preserve"> PAGE   \* MERGEFORMAT </w:instrText>
    </w:r>
    <w:r w:rsidR="0086075F" w:rsidRPr="00954D22">
      <w:rPr>
        <w:szCs w:val="24"/>
      </w:rPr>
      <w:fldChar w:fldCharType="separate"/>
    </w:r>
    <w:r w:rsidR="00310DA4">
      <w:rPr>
        <w:noProof/>
        <w:szCs w:val="24"/>
      </w:rPr>
      <w:t>1176</w:t>
    </w:r>
    <w:r w:rsidR="0086075F"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F47" w:rsidRDefault="00871F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871F47" w:rsidRDefault="00871F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71F47" w:rsidRDefault="00871F47">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F47" w:rsidRDefault="00310D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3" style="width:480.95pt;height:1pt" o:hralign="center" o:hrstd="t" o:hrnoshade="t" o:hr="t" fillcolor="black [3213]" stroked="f"/>
      </w:pict>
    </w:r>
  </w:p>
  <w:p w:rsidR="00871F47" w:rsidRPr="0009648D" w:rsidRDefault="00871F47" w:rsidP="00ED7E83">
    <w:pPr>
      <w:tabs>
        <w:tab w:val="center" w:pos="4680"/>
      </w:tabs>
    </w:pPr>
    <w:r>
      <w:tab/>
    </w:r>
    <w:r w:rsidRPr="0009648D">
      <w:t xml:space="preserve">- </w:t>
    </w:r>
    <w:r w:rsidR="00352F61">
      <w:fldChar w:fldCharType="begin"/>
    </w:r>
    <w:r w:rsidR="00352F61">
      <w:instrText xml:space="preserve"> PAGE   \* MERGEFORMAT </w:instrText>
    </w:r>
    <w:r w:rsidR="00352F61">
      <w:fldChar w:fldCharType="separate"/>
    </w:r>
    <w:r w:rsidR="00310DA4">
      <w:rPr>
        <w:noProof/>
      </w:rPr>
      <w:t>1187</w:t>
    </w:r>
    <w:r w:rsidR="00352F61">
      <w:rPr>
        <w:noProof/>
      </w:rPr>
      <w:fldChar w:fldCharType="end"/>
    </w:r>
    <w:r w:rsidRPr="0009648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F47" w:rsidRDefault="00871F47" w:rsidP="00A87207">
      <w:r>
        <w:separator/>
      </w:r>
    </w:p>
  </w:footnote>
  <w:footnote w:type="continuationSeparator" w:id="0">
    <w:p w:rsidR="00871F47" w:rsidRDefault="00871F47"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F47" w:rsidRDefault="00871F4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F47" w:rsidRDefault="00871F47">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871F47">
      <w:tc>
        <w:tcPr>
          <w:tcW w:w="4230" w:type="dxa"/>
          <w:tcMar>
            <w:left w:w="0" w:type="dxa"/>
            <w:right w:w="0" w:type="dxa"/>
          </w:tcMar>
        </w:tcPr>
        <w:p w:rsidR="00871F47" w:rsidRDefault="00871F4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871F47" w:rsidRDefault="00871F4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71F47" w:rsidRDefault="00871F4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871F47">
      <w:trPr>
        <w:gridAfter w:val="2"/>
        <w:wAfter w:w="5250" w:type="dxa"/>
      </w:trPr>
      <w:tc>
        <w:tcPr>
          <w:tcW w:w="4230" w:type="dxa"/>
          <w:tcMar>
            <w:left w:w="0" w:type="dxa"/>
            <w:right w:w="0" w:type="dxa"/>
          </w:tcMar>
        </w:tcPr>
        <w:p w:rsidR="00871F47" w:rsidRDefault="00871F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871F47" w:rsidRDefault="00871F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71F47" w:rsidRPr="00755F22" w:rsidTr="00245129">
      <w:tc>
        <w:tcPr>
          <w:tcW w:w="4230" w:type="dxa"/>
          <w:tcMar>
            <w:left w:w="0" w:type="dxa"/>
            <w:right w:w="0" w:type="dxa"/>
          </w:tcMar>
        </w:tcPr>
        <w:p w:rsidR="00871F47" w:rsidRPr="00755F22" w:rsidRDefault="00871F47" w:rsidP="00831CA9">
          <w:pPr>
            <w:keepNext/>
            <w:keepLines/>
            <w:rPr>
              <w:sz w:val="20"/>
              <w:szCs w:val="20"/>
            </w:rPr>
          </w:pPr>
          <w:r w:rsidRPr="00755F22">
            <w:rPr>
              <w:sz w:val="20"/>
              <w:szCs w:val="20"/>
            </w:rPr>
            <w:t>MOTIONS</w:t>
          </w:r>
        </w:p>
      </w:tc>
      <w:tc>
        <w:tcPr>
          <w:tcW w:w="1170" w:type="dxa"/>
          <w:tcMar>
            <w:left w:w="0" w:type="dxa"/>
            <w:right w:w="0" w:type="dxa"/>
          </w:tcMar>
        </w:tcPr>
        <w:p w:rsidR="00871F47" w:rsidRPr="00755F22" w:rsidRDefault="00871F47" w:rsidP="00831CA9">
          <w:pPr>
            <w:keepLines/>
            <w:jc w:val="center"/>
            <w:rPr>
              <w:sz w:val="20"/>
              <w:szCs w:val="20"/>
            </w:rPr>
          </w:pPr>
        </w:p>
        <w:p w:rsidR="00871F47" w:rsidRPr="00755F22" w:rsidRDefault="00871F47" w:rsidP="00831CA9">
          <w:pPr>
            <w:keepLines/>
            <w:tabs>
              <w:tab w:val="left" w:pos="-1440"/>
              <w:tab w:val="left" w:pos="-720"/>
            </w:tabs>
            <w:jc w:val="center"/>
            <w:rPr>
              <w:sz w:val="20"/>
              <w:szCs w:val="20"/>
            </w:rPr>
          </w:pPr>
        </w:p>
      </w:tc>
      <w:tc>
        <w:tcPr>
          <w:tcW w:w="4080" w:type="dxa"/>
          <w:tcMar>
            <w:left w:w="0" w:type="dxa"/>
            <w:right w:w="0" w:type="dxa"/>
          </w:tcMar>
        </w:tcPr>
        <w:p w:rsidR="00871F47" w:rsidRPr="00BA6468" w:rsidRDefault="00871F47" w:rsidP="00BA6468">
          <w:pPr>
            <w:keepLines/>
            <w:rPr>
              <w:sz w:val="20"/>
              <w:szCs w:val="20"/>
              <w:lang w:val="fr-CA"/>
            </w:rPr>
          </w:pPr>
          <w:r w:rsidRPr="00BA6468">
            <w:rPr>
              <w:sz w:val="20"/>
              <w:szCs w:val="20"/>
              <w:lang w:val="fr-CA"/>
            </w:rPr>
            <w:t>REQUÊTES</w:t>
          </w:r>
        </w:p>
      </w:tc>
    </w:tr>
  </w:tbl>
  <w:p w:rsidR="00871F47" w:rsidRDefault="00871F47" w:rsidP="00831CA9">
    <w:pPr>
      <w:jc w:val="both"/>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F47" w:rsidRDefault="00871F47">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871F47" w:rsidRPr="005D5CCB">
      <w:tc>
        <w:tcPr>
          <w:tcW w:w="4200" w:type="dxa"/>
          <w:tcMar>
            <w:left w:w="0" w:type="dxa"/>
            <w:right w:w="0" w:type="dxa"/>
          </w:tcMar>
        </w:tcPr>
        <w:p w:rsidR="00871F47" w:rsidRDefault="00871F4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871F47" w:rsidRDefault="00871F4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871F47" w:rsidRDefault="00871F4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871F47" w:rsidRPr="003C2C0F" w:rsidRDefault="00871F4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871F47" w:rsidRPr="003C2C0F" w:rsidRDefault="00871F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871F47" w:rsidRPr="003C2C0F" w:rsidRDefault="00871F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71F47" w:rsidRPr="005D5CCB" w:rsidTr="00245129">
      <w:tc>
        <w:tcPr>
          <w:tcW w:w="4200" w:type="dxa"/>
          <w:tcMar>
            <w:left w:w="0" w:type="dxa"/>
            <w:right w:w="0" w:type="dxa"/>
          </w:tcMar>
        </w:tcPr>
        <w:p w:rsidR="00871F47" w:rsidRPr="00FF6EEC" w:rsidRDefault="00871F47" w:rsidP="00FF6EEC">
          <w:pPr>
            <w:rPr>
              <w:sz w:val="20"/>
              <w:szCs w:val="20"/>
            </w:rPr>
          </w:pPr>
          <w:r w:rsidRPr="00FF6EEC">
            <w:rPr>
              <w:sz w:val="20"/>
              <w:szCs w:val="20"/>
            </w:rPr>
            <w:t>PRONOUNCEMENTS OF APPEALS RESERVED</w:t>
          </w:r>
        </w:p>
      </w:tc>
      <w:tc>
        <w:tcPr>
          <w:tcW w:w="1200" w:type="dxa"/>
          <w:tcMar>
            <w:left w:w="0" w:type="dxa"/>
            <w:right w:w="0" w:type="dxa"/>
          </w:tcMar>
        </w:tcPr>
        <w:p w:rsidR="00871F47" w:rsidRPr="00FF6EEC" w:rsidRDefault="00871F47" w:rsidP="00FF6EEC">
          <w:pPr>
            <w:jc w:val="center"/>
            <w:rPr>
              <w:sz w:val="20"/>
              <w:szCs w:val="20"/>
            </w:rPr>
          </w:pPr>
        </w:p>
        <w:p w:rsidR="00871F47" w:rsidRPr="00FF6EEC" w:rsidRDefault="00871F47" w:rsidP="00FF6EEC">
          <w:pPr>
            <w:jc w:val="center"/>
            <w:rPr>
              <w:sz w:val="20"/>
              <w:szCs w:val="20"/>
            </w:rPr>
          </w:pPr>
        </w:p>
        <w:p w:rsidR="00871F47" w:rsidRPr="00FF6EEC" w:rsidRDefault="00871F47" w:rsidP="00FF6EEC">
          <w:pPr>
            <w:jc w:val="center"/>
            <w:rPr>
              <w:sz w:val="20"/>
              <w:szCs w:val="20"/>
            </w:rPr>
          </w:pPr>
        </w:p>
      </w:tc>
      <w:tc>
        <w:tcPr>
          <w:tcW w:w="4080" w:type="dxa"/>
          <w:tcMar>
            <w:left w:w="0" w:type="dxa"/>
            <w:right w:w="0" w:type="dxa"/>
          </w:tcMar>
        </w:tcPr>
        <w:p w:rsidR="00871F47" w:rsidRPr="00FF6EEC" w:rsidRDefault="00871F47" w:rsidP="00FF6EEC">
          <w:pPr>
            <w:rPr>
              <w:sz w:val="20"/>
              <w:szCs w:val="20"/>
              <w:lang w:val="fr-CA"/>
            </w:rPr>
          </w:pPr>
          <w:r w:rsidRPr="00FF6EEC">
            <w:rPr>
              <w:sz w:val="20"/>
              <w:szCs w:val="20"/>
              <w:lang w:val="fr-CA"/>
            </w:rPr>
            <w:t>JUGEMENTS RENDUS SUR LES APPELS EN DÉLIBÉRÉ</w:t>
          </w:r>
        </w:p>
      </w:tc>
    </w:tr>
  </w:tbl>
  <w:p w:rsidR="00871F47" w:rsidRPr="003C2C0F" w:rsidRDefault="00871F47"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F47" w:rsidRDefault="00871F47">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871F47">
      <w:tc>
        <w:tcPr>
          <w:tcW w:w="4230" w:type="dxa"/>
          <w:tcMar>
            <w:left w:w="0" w:type="dxa"/>
            <w:right w:w="0" w:type="dxa"/>
          </w:tcMar>
        </w:tcPr>
        <w:p w:rsidR="00871F47" w:rsidRDefault="00871F4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871F47" w:rsidRDefault="00871F4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871F47" w:rsidRDefault="00871F4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871F47" w:rsidRDefault="00871F4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71F47" w:rsidRDefault="00871F4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871F47" w:rsidRDefault="00871F4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871F47" w:rsidRDefault="00871F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871F47" w:rsidRDefault="00871F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71F47" w:rsidRPr="00782AE4" w:rsidTr="00245129">
      <w:tc>
        <w:tcPr>
          <w:tcW w:w="4230" w:type="dxa"/>
          <w:tcMar>
            <w:left w:w="0" w:type="dxa"/>
            <w:right w:w="0" w:type="dxa"/>
          </w:tcMar>
        </w:tcPr>
        <w:p w:rsidR="00871F47" w:rsidRPr="00782AE4" w:rsidRDefault="00871F47" w:rsidP="00102926">
          <w:pPr>
            <w:keepNext/>
            <w:keepLines/>
            <w:tabs>
              <w:tab w:val="left" w:pos="-1440"/>
              <w:tab w:val="left" w:pos="-720"/>
            </w:tabs>
            <w:rPr>
              <w:sz w:val="20"/>
              <w:szCs w:val="20"/>
            </w:rPr>
          </w:pPr>
          <w:r w:rsidRPr="00782AE4">
            <w:rPr>
              <w:sz w:val="20"/>
              <w:szCs w:val="20"/>
            </w:rPr>
            <w:t xml:space="preserve">HEADNOTES OF RECENT </w:t>
          </w:r>
        </w:p>
        <w:p w:rsidR="00871F47" w:rsidRPr="00782AE4" w:rsidRDefault="00871F4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871F47" w:rsidRDefault="00871F47" w:rsidP="00102926">
          <w:pPr>
            <w:keepNext/>
            <w:keepLines/>
            <w:tabs>
              <w:tab w:val="left" w:pos="-1440"/>
              <w:tab w:val="left" w:pos="-720"/>
            </w:tabs>
            <w:jc w:val="center"/>
            <w:rPr>
              <w:sz w:val="20"/>
              <w:szCs w:val="20"/>
            </w:rPr>
          </w:pPr>
        </w:p>
        <w:p w:rsidR="00871F47" w:rsidRDefault="00871F47" w:rsidP="00102926">
          <w:pPr>
            <w:keepNext/>
            <w:keepLines/>
            <w:tabs>
              <w:tab w:val="left" w:pos="-1440"/>
              <w:tab w:val="left" w:pos="-720"/>
            </w:tabs>
            <w:jc w:val="center"/>
            <w:rPr>
              <w:sz w:val="20"/>
              <w:szCs w:val="20"/>
            </w:rPr>
          </w:pPr>
        </w:p>
        <w:p w:rsidR="00871F47" w:rsidRPr="00782AE4" w:rsidRDefault="00871F47" w:rsidP="00102926">
          <w:pPr>
            <w:keepNext/>
            <w:keepLines/>
            <w:tabs>
              <w:tab w:val="left" w:pos="-1440"/>
              <w:tab w:val="left" w:pos="-720"/>
            </w:tabs>
            <w:jc w:val="center"/>
            <w:rPr>
              <w:sz w:val="20"/>
              <w:szCs w:val="20"/>
            </w:rPr>
          </w:pPr>
        </w:p>
      </w:tc>
      <w:tc>
        <w:tcPr>
          <w:tcW w:w="4080" w:type="dxa"/>
          <w:tcMar>
            <w:left w:w="0" w:type="dxa"/>
            <w:right w:w="0" w:type="dxa"/>
          </w:tcMar>
        </w:tcPr>
        <w:p w:rsidR="00871F47" w:rsidRPr="00102926" w:rsidRDefault="00871F4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871F47" w:rsidRPr="00782AE4" w:rsidRDefault="00871F47" w:rsidP="00102926">
          <w:pPr>
            <w:keepLines/>
            <w:tabs>
              <w:tab w:val="left" w:pos="-1440"/>
              <w:tab w:val="left" w:pos="-720"/>
            </w:tabs>
            <w:rPr>
              <w:sz w:val="20"/>
              <w:szCs w:val="20"/>
            </w:rPr>
          </w:pPr>
          <w:r w:rsidRPr="00102926">
            <w:rPr>
              <w:sz w:val="20"/>
              <w:szCs w:val="20"/>
              <w:lang w:val="fr-CA"/>
            </w:rPr>
            <w:t>RÉCENTS</w:t>
          </w:r>
        </w:p>
      </w:tc>
    </w:tr>
  </w:tbl>
  <w:p w:rsidR="00871F47" w:rsidRDefault="00871F47"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F47" w:rsidRDefault="00871F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F47" w:rsidRDefault="00871F47">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320"/>
      <w:gridCol w:w="840"/>
      <w:gridCol w:w="4320"/>
    </w:tblGrid>
    <w:tr w:rsidR="00871F47" w:rsidRPr="005D5CCB" w:rsidTr="00245129">
      <w:tc>
        <w:tcPr>
          <w:tcW w:w="4320" w:type="dxa"/>
        </w:tcPr>
        <w:p w:rsidR="00871F47" w:rsidRPr="006B6926" w:rsidRDefault="00871F47" w:rsidP="006B6926">
          <w:pPr>
            <w:keepNext/>
            <w:keepLines/>
            <w:rPr>
              <w:bCs/>
              <w:sz w:val="20"/>
              <w:szCs w:val="20"/>
              <w:lang w:val="en-GB"/>
            </w:rPr>
          </w:pPr>
          <w:r w:rsidRPr="006B6926">
            <w:rPr>
              <w:bCs/>
              <w:sz w:val="20"/>
              <w:szCs w:val="20"/>
              <w:lang w:val="en-GB"/>
            </w:rPr>
            <w:t>SUPREME COURT REPORTS</w:t>
          </w:r>
        </w:p>
      </w:tc>
      <w:tc>
        <w:tcPr>
          <w:tcW w:w="840" w:type="dxa"/>
        </w:tcPr>
        <w:p w:rsidR="00871F47" w:rsidRDefault="00871F47" w:rsidP="006B6926">
          <w:pPr>
            <w:jc w:val="center"/>
            <w:rPr>
              <w:bCs/>
              <w:sz w:val="20"/>
              <w:szCs w:val="20"/>
              <w:lang w:val="en-GB"/>
            </w:rPr>
          </w:pPr>
        </w:p>
        <w:p w:rsidR="00871F47" w:rsidRPr="006B6926" w:rsidRDefault="00871F47" w:rsidP="006B6926">
          <w:pPr>
            <w:jc w:val="center"/>
            <w:rPr>
              <w:bCs/>
              <w:sz w:val="20"/>
              <w:szCs w:val="20"/>
              <w:lang w:val="en-GB"/>
            </w:rPr>
          </w:pPr>
        </w:p>
      </w:tc>
      <w:tc>
        <w:tcPr>
          <w:tcW w:w="4320" w:type="dxa"/>
        </w:tcPr>
        <w:p w:rsidR="00871F47" w:rsidRPr="006B6926" w:rsidRDefault="00871F47" w:rsidP="006B6926">
          <w:pPr>
            <w:keepNext/>
            <w:keepLines/>
            <w:rPr>
              <w:bCs/>
              <w:sz w:val="20"/>
              <w:szCs w:val="20"/>
              <w:lang w:val="fr-CA"/>
            </w:rPr>
          </w:pPr>
          <w:r w:rsidRPr="006B6926">
            <w:rPr>
              <w:bCs/>
              <w:sz w:val="20"/>
              <w:szCs w:val="20"/>
              <w:lang w:val="fr-CA"/>
            </w:rPr>
            <w:t>RECUEIL DES ARRÊTS DE LA COUR SUPRÊME</w:t>
          </w:r>
        </w:p>
      </w:tc>
    </w:tr>
  </w:tbl>
  <w:p w:rsidR="00871F47" w:rsidRPr="000924F7" w:rsidRDefault="00871F47">
    <w:pPr>
      <w:pStyle w:val="Header"/>
      <w:rPr>
        <w:lang w:val="fr-CA"/>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F47" w:rsidRDefault="00871F47">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F47" w:rsidRDefault="00871F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F47" w:rsidRDefault="00871F4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871F47" w:rsidRPr="0044776A" w:rsidTr="00245129">
      <w:tc>
        <w:tcPr>
          <w:tcW w:w="4290" w:type="dxa"/>
          <w:tcMar>
            <w:left w:w="0" w:type="dxa"/>
            <w:right w:w="0" w:type="dxa"/>
          </w:tcMar>
        </w:tcPr>
        <w:p w:rsidR="00871F47" w:rsidRPr="0044776A" w:rsidRDefault="00871F47"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871F47" w:rsidRPr="0044776A" w:rsidRDefault="00871F47" w:rsidP="002E2327">
          <w:pPr>
            <w:keepNext/>
            <w:keepLines/>
            <w:tabs>
              <w:tab w:val="left" w:pos="-1440"/>
              <w:tab w:val="left" w:pos="-720"/>
            </w:tabs>
            <w:jc w:val="center"/>
            <w:rPr>
              <w:sz w:val="20"/>
              <w:szCs w:val="20"/>
            </w:rPr>
          </w:pPr>
        </w:p>
        <w:p w:rsidR="00871F47" w:rsidRPr="0044776A" w:rsidRDefault="00871F47" w:rsidP="002E2327">
          <w:pPr>
            <w:keepNext/>
            <w:keepLines/>
            <w:tabs>
              <w:tab w:val="left" w:pos="-1440"/>
              <w:tab w:val="left" w:pos="-720"/>
            </w:tabs>
            <w:jc w:val="center"/>
            <w:rPr>
              <w:sz w:val="20"/>
              <w:szCs w:val="20"/>
            </w:rPr>
          </w:pPr>
        </w:p>
        <w:p w:rsidR="00871F47" w:rsidRPr="0044776A" w:rsidRDefault="00871F47" w:rsidP="002E2327">
          <w:pPr>
            <w:keepNext/>
            <w:keepLines/>
            <w:tabs>
              <w:tab w:val="left" w:pos="-1440"/>
              <w:tab w:val="left" w:pos="-720"/>
            </w:tabs>
            <w:jc w:val="center"/>
            <w:rPr>
              <w:sz w:val="20"/>
              <w:szCs w:val="20"/>
            </w:rPr>
          </w:pPr>
        </w:p>
      </w:tc>
      <w:tc>
        <w:tcPr>
          <w:tcW w:w="4320" w:type="dxa"/>
          <w:tcMar>
            <w:left w:w="0" w:type="dxa"/>
            <w:right w:w="0" w:type="dxa"/>
          </w:tcMar>
        </w:tcPr>
        <w:p w:rsidR="00871F47" w:rsidRPr="0044776A" w:rsidRDefault="00871F47" w:rsidP="002E2327">
          <w:pPr>
            <w:keepLines/>
            <w:rPr>
              <w:sz w:val="20"/>
              <w:szCs w:val="20"/>
              <w:lang w:val="fr-CA"/>
            </w:rPr>
          </w:pPr>
          <w:r w:rsidRPr="0044776A">
            <w:rPr>
              <w:sz w:val="20"/>
              <w:szCs w:val="20"/>
              <w:lang w:val="fr-CA"/>
            </w:rPr>
            <w:t>DEMANDES D'AUTORISATION D'APPEL DÉPOSÉES</w:t>
          </w:r>
        </w:p>
      </w:tc>
    </w:tr>
  </w:tbl>
  <w:p w:rsidR="00871F47" w:rsidRDefault="00871F4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F47" w:rsidRDefault="00871F4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71F47" w:rsidRPr="005D5CCB" w:rsidTr="00245129">
      <w:tc>
        <w:tcPr>
          <w:tcW w:w="4200" w:type="dxa"/>
          <w:tcMar>
            <w:left w:w="0" w:type="dxa"/>
            <w:right w:w="0" w:type="dxa"/>
          </w:tcMar>
        </w:tcPr>
        <w:p w:rsidR="00871F47" w:rsidRPr="0044776A" w:rsidRDefault="00871F47" w:rsidP="0044776A">
          <w:pPr>
            <w:keepNext/>
            <w:keepLines/>
            <w:widowControl w:val="0"/>
            <w:rPr>
              <w:sz w:val="20"/>
              <w:szCs w:val="20"/>
            </w:rPr>
          </w:pPr>
          <w:r>
            <w:rPr>
              <w:sz w:val="20"/>
              <w:szCs w:val="20"/>
            </w:rPr>
            <w:t>APPLICATIONS FOR LEAVE</w:t>
          </w:r>
        </w:p>
        <w:p w:rsidR="00871F47" w:rsidRPr="0044776A" w:rsidRDefault="00871F47"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871F47" w:rsidRPr="0044776A" w:rsidRDefault="00871F47" w:rsidP="0044776A">
          <w:pPr>
            <w:keepNext/>
            <w:keepLines/>
            <w:widowControl w:val="0"/>
            <w:jc w:val="center"/>
            <w:rPr>
              <w:sz w:val="20"/>
              <w:szCs w:val="20"/>
            </w:rPr>
          </w:pPr>
        </w:p>
        <w:p w:rsidR="00871F47" w:rsidRPr="0044776A" w:rsidRDefault="00871F47" w:rsidP="0044776A">
          <w:pPr>
            <w:keepNext/>
            <w:keepLines/>
            <w:widowControl w:val="0"/>
            <w:jc w:val="center"/>
            <w:rPr>
              <w:sz w:val="20"/>
              <w:szCs w:val="20"/>
            </w:rPr>
          </w:pPr>
        </w:p>
        <w:p w:rsidR="00871F47" w:rsidRPr="0044776A" w:rsidRDefault="00871F47" w:rsidP="0044776A">
          <w:pPr>
            <w:keepNext/>
            <w:keepLines/>
            <w:widowControl w:val="0"/>
            <w:jc w:val="center"/>
            <w:rPr>
              <w:sz w:val="20"/>
              <w:szCs w:val="20"/>
            </w:rPr>
          </w:pPr>
        </w:p>
      </w:tc>
      <w:tc>
        <w:tcPr>
          <w:tcW w:w="4080" w:type="dxa"/>
          <w:tcMar>
            <w:left w:w="0" w:type="dxa"/>
            <w:right w:w="0" w:type="dxa"/>
          </w:tcMar>
        </w:tcPr>
        <w:p w:rsidR="00871F47" w:rsidRPr="0044776A" w:rsidRDefault="00871F47" w:rsidP="0044776A">
          <w:pPr>
            <w:keepLines/>
            <w:widowControl w:val="0"/>
            <w:rPr>
              <w:sz w:val="20"/>
              <w:szCs w:val="20"/>
              <w:lang w:val="fr-CA"/>
            </w:rPr>
          </w:pPr>
          <w:r w:rsidRPr="0044776A">
            <w:rPr>
              <w:sz w:val="20"/>
              <w:szCs w:val="20"/>
              <w:lang w:val="fr-CA"/>
            </w:rPr>
            <w:t>DEMANDES SOUMISES À LA COUR DEPUIS LA DERNIÈRE PARUTION</w:t>
          </w:r>
        </w:p>
        <w:p w:rsidR="00871F47" w:rsidRPr="0044776A" w:rsidRDefault="00871F47" w:rsidP="0044776A">
          <w:pPr>
            <w:widowControl w:val="0"/>
            <w:rPr>
              <w:sz w:val="20"/>
              <w:szCs w:val="20"/>
              <w:lang w:val="fr-CA"/>
            </w:rPr>
          </w:pPr>
        </w:p>
      </w:tc>
    </w:tr>
  </w:tbl>
  <w:p w:rsidR="00871F47" w:rsidRPr="002E2327" w:rsidRDefault="00871F47">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F47" w:rsidRDefault="00871F4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871F47" w:rsidRPr="005D5CCB">
      <w:tc>
        <w:tcPr>
          <w:tcW w:w="4200" w:type="dxa"/>
          <w:tcMar>
            <w:left w:w="0" w:type="dxa"/>
            <w:right w:w="0" w:type="dxa"/>
          </w:tcMar>
        </w:tcPr>
        <w:p w:rsidR="00871F47" w:rsidRDefault="00871F4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871F47" w:rsidRDefault="00871F4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871F47" w:rsidRDefault="00871F4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71F47" w:rsidRPr="00FF6BA5" w:rsidRDefault="00871F4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871F47" w:rsidRPr="00FF6BA5" w:rsidRDefault="00871F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871F47" w:rsidRPr="00FF6BA5" w:rsidRDefault="00871F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871F47" w:rsidRPr="00FF6BA5" w:rsidRDefault="00871F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71F47" w:rsidRPr="005D5CCB" w:rsidTr="00245129">
      <w:tc>
        <w:tcPr>
          <w:tcW w:w="4200" w:type="dxa"/>
          <w:tcMar>
            <w:left w:w="0" w:type="dxa"/>
            <w:right w:w="0" w:type="dxa"/>
          </w:tcMar>
        </w:tcPr>
        <w:p w:rsidR="00871F47" w:rsidRPr="00755F22" w:rsidRDefault="00871F4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871F47" w:rsidRPr="00755F22" w:rsidRDefault="00871F4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871F47" w:rsidRPr="00755F22" w:rsidRDefault="00871F47"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871F47" w:rsidRPr="00755F22" w:rsidRDefault="00871F47"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871F47" w:rsidRPr="00755F22" w:rsidRDefault="00871F47"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871F47" w:rsidRPr="00755F22" w:rsidRDefault="00871F4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871F47" w:rsidRPr="00FF6BA5" w:rsidRDefault="00871F47" w:rsidP="00755F22">
    <w:pPr>
      <w:tabs>
        <w:tab w:val="left" w:pos="-1440"/>
        <w:tab w:val="left" w:pos="-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7877097"/>
    <w:multiLevelType w:val="hybridMultilevel"/>
    <w:tmpl w:val="1F9AD3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6705128"/>
    <w:multiLevelType w:val="hybridMultilevel"/>
    <w:tmpl w:val="1F9AD3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efaultTabStop w:val="720"/>
  <w:drawingGridHorizontalSpacing w:val="120"/>
  <w:displayHorizontalDrawingGridEvery w:val="2"/>
  <w:characterSpacingControl w:val="doNotCompress"/>
  <w:hdrShapeDefaults>
    <o:shapedefaults v:ext="edit" spidmax="82959"/>
  </w:hdrShapeDefaults>
  <w:footnotePr>
    <w:footnote w:id="-1"/>
    <w:footnote w:id="0"/>
  </w:footnotePr>
  <w:endnotePr>
    <w:endnote w:id="-1"/>
    <w:endnote w:id="0"/>
  </w:endnotePr>
  <w:compat>
    <w:compatSetting w:name="compatibilityMode" w:uri="http://schemas.microsoft.com/office/word" w:val="12"/>
  </w:compat>
  <w:rsids>
    <w:rsidRoot w:val="00C022FC"/>
    <w:rsid w:val="00016F6C"/>
    <w:rsid w:val="00020DC3"/>
    <w:rsid w:val="0003223B"/>
    <w:rsid w:val="000327B2"/>
    <w:rsid w:val="0004528B"/>
    <w:rsid w:val="00064FBA"/>
    <w:rsid w:val="00091FA6"/>
    <w:rsid w:val="00096BD9"/>
    <w:rsid w:val="000B3C9A"/>
    <w:rsid w:val="000B40A2"/>
    <w:rsid w:val="000B4624"/>
    <w:rsid w:val="000C0ACD"/>
    <w:rsid w:val="000C0D2A"/>
    <w:rsid w:val="000C5374"/>
    <w:rsid w:val="000C5CE8"/>
    <w:rsid w:val="000E2959"/>
    <w:rsid w:val="000F0B60"/>
    <w:rsid w:val="00102926"/>
    <w:rsid w:val="0010587F"/>
    <w:rsid w:val="00111C6B"/>
    <w:rsid w:val="0012102B"/>
    <w:rsid w:val="0013369E"/>
    <w:rsid w:val="00164E6D"/>
    <w:rsid w:val="00183454"/>
    <w:rsid w:val="001B157C"/>
    <w:rsid w:val="001B4006"/>
    <w:rsid w:val="001B5C23"/>
    <w:rsid w:val="001D0D5F"/>
    <w:rsid w:val="001D6B8C"/>
    <w:rsid w:val="001F10E6"/>
    <w:rsid w:val="001F1F83"/>
    <w:rsid w:val="001F40DF"/>
    <w:rsid w:val="001F6B2D"/>
    <w:rsid w:val="002021A9"/>
    <w:rsid w:val="002139A7"/>
    <w:rsid w:val="00215F7C"/>
    <w:rsid w:val="0022323B"/>
    <w:rsid w:val="002410B8"/>
    <w:rsid w:val="00242AEE"/>
    <w:rsid w:val="00245129"/>
    <w:rsid w:val="00245879"/>
    <w:rsid w:val="00255B46"/>
    <w:rsid w:val="00267FD5"/>
    <w:rsid w:val="002717DD"/>
    <w:rsid w:val="00274D34"/>
    <w:rsid w:val="00283ED8"/>
    <w:rsid w:val="002868D0"/>
    <w:rsid w:val="002A008C"/>
    <w:rsid w:val="002A27D1"/>
    <w:rsid w:val="002A4AFA"/>
    <w:rsid w:val="002B516C"/>
    <w:rsid w:val="002C671E"/>
    <w:rsid w:val="002D5AF8"/>
    <w:rsid w:val="002D72EB"/>
    <w:rsid w:val="002E2327"/>
    <w:rsid w:val="002E3583"/>
    <w:rsid w:val="002E5576"/>
    <w:rsid w:val="00300BFB"/>
    <w:rsid w:val="00310DA4"/>
    <w:rsid w:val="0031635C"/>
    <w:rsid w:val="00331B52"/>
    <w:rsid w:val="003347AD"/>
    <w:rsid w:val="003359D3"/>
    <w:rsid w:val="00336484"/>
    <w:rsid w:val="00342AAE"/>
    <w:rsid w:val="00352F61"/>
    <w:rsid w:val="00355967"/>
    <w:rsid w:val="00382C47"/>
    <w:rsid w:val="00384384"/>
    <w:rsid w:val="003866AE"/>
    <w:rsid w:val="003B3977"/>
    <w:rsid w:val="003E1D4C"/>
    <w:rsid w:val="004137A0"/>
    <w:rsid w:val="00422D9A"/>
    <w:rsid w:val="0042426B"/>
    <w:rsid w:val="00424A6B"/>
    <w:rsid w:val="00432989"/>
    <w:rsid w:val="00440E24"/>
    <w:rsid w:val="0044776A"/>
    <w:rsid w:val="0045003B"/>
    <w:rsid w:val="00453A65"/>
    <w:rsid w:val="00460AFC"/>
    <w:rsid w:val="0047471F"/>
    <w:rsid w:val="004B195E"/>
    <w:rsid w:val="004B66B4"/>
    <w:rsid w:val="004B7F60"/>
    <w:rsid w:val="004C1AAC"/>
    <w:rsid w:val="004E1E0A"/>
    <w:rsid w:val="004F090E"/>
    <w:rsid w:val="00501F3C"/>
    <w:rsid w:val="0052229C"/>
    <w:rsid w:val="00527CC7"/>
    <w:rsid w:val="0054586E"/>
    <w:rsid w:val="005547C8"/>
    <w:rsid w:val="0055717C"/>
    <w:rsid w:val="00571CA4"/>
    <w:rsid w:val="00582136"/>
    <w:rsid w:val="005C6840"/>
    <w:rsid w:val="005D5CCB"/>
    <w:rsid w:val="005F1ED8"/>
    <w:rsid w:val="005F263E"/>
    <w:rsid w:val="00600252"/>
    <w:rsid w:val="00612A40"/>
    <w:rsid w:val="0062714A"/>
    <w:rsid w:val="00660C7A"/>
    <w:rsid w:val="00661691"/>
    <w:rsid w:val="00675479"/>
    <w:rsid w:val="00680709"/>
    <w:rsid w:val="00681F61"/>
    <w:rsid w:val="00696BF9"/>
    <w:rsid w:val="00697C62"/>
    <w:rsid w:val="006A329B"/>
    <w:rsid w:val="006A7EB8"/>
    <w:rsid w:val="006B6926"/>
    <w:rsid w:val="006C3F47"/>
    <w:rsid w:val="006C5F7A"/>
    <w:rsid w:val="006D2824"/>
    <w:rsid w:val="006E06AF"/>
    <w:rsid w:val="006F350F"/>
    <w:rsid w:val="0070725C"/>
    <w:rsid w:val="00732DB7"/>
    <w:rsid w:val="0074238B"/>
    <w:rsid w:val="00745EF7"/>
    <w:rsid w:val="00755F22"/>
    <w:rsid w:val="00766E4A"/>
    <w:rsid w:val="007820CE"/>
    <w:rsid w:val="00782AE4"/>
    <w:rsid w:val="0079724F"/>
    <w:rsid w:val="007A3EAE"/>
    <w:rsid w:val="007C04FC"/>
    <w:rsid w:val="007C3DB0"/>
    <w:rsid w:val="007C47C2"/>
    <w:rsid w:val="007D3E0F"/>
    <w:rsid w:val="007E4282"/>
    <w:rsid w:val="007F387B"/>
    <w:rsid w:val="00802863"/>
    <w:rsid w:val="008112A9"/>
    <w:rsid w:val="00815B3C"/>
    <w:rsid w:val="0081610A"/>
    <w:rsid w:val="0082783A"/>
    <w:rsid w:val="00831CA9"/>
    <w:rsid w:val="00850E1F"/>
    <w:rsid w:val="0085476B"/>
    <w:rsid w:val="0086075F"/>
    <w:rsid w:val="0086340B"/>
    <w:rsid w:val="00871F47"/>
    <w:rsid w:val="00890FEB"/>
    <w:rsid w:val="00895E7E"/>
    <w:rsid w:val="008A599C"/>
    <w:rsid w:val="008A5C1A"/>
    <w:rsid w:val="008B37BE"/>
    <w:rsid w:val="008D292F"/>
    <w:rsid w:val="008E03DC"/>
    <w:rsid w:val="008F59A3"/>
    <w:rsid w:val="00902E51"/>
    <w:rsid w:val="00924065"/>
    <w:rsid w:val="00930D68"/>
    <w:rsid w:val="00932DB4"/>
    <w:rsid w:val="00941A4B"/>
    <w:rsid w:val="009455FA"/>
    <w:rsid w:val="00946242"/>
    <w:rsid w:val="0095096B"/>
    <w:rsid w:val="00970CD3"/>
    <w:rsid w:val="009723FA"/>
    <w:rsid w:val="0097541E"/>
    <w:rsid w:val="00984546"/>
    <w:rsid w:val="00996510"/>
    <w:rsid w:val="009D1F15"/>
    <w:rsid w:val="009D555E"/>
    <w:rsid w:val="009F3024"/>
    <w:rsid w:val="009F39BA"/>
    <w:rsid w:val="00A0355E"/>
    <w:rsid w:val="00A375D1"/>
    <w:rsid w:val="00A51D10"/>
    <w:rsid w:val="00A52A83"/>
    <w:rsid w:val="00A6552C"/>
    <w:rsid w:val="00A87207"/>
    <w:rsid w:val="00A935AA"/>
    <w:rsid w:val="00A956D3"/>
    <w:rsid w:val="00AB2201"/>
    <w:rsid w:val="00AD1D34"/>
    <w:rsid w:val="00AD3259"/>
    <w:rsid w:val="00AF1715"/>
    <w:rsid w:val="00AF3904"/>
    <w:rsid w:val="00B010C0"/>
    <w:rsid w:val="00B3451C"/>
    <w:rsid w:val="00B4740D"/>
    <w:rsid w:val="00B61629"/>
    <w:rsid w:val="00B7374B"/>
    <w:rsid w:val="00B84FCF"/>
    <w:rsid w:val="00B90DC0"/>
    <w:rsid w:val="00BA116A"/>
    <w:rsid w:val="00BA5582"/>
    <w:rsid w:val="00BA6468"/>
    <w:rsid w:val="00BB1D44"/>
    <w:rsid w:val="00BB5723"/>
    <w:rsid w:val="00BD06DA"/>
    <w:rsid w:val="00BD4217"/>
    <w:rsid w:val="00BF25F3"/>
    <w:rsid w:val="00C022FC"/>
    <w:rsid w:val="00C1697B"/>
    <w:rsid w:val="00C21644"/>
    <w:rsid w:val="00C21CB5"/>
    <w:rsid w:val="00C46376"/>
    <w:rsid w:val="00C50A5C"/>
    <w:rsid w:val="00C50FDF"/>
    <w:rsid w:val="00C63381"/>
    <w:rsid w:val="00C73D06"/>
    <w:rsid w:val="00C73E1B"/>
    <w:rsid w:val="00C759B4"/>
    <w:rsid w:val="00C77713"/>
    <w:rsid w:val="00C85BB7"/>
    <w:rsid w:val="00C96D93"/>
    <w:rsid w:val="00CA2DEA"/>
    <w:rsid w:val="00CA766A"/>
    <w:rsid w:val="00CB3520"/>
    <w:rsid w:val="00CB43D5"/>
    <w:rsid w:val="00CC4D84"/>
    <w:rsid w:val="00CE198A"/>
    <w:rsid w:val="00CE4499"/>
    <w:rsid w:val="00CF08C8"/>
    <w:rsid w:val="00D004FC"/>
    <w:rsid w:val="00D21BEF"/>
    <w:rsid w:val="00D64901"/>
    <w:rsid w:val="00D65696"/>
    <w:rsid w:val="00D76BDF"/>
    <w:rsid w:val="00D818B6"/>
    <w:rsid w:val="00D862C1"/>
    <w:rsid w:val="00D93B50"/>
    <w:rsid w:val="00D94028"/>
    <w:rsid w:val="00D94670"/>
    <w:rsid w:val="00DA46F6"/>
    <w:rsid w:val="00DD0B49"/>
    <w:rsid w:val="00DE0502"/>
    <w:rsid w:val="00DE349D"/>
    <w:rsid w:val="00E06DFA"/>
    <w:rsid w:val="00E20A0A"/>
    <w:rsid w:val="00E240C2"/>
    <w:rsid w:val="00E26790"/>
    <w:rsid w:val="00E356C7"/>
    <w:rsid w:val="00E41A5A"/>
    <w:rsid w:val="00E45FE4"/>
    <w:rsid w:val="00E64FA7"/>
    <w:rsid w:val="00E770CB"/>
    <w:rsid w:val="00E82253"/>
    <w:rsid w:val="00E903A1"/>
    <w:rsid w:val="00E940EB"/>
    <w:rsid w:val="00E9703F"/>
    <w:rsid w:val="00EB2B90"/>
    <w:rsid w:val="00ED7E83"/>
    <w:rsid w:val="00EE091F"/>
    <w:rsid w:val="00EF4B63"/>
    <w:rsid w:val="00F0068D"/>
    <w:rsid w:val="00F0576D"/>
    <w:rsid w:val="00F14E6D"/>
    <w:rsid w:val="00F15EA8"/>
    <w:rsid w:val="00F165DA"/>
    <w:rsid w:val="00F16C8D"/>
    <w:rsid w:val="00F26C61"/>
    <w:rsid w:val="00F33CCE"/>
    <w:rsid w:val="00F40249"/>
    <w:rsid w:val="00F419A1"/>
    <w:rsid w:val="00F526C8"/>
    <w:rsid w:val="00F6466C"/>
    <w:rsid w:val="00F660C7"/>
    <w:rsid w:val="00F761A3"/>
    <w:rsid w:val="00F9272D"/>
    <w:rsid w:val="00F9518C"/>
    <w:rsid w:val="00FA316E"/>
    <w:rsid w:val="00FA3373"/>
    <w:rsid w:val="00FA59EF"/>
    <w:rsid w:val="00FB19A2"/>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29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table" w:customStyle="1" w:styleId="TableGrid2">
    <w:name w:val="Table Grid2"/>
    <w:basedOn w:val="TableNormal"/>
    <w:next w:val="TableGrid"/>
    <w:uiPriority w:val="59"/>
    <w:rsid w:val="0042426B"/>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9455FA"/>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871F47"/>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871F47"/>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next w:val="TableGrid"/>
    <w:uiPriority w:val="59"/>
    <w:rsid w:val="00871F47"/>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7">
    <w:name w:val="Table Grid7"/>
    <w:basedOn w:val="TableNormal"/>
    <w:next w:val="TableGrid"/>
    <w:uiPriority w:val="59"/>
    <w:rsid w:val="00871F47"/>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8">
    <w:name w:val="Table Grid8"/>
    <w:basedOn w:val="TableNormal"/>
    <w:next w:val="TableGrid"/>
    <w:uiPriority w:val="59"/>
    <w:rsid w:val="00871F47"/>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yperlink" Target="http://www.canlii.org/en/on/onca/doc/2015/2015onca54/2015onca54.html" TargetMode="External"/><Relationship Id="rId39" Type="http://schemas.openxmlformats.org/officeDocument/2006/relationships/hyperlink" Target="http://www.canlii.org/en/qc/qcca/doc/2014/2014qcca2322/2014qcca2322.html?resultIndex=1" TargetMode="External"/><Relationship Id="rId21" Type="http://schemas.openxmlformats.org/officeDocument/2006/relationships/footer" Target="footer6.xml"/><Relationship Id="rId34" Type="http://schemas.openxmlformats.org/officeDocument/2006/relationships/hyperlink" Target="http://www.canlii.org/en/on/onsc/doc/2014/2014onsc4929/2014onsc4929.html" TargetMode="External"/><Relationship Id="rId42" Type="http://schemas.openxmlformats.org/officeDocument/2006/relationships/hyperlink" Target="http://www.canlii.org/en/qc/qcca/doc/2014/2014qcca2322/2014qcca2322.html?resultIndex=1" TargetMode="External"/><Relationship Id="rId47" Type="http://schemas.openxmlformats.org/officeDocument/2006/relationships/footer" Target="footer9.xml"/><Relationship Id="rId50" Type="http://schemas.openxmlformats.org/officeDocument/2006/relationships/header" Target="header11.xml"/><Relationship Id="rId55" Type="http://schemas.openxmlformats.org/officeDocument/2006/relationships/footer" Target="footer13.xml"/><Relationship Id="rId63" Type="http://schemas.openxmlformats.org/officeDocument/2006/relationships/header" Target="header17.xml"/><Relationship Id="rId68" Type="http://schemas.openxmlformats.org/officeDocument/2006/relationships/footer" Target="footer19.xml"/><Relationship Id="rId76" Type="http://schemas.openxmlformats.org/officeDocument/2006/relationships/theme" Target="theme/theme1.xml"/><Relationship Id="rId7" Type="http://schemas.openxmlformats.org/officeDocument/2006/relationships/image" Target="media/image1.wmf"/><Relationship Id="rId71"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hyperlink" Target="http://www.canlii.org/en/on/onca/doc/2015/2015onca54/2015onca54.html" TargetMode="External"/><Relationship Id="rId11" Type="http://schemas.openxmlformats.org/officeDocument/2006/relationships/header" Target="header2.xml"/><Relationship Id="rId24" Type="http://schemas.openxmlformats.org/officeDocument/2006/relationships/hyperlink" Target="http://www.canlii.org/en/on/onsc/doc/2013/2013onsc4220/2013onsc4220.html" TargetMode="External"/><Relationship Id="rId32" Type="http://schemas.openxmlformats.org/officeDocument/2006/relationships/hyperlink" Target="http://www.canlii.org/en/on/onsc/doc/2014/2014onsc4929/2014onsc4929.html" TargetMode="External"/><Relationship Id="rId37" Type="http://schemas.openxmlformats.org/officeDocument/2006/relationships/hyperlink" Target="http://canlii.ca/t/ggfkv" TargetMode="External"/><Relationship Id="rId40" Type="http://schemas.openxmlformats.org/officeDocument/2006/relationships/hyperlink" Target="http://www.canlii.org/en/qc/qcca/doc/2015/2015qcca305/2015qcca305.html?resultIndex=1" TargetMode="External"/><Relationship Id="rId45" Type="http://schemas.openxmlformats.org/officeDocument/2006/relationships/header" Target="header9.xml"/><Relationship Id="rId53" Type="http://schemas.openxmlformats.org/officeDocument/2006/relationships/footer" Target="footer12.xml"/><Relationship Id="rId58" Type="http://schemas.openxmlformats.org/officeDocument/2006/relationships/footer" Target="footer14.xml"/><Relationship Id="rId66" Type="http://schemas.openxmlformats.org/officeDocument/2006/relationships/footer" Target="footer18.xml"/><Relationship Id="rId74" Type="http://schemas.openxmlformats.org/officeDocument/2006/relationships/footer" Target="footer2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yperlink" Target="http://www.canlii.org/en/on/onca/doc/2014/2014onca683/2014onca683.html" TargetMode="External"/><Relationship Id="rId36" Type="http://schemas.openxmlformats.org/officeDocument/2006/relationships/hyperlink" Target="http://canlii.ca/t/ggfkv" TargetMode="External"/><Relationship Id="rId49" Type="http://schemas.openxmlformats.org/officeDocument/2006/relationships/footer" Target="footer10.xml"/><Relationship Id="rId57" Type="http://schemas.openxmlformats.org/officeDocument/2006/relationships/header" Target="header15.xml"/><Relationship Id="rId61" Type="http://schemas.openxmlformats.org/officeDocument/2006/relationships/footer" Target="footer1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yperlink" Target="http://www.canlii.org/en/ab/abca/doc/2015/2015abca68/2015abca68.html?autocompleteStr=alberta%20association%20of%20architects&amp;autocompletePos=12" TargetMode="External"/><Relationship Id="rId44" Type="http://schemas.openxmlformats.org/officeDocument/2006/relationships/header" Target="header8.xml"/><Relationship Id="rId52" Type="http://schemas.openxmlformats.org/officeDocument/2006/relationships/footer" Target="footer11.xml"/><Relationship Id="rId60" Type="http://schemas.openxmlformats.org/officeDocument/2006/relationships/header" Target="header16.xml"/><Relationship Id="rId65" Type="http://schemas.openxmlformats.org/officeDocument/2006/relationships/footer" Target="footer17.xml"/><Relationship Id="rId73" Type="http://schemas.openxmlformats.org/officeDocument/2006/relationships/header" Target="header22.xml"/><Relationship Id="rId4" Type="http://schemas.openxmlformats.org/officeDocument/2006/relationships/webSettings" Target="webSettings.xml"/><Relationship Id="rId9" Type="http://schemas.openxmlformats.org/officeDocument/2006/relationships/hyperlink" Target="http://www.scc-csc.ca"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yperlink" Target="http://www.canlii.org/en/on/onsc/doc/2013/2013onsc4220/2013onsc4220.html" TargetMode="External"/><Relationship Id="rId30" Type="http://schemas.openxmlformats.org/officeDocument/2006/relationships/hyperlink" Target="http://www.canlii.org/en/ab/abca/doc/2015/2015abca68/2015abca68.html?autocompleteStr=alberta%20association%20of%20architects&amp;autocompletePos=12" TargetMode="External"/><Relationship Id="rId35" Type="http://schemas.openxmlformats.org/officeDocument/2006/relationships/hyperlink" Target="http://www.canlii.org/en/on/onca/doc/2015/2015onca131/2015onca131.html?autocompleteStr=2015%20ONCA%20131&amp;autocompletePos=1" TargetMode="External"/><Relationship Id="rId43" Type="http://schemas.openxmlformats.org/officeDocument/2006/relationships/hyperlink" Target="http://www.canlii.org/en/qc/qcca/doc/2015/2015qcca305/2015qcca305.html?resultIndex=1" TargetMode="External"/><Relationship Id="rId48" Type="http://schemas.openxmlformats.org/officeDocument/2006/relationships/header" Target="header10.xml"/><Relationship Id="rId56" Type="http://schemas.openxmlformats.org/officeDocument/2006/relationships/header" Target="header14.xml"/><Relationship Id="rId64" Type="http://schemas.openxmlformats.org/officeDocument/2006/relationships/header" Target="header18.xml"/><Relationship Id="rId69" Type="http://schemas.openxmlformats.org/officeDocument/2006/relationships/header" Target="header20.xml"/><Relationship Id="rId8" Type="http://schemas.openxmlformats.org/officeDocument/2006/relationships/hyperlink" Target="http://www.scc-csc.ca" TargetMode="External"/><Relationship Id="rId51" Type="http://schemas.openxmlformats.org/officeDocument/2006/relationships/header" Target="header12.xml"/><Relationship Id="rId72" Type="http://schemas.openxmlformats.org/officeDocument/2006/relationships/footer" Target="footer21.xm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www.canlii.org/en/on/onca/doc/2014/2014onca683/2014onca683.html" TargetMode="External"/><Relationship Id="rId33" Type="http://schemas.openxmlformats.org/officeDocument/2006/relationships/hyperlink" Target="http://www.canlii.org/en/on/onca/doc/2015/2015onca131/2015onca131.html?autocompleteStr=2015%20ONCA%20131&amp;autocompletePos=1" TargetMode="External"/><Relationship Id="rId38" Type="http://schemas.openxmlformats.org/officeDocument/2006/relationships/hyperlink" Target="http://www.canlii.org/en/qc/qcca/doc/2014/2014qcca1269/2014qcca1269.html?resultIndex=1" TargetMode="External"/><Relationship Id="rId46" Type="http://schemas.openxmlformats.org/officeDocument/2006/relationships/footer" Target="footer8.xml"/><Relationship Id="rId59" Type="http://schemas.openxmlformats.org/officeDocument/2006/relationships/footer" Target="footer15.xml"/><Relationship Id="rId67" Type="http://schemas.openxmlformats.org/officeDocument/2006/relationships/header" Target="header19.xml"/><Relationship Id="rId20" Type="http://schemas.openxmlformats.org/officeDocument/2006/relationships/header" Target="header6.xml"/><Relationship Id="rId41" Type="http://schemas.openxmlformats.org/officeDocument/2006/relationships/hyperlink" Target="http://www.canlii.org/en/qc/qcca/doc/2014/2014qcca1269/2014qcca1269.html?resultIndex=1" TargetMode="External"/><Relationship Id="rId54" Type="http://schemas.openxmlformats.org/officeDocument/2006/relationships/header" Target="header13.xml"/><Relationship Id="rId62" Type="http://schemas.openxmlformats.org/officeDocument/2006/relationships/hyperlink" Target="http://www.scc-csc.ca/case-dossier/info/sum-som-fra.aspx?cas=35625" TargetMode="External"/><Relationship Id="rId70" Type="http://schemas.openxmlformats.org/officeDocument/2006/relationships/footer" Target="footer20.xm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12111</Words>
  <Characters>69038</Characters>
  <Application>Microsoft Office Word</Application>
  <DocSecurity>0</DocSecurity>
  <Lines>575</Lines>
  <Paragraphs>161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2015-07-16T18:39:00Z</dcterms:created>
  <dcterms:modified xsi:type="dcterms:W3CDTF">2015-11-26T21:50:00Z</dcterms:modified>
</cp:coreProperties>
</file>