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header1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287" w:rsidRDefault="006D0287">
      <w:pPr>
        <w:tabs>
          <w:tab w:val="left" w:pos="4320"/>
          <w:tab w:val="left" w:pos="6240"/>
          <w:tab w:val="left" w:pos="8520"/>
          <w:tab w:val="left" w:pos="9480"/>
        </w:tabs>
        <w:suppressAutoHyphens/>
        <w:spacing w:line="259" w:lineRule="exact"/>
        <w:rPr>
          <w:sz w:val="20"/>
          <w:szCs w:val="20"/>
          <w:lang w:val="en-GB"/>
        </w:rPr>
      </w:pPr>
      <w:bookmarkStart w:id="0" w:name="_GoBack"/>
      <w:bookmarkEnd w:id="0"/>
      <w:r>
        <w:rPr>
          <w:b/>
          <w:bCs/>
          <w:sz w:val="20"/>
          <w:szCs w:val="20"/>
          <w:lang w:val="en-GB"/>
        </w:rPr>
        <w:t>CONTENTS</w:t>
      </w:r>
      <w:r>
        <w:rPr>
          <w:b/>
          <w:bCs/>
          <w:sz w:val="20"/>
          <w:szCs w:val="20"/>
          <w:lang w:val="en-GB"/>
        </w:rPr>
        <w:tab/>
      </w:r>
      <w:r>
        <w:rPr>
          <w:b/>
          <w:bCs/>
          <w:sz w:val="20"/>
          <w:szCs w:val="20"/>
          <w:lang w:val="en-GB"/>
        </w:rPr>
        <w:tab/>
        <w:t>TABLE DES MATIÈRES</w:t>
      </w:r>
      <w:r>
        <w:rPr>
          <w:sz w:val="20"/>
          <w:szCs w:val="20"/>
          <w:lang w:val="en-GB"/>
        </w:rPr>
        <w:fldChar w:fldCharType="begin"/>
      </w:r>
      <w:r>
        <w:rPr>
          <w:sz w:val="20"/>
          <w:szCs w:val="20"/>
          <w:lang w:val="en-GB"/>
        </w:rPr>
        <w:instrText xml:space="preserve">PRIVATE </w:instrText>
      </w:r>
      <w:r>
        <w:rPr>
          <w:sz w:val="20"/>
          <w:szCs w:val="20"/>
          <w:lang w:val="en-GB"/>
        </w:rPr>
      </w:r>
      <w:r>
        <w:rPr>
          <w:sz w:val="20"/>
          <w:szCs w:val="20"/>
          <w:lang w:val="en-GB"/>
        </w:rPr>
        <w:fldChar w:fldCharType="end"/>
      </w: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u w:val="single"/>
          <w:lang w:val="en-GB"/>
        </w:rPr>
        <w:t xml:space="preserve">                                                                                                                                                      </w:t>
      </w: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to appeal</w:t>
      </w:r>
      <w:r>
        <w:rPr>
          <w:sz w:val="20"/>
          <w:szCs w:val="20"/>
          <w:lang w:val="en-GB"/>
        </w:rPr>
        <w:tab/>
        <w:t xml:space="preserve">1745 - 1746    </w:t>
      </w:r>
      <w:r>
        <w:rPr>
          <w:sz w:val="20"/>
          <w:szCs w:val="20"/>
          <w:lang w:val="en-GB"/>
        </w:rPr>
        <w:tab/>
        <w:t xml:space="preserve">Demandes d'autorisation d'appels </w:t>
      </w: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filed</w:t>
      </w:r>
      <w:r>
        <w:rPr>
          <w:sz w:val="20"/>
          <w:szCs w:val="20"/>
          <w:lang w:val="en-GB"/>
        </w:rPr>
        <w:tab/>
      </w:r>
      <w:r>
        <w:rPr>
          <w:sz w:val="20"/>
          <w:szCs w:val="20"/>
          <w:lang w:val="en-GB"/>
        </w:rPr>
        <w:tab/>
        <w:t>produites</w:t>
      </w:r>
    </w:p>
    <w:p w:rsidR="006D0287" w:rsidRDefault="006D0287">
      <w:pPr>
        <w:tabs>
          <w:tab w:val="left" w:pos="4320"/>
          <w:tab w:val="left" w:pos="6240"/>
          <w:tab w:val="left" w:pos="8520"/>
          <w:tab w:val="left" w:pos="9480"/>
        </w:tabs>
        <w:suppressAutoHyphens/>
        <w:spacing w:line="259" w:lineRule="exact"/>
        <w:rPr>
          <w:sz w:val="20"/>
          <w:szCs w:val="20"/>
          <w:lang w:val="en-GB"/>
        </w:rPr>
      </w:pP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submitted</w:t>
      </w:r>
      <w:r>
        <w:rPr>
          <w:sz w:val="20"/>
          <w:szCs w:val="20"/>
          <w:lang w:val="en-GB"/>
        </w:rPr>
        <w:tab/>
        <w:t>1747 - 1753</w:t>
      </w:r>
      <w:r>
        <w:rPr>
          <w:sz w:val="20"/>
          <w:szCs w:val="20"/>
          <w:lang w:val="en-GB"/>
        </w:rPr>
        <w:tab/>
        <w:t>Demandes soumises à la Cour depuis la</w:t>
      </w: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to Court since last issue</w:t>
      </w:r>
      <w:r>
        <w:rPr>
          <w:sz w:val="20"/>
          <w:szCs w:val="20"/>
          <w:lang w:val="en-GB"/>
        </w:rPr>
        <w:tab/>
      </w:r>
      <w:r>
        <w:rPr>
          <w:sz w:val="20"/>
          <w:szCs w:val="20"/>
          <w:lang w:val="en-GB"/>
        </w:rPr>
        <w:tab/>
        <w:t>dernière parution</w:t>
      </w:r>
    </w:p>
    <w:p w:rsidR="006D0287" w:rsidRDefault="006D0287">
      <w:pPr>
        <w:tabs>
          <w:tab w:val="left" w:pos="4320"/>
          <w:tab w:val="left" w:pos="6240"/>
          <w:tab w:val="left" w:pos="8520"/>
          <w:tab w:val="left" w:pos="9480"/>
        </w:tabs>
        <w:suppressAutoHyphens/>
        <w:spacing w:line="259" w:lineRule="exact"/>
        <w:rPr>
          <w:sz w:val="20"/>
          <w:szCs w:val="20"/>
          <w:lang w:val="en-GB"/>
        </w:rPr>
      </w:pP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ordered </w:t>
      </w:r>
      <w:r>
        <w:rPr>
          <w:sz w:val="20"/>
          <w:szCs w:val="20"/>
          <w:lang w:val="en-GB"/>
        </w:rPr>
        <w:tab/>
        <w:t xml:space="preserve">   1754     </w:t>
      </w:r>
      <w:r>
        <w:rPr>
          <w:sz w:val="20"/>
          <w:szCs w:val="20"/>
          <w:lang w:val="en-GB"/>
        </w:rPr>
        <w:tab/>
        <w:t>Audience ordonnée</w:t>
      </w:r>
    </w:p>
    <w:p w:rsidR="006D0287" w:rsidRDefault="006D0287">
      <w:pPr>
        <w:tabs>
          <w:tab w:val="left" w:pos="4320"/>
          <w:tab w:val="left" w:pos="6240"/>
          <w:tab w:val="left" w:pos="8520"/>
          <w:tab w:val="left" w:pos="9480"/>
        </w:tabs>
        <w:suppressAutoHyphens/>
        <w:spacing w:line="259" w:lineRule="exact"/>
        <w:rPr>
          <w:sz w:val="20"/>
          <w:szCs w:val="20"/>
          <w:lang w:val="en-GB"/>
        </w:rPr>
      </w:pP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on applications for   </w:t>
      </w:r>
      <w:r>
        <w:rPr>
          <w:sz w:val="20"/>
          <w:szCs w:val="20"/>
          <w:lang w:val="en-GB"/>
        </w:rPr>
        <w:tab/>
        <w:t xml:space="preserve">     -     </w:t>
      </w:r>
      <w:r>
        <w:rPr>
          <w:sz w:val="20"/>
          <w:szCs w:val="20"/>
          <w:lang w:val="en-GB"/>
        </w:rPr>
        <w:tab/>
        <w:t>Audience sur les demandes d'autorisation</w:t>
      </w: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leave </w:t>
      </w:r>
      <w:r>
        <w:rPr>
          <w:sz w:val="20"/>
          <w:szCs w:val="20"/>
          <w:lang w:val="en-GB"/>
        </w:rPr>
        <w:tab/>
      </w:r>
      <w:r>
        <w:rPr>
          <w:sz w:val="20"/>
          <w:szCs w:val="20"/>
          <w:lang w:val="en-GB"/>
        </w:rPr>
        <w:tab/>
        <w:t>d'autorisation</w:t>
      </w:r>
    </w:p>
    <w:p w:rsidR="006D0287" w:rsidRDefault="006D0287">
      <w:pPr>
        <w:tabs>
          <w:tab w:val="left" w:pos="4320"/>
          <w:tab w:val="left" w:pos="6240"/>
          <w:tab w:val="left" w:pos="8520"/>
          <w:tab w:val="left" w:pos="9480"/>
        </w:tabs>
        <w:suppressAutoHyphens/>
        <w:spacing w:line="259" w:lineRule="exact"/>
        <w:rPr>
          <w:sz w:val="20"/>
          <w:szCs w:val="20"/>
          <w:lang w:val="en-GB"/>
        </w:rPr>
      </w:pP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Judgments on applications for </w:t>
      </w:r>
      <w:r>
        <w:rPr>
          <w:sz w:val="20"/>
          <w:szCs w:val="20"/>
          <w:lang w:val="en-GB"/>
        </w:rPr>
        <w:tab/>
        <w:t>1755 - 1758</w:t>
      </w:r>
      <w:r>
        <w:rPr>
          <w:sz w:val="20"/>
          <w:szCs w:val="20"/>
          <w:lang w:val="en-GB"/>
        </w:rPr>
        <w:tab/>
        <w:t xml:space="preserve">Jugements rendus sur les demandes </w:t>
      </w: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leave</w:t>
      </w:r>
      <w:r>
        <w:rPr>
          <w:sz w:val="20"/>
          <w:szCs w:val="20"/>
          <w:lang w:val="en-GB"/>
        </w:rPr>
        <w:tab/>
      </w:r>
      <w:r>
        <w:rPr>
          <w:sz w:val="20"/>
          <w:szCs w:val="20"/>
          <w:lang w:val="en-GB"/>
        </w:rPr>
        <w:tab/>
        <w:t>d'autorisation</w:t>
      </w:r>
    </w:p>
    <w:p w:rsidR="006D0287" w:rsidRDefault="006D0287">
      <w:pPr>
        <w:tabs>
          <w:tab w:val="left" w:pos="4320"/>
          <w:tab w:val="left" w:pos="6240"/>
          <w:tab w:val="left" w:pos="8520"/>
          <w:tab w:val="left" w:pos="9480"/>
        </w:tabs>
        <w:suppressAutoHyphens/>
        <w:spacing w:line="259" w:lineRule="exact"/>
        <w:rPr>
          <w:sz w:val="20"/>
          <w:szCs w:val="20"/>
          <w:lang w:val="en-GB"/>
        </w:rPr>
      </w:pP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Motions</w:t>
      </w:r>
      <w:r>
        <w:rPr>
          <w:sz w:val="20"/>
          <w:szCs w:val="20"/>
          <w:lang w:val="en-GB"/>
        </w:rPr>
        <w:tab/>
        <w:t>1759 - 1767</w:t>
      </w:r>
      <w:r>
        <w:rPr>
          <w:sz w:val="20"/>
          <w:szCs w:val="20"/>
          <w:lang w:val="en-GB"/>
        </w:rPr>
        <w:tab/>
        <w:t>Requêtes</w:t>
      </w:r>
    </w:p>
    <w:p w:rsidR="006D0287" w:rsidRDefault="006D0287">
      <w:pPr>
        <w:tabs>
          <w:tab w:val="left" w:pos="4320"/>
          <w:tab w:val="left" w:pos="6240"/>
          <w:tab w:val="left" w:pos="8520"/>
          <w:tab w:val="left" w:pos="9480"/>
        </w:tabs>
        <w:suppressAutoHyphens/>
        <w:spacing w:line="259" w:lineRule="exact"/>
        <w:rPr>
          <w:sz w:val="20"/>
          <w:szCs w:val="20"/>
          <w:lang w:val="en-GB"/>
        </w:rPr>
      </w:pP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Notices of appeal filed since last </w:t>
      </w:r>
      <w:r>
        <w:rPr>
          <w:sz w:val="20"/>
          <w:szCs w:val="20"/>
          <w:lang w:val="en-GB"/>
        </w:rPr>
        <w:tab/>
        <w:t xml:space="preserve">   1768    </w:t>
      </w:r>
      <w:r>
        <w:rPr>
          <w:sz w:val="20"/>
          <w:szCs w:val="20"/>
          <w:lang w:val="en-GB"/>
        </w:rPr>
        <w:tab/>
        <w:t>Avis d'appel produits depuis la dernière</w:t>
      </w: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issue</w:t>
      </w:r>
      <w:r>
        <w:rPr>
          <w:sz w:val="20"/>
          <w:szCs w:val="20"/>
          <w:lang w:val="en-GB"/>
        </w:rPr>
        <w:tab/>
        <w:t xml:space="preserve">           </w:t>
      </w:r>
      <w:r>
        <w:rPr>
          <w:sz w:val="20"/>
          <w:szCs w:val="20"/>
          <w:lang w:val="en-GB"/>
        </w:rPr>
        <w:tab/>
        <w:t>parution</w:t>
      </w:r>
    </w:p>
    <w:p w:rsidR="006D0287" w:rsidRDefault="006D0287">
      <w:pPr>
        <w:tabs>
          <w:tab w:val="left" w:pos="4320"/>
          <w:tab w:val="left" w:pos="6240"/>
          <w:tab w:val="left" w:pos="8520"/>
          <w:tab w:val="left" w:pos="9480"/>
        </w:tabs>
        <w:suppressAutoHyphens/>
        <w:spacing w:line="259" w:lineRule="exact"/>
        <w:rPr>
          <w:sz w:val="20"/>
          <w:szCs w:val="20"/>
          <w:lang w:val="en-GB"/>
        </w:rPr>
      </w:pP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intervention filed since</w:t>
      </w:r>
      <w:r>
        <w:rPr>
          <w:sz w:val="20"/>
          <w:szCs w:val="20"/>
          <w:lang w:val="en-GB"/>
        </w:rPr>
        <w:tab/>
        <w:t xml:space="preserve">   1769</w:t>
      </w:r>
      <w:r>
        <w:rPr>
          <w:sz w:val="20"/>
          <w:szCs w:val="20"/>
          <w:lang w:val="en-GB"/>
        </w:rPr>
        <w:tab/>
        <w:t>Avis d'intervention produits depuis la</w:t>
      </w: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6D0287" w:rsidRDefault="006D0287">
      <w:pPr>
        <w:tabs>
          <w:tab w:val="left" w:pos="4320"/>
          <w:tab w:val="left" w:pos="6240"/>
          <w:tab w:val="left" w:pos="8520"/>
          <w:tab w:val="left" w:pos="9480"/>
        </w:tabs>
        <w:suppressAutoHyphens/>
        <w:spacing w:line="259" w:lineRule="exact"/>
        <w:rPr>
          <w:sz w:val="20"/>
          <w:szCs w:val="20"/>
          <w:lang w:val="en-GB"/>
        </w:rPr>
      </w:pP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discontinuance filed since</w:t>
      </w:r>
      <w:r>
        <w:rPr>
          <w:sz w:val="20"/>
          <w:szCs w:val="20"/>
          <w:lang w:val="en-GB"/>
        </w:rPr>
        <w:tab/>
        <w:t xml:space="preserve">   1770    </w:t>
      </w:r>
      <w:r>
        <w:rPr>
          <w:sz w:val="20"/>
          <w:szCs w:val="20"/>
          <w:lang w:val="en-GB"/>
        </w:rPr>
        <w:tab/>
        <w:t xml:space="preserve">Avis de désistement produits depuis la </w:t>
      </w: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6D0287" w:rsidRDefault="006D0287">
      <w:pPr>
        <w:tabs>
          <w:tab w:val="left" w:pos="4320"/>
          <w:tab w:val="left" w:pos="6240"/>
          <w:tab w:val="left" w:pos="8520"/>
          <w:tab w:val="left" w:pos="9480"/>
        </w:tabs>
        <w:suppressAutoHyphens/>
        <w:spacing w:line="259" w:lineRule="exact"/>
        <w:rPr>
          <w:sz w:val="20"/>
          <w:szCs w:val="20"/>
          <w:lang w:val="en-GB"/>
        </w:rPr>
      </w:pP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Appeals heard since last issue and</w:t>
      </w:r>
      <w:r>
        <w:rPr>
          <w:sz w:val="20"/>
          <w:szCs w:val="20"/>
          <w:lang w:val="en-GB"/>
        </w:rPr>
        <w:tab/>
        <w:t xml:space="preserve">1771 - 1775 </w:t>
      </w:r>
      <w:r>
        <w:rPr>
          <w:sz w:val="20"/>
          <w:szCs w:val="20"/>
          <w:lang w:val="en-GB"/>
        </w:rPr>
        <w:tab/>
        <w:t xml:space="preserve">Appels entendus depuis la dernière </w:t>
      </w: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disposition</w:t>
      </w:r>
      <w:r>
        <w:rPr>
          <w:sz w:val="20"/>
          <w:szCs w:val="20"/>
          <w:lang w:val="en-GB"/>
        </w:rPr>
        <w:tab/>
      </w:r>
      <w:r>
        <w:rPr>
          <w:sz w:val="20"/>
          <w:szCs w:val="20"/>
          <w:lang w:val="en-GB"/>
        </w:rPr>
        <w:tab/>
        <w:t>parution et résultat</w:t>
      </w:r>
    </w:p>
    <w:p w:rsidR="006D0287" w:rsidRDefault="006D0287">
      <w:pPr>
        <w:tabs>
          <w:tab w:val="left" w:pos="4320"/>
          <w:tab w:val="left" w:pos="6240"/>
          <w:tab w:val="left" w:pos="8520"/>
          <w:tab w:val="left" w:pos="9480"/>
        </w:tabs>
        <w:suppressAutoHyphens/>
        <w:spacing w:line="259" w:lineRule="exact"/>
        <w:rPr>
          <w:sz w:val="20"/>
          <w:szCs w:val="20"/>
          <w:lang w:val="en-GB"/>
        </w:rPr>
      </w:pP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Pronouncements of appeals reserved </w:t>
      </w:r>
      <w:r>
        <w:rPr>
          <w:sz w:val="20"/>
          <w:szCs w:val="20"/>
          <w:lang w:val="en-GB"/>
        </w:rPr>
        <w:tab/>
        <w:t xml:space="preserve">     -     </w:t>
      </w:r>
      <w:r>
        <w:rPr>
          <w:sz w:val="20"/>
          <w:szCs w:val="20"/>
          <w:lang w:val="en-GB"/>
        </w:rPr>
        <w:tab/>
        <w:t>Jugements rendus sur les appels en</w:t>
      </w: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t xml:space="preserve">délibéré </w:t>
      </w:r>
    </w:p>
    <w:p w:rsidR="006D0287" w:rsidRDefault="006D0287">
      <w:pPr>
        <w:tabs>
          <w:tab w:val="left" w:pos="4320"/>
          <w:tab w:val="left" w:pos="6240"/>
          <w:tab w:val="left" w:pos="8520"/>
          <w:tab w:val="left" w:pos="9480"/>
        </w:tabs>
        <w:suppressAutoHyphens/>
        <w:spacing w:line="259" w:lineRule="exact"/>
        <w:rPr>
          <w:sz w:val="20"/>
          <w:szCs w:val="20"/>
          <w:lang w:val="en-GB"/>
        </w:rPr>
      </w:pP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Headnotes of recent judgments</w:t>
      </w:r>
      <w:r>
        <w:rPr>
          <w:sz w:val="20"/>
          <w:szCs w:val="20"/>
          <w:lang w:val="en-GB"/>
        </w:rPr>
        <w:tab/>
        <w:t xml:space="preserve">     -     </w:t>
      </w:r>
      <w:r>
        <w:rPr>
          <w:sz w:val="20"/>
          <w:szCs w:val="20"/>
          <w:lang w:val="en-GB"/>
        </w:rPr>
        <w:tab/>
        <w:t>Sommaires des arrêts récents</w:t>
      </w:r>
    </w:p>
    <w:p w:rsidR="006D0287" w:rsidRDefault="006D0287">
      <w:pPr>
        <w:tabs>
          <w:tab w:val="left" w:pos="4320"/>
          <w:tab w:val="left" w:pos="6240"/>
          <w:tab w:val="left" w:pos="8520"/>
          <w:tab w:val="left" w:pos="9480"/>
        </w:tabs>
        <w:suppressAutoHyphens/>
        <w:spacing w:line="259" w:lineRule="exact"/>
        <w:rPr>
          <w:sz w:val="20"/>
          <w:szCs w:val="20"/>
          <w:lang w:val="en-GB"/>
        </w:rPr>
      </w:pP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Weekly agenda</w:t>
      </w:r>
      <w:r>
        <w:rPr>
          <w:sz w:val="20"/>
          <w:szCs w:val="20"/>
          <w:lang w:val="en-GB"/>
        </w:rPr>
        <w:tab/>
        <w:t xml:space="preserve">   1776    </w:t>
      </w:r>
      <w:r>
        <w:rPr>
          <w:sz w:val="20"/>
          <w:szCs w:val="20"/>
          <w:lang w:val="en-GB"/>
        </w:rPr>
        <w:tab/>
        <w:t>Ordre du jour de la semaine</w:t>
      </w:r>
    </w:p>
    <w:p w:rsidR="006D0287" w:rsidRDefault="006D0287">
      <w:pPr>
        <w:tabs>
          <w:tab w:val="left" w:pos="4320"/>
          <w:tab w:val="left" w:pos="6240"/>
          <w:tab w:val="left" w:pos="8520"/>
          <w:tab w:val="left" w:pos="9480"/>
        </w:tabs>
        <w:suppressAutoHyphens/>
        <w:spacing w:line="259" w:lineRule="exact"/>
        <w:rPr>
          <w:sz w:val="20"/>
          <w:szCs w:val="20"/>
          <w:lang w:val="en-GB"/>
        </w:rPr>
      </w:pP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Summaries of the cases</w:t>
      </w:r>
      <w:r>
        <w:rPr>
          <w:sz w:val="20"/>
          <w:szCs w:val="20"/>
          <w:lang w:val="en-GB"/>
        </w:rPr>
        <w:tab/>
        <w:t xml:space="preserve">1777 - 1790   </w:t>
      </w:r>
      <w:r>
        <w:rPr>
          <w:sz w:val="20"/>
          <w:szCs w:val="20"/>
          <w:lang w:val="en-GB"/>
        </w:rPr>
        <w:tab/>
        <w:t>Résumés des affaires</w:t>
      </w:r>
    </w:p>
    <w:p w:rsidR="006D0287" w:rsidRDefault="006D0287">
      <w:pPr>
        <w:tabs>
          <w:tab w:val="left" w:pos="4320"/>
          <w:tab w:val="left" w:pos="6240"/>
          <w:tab w:val="left" w:pos="8520"/>
          <w:tab w:val="left" w:pos="9480"/>
        </w:tabs>
        <w:suppressAutoHyphens/>
        <w:spacing w:line="259" w:lineRule="exact"/>
        <w:rPr>
          <w:sz w:val="20"/>
          <w:szCs w:val="20"/>
          <w:lang w:val="en-GB"/>
        </w:rPr>
      </w:pP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Leave</w:t>
      </w:r>
      <w:r>
        <w:rPr>
          <w:sz w:val="20"/>
          <w:szCs w:val="20"/>
          <w:lang w:val="en-GB"/>
        </w:rPr>
        <w:tab/>
        <w:t xml:space="preserve">     -              </w:t>
      </w:r>
      <w:r>
        <w:rPr>
          <w:sz w:val="20"/>
          <w:szCs w:val="20"/>
          <w:lang w:val="en-GB"/>
        </w:rPr>
        <w:tab/>
        <w:t xml:space="preserve">Index cumulatif </w:t>
      </w:r>
      <w:r>
        <w:rPr>
          <w:sz w:val="20"/>
          <w:szCs w:val="20"/>
          <w:lang w:val="en-GB"/>
        </w:rPr>
        <w:noBreakHyphen/>
        <w:t xml:space="preserve"> Autorisations</w:t>
      </w:r>
    </w:p>
    <w:p w:rsidR="006D0287" w:rsidRDefault="006D0287">
      <w:pPr>
        <w:tabs>
          <w:tab w:val="left" w:pos="4320"/>
          <w:tab w:val="left" w:pos="6240"/>
          <w:tab w:val="left" w:pos="8520"/>
          <w:tab w:val="left" w:pos="9480"/>
        </w:tabs>
        <w:suppressAutoHyphens/>
        <w:spacing w:line="259" w:lineRule="exact"/>
        <w:rPr>
          <w:sz w:val="20"/>
          <w:szCs w:val="20"/>
          <w:lang w:val="en-GB"/>
        </w:rPr>
      </w:pP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Appeals</w:t>
      </w:r>
      <w:r>
        <w:rPr>
          <w:sz w:val="20"/>
          <w:szCs w:val="20"/>
          <w:lang w:val="en-GB"/>
        </w:rPr>
        <w:tab/>
        <w:t xml:space="preserve">     -       </w:t>
      </w:r>
      <w:r>
        <w:rPr>
          <w:sz w:val="20"/>
          <w:szCs w:val="20"/>
          <w:lang w:val="en-GB"/>
        </w:rPr>
        <w:tab/>
        <w:t xml:space="preserve">Index cumulatif </w:t>
      </w:r>
      <w:r>
        <w:rPr>
          <w:sz w:val="20"/>
          <w:szCs w:val="20"/>
          <w:lang w:val="en-GB"/>
        </w:rPr>
        <w:noBreakHyphen/>
        <w:t xml:space="preserve"> Appels</w:t>
      </w:r>
    </w:p>
    <w:p w:rsidR="006D0287" w:rsidRDefault="006D0287">
      <w:pPr>
        <w:tabs>
          <w:tab w:val="left" w:pos="4320"/>
          <w:tab w:val="left" w:pos="6240"/>
          <w:tab w:val="left" w:pos="8520"/>
          <w:tab w:val="left" w:pos="9480"/>
        </w:tabs>
        <w:suppressAutoHyphens/>
        <w:spacing w:line="259" w:lineRule="exact"/>
        <w:rPr>
          <w:sz w:val="20"/>
          <w:szCs w:val="20"/>
          <w:lang w:val="en-GB"/>
        </w:rPr>
      </w:pP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Appeals inscribed </w:t>
      </w:r>
      <w:r>
        <w:rPr>
          <w:sz w:val="20"/>
          <w:szCs w:val="20"/>
          <w:lang w:val="en-GB"/>
        </w:rPr>
        <w:noBreakHyphen/>
        <w:t xml:space="preserve"> Session</w:t>
      </w:r>
      <w:r>
        <w:rPr>
          <w:sz w:val="20"/>
          <w:szCs w:val="20"/>
          <w:lang w:val="en-GB"/>
        </w:rPr>
        <w:tab/>
        <w:t xml:space="preserve">     -     </w:t>
      </w:r>
      <w:r>
        <w:rPr>
          <w:sz w:val="20"/>
          <w:szCs w:val="20"/>
          <w:lang w:val="en-GB"/>
        </w:rPr>
        <w:tab/>
        <w:t xml:space="preserve">Pourvois inscrits </w:t>
      </w:r>
      <w:r>
        <w:rPr>
          <w:sz w:val="20"/>
          <w:szCs w:val="20"/>
          <w:lang w:val="en-GB"/>
        </w:rPr>
        <w:noBreakHyphen/>
        <w:t xml:space="preserve"> Session</w:t>
      </w: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beginning</w:t>
      </w:r>
      <w:r>
        <w:rPr>
          <w:sz w:val="20"/>
          <w:szCs w:val="20"/>
          <w:lang w:val="en-GB"/>
        </w:rPr>
        <w:tab/>
        <w:t xml:space="preserve">           </w:t>
      </w:r>
      <w:r>
        <w:rPr>
          <w:sz w:val="20"/>
          <w:szCs w:val="20"/>
          <w:lang w:val="en-GB"/>
        </w:rPr>
        <w:tab/>
        <w:t>commençant le</w:t>
      </w:r>
    </w:p>
    <w:p w:rsidR="006D0287" w:rsidRDefault="006D0287">
      <w:pPr>
        <w:tabs>
          <w:tab w:val="left" w:pos="4320"/>
          <w:tab w:val="left" w:pos="6240"/>
          <w:tab w:val="left" w:pos="8520"/>
          <w:tab w:val="left" w:pos="9480"/>
        </w:tabs>
        <w:suppressAutoHyphens/>
        <w:spacing w:line="259" w:lineRule="exact"/>
        <w:rPr>
          <w:sz w:val="20"/>
          <w:szCs w:val="20"/>
          <w:lang w:val="en-GB"/>
        </w:rPr>
      </w:pP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to the Profession and</w:t>
      </w:r>
      <w:r>
        <w:rPr>
          <w:sz w:val="20"/>
          <w:szCs w:val="20"/>
          <w:lang w:val="en-GB"/>
        </w:rPr>
        <w:tab/>
        <w:t xml:space="preserve">     -       </w:t>
      </w:r>
      <w:r>
        <w:rPr>
          <w:sz w:val="20"/>
          <w:szCs w:val="20"/>
          <w:lang w:val="en-GB"/>
        </w:rPr>
        <w:tab/>
        <w:t>Avis aux avocats et communiqué</w:t>
      </w: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Press Release</w:t>
      </w:r>
      <w:r>
        <w:rPr>
          <w:sz w:val="20"/>
          <w:szCs w:val="20"/>
          <w:lang w:val="en-GB"/>
        </w:rPr>
        <w:tab/>
      </w:r>
      <w:r>
        <w:rPr>
          <w:sz w:val="20"/>
          <w:szCs w:val="20"/>
          <w:lang w:val="en-GB"/>
        </w:rPr>
        <w:tab/>
        <w:t>de presse</w:t>
      </w:r>
    </w:p>
    <w:p w:rsidR="006D0287" w:rsidRDefault="006D0287">
      <w:pPr>
        <w:tabs>
          <w:tab w:val="left" w:pos="4320"/>
          <w:tab w:val="left" w:pos="6240"/>
          <w:tab w:val="left" w:pos="8520"/>
          <w:tab w:val="left" w:pos="9480"/>
        </w:tabs>
        <w:suppressAutoHyphens/>
        <w:spacing w:line="259" w:lineRule="exact"/>
        <w:rPr>
          <w:sz w:val="20"/>
          <w:szCs w:val="20"/>
          <w:lang w:val="en-GB"/>
        </w:rPr>
      </w:pP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Motions before the Court</w:t>
      </w:r>
      <w:r>
        <w:rPr>
          <w:sz w:val="20"/>
          <w:szCs w:val="20"/>
          <w:lang w:val="en-GB"/>
        </w:rPr>
        <w:tab/>
        <w:t xml:space="preserve">   1791</w:t>
      </w:r>
      <w:r>
        <w:rPr>
          <w:sz w:val="20"/>
          <w:szCs w:val="20"/>
          <w:lang w:val="en-GB"/>
        </w:rPr>
        <w:tab/>
        <w:t>Délais: Requêtes devant la Cour</w:t>
      </w: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Appeals</w:t>
      </w:r>
      <w:r>
        <w:rPr>
          <w:sz w:val="20"/>
          <w:szCs w:val="20"/>
          <w:lang w:val="en-GB"/>
        </w:rPr>
        <w:tab/>
        <w:t xml:space="preserve">   1792 </w:t>
      </w:r>
      <w:r>
        <w:rPr>
          <w:sz w:val="20"/>
          <w:szCs w:val="20"/>
          <w:lang w:val="en-GB"/>
        </w:rPr>
        <w:tab/>
        <w:t>Délais: Appels</w:t>
      </w:r>
    </w:p>
    <w:p w:rsidR="006D0287" w:rsidRDefault="006D0287">
      <w:pPr>
        <w:tabs>
          <w:tab w:val="left" w:pos="4320"/>
          <w:tab w:val="left" w:pos="6240"/>
          <w:tab w:val="left" w:pos="8520"/>
          <w:tab w:val="left" w:pos="9480"/>
        </w:tabs>
        <w:suppressAutoHyphens/>
        <w:spacing w:line="259" w:lineRule="exact"/>
        <w:rPr>
          <w:sz w:val="20"/>
          <w:szCs w:val="20"/>
          <w:lang w:val="en-GB"/>
        </w:rPr>
      </w:pPr>
    </w:p>
    <w:p w:rsidR="006D0287" w:rsidRDefault="006D0287">
      <w:pPr>
        <w:tabs>
          <w:tab w:val="left" w:pos="4320"/>
          <w:tab w:val="left" w:pos="6240"/>
          <w:tab w:val="left" w:pos="8520"/>
          <w:tab w:val="left" w:pos="9480"/>
        </w:tabs>
        <w:suppressAutoHyphens/>
        <w:spacing w:line="259" w:lineRule="exact"/>
        <w:rPr>
          <w:sz w:val="20"/>
          <w:szCs w:val="20"/>
          <w:lang w:val="en-GB"/>
        </w:rPr>
      </w:pPr>
      <w:r>
        <w:rPr>
          <w:sz w:val="20"/>
          <w:szCs w:val="20"/>
          <w:lang w:val="en-GB"/>
        </w:rPr>
        <w:t>Judgments reported in S.C.R.</w:t>
      </w:r>
      <w:r>
        <w:rPr>
          <w:sz w:val="20"/>
          <w:szCs w:val="20"/>
          <w:lang w:val="en-GB"/>
        </w:rPr>
        <w:tab/>
        <w:t xml:space="preserve">   1793</w:t>
      </w:r>
      <w:r>
        <w:rPr>
          <w:sz w:val="20"/>
          <w:szCs w:val="20"/>
          <w:lang w:val="en-GB"/>
        </w:rPr>
        <w:tab/>
        <w:t>Jugements publiés au R.C.S.</w:t>
      </w:r>
    </w:p>
    <w:p w:rsidR="006D0287" w:rsidRDefault="006D0287">
      <w:pPr>
        <w:tabs>
          <w:tab w:val="left" w:pos="4320"/>
          <w:tab w:val="left" w:pos="6240"/>
          <w:tab w:val="left" w:pos="8520"/>
          <w:tab w:val="left" w:pos="9480"/>
        </w:tabs>
        <w:suppressAutoHyphens/>
        <w:spacing w:line="259" w:lineRule="exact"/>
        <w:rPr>
          <w:sz w:val="20"/>
          <w:szCs w:val="20"/>
          <w:lang w:val="en-GB"/>
        </w:rPr>
        <w:sectPr w:rsidR="006D0287">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6D0287" w:rsidRDefault="006D0287">
      <w:pPr>
        <w:widowControl/>
        <w:tabs>
          <w:tab w:val="right" w:pos="9480"/>
        </w:tabs>
        <w:suppressAutoHyphens/>
        <w:spacing w:line="240" w:lineRule="atLeast"/>
        <w:rPr>
          <w:sz w:val="20"/>
          <w:szCs w:val="20"/>
          <w:lang w:val="en-GB"/>
        </w:rPr>
      </w:pPr>
      <w:r>
        <w:rPr>
          <w:sz w:val="20"/>
          <w:szCs w:val="20"/>
          <w:u w:val="single"/>
          <w:lang w:val="en-GB"/>
        </w:rPr>
        <w:tab/>
      </w:r>
    </w:p>
    <w:p w:rsidR="006D0287" w:rsidRDefault="006D0287">
      <w:pPr>
        <w:widowControl/>
        <w:tabs>
          <w:tab w:val="right" w:pos="9480"/>
        </w:tabs>
        <w:suppressAutoHyphens/>
        <w:spacing w:line="240" w:lineRule="atLeast"/>
        <w:rPr>
          <w:sz w:val="20"/>
          <w:szCs w:val="20"/>
          <w:lang w:val="en-GB"/>
        </w:rPr>
        <w:sectPr w:rsidR="006D0287">
          <w:headerReference w:type="default" r:id="rId7"/>
          <w:footerReference w:type="default" r:id="rId8"/>
          <w:footerReference w:type="first" r:id="rId9"/>
          <w:pgSz w:w="12240" w:h="15840"/>
          <w:pgMar w:top="720" w:right="1680" w:bottom="960" w:left="1080" w:header="720" w:footer="960" w:gutter="0"/>
          <w:pgNumType w:start="1745"/>
          <w:cols w:space="720"/>
          <w:noEndnote/>
          <w:titlePg/>
        </w:sectPr>
      </w:pPr>
    </w:p>
    <w:p w:rsidR="006D0287" w:rsidRDefault="006D0287">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Shaw Cable Systems British Columbia Limited et al.</w:t>
      </w: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Thomas G. Heintzman, Q.C.</w:t>
      </w: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McCarthy, Tétrault</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v. (23717)</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b/>
          <w:bCs/>
          <w:sz w:val="20"/>
          <w:szCs w:val="20"/>
          <w:lang w:val="en-GB"/>
        </w:rPr>
        <w:t>British Columbia Telephone Company et al. (F.C.A.)</w:t>
      </w: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Judy Jansen</w:t>
      </w: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Farris Vaughan Wills &amp; Murphy</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FILING DATE  10.9.1993</w:t>
      </w:r>
    </w:p>
    <w:p w:rsidR="006D0287" w:rsidRDefault="006D0287">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b/>
          <w:bCs/>
          <w:sz w:val="20"/>
          <w:szCs w:val="20"/>
          <w:lang w:val="en-GB"/>
        </w:rPr>
        <w:t>Meyer Michel Marciano</w:t>
      </w: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Mary-Jane Bennett</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v. (23719)</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b/>
          <w:bCs/>
          <w:sz w:val="20"/>
          <w:szCs w:val="20"/>
          <w:lang w:val="en-GB"/>
        </w:rPr>
        <w:t>Belle Freda Millo (formerly Marciano) (Man.)</w:t>
      </w: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Thompson, Dorfman, Sweatman</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FILING DATE  15.9.1993</w:t>
      </w:r>
    </w:p>
    <w:p w:rsidR="006D0287" w:rsidRDefault="006D0287">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b/>
          <w:bCs/>
          <w:sz w:val="20"/>
          <w:szCs w:val="20"/>
          <w:lang w:val="en-GB"/>
        </w:rPr>
        <w:t>Ontario Teachers' Pension Plan Board</w:t>
      </w: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Donald J.M. Brown, Q.C.</w:t>
      </w: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Blake, Cassels &amp; Graydon</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v. (23720)</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b/>
          <w:bCs/>
          <w:sz w:val="20"/>
          <w:szCs w:val="20"/>
          <w:lang w:val="en-GB"/>
        </w:rPr>
        <w:t>Carolyn Hugh et al. (Ont.)</w:t>
      </w: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Elizabeth Shilton</w:t>
      </w: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Cavaluzzo, Hayes &amp; Shilton</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FILING DATE  16.9.1993</w:t>
      </w:r>
    </w:p>
    <w:p w:rsidR="006D0287" w:rsidRDefault="006D0287">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b/>
          <w:bCs/>
          <w:sz w:val="20"/>
          <w:szCs w:val="20"/>
          <w:lang w:val="en-GB"/>
        </w:rPr>
        <w:t>Canadian Pacific Limited</w:t>
      </w: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Winston F. Smith and J. Patrick Riley</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v. (23721)</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b/>
          <w:bCs/>
          <w:sz w:val="20"/>
          <w:szCs w:val="20"/>
          <w:lang w:val="en-GB"/>
        </w:rPr>
        <w:t>Her Majesty The Queen in right of Ontario (Ont.)</w:t>
      </w: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David Lepofsky</w:t>
      </w: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Min. of the Attorney General</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FILING DATE  20.9.1993</w:t>
      </w:r>
    </w:p>
    <w:p w:rsidR="006D0287" w:rsidRDefault="006D0287">
      <w:pPr>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6D0287" w:rsidRDefault="006D0287">
      <w:pPr>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Her Majesty The Queen</w:t>
      </w: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A.G. of Nova Scotia</w:t>
      </w: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Public Prosecution Service</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v. (23722)</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b/>
          <w:bCs/>
          <w:sz w:val="20"/>
          <w:szCs w:val="20"/>
          <w:lang w:val="en-GB"/>
        </w:rPr>
        <w:t>Gregory Donald MacLeod (N.S.)</w:t>
      </w: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Kevin Drolet</w:t>
      </w: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Nova Scotia Legal Aid</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FILING DATE  24.9.1993</w:t>
      </w:r>
    </w:p>
    <w:p w:rsidR="006D0287" w:rsidRDefault="006D0287">
      <w:pPr>
        <w:keepLines/>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6D0287" w:rsidRDefault="006D0287">
      <w:pPr>
        <w:widowControl/>
        <w:tabs>
          <w:tab w:val="left" w:pos="-1440"/>
          <w:tab w:val="left" w:pos="-720"/>
        </w:tabs>
        <w:suppressAutoHyphens/>
        <w:spacing w:line="240" w:lineRule="atLeast"/>
        <w:rPr>
          <w:sz w:val="20"/>
          <w:szCs w:val="20"/>
          <w:lang w:val="en-GB"/>
        </w:rPr>
      </w:pPr>
    </w:p>
    <w:p w:rsidR="006D0287" w:rsidRDefault="006D0287">
      <w:pPr>
        <w:widowControl/>
        <w:tabs>
          <w:tab w:val="left" w:pos="-1440"/>
          <w:tab w:val="left" w:pos="-720"/>
        </w:tabs>
        <w:suppressAutoHyphens/>
        <w:spacing w:line="240" w:lineRule="atLeast"/>
        <w:rPr>
          <w:sz w:val="20"/>
          <w:szCs w:val="20"/>
          <w:lang w:val="en-GB"/>
        </w:rPr>
      </w:pPr>
      <w:r>
        <w:rPr>
          <w:b/>
          <w:bCs/>
          <w:sz w:val="20"/>
          <w:szCs w:val="20"/>
          <w:lang w:val="en-GB"/>
        </w:rPr>
        <w:t>Philip Donovan Johnson</w:t>
      </w:r>
    </w:p>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ab/>
        <w:t>David E. Harris</w:t>
      </w:r>
    </w:p>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ab/>
        <w:t>Carter and Minden</w:t>
      </w:r>
    </w:p>
    <w:p w:rsidR="006D0287" w:rsidRDefault="006D0287">
      <w:pPr>
        <w:widowControl/>
        <w:tabs>
          <w:tab w:val="left" w:pos="-1440"/>
          <w:tab w:val="left" w:pos="-720"/>
        </w:tabs>
        <w:suppressAutoHyphens/>
        <w:spacing w:line="240" w:lineRule="atLeast"/>
        <w:rPr>
          <w:sz w:val="20"/>
          <w:szCs w:val="20"/>
          <w:lang w:val="en-GB"/>
        </w:rPr>
      </w:pPr>
    </w:p>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ab/>
        <w:t>v. (23679)</w:t>
      </w:r>
    </w:p>
    <w:p w:rsidR="006D0287" w:rsidRDefault="006D0287">
      <w:pPr>
        <w:widowControl/>
        <w:tabs>
          <w:tab w:val="left" w:pos="-1440"/>
          <w:tab w:val="left" w:pos="-720"/>
        </w:tabs>
        <w:suppressAutoHyphens/>
        <w:spacing w:line="240" w:lineRule="atLeast"/>
        <w:rPr>
          <w:sz w:val="20"/>
          <w:szCs w:val="20"/>
          <w:lang w:val="en-GB"/>
        </w:rPr>
      </w:pPr>
    </w:p>
    <w:p w:rsidR="006D0287" w:rsidRDefault="006D0287">
      <w:pPr>
        <w:widowControl/>
        <w:tabs>
          <w:tab w:val="left" w:pos="-1440"/>
          <w:tab w:val="left" w:pos="-720"/>
        </w:tabs>
        <w:suppressAutoHyphens/>
        <w:spacing w:line="240" w:lineRule="atLeast"/>
        <w:rPr>
          <w:sz w:val="20"/>
          <w:szCs w:val="20"/>
          <w:lang w:val="en-GB"/>
        </w:rPr>
      </w:pPr>
      <w:r>
        <w:rPr>
          <w:b/>
          <w:bCs/>
          <w:sz w:val="20"/>
          <w:szCs w:val="20"/>
          <w:lang w:val="en-GB"/>
        </w:rPr>
        <w:t>Her Majesty The Queen (Crim.)(Ont.)</w:t>
      </w:r>
    </w:p>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ab/>
        <w:t>Janet Gallin</w:t>
      </w:r>
    </w:p>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ab/>
        <w:t>Crown Law Office, Criminal</w:t>
      </w:r>
    </w:p>
    <w:p w:rsidR="006D0287" w:rsidRDefault="006D0287">
      <w:pPr>
        <w:widowControl/>
        <w:tabs>
          <w:tab w:val="left" w:pos="-1440"/>
          <w:tab w:val="left" w:pos="-720"/>
        </w:tabs>
        <w:suppressAutoHyphens/>
        <w:spacing w:line="240" w:lineRule="atLeast"/>
        <w:rPr>
          <w:sz w:val="20"/>
          <w:szCs w:val="20"/>
          <w:lang w:val="en-GB"/>
        </w:rPr>
      </w:pPr>
    </w:p>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FILING DATE  30.9.1993</w:t>
      </w:r>
    </w:p>
    <w:p w:rsidR="006D0287" w:rsidRDefault="006D0287">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6D0287" w:rsidRDefault="006D0287">
      <w:pPr>
        <w:widowControl/>
        <w:tabs>
          <w:tab w:val="left" w:pos="-1440"/>
          <w:tab w:val="left" w:pos="-720"/>
        </w:tabs>
        <w:suppressAutoHyphens/>
        <w:spacing w:line="240" w:lineRule="atLeast"/>
        <w:rPr>
          <w:sz w:val="20"/>
          <w:szCs w:val="20"/>
          <w:lang w:val="en-GB"/>
        </w:rPr>
      </w:pPr>
    </w:p>
    <w:p w:rsidR="006D0287" w:rsidRDefault="006D0287">
      <w:pPr>
        <w:widowControl/>
        <w:tabs>
          <w:tab w:val="left" w:pos="-1440"/>
          <w:tab w:val="left" w:pos="-720"/>
        </w:tabs>
        <w:suppressAutoHyphens/>
        <w:spacing w:line="240" w:lineRule="atLeast"/>
        <w:rPr>
          <w:sz w:val="20"/>
          <w:szCs w:val="20"/>
          <w:lang w:val="en-GB"/>
        </w:rPr>
      </w:pPr>
      <w:r>
        <w:rPr>
          <w:b/>
          <w:bCs/>
          <w:sz w:val="20"/>
          <w:szCs w:val="20"/>
          <w:lang w:val="en-GB"/>
        </w:rPr>
        <w:t>Les Services M.L. Marengère Inc.</w:t>
      </w:r>
    </w:p>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ab/>
        <w:t>Olivier Després</w:t>
      </w:r>
    </w:p>
    <w:p w:rsidR="006D0287" w:rsidRDefault="006D0287">
      <w:pPr>
        <w:widowControl/>
        <w:tabs>
          <w:tab w:val="left" w:pos="-1440"/>
          <w:tab w:val="left" w:pos="-720"/>
        </w:tabs>
        <w:suppressAutoHyphens/>
        <w:spacing w:line="240" w:lineRule="atLeast"/>
        <w:rPr>
          <w:sz w:val="20"/>
          <w:szCs w:val="20"/>
          <w:lang w:val="en-GB"/>
        </w:rPr>
      </w:pPr>
    </w:p>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ab/>
        <w:t>c. (23681)</w:t>
      </w:r>
    </w:p>
    <w:p w:rsidR="006D0287" w:rsidRDefault="006D0287">
      <w:pPr>
        <w:widowControl/>
        <w:tabs>
          <w:tab w:val="left" w:pos="-1440"/>
          <w:tab w:val="left" w:pos="-720"/>
        </w:tabs>
        <w:suppressAutoHyphens/>
        <w:spacing w:line="240" w:lineRule="atLeast"/>
        <w:rPr>
          <w:sz w:val="20"/>
          <w:szCs w:val="20"/>
          <w:lang w:val="en-GB"/>
        </w:rPr>
      </w:pPr>
    </w:p>
    <w:p w:rsidR="006D0287" w:rsidRDefault="006D0287">
      <w:pPr>
        <w:widowControl/>
        <w:tabs>
          <w:tab w:val="left" w:pos="-1440"/>
          <w:tab w:val="left" w:pos="-720"/>
        </w:tabs>
        <w:suppressAutoHyphens/>
        <w:spacing w:line="240" w:lineRule="atLeast"/>
        <w:rPr>
          <w:sz w:val="20"/>
          <w:szCs w:val="20"/>
          <w:lang w:val="en-GB"/>
        </w:rPr>
      </w:pPr>
      <w:r>
        <w:rPr>
          <w:b/>
          <w:bCs/>
          <w:sz w:val="20"/>
          <w:szCs w:val="20"/>
          <w:lang w:val="en-GB"/>
        </w:rPr>
        <w:t>Les Copropriétaires de la copropriété La Caserne &amp; als (Qué.)</w:t>
      </w:r>
    </w:p>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ab/>
        <w:t>Louis Demers</w:t>
      </w:r>
    </w:p>
    <w:p w:rsidR="006D0287" w:rsidRDefault="006D0287">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Hudon, Gendron, Harris, Thomas</w:t>
      </w:r>
    </w:p>
    <w:p w:rsidR="006D0287" w:rsidRDefault="006D0287">
      <w:pPr>
        <w:widowControl/>
        <w:tabs>
          <w:tab w:val="left" w:pos="-1440"/>
          <w:tab w:val="left" w:pos="-720"/>
        </w:tabs>
        <w:suppressAutoHyphens/>
        <w:spacing w:line="240" w:lineRule="atLeast"/>
        <w:rPr>
          <w:sz w:val="20"/>
          <w:szCs w:val="20"/>
          <w:lang w:val="en-GB"/>
        </w:rPr>
      </w:pPr>
    </w:p>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DATE DE PRODUCTION  21.9.1993</w:t>
      </w:r>
    </w:p>
    <w:p w:rsidR="006D0287" w:rsidRDefault="006D0287">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6D0287" w:rsidRDefault="006D0287">
      <w:pPr>
        <w:widowControl/>
        <w:tabs>
          <w:tab w:val="left" w:pos="-1440"/>
          <w:tab w:val="left" w:pos="-720"/>
        </w:tabs>
        <w:suppressAutoHyphens/>
        <w:spacing w:line="240" w:lineRule="atLeast"/>
        <w:rPr>
          <w:sz w:val="20"/>
          <w:szCs w:val="20"/>
          <w:lang w:val="en-GB"/>
        </w:rPr>
      </w:pPr>
    </w:p>
    <w:p w:rsidR="006D0287" w:rsidRDefault="006D0287">
      <w:pPr>
        <w:widowControl/>
        <w:tabs>
          <w:tab w:val="left" w:pos="-1440"/>
          <w:tab w:val="left" w:pos="-720"/>
        </w:tabs>
        <w:suppressAutoHyphens/>
        <w:spacing w:line="240" w:lineRule="atLeast"/>
        <w:rPr>
          <w:sz w:val="20"/>
          <w:szCs w:val="20"/>
          <w:lang w:val="en-GB"/>
        </w:rPr>
      </w:pPr>
      <w:r>
        <w:rPr>
          <w:b/>
          <w:bCs/>
          <w:sz w:val="20"/>
          <w:szCs w:val="20"/>
          <w:lang w:val="en-GB"/>
        </w:rPr>
        <w:t>William Greer</w:t>
      </w:r>
    </w:p>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ab/>
        <w:t>Francis Brabant</w:t>
      </w:r>
    </w:p>
    <w:p w:rsidR="006D0287" w:rsidRDefault="006D0287">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Girouard, Peris, Goldenberg, Pappas &amp; Brabant</w:t>
      </w:r>
    </w:p>
    <w:p w:rsidR="006D0287" w:rsidRDefault="006D0287">
      <w:pPr>
        <w:widowControl/>
        <w:tabs>
          <w:tab w:val="left" w:pos="-1440"/>
          <w:tab w:val="left" w:pos="-720"/>
        </w:tabs>
        <w:suppressAutoHyphens/>
        <w:spacing w:line="240" w:lineRule="atLeast"/>
        <w:rPr>
          <w:sz w:val="20"/>
          <w:szCs w:val="20"/>
          <w:lang w:val="en-GB"/>
        </w:rPr>
      </w:pPr>
    </w:p>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ab/>
        <w:t>c. (23724)</w:t>
      </w:r>
    </w:p>
    <w:p w:rsidR="006D0287" w:rsidRDefault="006D0287">
      <w:pPr>
        <w:widowControl/>
        <w:tabs>
          <w:tab w:val="left" w:pos="-1440"/>
          <w:tab w:val="left" w:pos="-720"/>
        </w:tabs>
        <w:suppressAutoHyphens/>
        <w:spacing w:line="240" w:lineRule="atLeast"/>
        <w:rPr>
          <w:sz w:val="20"/>
          <w:szCs w:val="20"/>
          <w:lang w:val="en-GB"/>
        </w:rPr>
      </w:pPr>
    </w:p>
    <w:p w:rsidR="006D0287" w:rsidRDefault="006D0287">
      <w:pPr>
        <w:widowControl/>
        <w:tabs>
          <w:tab w:val="left" w:pos="-1440"/>
          <w:tab w:val="left" w:pos="-720"/>
        </w:tabs>
        <w:suppressAutoHyphens/>
        <w:spacing w:line="240" w:lineRule="atLeast"/>
        <w:rPr>
          <w:sz w:val="20"/>
          <w:szCs w:val="20"/>
          <w:lang w:val="en-GB"/>
        </w:rPr>
      </w:pPr>
      <w:r>
        <w:rPr>
          <w:b/>
          <w:bCs/>
          <w:sz w:val="20"/>
          <w:szCs w:val="20"/>
          <w:lang w:val="en-GB"/>
        </w:rPr>
        <w:t>La Commission nationale des libérations conditionnelles et al. (C.A.F.)(Ont.)</w:t>
      </w:r>
    </w:p>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ab/>
        <w:t>David Lucas</w:t>
      </w:r>
    </w:p>
    <w:p w:rsidR="006D0287" w:rsidRDefault="006D0287">
      <w:pPr>
        <w:widowControl/>
        <w:tabs>
          <w:tab w:val="left" w:pos="-1440"/>
          <w:tab w:val="left" w:pos="-720"/>
        </w:tabs>
        <w:suppressAutoHyphens/>
        <w:spacing w:line="240" w:lineRule="atLeast"/>
        <w:rPr>
          <w:sz w:val="20"/>
          <w:szCs w:val="20"/>
          <w:lang w:val="en-GB"/>
        </w:rPr>
      </w:pPr>
    </w:p>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DATE DE PRODUCTION  24.9.1993</w:t>
      </w:r>
    </w:p>
    <w:p w:rsidR="006D0287" w:rsidRDefault="006D0287">
      <w:pPr>
        <w:widowControl/>
        <w:suppressAutoHyphens/>
        <w:spacing w:line="240" w:lineRule="atLeast"/>
        <w:rPr>
          <w:sz w:val="20"/>
          <w:szCs w:val="20"/>
          <w:lang w:val="en-GB"/>
        </w:rPr>
      </w:pPr>
      <w:r>
        <w:rPr>
          <w:sz w:val="20"/>
          <w:szCs w:val="20"/>
          <w:lang w:val="en-GB"/>
        </w:rPr>
        <w:tab/>
      </w:r>
      <w:r>
        <w:rPr>
          <w:sz w:val="20"/>
          <w:szCs w:val="20"/>
          <w:u w:val="single"/>
          <w:lang w:val="en-GB"/>
        </w:rPr>
        <w:t xml:space="preserve">                                          </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b/>
          <w:bCs/>
          <w:sz w:val="20"/>
          <w:szCs w:val="20"/>
          <w:lang w:val="en-GB"/>
        </w:rPr>
        <w:t>Steve Hutchins</w:t>
      </w: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Francis Brabant</w:t>
      </w:r>
    </w:p>
    <w:p w:rsidR="006D0287" w:rsidRDefault="006D0287">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Girouard, Peris, Goldenberg, Pappas &amp; Brabant</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c. (23725)</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b/>
          <w:bCs/>
          <w:sz w:val="20"/>
          <w:szCs w:val="20"/>
          <w:lang w:val="en-GB"/>
        </w:rPr>
        <w:t>La Commission nationale des libérations conditionnelles et al. (C.A.F.)(Ont.)</w:t>
      </w: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ab/>
        <w:t>David Lucas</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keepNext/>
        <w:keepLines/>
        <w:widowControl/>
        <w:tabs>
          <w:tab w:val="left" w:pos="-1440"/>
          <w:tab w:val="left" w:pos="-720"/>
        </w:tabs>
        <w:suppressAutoHyphens/>
        <w:spacing w:line="240" w:lineRule="atLeast"/>
        <w:rPr>
          <w:sz w:val="20"/>
          <w:szCs w:val="20"/>
          <w:lang w:val="en-GB"/>
        </w:rPr>
      </w:pPr>
      <w:r>
        <w:rPr>
          <w:sz w:val="20"/>
          <w:szCs w:val="20"/>
          <w:lang w:val="en-GB"/>
        </w:rPr>
        <w:t>DATE DE PRODUCTION  24.9.1993</w:t>
      </w:r>
    </w:p>
    <w:p w:rsidR="006D0287" w:rsidRDefault="006D0287">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6D0287" w:rsidRDefault="006D0287">
      <w:pPr>
        <w:keepNext/>
        <w:keepLines/>
        <w:widowControl/>
        <w:tabs>
          <w:tab w:val="left" w:pos="-1440"/>
          <w:tab w:val="left" w:pos="-720"/>
        </w:tabs>
        <w:suppressAutoHyphens/>
        <w:spacing w:line="240" w:lineRule="atLeast"/>
        <w:rPr>
          <w:sz w:val="20"/>
          <w:szCs w:val="20"/>
          <w:lang w:val="en-GB"/>
        </w:rPr>
      </w:pPr>
    </w:p>
    <w:p w:rsidR="006D0287" w:rsidRDefault="006D0287">
      <w:pPr>
        <w:widowControl/>
        <w:tabs>
          <w:tab w:val="left" w:pos="-1440"/>
          <w:tab w:val="left" w:pos="-720"/>
        </w:tabs>
        <w:suppressAutoHyphens/>
        <w:spacing w:line="240" w:lineRule="atLeast"/>
        <w:rPr>
          <w:sz w:val="20"/>
          <w:szCs w:val="20"/>
          <w:lang w:val="en-GB"/>
        </w:rPr>
      </w:pPr>
      <w:r>
        <w:rPr>
          <w:b/>
          <w:bCs/>
          <w:sz w:val="20"/>
          <w:szCs w:val="20"/>
          <w:lang w:val="en-GB"/>
        </w:rPr>
        <w:t>Jean-Yves Duchesneau</w:t>
      </w:r>
    </w:p>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ab/>
        <w:t>Lawrence Corriveau, c.r.</w:t>
      </w:r>
    </w:p>
    <w:p w:rsidR="006D0287" w:rsidRDefault="006D0287">
      <w:pPr>
        <w:widowControl/>
        <w:tabs>
          <w:tab w:val="left" w:pos="-1440"/>
          <w:tab w:val="left" w:pos="-720"/>
        </w:tabs>
        <w:suppressAutoHyphens/>
        <w:spacing w:line="240" w:lineRule="atLeast"/>
        <w:rPr>
          <w:sz w:val="20"/>
          <w:szCs w:val="20"/>
          <w:lang w:val="en-GB"/>
        </w:rPr>
      </w:pPr>
    </w:p>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ab/>
        <w:t>c. (23716)</w:t>
      </w:r>
    </w:p>
    <w:p w:rsidR="006D0287" w:rsidRDefault="006D0287">
      <w:pPr>
        <w:widowControl/>
        <w:tabs>
          <w:tab w:val="left" w:pos="-1440"/>
          <w:tab w:val="left" w:pos="-720"/>
        </w:tabs>
        <w:suppressAutoHyphens/>
        <w:spacing w:line="240" w:lineRule="atLeast"/>
        <w:rPr>
          <w:sz w:val="20"/>
          <w:szCs w:val="20"/>
          <w:lang w:val="en-GB"/>
        </w:rPr>
      </w:pPr>
    </w:p>
    <w:p w:rsidR="006D0287" w:rsidRDefault="006D0287">
      <w:pPr>
        <w:widowControl/>
        <w:tabs>
          <w:tab w:val="left" w:pos="-1440"/>
          <w:tab w:val="left" w:pos="-720"/>
        </w:tabs>
        <w:suppressAutoHyphens/>
        <w:spacing w:line="240" w:lineRule="atLeast"/>
        <w:rPr>
          <w:sz w:val="20"/>
          <w:szCs w:val="20"/>
          <w:lang w:val="en-GB"/>
        </w:rPr>
      </w:pPr>
      <w:r>
        <w:rPr>
          <w:b/>
          <w:bCs/>
          <w:sz w:val="20"/>
          <w:szCs w:val="20"/>
          <w:lang w:val="en-GB"/>
        </w:rPr>
        <w:t>Sa Majesté La Reine (Qué.)</w:t>
      </w:r>
    </w:p>
    <w:p w:rsidR="006D0287" w:rsidRDefault="006D0287">
      <w:pPr>
        <w:widowControl/>
        <w:tabs>
          <w:tab w:val="left" w:pos="-1440"/>
          <w:tab w:val="left" w:pos="-720"/>
        </w:tabs>
        <w:suppressAutoHyphens/>
        <w:spacing w:line="240" w:lineRule="atLeast"/>
        <w:rPr>
          <w:sz w:val="20"/>
          <w:szCs w:val="20"/>
          <w:lang w:val="en-GB"/>
        </w:rPr>
      </w:pPr>
    </w:p>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DATE DE PRODUCTION  27.9.1993</w:t>
      </w:r>
    </w:p>
    <w:p w:rsidR="006D0287" w:rsidRDefault="006D0287">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6D0287" w:rsidRDefault="006D0287">
      <w:pPr>
        <w:widowControl/>
        <w:tabs>
          <w:tab w:val="left" w:pos="-1440"/>
          <w:tab w:val="left" w:pos="-720"/>
        </w:tabs>
        <w:suppressAutoHyphens/>
        <w:spacing w:line="240" w:lineRule="atLeast"/>
        <w:rPr>
          <w:sz w:val="20"/>
          <w:szCs w:val="20"/>
          <w:lang w:val="en-GB"/>
        </w:rPr>
      </w:pPr>
    </w:p>
    <w:p w:rsidR="006D0287" w:rsidRDefault="006D0287">
      <w:pPr>
        <w:widowControl/>
        <w:tabs>
          <w:tab w:val="left" w:pos="-1440"/>
          <w:tab w:val="left" w:pos="-720"/>
        </w:tabs>
        <w:suppressAutoHyphens/>
        <w:spacing w:line="240" w:lineRule="atLeast"/>
        <w:rPr>
          <w:sz w:val="20"/>
          <w:szCs w:val="20"/>
          <w:lang w:val="en-GB"/>
        </w:rPr>
        <w:sectPr w:rsidR="006D0287">
          <w:type w:val="continuous"/>
          <w:pgSz w:w="12240" w:h="15840"/>
          <w:pgMar w:top="720" w:right="1680" w:bottom="960" w:left="1080" w:header="720" w:footer="960" w:gutter="0"/>
          <w:cols w:num="2" w:space="1200" w:equalWidth="0">
            <w:col w:w="4200" w:space="1200"/>
            <w:col w:w="4080"/>
          </w:cols>
          <w:noEndnote/>
        </w:sectPr>
      </w:pPr>
      <w:r>
        <w:rPr>
          <w:sz w:val="20"/>
          <w:szCs w:val="20"/>
          <w:lang w:val="en-GB"/>
        </w:rPr>
        <w:br w:type="column"/>
      </w:r>
    </w:p>
    <w:p w:rsidR="006D0287" w:rsidRDefault="006D0287">
      <w:pPr>
        <w:widowControl/>
        <w:tabs>
          <w:tab w:val="left" w:pos="-1440"/>
          <w:tab w:val="left" w:pos="-720"/>
        </w:tabs>
        <w:suppressAutoHyphens/>
        <w:spacing w:line="240" w:lineRule="atLeast"/>
        <w:rPr>
          <w:sz w:val="20"/>
          <w:szCs w:val="20"/>
          <w:lang w:val="en-GB"/>
        </w:rPr>
        <w:sectPr w:rsidR="006D0287">
          <w:type w:val="continuous"/>
          <w:pgSz w:w="12240" w:h="15840"/>
          <w:pgMar w:top="720" w:right="1680" w:bottom="960" w:left="1080" w:header="720" w:footer="960" w:gutter="0"/>
          <w:pgNumType w:start="1747"/>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6D0287" w:rsidRDefault="006D0287">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6D0287" w:rsidRDefault="006D0287">
      <w:pPr>
        <w:widowControl/>
        <w:tabs>
          <w:tab w:val="left" w:pos="-1440"/>
          <w:tab w:val="left" w:pos="-720"/>
        </w:tabs>
        <w:suppressAutoHyphens/>
        <w:spacing w:line="240" w:lineRule="atLeast"/>
        <w:rPr>
          <w:sz w:val="20"/>
          <w:szCs w:val="20"/>
          <w:lang w:val="en-GB"/>
        </w:rPr>
      </w:pPr>
    </w:p>
    <w:p w:rsidR="006D0287" w:rsidRDefault="006D0287">
      <w:pPr>
        <w:widowControl/>
        <w:tabs>
          <w:tab w:val="left" w:pos="-1440"/>
          <w:tab w:val="left" w:pos="-720"/>
        </w:tabs>
        <w:suppressAutoHyphens/>
        <w:spacing w:line="240" w:lineRule="atLeast"/>
        <w:rPr>
          <w:b/>
          <w:bCs/>
          <w:sz w:val="20"/>
          <w:szCs w:val="20"/>
          <w:lang w:val="en-GB"/>
        </w:rPr>
      </w:pPr>
      <w:r>
        <w:rPr>
          <w:sz w:val="20"/>
          <w:szCs w:val="20"/>
          <w:u w:val="single"/>
          <w:lang w:val="en-GB"/>
        </w:rPr>
        <w:t xml:space="preserve">                                                                                                                                               </w:t>
      </w:r>
      <w:r>
        <w:rPr>
          <w:b/>
          <w:bCs/>
          <w:sz w:val="20"/>
          <w:szCs w:val="20"/>
          <w:lang w:val="en-GB"/>
        </w:rPr>
        <w:t>OCTOBER 6, 1993 / LE 6 OCTOBRE 1993</w:t>
      </w:r>
    </w:p>
    <w:p w:rsidR="006D0287" w:rsidRDefault="006D0287">
      <w:pPr>
        <w:widowControl/>
        <w:tabs>
          <w:tab w:val="left" w:pos="-1440"/>
          <w:tab w:val="left" w:pos="-720"/>
        </w:tabs>
        <w:suppressAutoHyphens/>
        <w:spacing w:line="240" w:lineRule="atLeast"/>
        <w:rPr>
          <w:b/>
          <w:bCs/>
          <w:sz w:val="20"/>
          <w:szCs w:val="20"/>
          <w:lang w:val="en-GB"/>
        </w:rPr>
      </w:pPr>
    </w:p>
    <w:p w:rsidR="006D0287" w:rsidRDefault="006D0287">
      <w:pPr>
        <w:widowControl/>
        <w:tabs>
          <w:tab w:val="left" w:pos="-1440"/>
          <w:tab w:val="left" w:pos="-720"/>
        </w:tabs>
        <w:suppressAutoHyphens/>
        <w:spacing w:line="240" w:lineRule="atLeast"/>
        <w:jc w:val="center"/>
        <w:rPr>
          <w:b/>
          <w:bCs/>
          <w:sz w:val="20"/>
          <w:szCs w:val="20"/>
          <w:lang w:val="en-GB"/>
        </w:rPr>
      </w:pPr>
      <w:r>
        <w:rPr>
          <w:b/>
          <w:bCs/>
          <w:sz w:val="20"/>
          <w:szCs w:val="20"/>
          <w:lang w:val="en-GB"/>
        </w:rPr>
        <w:t>CORAM:  THE CHIEF JUSTICE LAMER AND McLACHLIN AND MAJOR JJ. /</w:t>
      </w:r>
    </w:p>
    <w:p w:rsidR="006D0287" w:rsidRDefault="006D0287">
      <w:pPr>
        <w:widowControl/>
        <w:tabs>
          <w:tab w:val="left" w:pos="-1440"/>
          <w:tab w:val="left" w:pos="-720"/>
        </w:tabs>
        <w:suppressAutoHyphens/>
        <w:spacing w:line="240" w:lineRule="atLeast"/>
        <w:jc w:val="center"/>
        <w:rPr>
          <w:sz w:val="20"/>
          <w:szCs w:val="20"/>
          <w:lang w:val="en-GB"/>
        </w:rPr>
      </w:pPr>
      <w:r>
        <w:rPr>
          <w:b/>
          <w:bCs/>
          <w:sz w:val="20"/>
          <w:szCs w:val="20"/>
          <w:lang w:val="en-GB"/>
        </w:rPr>
        <w:t>LE JUGE EN CHEF LAMER ET LES JUGES McLACHLIN ET MAJOR</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Kyle Wayne Unger</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(23697)</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(Crim.)(Man.)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Evidence - Detention - Pre-trial procedure - Police - Admissibility of evidence - Participant surveillance - Applicant induced to admit murder during a police undercover operation - Whether the design and implementation of a police undercover operation is reviewable under s. 7 of the </w:t>
      </w:r>
      <w:r>
        <w:rPr>
          <w:i/>
          <w:iCs/>
          <w:spacing w:val="-2"/>
          <w:sz w:val="20"/>
          <w:szCs w:val="20"/>
          <w:lang w:val="en-GB"/>
        </w:rPr>
        <w:t xml:space="preserve"> Charter</w:t>
      </w:r>
      <w:r>
        <w:rPr>
          <w:spacing w:val="-2"/>
          <w:sz w:val="20"/>
          <w:szCs w:val="20"/>
          <w:lang w:val="en-GB"/>
        </w:rPr>
        <w:t xml:space="preserve">? -If so, under what circumstances will an undercover operation violate s. 7? - Do the provisions of Part VI of the </w:t>
      </w:r>
      <w:r>
        <w:rPr>
          <w:i/>
          <w:iCs/>
          <w:spacing w:val="-2"/>
          <w:sz w:val="20"/>
          <w:szCs w:val="20"/>
          <w:lang w:val="en-GB"/>
        </w:rPr>
        <w:t>Criminal Code</w:t>
      </w:r>
      <w:r>
        <w:rPr>
          <w:spacing w:val="-2"/>
          <w:sz w:val="20"/>
          <w:szCs w:val="20"/>
          <w:lang w:val="en-GB"/>
        </w:rPr>
        <w:t xml:space="preserve">, which govern the interception of private communications, apply to wiretap authorizations obtained for participant surveillance operations? - If so, does the absence of compliance with the </w:t>
      </w:r>
      <w:r>
        <w:rPr>
          <w:i/>
          <w:iCs/>
          <w:spacing w:val="-2"/>
          <w:sz w:val="20"/>
          <w:szCs w:val="20"/>
          <w:lang w:val="en-GB"/>
        </w:rPr>
        <w:t>Criminal Code</w:t>
      </w:r>
      <w:r>
        <w:rPr>
          <w:spacing w:val="-2"/>
          <w:sz w:val="20"/>
          <w:szCs w:val="20"/>
          <w:lang w:val="en-GB"/>
        </w:rPr>
        <w:t xml:space="preserve"> provisions result in automatic exclusion of the evidence pursuant to s. 189 of the </w:t>
      </w:r>
      <w:r>
        <w:rPr>
          <w:i/>
          <w:iCs/>
          <w:spacing w:val="-2"/>
          <w:sz w:val="20"/>
          <w:szCs w:val="20"/>
          <w:lang w:val="en-GB"/>
        </w:rPr>
        <w:t>Criminal Code</w:t>
      </w:r>
      <w:r>
        <w:rPr>
          <w:spacing w:val="-2"/>
          <w:sz w:val="20"/>
          <w:szCs w:val="20"/>
          <w:lang w:val="en-GB"/>
        </w:rPr>
        <w:t xml:space="preserve">, or is the issue of admissibility considered under s. 24(2) of the </w:t>
      </w:r>
      <w:r>
        <w:rPr>
          <w:i/>
          <w:iCs/>
          <w:spacing w:val="-2"/>
          <w:sz w:val="20"/>
          <w:szCs w:val="20"/>
          <w:lang w:val="en-GB"/>
        </w:rPr>
        <w:t>Charter</w:t>
      </w:r>
      <w:r>
        <w:rPr>
          <w:spacing w:val="-2"/>
          <w:sz w:val="20"/>
          <w:szCs w:val="20"/>
          <w:lang w:val="en-GB"/>
        </w:rPr>
        <w: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29, 1992</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for Manitoba</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(Hewak J.)</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first degree murder</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7, 1993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Manitoba</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(Scott C.J.M., Huband and Helper JJ.A.)</w:t>
            </w:r>
          </w:p>
        </w:tc>
        <w:tc>
          <w:tcPr>
            <w:tcW w:w="5280" w:type="dxa"/>
            <w:tcBorders>
              <w:top w:val="nil"/>
              <w:left w:val="nil"/>
              <w:bottom w:val="nil"/>
              <w:right w:val="nil"/>
            </w:tcBorders>
          </w:tcPr>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8, 1993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Elaine Schachtschneider</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(23698)</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(F.C.A.)</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Taxation - Income tax - Interpretation - Whether s. 118(1)(b) of the Income Tax Act discriminates against married couples on basis that couples living "common law" with children can claim equivalent to married tax credit - Right to freedom of religion - Right to equality under s. 15 of the </w:t>
      </w:r>
      <w:r>
        <w:rPr>
          <w:i/>
          <w:iCs/>
          <w:spacing w:val="-2"/>
          <w:sz w:val="20"/>
          <w:szCs w:val="20"/>
          <w:lang w:val="en-GB"/>
        </w:rPr>
        <w:t>Charter</w:t>
      </w:r>
      <w:r>
        <w:rPr>
          <w:spacing w:val="-2"/>
          <w:sz w:val="20"/>
          <w:szCs w:val="20"/>
          <w:lang w:val="en-GB"/>
        </w:rPr>
        <w:t xml:space="preserve"> - Analogous grounds and enumerated grounds.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PROCEDURAL HISTORY</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6, 1991</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Tax Court of Canada</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(King D.J.)</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appeal against assessment for the 1989 taxation year dismissed</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6, 1993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(Mahoney and Linden JJ.A. and Gray D.J.)</w:t>
            </w:r>
          </w:p>
        </w:tc>
        <w:tc>
          <w:tcPr>
            <w:tcW w:w="5280" w:type="dxa"/>
            <w:tcBorders>
              <w:top w:val="nil"/>
              <w:left w:val="nil"/>
              <w:bottom w:val="nil"/>
              <w:right w:val="nil"/>
            </w:tcBorders>
          </w:tcPr>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judicial review dismissed</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7, 1993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Valerie A. Clover</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(23692)</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James B. Hurley (B.C.)</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Procedural law - Torts - Statutes - Interpretation - Negligence - Prescription - Applicant bringing action in negligence against Respondent for medical malpractice - Respondent making application to strike out the Statement of Claim - Whether the Courts erred in barring the Applicant's action because of the six-year limitation period of s. 8(1) of the </w:t>
      </w:r>
      <w:r>
        <w:rPr>
          <w:i/>
          <w:iCs/>
          <w:spacing w:val="-2"/>
          <w:sz w:val="20"/>
          <w:szCs w:val="20"/>
          <w:lang w:val="en-GB"/>
        </w:rPr>
        <w:t>Limitation Act</w:t>
      </w:r>
      <w:r>
        <w:rPr>
          <w:spacing w:val="-2"/>
          <w:sz w:val="20"/>
          <w:szCs w:val="20"/>
          <w:lang w:val="en-GB"/>
        </w:rPr>
        <w:t xml:space="preserve">, R.S.B.C. 1979, c. 236.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24, 1991</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(Murphy J.)</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 application to strike out Statement of Claim allowed and Applicant's action dismissed</w:t>
            </w:r>
          </w:p>
        </w:tc>
      </w:tr>
    </w:tbl>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18, 1993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(Southin, Legg and Taylor JJ.A.)</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30, 1993</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center"/>
        <w:rPr>
          <w:b/>
          <w:bCs/>
          <w:sz w:val="20"/>
          <w:szCs w:val="20"/>
          <w:lang w:val="en-GB"/>
        </w:rPr>
      </w:pPr>
      <w:r>
        <w:rPr>
          <w:spacing w:val="-2"/>
          <w:sz w:val="20"/>
          <w:szCs w:val="20"/>
          <w:lang w:val="en-GB"/>
        </w:rPr>
        <w:br w:type="page"/>
      </w:r>
      <w:r>
        <w:rPr>
          <w:b/>
          <w:bCs/>
          <w:sz w:val="20"/>
          <w:szCs w:val="20"/>
          <w:lang w:val="en-GB"/>
        </w:rPr>
        <w:lastRenderedPageBreak/>
        <w:t>CORAM:  LA FOREST, CORY AND IACOBUCCI JJ. /</w:t>
      </w:r>
    </w:p>
    <w:p w:rsidR="006D0287" w:rsidRDefault="006D0287">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CORY ET IACOBUCCI</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Frederick W.L. Black, NsC Corporation Limited</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(23686)</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Ernst &amp; Young Inc., Trustee of the Estate of the</w:t>
      </w: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Bankrupt, NsC Diesel Power Incorporated (N.S.)</w:t>
      </w:r>
    </w:p>
    <w:p w:rsidR="006D0287" w:rsidRDefault="006D0287">
      <w:pPr>
        <w:widowControl/>
        <w:tabs>
          <w:tab w:val="left" w:pos="-1440"/>
          <w:tab w:val="left" w:pos="-720"/>
        </w:tabs>
        <w:suppressAutoHyphens/>
        <w:spacing w:line="240" w:lineRule="atLeast"/>
        <w:jc w:val="both"/>
        <w:rPr>
          <w:b/>
          <w:bCs/>
          <w:spacing w:val="-2"/>
          <w:sz w:val="20"/>
          <w:szCs w:val="20"/>
          <w:u w:val="single"/>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Procedural law - Pre-trial procedure - Barristers and solicitors - Applicant Black, not being an attorney, representing Applicant NsC Corporation in proceedings relating to bankruptcy of NsC Diesel - Respondent making application for a declaration to have the Applicant removed as attorney and for an order staying proceedings until counsel engaged - Applicant Black applying for intervenor status on the ground that Respondent's application was not properly served - Whether the Court of Appeal exercised proper judgment in considering the bankruptcy judge's discretionary decision - Whether the Courts erred in considering matters respecting the role of the Applicant Black in the affairs of the Applicant NsC Corporation, and the rights and duties of the Applicants pursuant to the </w:t>
      </w:r>
      <w:r>
        <w:rPr>
          <w:i/>
          <w:iCs/>
          <w:spacing w:val="-2"/>
          <w:sz w:val="20"/>
          <w:szCs w:val="20"/>
          <w:lang w:val="en-GB"/>
        </w:rPr>
        <w:t>Canadian Charter of Rights and Freedoms</w:t>
      </w:r>
      <w:r>
        <w:rPr>
          <w:spacing w:val="-2"/>
          <w:sz w:val="20"/>
          <w:szCs w:val="20"/>
          <w:lang w:val="en-GB"/>
        </w:rPr>
        <w:t xml:space="preserve">, the </w:t>
      </w:r>
      <w:r>
        <w:rPr>
          <w:i/>
          <w:iCs/>
          <w:spacing w:val="-2"/>
          <w:sz w:val="20"/>
          <w:szCs w:val="20"/>
          <w:lang w:val="en-GB"/>
        </w:rPr>
        <w:t>Constitution Act, 1982</w:t>
      </w:r>
      <w:r>
        <w:rPr>
          <w:spacing w:val="-2"/>
          <w:sz w:val="20"/>
          <w:szCs w:val="20"/>
          <w:lang w:val="en-GB"/>
        </w:rPr>
        <w:t xml:space="preserve">, and the </w:t>
      </w:r>
      <w:r>
        <w:rPr>
          <w:i/>
          <w:iCs/>
          <w:spacing w:val="-2"/>
          <w:sz w:val="20"/>
          <w:szCs w:val="20"/>
          <w:lang w:val="en-GB"/>
        </w:rPr>
        <w:t>Canadian Bill of Rights</w:t>
      </w:r>
      <w:r>
        <w:rPr>
          <w:spacing w:val="-2"/>
          <w:sz w:val="20"/>
          <w:szCs w:val="20"/>
          <w:lang w:val="en-GB"/>
        </w:rPr>
        <w:t xml:space="preserve"> - Whether the Court of Appeal erred in considering the prejudice visited on the Applicants.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12, 1993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Nova Scotia in Bankruptcy</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(Boudreau J.)</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 application to have Applicant Black removed as attorney allowed and stay of proceedings ordered; Applicant Black's application for intervenor status dismissed.</w:t>
            </w:r>
          </w:p>
        </w:tc>
      </w:tr>
    </w:tbl>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22, 1993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Nova Scotia</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(Matthews, Hart and Chipman JJ.A.)</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13, 1993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(Iacobucci J.)</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Motion for stay of execution dismissed</w:t>
            </w:r>
          </w:p>
        </w:tc>
      </w:tr>
    </w:tbl>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20, 1993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center" w:pos="4740"/>
        </w:tabs>
        <w:suppressAutoHyphens/>
        <w:spacing w:line="240" w:lineRule="atLeast"/>
        <w:jc w:val="both"/>
        <w:rPr>
          <w:b/>
          <w:bCs/>
          <w:spacing w:val="-2"/>
          <w:sz w:val="16"/>
          <w:szCs w:val="16"/>
          <w:lang w:val="en-GB"/>
        </w:rPr>
      </w:pPr>
      <w:r>
        <w:rPr>
          <w:spacing w:val="-2"/>
          <w:sz w:val="20"/>
          <w:szCs w:val="20"/>
          <w:lang w:val="en-GB"/>
        </w:rPr>
        <w:br w:type="page"/>
      </w:r>
      <w:r>
        <w:rPr>
          <w:b/>
          <w:bCs/>
          <w:spacing w:val="-2"/>
          <w:sz w:val="20"/>
          <w:szCs w:val="20"/>
          <w:lang w:val="en-GB"/>
        </w:rPr>
        <w:lastRenderedPageBreak/>
        <w:tab/>
        <w:t xml:space="preserve">Anne Marie Mumford, </w:t>
      </w:r>
      <w:r>
        <w:rPr>
          <w:b/>
          <w:bCs/>
          <w:spacing w:val="-2"/>
          <w:sz w:val="16"/>
          <w:szCs w:val="16"/>
          <w:lang w:val="en-GB"/>
        </w:rPr>
        <w:t xml:space="preserve">an infant who sues by her mother </w:t>
      </w: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16"/>
          <w:szCs w:val="16"/>
          <w:lang w:val="en-GB"/>
        </w:rPr>
        <w:tab/>
        <w:t>and next friend Frances Mumford, and</w:t>
      </w:r>
      <w:r>
        <w:rPr>
          <w:b/>
          <w:bCs/>
          <w:spacing w:val="-2"/>
          <w:sz w:val="20"/>
          <w:szCs w:val="20"/>
          <w:lang w:val="en-GB"/>
        </w:rPr>
        <w:t xml:space="preserve"> Frances Mumford</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(23715)</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Health Sciences Centre and Dr. Charles Ferguson,</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and</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St. Boniface General Hospital, Dr. David Grewar and Dr. Leonard Greenberg,</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and</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Dr. Maurice C. Crocker and Dr. William Tweed,</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and</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St. Boniface General Hospital, Dr. Paraskevopulos and Dr. L. Khan,</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and</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Dr. Chubathy (Man.)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Torts - Negligence - Physicians and surgeons - Interpretation - Standard of care - Whether the Respondents were negligent in not diagnosing the child's illness which resulted in her undergoing two operations or, if they diagnosed the child properly, whether they were negligent in taking so long in doing so - Child permanently disabled following cardiac arrest during the second operation - Whether the Manitoba Court of Appeal erred in interpreting and applying the principle of law of causation as pertaining to medical malpractice cases, which principles were enunciated by this Court in the decision of </w:t>
      </w:r>
      <w:r>
        <w:rPr>
          <w:i/>
          <w:iCs/>
          <w:spacing w:val="-2"/>
          <w:sz w:val="20"/>
          <w:szCs w:val="20"/>
          <w:lang w:val="en-GB"/>
        </w:rPr>
        <w:t>Farrell v. Snell</w:t>
      </w:r>
      <w:r>
        <w:rPr>
          <w:spacing w:val="-2"/>
          <w:sz w:val="20"/>
          <w:szCs w:val="20"/>
          <w:lang w:val="en-GB"/>
        </w:rPr>
        <w:t>, [1990] 2 S.C.R. 311.</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13, 1991</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Manitoba</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(Monnin J.)</w:t>
            </w:r>
          </w:p>
        </w:tc>
        <w:tc>
          <w:tcPr>
            <w:tcW w:w="5280" w:type="dxa"/>
            <w:tcBorders>
              <w:top w:val="nil"/>
              <w:left w:val="nil"/>
              <w:bottom w:val="nil"/>
              <w:right w:val="nil"/>
            </w:tcBorders>
          </w:tcPr>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action in negligence dismissed</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28, 1993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of Manitoba</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(Philp, Twaddle and Helper, JJ.A.)</w:t>
            </w:r>
          </w:p>
        </w:tc>
        <w:tc>
          <w:tcPr>
            <w:tcW w:w="5280" w:type="dxa"/>
            <w:tcBorders>
              <w:top w:val="nil"/>
              <w:left w:val="nil"/>
              <w:bottom w:val="nil"/>
              <w:right w:val="nil"/>
            </w:tcBorders>
          </w:tcPr>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15, 1993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Mostafa Zohiri</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(23701)</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Abdelaziz Bentaleb (Alta.)</w:t>
      </w:r>
    </w:p>
    <w:p w:rsidR="006D0287" w:rsidRDefault="006D0287">
      <w:pPr>
        <w:widowControl/>
        <w:tabs>
          <w:tab w:val="left" w:pos="-1440"/>
          <w:tab w:val="left" w:pos="-720"/>
        </w:tabs>
        <w:suppressAutoHyphens/>
        <w:spacing w:line="240" w:lineRule="atLeast"/>
        <w:jc w:val="both"/>
        <w:rPr>
          <w:b/>
          <w:bCs/>
          <w:spacing w:val="-2"/>
          <w:sz w:val="20"/>
          <w:szCs w:val="20"/>
          <w:u w:val="single"/>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Procedural law - Commercial law - Contract - Evidence - Damages - Applicant's claim for money owing on a construction contract dismissed - Respondent's counterclaim for costs of interim financing and loss of rental allowed - Whether a judgment that is tainted with fraud or obtained by the concealment of evidence should be allowed to stand - Whether a conviction for perjury is required in order to have a judgment set aside on the grounds of fraud - Application of the "due diligence" test for the admission of new evidence when the new evidence relates to fraud or untruthful evidence - Extent of the duty on a trial judge to explain in his reasons for judgment his award of damages in a case where there are several heads of damages in the claim and counter-claim - Whether a penalty clause in a contract is enforceable.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25, 1992</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Alberta</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(Deyell J.)</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claim dismissed; Respondent's counter-claim allowed</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10, 1993</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Alberta</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(Kerans, Foisy and McFadyen JJ.A.)</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 in part and amount awarded to Respondent reduced</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8, 1993</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center"/>
        <w:rPr>
          <w:b/>
          <w:bCs/>
          <w:sz w:val="20"/>
          <w:szCs w:val="20"/>
          <w:lang w:val="en-GB"/>
        </w:rPr>
      </w:pPr>
      <w:r>
        <w:rPr>
          <w:b/>
          <w:bCs/>
          <w:sz w:val="20"/>
          <w:szCs w:val="20"/>
          <w:lang w:val="en-GB"/>
        </w:rPr>
        <w:t>CORAM:  L'HEUREUX-DUBÉ, SOPINKA AND GONTHIER JJ. /</w:t>
      </w:r>
    </w:p>
    <w:p w:rsidR="006D0287" w:rsidRDefault="006D0287">
      <w:pPr>
        <w:widowControl/>
        <w:tabs>
          <w:tab w:val="left" w:pos="-1440"/>
          <w:tab w:val="left" w:pos="-720"/>
        </w:tabs>
        <w:suppressAutoHyphens/>
        <w:spacing w:line="240" w:lineRule="atLeast"/>
        <w:jc w:val="center"/>
        <w:rPr>
          <w:sz w:val="20"/>
          <w:szCs w:val="20"/>
          <w:lang w:val="en-GB"/>
        </w:rPr>
      </w:pPr>
      <w:r>
        <w:rPr>
          <w:b/>
          <w:bCs/>
          <w:sz w:val="20"/>
          <w:szCs w:val="20"/>
          <w:lang w:val="en-GB"/>
        </w:rPr>
        <w:t>LES JUGES L'HEUREUX-DUBÉ, SOPINKA ET GONTHIER</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Guy Henri Godin</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(23702)</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La Société Canadienne de la Croix-Rouge et</w:t>
      </w: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Procureur Général du Québec (Qué.)</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Procédure - Procédure civile - Actions - Prescription - Recours collectif - Responsabilité délictuelle et responsabilité contractuelle - Recours collectif visant les hémophiles devenus infectés par le virus du sida suite au traitement de leur maladie à l'aide de produits sanguins contaminés - Rôle des tribunaux à l'égard d'un argument de prescription soulevé au stade préliminaire de la requête en autorisation d'exercer un recours collectif - Le recours du demandeur est-il prescrit? - Les critères prévus à l'art. 1003 du </w:t>
      </w:r>
      <w:r>
        <w:rPr>
          <w:i/>
          <w:iCs/>
          <w:spacing w:val="-2"/>
          <w:sz w:val="20"/>
          <w:szCs w:val="20"/>
          <w:lang w:val="en-GB"/>
        </w:rPr>
        <w:t>Code de procédure civile</w:t>
      </w:r>
      <w:r>
        <w:rPr>
          <w:spacing w:val="-2"/>
          <w:sz w:val="20"/>
          <w:szCs w:val="20"/>
          <w:lang w:val="en-GB"/>
        </w:rPr>
        <w:t>, L.R.Q. 1977, ch. C-25, sont-ils tous rencontrés?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Le 10 août 1992</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(Bélanger j.c.s.)</w:t>
            </w:r>
          </w:p>
        </w:tc>
        <w:tc>
          <w:tcPr>
            <w:tcW w:w="5280" w:type="dxa"/>
            <w:tcBorders>
              <w:top w:val="nil"/>
              <w:left w:val="nil"/>
              <w:bottom w:val="nil"/>
              <w:right w:val="nil"/>
            </w:tcBorders>
          </w:tcPr>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en autorisation d'exercer un recours collectif rejetée</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10 mai 1993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(Vallerand, Deschamps et Delisle jj.c.a.)</w:t>
            </w:r>
          </w:p>
        </w:tc>
        <w:tc>
          <w:tcPr>
            <w:tcW w:w="5280" w:type="dxa"/>
            <w:tcBorders>
              <w:top w:val="nil"/>
              <w:left w:val="nil"/>
              <w:bottom w:val="nil"/>
              <w:right w:val="nil"/>
            </w:tcBorders>
          </w:tcPr>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rejeté</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9 septembre 1993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La Corporation Eagle Lumber Limitée</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(23704)</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Bock &amp; Tétreau Inc. (Qué.)</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commercial - Code civil - Contrats - Interprétation - Véritable intention des parties -Voile corporatif - Conclusion d'une convention de consultation pour éteindre une dette résultant de la réorganisation et du partage d'entreprises - Exception d'inexécution - La Cour d'appel du Québec a-t-elle erré en droit en ne tenant pas compte des obligations assumées par l'intimée alors que rien ne le lui permettait et que la convention de consultation constituait la pierre angulaire de la réclamation? - La Cour d'appel a-t-elle erré en droit en déplaçant le cadre de la convention pour examiner la totalité des opérations entre les frères Bock, personnes physiques qui n'étaient pas parties au litige? - La Cour d'appel a-t-elle erré en droit en levant le voile corporatif de sa propre initiative et en condamnant la demanderesse à payer des sommes qui seraient dues par son actionnaire?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4 décembre 1987</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(Frenette J.C.S.)</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 de la demanderesse en résiliation de contrat accueillie</w:t>
            </w:r>
          </w:p>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 de l'intimée en dommages-intérêts  accueillie en partie</w:t>
            </w:r>
          </w:p>
          <w:p w:rsidR="006D0287" w:rsidRDefault="006D0287">
            <w:pPr>
              <w:widowControl/>
              <w:tabs>
                <w:tab w:val="left" w:pos="-1440"/>
                <w:tab w:val="left" w:pos="-720"/>
              </w:tabs>
              <w:suppressAutoHyphens/>
              <w:spacing w:line="240" w:lineRule="atLeast"/>
              <w:jc w:val="both"/>
              <w:rPr>
                <w:spacing w:val="-2"/>
                <w:sz w:val="20"/>
                <w:szCs w:val="20"/>
                <w:lang w:val="en-GB"/>
              </w:rPr>
            </w:pPr>
          </w:p>
        </w:tc>
      </w:tr>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10 mai 1993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(Vallerand, Baudouin et Fish JJ.C.A.)</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de l'intimée accueilli</w:t>
            </w:r>
          </w:p>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reconventionnelle de la demanderesse rejetée</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10 septembre 1993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center" w:pos="474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ab/>
        <w:t>Audrey Hill</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(23650)</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Registrar, South Alberta Land Registration District (Alta.)</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Procedural law - Statutes - Interpretation - Limitation of actions - Applicant claiming compensation from the Land Titles Assurance Fund following deprivation of land by the registration of another person as owner of the land - When is a person deprived of an estate or interest in land entitled to compensation from the Fund - When does the six year limitation period start to run for a person seeking compensation from the Fund - Whether the discoverability rule as set out in </w:t>
      </w:r>
      <w:r>
        <w:rPr>
          <w:i/>
          <w:iCs/>
          <w:spacing w:val="-2"/>
          <w:sz w:val="20"/>
          <w:szCs w:val="20"/>
          <w:lang w:val="en-GB"/>
        </w:rPr>
        <w:t>Central Trust v. Rafuse</w:t>
      </w:r>
      <w:r>
        <w:rPr>
          <w:spacing w:val="-2"/>
          <w:sz w:val="20"/>
          <w:szCs w:val="20"/>
          <w:lang w:val="en-GB"/>
        </w:rPr>
        <w:t xml:space="preserve">, [1986] 2 S.C.R. 147, applies to the provisions of the </w:t>
      </w:r>
      <w:r>
        <w:rPr>
          <w:i/>
          <w:iCs/>
          <w:spacing w:val="-2"/>
          <w:sz w:val="20"/>
          <w:szCs w:val="20"/>
          <w:lang w:val="en-GB"/>
        </w:rPr>
        <w:t>Land Titles Act</w:t>
      </w:r>
      <w:r>
        <w:rPr>
          <w:spacing w:val="-2"/>
          <w:sz w:val="20"/>
          <w:szCs w:val="20"/>
          <w:lang w:val="en-GB"/>
        </w:rPr>
        <w:t>, R.S.A. 1980, c. LR-5, providing for compensation under the Land Titles Assurance Fund.</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25, 1991</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Alberta</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(Rawlins J.)</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Applicant's claim for compensation allowed</w:t>
            </w:r>
          </w:p>
        </w:tc>
      </w:tr>
    </w:tbl>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March 3, 1993 </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Alberta</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(McClung, Irving and Coté JJ.A.)</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3, 1993</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sectPr w:rsidR="006D0287">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b/>
                <w:bCs/>
                <w:spacing w:val="-3"/>
                <w:lang w:val="en-GB"/>
              </w:rPr>
            </w:pPr>
            <w:r>
              <w:rPr>
                <w:b/>
                <w:bCs/>
                <w:spacing w:val="-3"/>
                <w:lang w:val="en-GB"/>
              </w:rPr>
              <w:lastRenderedPageBreak/>
              <w:t xml:space="preserve">ORAL HEARING ORDERED </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b/>
                <w:bCs/>
                <w:spacing w:val="-3"/>
                <w:lang w:val="en-GB"/>
              </w:rPr>
            </w:pPr>
            <w:r>
              <w:rPr>
                <w:b/>
                <w:bCs/>
                <w:spacing w:val="-3"/>
                <w:lang w:val="en-GB"/>
              </w:rPr>
              <w:t>AUDIENCE ORDONNÉE</w:t>
            </w: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OCTOBER 7, 1993 / LE 7 OCTOBRE 1993</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CORAM:  THE CHIEF JUSTICE LAMER AND McLACHLIN AND MAJOR JJ. /</w:t>
      </w: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LE JUGE EN CHEF LAMER ET LES JUGES McLACHLIN ET MAJOR</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(23479)</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Brent Blair Brown (Crim.)(Man.)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Statutes - Interpretation - Offenses - Sentencing - Respondent convicted of robbery, wearing a disguise and using a firearm while committing robbery - Court of Appeal confirming convictions and sentence but allowing appeal on the basis that s. 85(2) of the </w:t>
      </w:r>
      <w:r>
        <w:rPr>
          <w:i/>
          <w:iCs/>
          <w:spacing w:val="-2"/>
          <w:sz w:val="20"/>
          <w:szCs w:val="20"/>
          <w:lang w:val="en-GB"/>
        </w:rPr>
        <w:t>Criminal Code</w:t>
      </w:r>
      <w:r>
        <w:rPr>
          <w:spacing w:val="-2"/>
          <w:sz w:val="20"/>
          <w:szCs w:val="20"/>
          <w:lang w:val="en-GB"/>
        </w:rPr>
        <w:t xml:space="preserve"> contravened s. 12 of the </w:t>
      </w:r>
      <w:r>
        <w:rPr>
          <w:i/>
          <w:iCs/>
          <w:spacing w:val="-2"/>
          <w:sz w:val="20"/>
          <w:szCs w:val="20"/>
          <w:lang w:val="en-GB"/>
        </w:rPr>
        <w:t>Charter</w:t>
      </w:r>
      <w:r>
        <w:rPr>
          <w:spacing w:val="-2"/>
          <w:sz w:val="20"/>
          <w:szCs w:val="20"/>
          <w:lang w:val="en-GB"/>
        </w:rPr>
        <w:t xml:space="preserve"> - Whether the Court of Appeal erred in declaring that the words following "or series of events" in s. 85(2) of the </w:t>
      </w:r>
      <w:r>
        <w:rPr>
          <w:i/>
          <w:iCs/>
          <w:spacing w:val="-2"/>
          <w:sz w:val="20"/>
          <w:szCs w:val="20"/>
          <w:lang w:val="en-GB"/>
        </w:rPr>
        <w:t>Criminal Code</w:t>
      </w:r>
      <w:r>
        <w:rPr>
          <w:spacing w:val="-2"/>
          <w:sz w:val="20"/>
          <w:szCs w:val="20"/>
          <w:lang w:val="en-GB"/>
        </w:rPr>
        <w:t xml:space="preserve"> are contrary to s. 12 of the </w:t>
      </w:r>
      <w:r>
        <w:rPr>
          <w:i/>
          <w:iCs/>
          <w:spacing w:val="-2"/>
          <w:sz w:val="20"/>
          <w:szCs w:val="20"/>
          <w:lang w:val="en-GB"/>
        </w:rPr>
        <w:t>Charter</w:t>
      </w:r>
      <w:r>
        <w:rPr>
          <w:spacing w:val="-2"/>
          <w:sz w:val="20"/>
          <w:szCs w:val="20"/>
          <w:lang w:val="en-GB"/>
        </w:rPr>
        <w:t xml:space="preserve">, not demonstrably justified under s. 1 of the </w:t>
      </w:r>
      <w:r>
        <w:rPr>
          <w:i/>
          <w:iCs/>
          <w:spacing w:val="-2"/>
          <w:sz w:val="20"/>
          <w:szCs w:val="20"/>
          <w:lang w:val="en-GB"/>
        </w:rPr>
        <w:t>Charter</w:t>
      </w:r>
      <w:r>
        <w:rPr>
          <w:spacing w:val="-2"/>
          <w:sz w:val="20"/>
          <w:szCs w:val="20"/>
          <w:lang w:val="en-GB"/>
        </w:rPr>
        <w:t xml:space="preserve"> and of no force and effect - Whether the Court of Appeal erred in misconstruing the scope of s. 85 of the </w:t>
      </w:r>
      <w:r>
        <w:rPr>
          <w:i/>
          <w:iCs/>
          <w:spacing w:val="-2"/>
          <w:sz w:val="20"/>
          <w:szCs w:val="20"/>
          <w:lang w:val="en-GB"/>
        </w:rPr>
        <w:t>Criminal Code</w:t>
      </w:r>
      <w:r>
        <w:rPr>
          <w:spacing w:val="-2"/>
          <w:sz w:val="20"/>
          <w:szCs w:val="20"/>
          <w:lang w:val="en-GB"/>
        </w:rPr>
        <w:t xml:space="preserve"> as interpreted in earlier cases of the Supreme Court </w:t>
      </w:r>
      <w:r>
        <w:rPr>
          <w:i/>
          <w:iCs/>
          <w:spacing w:val="-2"/>
          <w:sz w:val="20"/>
          <w:szCs w:val="20"/>
          <w:lang w:val="en-GB"/>
        </w:rPr>
        <w:t>R. v. Covin</w:t>
      </w:r>
      <w:r>
        <w:rPr>
          <w:spacing w:val="-2"/>
          <w:sz w:val="20"/>
          <w:szCs w:val="20"/>
          <w:lang w:val="en-GB"/>
        </w:rPr>
        <w:t xml:space="preserve">, [1983] 1 S.C.R. 725, and </w:t>
      </w:r>
      <w:r>
        <w:rPr>
          <w:i/>
          <w:iCs/>
          <w:spacing w:val="-2"/>
          <w:sz w:val="20"/>
          <w:szCs w:val="20"/>
          <w:lang w:val="en-GB"/>
        </w:rPr>
        <w:t>R. v. Krug</w:t>
      </w:r>
      <w:r>
        <w:rPr>
          <w:spacing w:val="-2"/>
          <w:sz w:val="20"/>
          <w:szCs w:val="20"/>
          <w:lang w:val="en-GB"/>
        </w:rPr>
        <w:t xml:space="preserve">, [1985] 2 S.C.R. 255 - Whether the Court of Appeal erred in misapplying the hypothesis of the "small offender" in determining that s. 85(2) of the </w:t>
      </w:r>
      <w:r>
        <w:rPr>
          <w:i/>
          <w:iCs/>
          <w:spacing w:val="-2"/>
          <w:sz w:val="20"/>
          <w:szCs w:val="20"/>
          <w:lang w:val="en-GB"/>
        </w:rPr>
        <w:t>Criminal Code</w:t>
      </w:r>
      <w:r>
        <w:rPr>
          <w:spacing w:val="-2"/>
          <w:sz w:val="20"/>
          <w:szCs w:val="20"/>
          <w:lang w:val="en-GB"/>
        </w:rPr>
        <w:t xml:space="preserve"> limited the proscription against cruel and unusual punishment in s. 12 of the </w:t>
      </w:r>
      <w:r>
        <w:rPr>
          <w:i/>
          <w:iCs/>
          <w:spacing w:val="-2"/>
          <w:sz w:val="20"/>
          <w:szCs w:val="20"/>
          <w:lang w:val="en-GB"/>
        </w:rPr>
        <w:t>Charter</w:t>
      </w:r>
      <w:r>
        <w:rPr>
          <w:spacing w:val="-2"/>
          <w:sz w:val="20"/>
          <w:szCs w:val="20"/>
          <w:lang w:val="en-GB"/>
        </w:rPr>
        <w:t xml:space="preserve"> - Whether the Court of Appeal erred in ruling that, if s. 85(2) did limit the guarantee in s. 12 of the </w:t>
      </w:r>
      <w:r>
        <w:rPr>
          <w:i/>
          <w:iCs/>
          <w:spacing w:val="-2"/>
          <w:sz w:val="20"/>
          <w:szCs w:val="20"/>
          <w:lang w:val="en-GB"/>
        </w:rPr>
        <w:t>Charter</w:t>
      </w:r>
      <w:r>
        <w:rPr>
          <w:spacing w:val="-2"/>
          <w:sz w:val="20"/>
          <w:szCs w:val="20"/>
          <w:lang w:val="en-GB"/>
        </w:rPr>
        <w:t xml:space="preserve">, such limit was not demonstrably justified under s. 1 of the </w:t>
      </w:r>
      <w:r>
        <w:rPr>
          <w:i/>
          <w:iCs/>
          <w:spacing w:val="-2"/>
          <w:sz w:val="20"/>
          <w:szCs w:val="20"/>
          <w:lang w:val="en-GB"/>
        </w:rPr>
        <w:t>Charter</w:t>
      </w:r>
      <w:r>
        <w:rPr>
          <w:spacing w:val="-2"/>
          <w:sz w:val="20"/>
          <w:szCs w:val="20"/>
          <w:lang w:val="en-GB"/>
        </w:rPr>
        <w: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17, 1991</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Manitoba</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(Barkman J.)</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Convictions: Robbery, wearing a disguise while committing robbery and use of a firearm during robbery</w:t>
            </w:r>
          </w:p>
        </w:tc>
      </w:tr>
    </w:tbl>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28, 1993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Manitoba</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(Scott C.J.M., Philp and Helper JJ.A.)</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Appeal against conviction dismissed; Appeal against sentence allowed in part; Declaration that words following "or series of events" in s. 85(2) of the </w:t>
            </w:r>
            <w:r>
              <w:rPr>
                <w:i/>
                <w:iCs/>
                <w:spacing w:val="-2"/>
                <w:sz w:val="20"/>
                <w:szCs w:val="20"/>
                <w:lang w:val="en-GB"/>
              </w:rPr>
              <w:t>Criminal Code</w:t>
            </w:r>
            <w:r>
              <w:rPr>
                <w:spacing w:val="-2"/>
                <w:sz w:val="20"/>
                <w:szCs w:val="20"/>
                <w:lang w:val="en-GB"/>
              </w:rPr>
              <w:t xml:space="preserve"> are of no force and effect</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21, 1993</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sectPr w:rsidR="006D0287">
          <w:headerReference w:type="default" r:id="rId13"/>
          <w:footerReference w:type="default" r:id="rId14"/>
          <w:footerReference w:type="first" r:id="rId15"/>
          <w:pgSz w:w="12240" w:h="15840"/>
          <w:pgMar w:top="720" w:right="1680" w:bottom="960" w:left="1080" w:header="720" w:footer="960" w:gutter="0"/>
          <w:pgNumType w:start="175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6D0287" w:rsidRDefault="006D0287">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6D0287" w:rsidRDefault="006D0287">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OCTOBER 4, 1993 / LE 4 OCTOBRE 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23726</w:t>
      </w:r>
      <w:r>
        <w:rPr>
          <w:spacing w:val="-2"/>
          <w:sz w:val="20"/>
          <w:szCs w:val="20"/>
          <w:u w:val="single"/>
          <w:lang w:val="en-GB"/>
        </w:rPr>
        <w:t>National Party of Canada, Mel Hurtig</w:t>
      </w:r>
      <w:r>
        <w:rPr>
          <w:spacing w:val="-2"/>
          <w:sz w:val="20"/>
          <w:szCs w:val="20"/>
          <w:lang w:val="en-GB"/>
        </w:rPr>
        <w:t xml:space="preserve"> - and - </w:t>
      </w:r>
      <w:r>
        <w:rPr>
          <w:spacing w:val="-2"/>
          <w:sz w:val="20"/>
          <w:szCs w:val="20"/>
          <w:u w:val="single"/>
          <w:lang w:val="en-GB"/>
        </w:rPr>
        <w:t>Mel Hurtig on behalf of the members of the National Party of Canada</w:t>
      </w:r>
      <w:r>
        <w:rPr>
          <w:spacing w:val="-2"/>
          <w:sz w:val="20"/>
          <w:szCs w:val="20"/>
          <w:lang w:val="en-GB"/>
        </w:rPr>
        <w:t xml:space="preserve"> - v. - </w:t>
      </w:r>
      <w:r>
        <w:rPr>
          <w:spacing w:val="-2"/>
          <w:sz w:val="20"/>
          <w:szCs w:val="20"/>
          <w:u w:val="single"/>
          <w:lang w:val="en-GB"/>
        </w:rPr>
        <w:t>Canadian Broadcasting Corporation</w:t>
      </w:r>
      <w:r>
        <w:rPr>
          <w:spacing w:val="-2"/>
          <w:sz w:val="20"/>
          <w:szCs w:val="20"/>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THE CHIEF JUSTICE</w:t>
      </w:r>
      <w:r>
        <w:rPr>
          <w:spacing w:val="-2"/>
          <w:sz w:val="20"/>
          <w:szCs w:val="20"/>
          <w:lang w:val="en-GB"/>
        </w:rPr>
        <w:t xml:space="preserve"> (orally):</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Notwithstanding your best efforts, I am afraid we are unable to accede to your request.  It is only in the most extraordinary situations, such as issues of life and death, that we have abridged notice which this Court and responding and intervening litigants require to dispense justice adequately.  This is not such a case.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an order abridging the time within which these applications may be heard is denied.</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Malgré tous les efforts que vous avez déployés, je crains que nous ne puissions accéder à votre demande.  Ce n'est que dans les cas les plus exceptionnels, comme les questions de vie ou de mort, que nous avons abrégé le délai d'avis dont notre Cour et les intimés et les intervenants doivent disposer pour que justice soit rendue de façon adéquate.  Il ne s'agit pas en l'espèce d'un tel cas.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d'ordonnance en vue d'abréger le délai dans lequel ces demandes peuvent être entendues est rejetée.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OCTOBER 7, 1993 / LE 7 OCTOBRE 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23609</w:t>
      </w:r>
      <w:r>
        <w:rPr>
          <w:b/>
          <w:bCs/>
          <w:spacing w:val="-2"/>
          <w:sz w:val="20"/>
          <w:szCs w:val="20"/>
          <w:u w:val="single"/>
          <w:lang w:val="en-GB"/>
        </w:rPr>
        <w:t>LYNN POLLARD, JOAN MACKENZIE, BOUNDARY BAY CONSERVATION COMMITTEE and WESTERN CANADA WILDERNESS COMMITTEE - v. - THE CORPORATION OF THE DISTRICT OF SURREY, DONALD GEORGE STEWART, MARILYN JOAN STEWART, WENDY DAWN CHAMASYK, SUZANNE JOAN DAHL, NANCY COLLEEN POLLON and NORTHVIEW GOLF MANAGEMENT INC.</w:t>
      </w:r>
      <w:r>
        <w:rPr>
          <w:spacing w:val="-2"/>
          <w:sz w:val="20"/>
          <w:szCs w:val="20"/>
          <w:lang w:val="en-GB"/>
        </w:rPr>
        <w:t xml:space="preserve"> (B.C.)</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Municipal law - Administrative law - Environmental law - Statutes - Zoning - Notice requirements under the </w:t>
      </w:r>
      <w:r>
        <w:rPr>
          <w:i/>
          <w:iCs/>
          <w:spacing w:val="-2"/>
          <w:sz w:val="20"/>
          <w:szCs w:val="20"/>
          <w:lang w:val="en-GB"/>
        </w:rPr>
        <w:t>Municipal Act</w:t>
      </w:r>
      <w:r>
        <w:rPr>
          <w:spacing w:val="-2"/>
          <w:sz w:val="20"/>
          <w:szCs w:val="20"/>
          <w:lang w:val="en-GB"/>
        </w:rPr>
        <w:t>, R.S.B.C. 1979, c. 290 - Whether notice of a public hearing published in a newspaper which is not distributed to a significant area of a municipality, including lands affected by the subject matter of the hearing, complies with statutory notice requirements -Whether a municipality must disclose to the public a proponent's expert report in its possession at a public hearing and allow the public a reasonable opportunity to respond to the material - Whether a municipality unlawfully fails to consider an issue relevant to its decision by adopting zoning bylaws prior to considering an environmental impact assessment.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lastRenderedPageBreak/>
        <w:t>23654</w:t>
      </w:r>
      <w:r>
        <w:rPr>
          <w:b/>
          <w:bCs/>
          <w:spacing w:val="-2"/>
          <w:sz w:val="20"/>
          <w:szCs w:val="20"/>
          <w:u w:val="single"/>
          <w:lang w:val="en-GB"/>
        </w:rPr>
        <w:t>DOUGLAS ALLAN SCHUR - v. - HER MAJESTY THE QUEEN</w:t>
      </w:r>
      <w:r>
        <w:rPr>
          <w:spacing w:val="-2"/>
          <w:sz w:val="20"/>
          <w:szCs w:val="20"/>
          <w:lang w:val="en-GB"/>
        </w:rPr>
        <w:t xml:space="preserve"> (Crim.) (B.C.)</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Evidence - Police - Admissibility of statements - </w:t>
      </w:r>
      <w:r>
        <w:rPr>
          <w:i/>
          <w:iCs/>
          <w:spacing w:val="-2"/>
          <w:sz w:val="20"/>
          <w:szCs w:val="20"/>
          <w:lang w:val="en-GB"/>
        </w:rPr>
        <w:t>Voir dire</w:t>
      </w:r>
      <w:r>
        <w:rPr>
          <w:spacing w:val="-2"/>
          <w:sz w:val="20"/>
          <w:szCs w:val="20"/>
          <w:lang w:val="en-GB"/>
        </w:rPr>
        <w:t xml:space="preserve"> - Right to be informed promptly of the reason for arrest - Right to retain counsel - Did the Court of Appeal err in determining that the statements made by the Applicant to the police were voluntary and therefore admissible? - Did the Court of Appeal err in finding that the Applicant's rights under s. 10(a) and/or s. 10(b) of the </w:t>
      </w:r>
      <w:r>
        <w:rPr>
          <w:i/>
          <w:iCs/>
          <w:spacing w:val="-2"/>
          <w:sz w:val="20"/>
          <w:szCs w:val="20"/>
          <w:lang w:val="en-GB"/>
        </w:rPr>
        <w:t>Canadian Charter of Rights and Freedoms</w:t>
      </w:r>
      <w:r>
        <w:rPr>
          <w:spacing w:val="-2"/>
          <w:sz w:val="20"/>
          <w:szCs w:val="20"/>
          <w:lang w:val="en-GB"/>
        </w:rPr>
        <w:t xml:space="preserve"> had not been infringed, and in failing to exclude the evidence obtained thereby, pursuant to s. 24(2) of the </w:t>
      </w:r>
      <w:r>
        <w:rPr>
          <w:i/>
          <w:iCs/>
          <w:spacing w:val="-2"/>
          <w:sz w:val="20"/>
          <w:szCs w:val="20"/>
          <w:lang w:val="en-GB"/>
        </w:rPr>
        <w:t>Charter</w:t>
      </w:r>
      <w:r>
        <w:rPr>
          <w:spacing w:val="-2"/>
          <w:sz w:val="20"/>
          <w:szCs w:val="20"/>
          <w:lang w:val="en-GB"/>
        </w:rPr>
        <w: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23478</w:t>
      </w:r>
      <w:r>
        <w:rPr>
          <w:b/>
          <w:bCs/>
          <w:spacing w:val="-2"/>
          <w:sz w:val="20"/>
          <w:szCs w:val="20"/>
          <w:u w:val="single"/>
          <w:lang w:val="en-GB"/>
        </w:rPr>
        <w:t>DOUG STEVENSON - v. - HER MAJESTY THE QUEEN</w:t>
      </w:r>
      <w:r>
        <w:rPr>
          <w:spacing w:val="-2"/>
          <w:sz w:val="20"/>
          <w:szCs w:val="20"/>
          <w:lang w:val="en-GB"/>
        </w:rPr>
        <w:t xml:space="preserve"> (Crim.) (Alta.)</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Cory, McLachlin, Iacobucci and Major JJ.</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  The motion to quash the appeal as of right is therefore without object and is accordingly dismissed.</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  La requête en annulation de l'appel de plein droit est donc sans objet et est par conséquent rejetée.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Evidence - Charge to the jury - Supplemental charge provided in response to a question from the jury with respect to evidence and reasonable doubt - Whether the trial judge erred in not repeating his initial instructions concerning onus of proof and proof beyond a reasonable doubt - Whether the Court of Appeal erred in not considering </w:t>
      </w:r>
      <w:r>
        <w:rPr>
          <w:i/>
          <w:iCs/>
          <w:spacing w:val="-2"/>
          <w:sz w:val="20"/>
          <w:szCs w:val="20"/>
          <w:lang w:val="en-GB"/>
        </w:rPr>
        <w:t>R. v. W.(D.).</w:t>
      </w:r>
      <w:r>
        <w:rPr>
          <w:spacing w:val="-2"/>
          <w:sz w:val="20"/>
          <w:szCs w:val="20"/>
          <w:lang w:val="en-GB"/>
        </w:rPr>
        <w:t xml:space="preserve"> [1991] 1 S.C.R. 742 - Whether the Court of Appeal erred in treating the trial judge's main charge and re-charge as a single unit.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23610</w:t>
      </w:r>
      <w:r>
        <w:rPr>
          <w:b/>
          <w:bCs/>
          <w:spacing w:val="-2"/>
          <w:sz w:val="20"/>
          <w:szCs w:val="20"/>
          <w:u w:val="single"/>
          <w:lang w:val="en-GB"/>
        </w:rPr>
        <w:t>PAUL JAMES FLAMAN and MARK FLAMAN v. ROYAL BANK OF CANADA</w:t>
      </w:r>
      <w:r>
        <w:rPr>
          <w:spacing w:val="-2"/>
          <w:sz w:val="20"/>
          <w:szCs w:val="20"/>
          <w:lang w:val="en-GB"/>
        </w:rPr>
        <w:t xml:space="preserve"> (Sask.)</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La Forest, Cory and Iacobucci JJ.</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NATURE OF THE CASE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Property law - Procedural law - Remedies - Creditors and debtors - When should a judicial sale be confirmed - Should highest bid be accepted? - Role and powers of party conducting sale.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23409</w:t>
      </w:r>
      <w:r>
        <w:rPr>
          <w:b/>
          <w:bCs/>
          <w:spacing w:val="-2"/>
          <w:sz w:val="20"/>
          <w:szCs w:val="20"/>
          <w:u w:val="single"/>
          <w:lang w:val="en-GB"/>
        </w:rPr>
        <w:t>IMPERIAL OIL LTD. and its subdivision PARAMINS v. THE LUBRIZOL CORPORATION and LUBRIZOL CANADA LTD.</w:t>
      </w:r>
      <w:r>
        <w:rPr>
          <w:spacing w:val="-2"/>
          <w:sz w:val="20"/>
          <w:szCs w:val="20"/>
          <w:lang w:val="en-GB"/>
        </w:rPr>
        <w:t xml:space="preserve"> (F.C.A.)</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La Forest, Cory and Iacobucci JJ.</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Property law - Patents - Damages - Parties manufacturing and selling motor oil additives - Respondent Lubrizol Canada Limited owning patent relating to additives for lubricating compositions and concentrates containing dispersants -Respondents bringing action for damages or accounting of profits and for a declaration that patent valid and infringed by the Applicant - Federal Court, Trial Division, allowing action - Whether the Federal Court of Appeal erred in substituting itself for the trial judge in trying to determine "missed issues" -Whether the making of a particular substance or particular substances within a "known field of lubricant additive technology" is the "invention" of a novel class - Whether a person can manufacture and sell a product that falls outside the critical and essential parameters defining the "class" for which a monopoly is claimed in the patent, and nevertheless be held liable for infringement on the basis of "colourable evasion".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23622</w:t>
      </w:r>
      <w:r>
        <w:rPr>
          <w:b/>
          <w:bCs/>
          <w:spacing w:val="-2"/>
          <w:sz w:val="20"/>
          <w:szCs w:val="20"/>
          <w:u w:val="single"/>
          <w:lang w:val="en-GB"/>
        </w:rPr>
        <w:t xml:space="preserve">DENNIS CONNOLLY v. WALWYN STODGELL COCHRAN MURRAY LTD. </w:t>
      </w:r>
      <w:r>
        <w:rPr>
          <w:b/>
          <w:bCs/>
          <w:spacing w:val="-2"/>
          <w:sz w:val="20"/>
          <w:szCs w:val="20"/>
          <w:u w:val="single"/>
          <w:lang w:val="en-GB"/>
        </w:rPr>
        <w:noBreakHyphen/>
        <w:t xml:space="preserve"> and </w:t>
      </w:r>
      <w:r>
        <w:rPr>
          <w:b/>
          <w:bCs/>
          <w:spacing w:val="-2"/>
          <w:sz w:val="20"/>
          <w:szCs w:val="20"/>
          <w:u w:val="single"/>
          <w:lang w:val="en-GB"/>
        </w:rPr>
        <w:noBreakHyphen/>
        <w:t xml:space="preserve"> MICHAEL HIMMELMAN</w:t>
      </w:r>
      <w:r>
        <w:rPr>
          <w:spacing w:val="-2"/>
          <w:sz w:val="20"/>
          <w:szCs w:val="20"/>
          <w:lang w:val="en-GB"/>
        </w:rPr>
        <w:t xml:space="preserve"> (N.S.)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La Forest, Cory and Iacobucci JJ.</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Torts - Negligence - Commercial law - Contracts - Damages - Stockbrokers - Agreement between Applicant and employee of the Respondent that employee responsible for losses following unauthorized trading - Applicant bringing action against Respondent for breach of contract by allowing unauthorized trading in his account and claiming negligence of Respondent in its failure to supervise its employees - Supreme Court of Nova Scotia, Trial Division, awarding damages for breach of contract and negligence - Whether the Court of Appeal erred in finding that the Applicant was not entitled to an equitable award where there was no breach of fiduciary or equitable duty to the Applicant.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lastRenderedPageBreak/>
        <w:t>23617</w:t>
      </w:r>
      <w:r>
        <w:rPr>
          <w:b/>
          <w:bCs/>
          <w:spacing w:val="-2"/>
          <w:sz w:val="20"/>
          <w:szCs w:val="20"/>
          <w:u w:val="single"/>
          <w:lang w:val="en-GB"/>
        </w:rPr>
        <w:t>SAVIRO INTERNATIONAL v. CADILLAC GAGE CO. and EX-CELL-O CORPORATION OF CANADA LTD.</w:t>
      </w:r>
      <w:r>
        <w:rPr>
          <w:spacing w:val="-2"/>
          <w:sz w:val="20"/>
          <w:szCs w:val="20"/>
          <w:lang w:val="en-GB"/>
        </w:rPr>
        <w:t xml:space="preserve"> (Ont.)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La Forest, Cory and Iacobucci JJ.</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Commercial law - International - Conflict of laws - Applicant commencing action in damages for alleged breach of commission agreement and seeking order of entitlement to sales commission - Whether the Court of Appeal erred in failing to find that the 15% commission specifically included in the Respondents' "cost estimate-price build-up" summary sheet was either paid by the Canadian government or the Applicant was denied it - Whether the Court of Appeal erred in failing to find that the conduct amounted in law to conversion, unjust enrichment, money had and received by the Respondents to the use of the Applicant and was a fraud against the Canadian government.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22408</w:t>
      </w:r>
      <w:r>
        <w:rPr>
          <w:b/>
          <w:bCs/>
          <w:spacing w:val="-2"/>
          <w:sz w:val="20"/>
          <w:szCs w:val="20"/>
          <w:u w:val="single"/>
          <w:lang w:val="en-GB"/>
        </w:rPr>
        <w:t>BANQUE NATIONALE DU CANADA ET COOPERS &amp; LYBRAND - c. - WILLIAM NEILSON LIMITED ET RED CARPET DISTRIBUTION INC., ET DISTRIBUTION H. FORTIER</w:t>
      </w:r>
      <w:r>
        <w:rPr>
          <w:spacing w:val="-2"/>
          <w:sz w:val="20"/>
          <w:szCs w:val="20"/>
          <w:lang w:val="en-GB"/>
        </w:rPr>
        <w:t xml:space="preserve"> (Qué.)</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 Juge en chef et les juges Cory, McLachlin, Iacobucci et Major</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requête en irrecevabilité est accueillie et l'appel est cassé à toutes fins que de droit.  Chaque partie paiera ses frais.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motion to dismiss is granted and the appeal is quashed for all legal purposes.  Each party shall pay its own costs.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23403</w:t>
      </w:r>
      <w:r>
        <w:rPr>
          <w:b/>
          <w:bCs/>
          <w:spacing w:val="-2"/>
          <w:sz w:val="20"/>
          <w:szCs w:val="20"/>
          <w:u w:val="single"/>
          <w:lang w:val="en-GB"/>
        </w:rPr>
        <w:t>CANADIAN BROADCASTING CORPORATION AND THE NATIONAL FILM BOARD OF CANADA - v. -LUCIEN DAGENAIS, LEOPOLD MONETTE, JOSEPH DUGAS AND ROBERT RADFORD</w:t>
      </w:r>
      <w:r>
        <w:rPr>
          <w:spacing w:val="-2"/>
          <w:sz w:val="20"/>
          <w:szCs w:val="20"/>
          <w:lang w:val="en-GB"/>
        </w:rPr>
        <w:t xml:space="preserve"> (Ont.)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Cory, McLachlin, Iacobucci and Major JJ.</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motion to quash is dismissed.  Costs in the cause.  By order of the Chief Justice this appeal will be heard on January 24, 1994.</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requête en annulation est rejetée, avec dépens à suivre.  Par ordre du Juge en chef, le présent appel sera entendu le 24 janvier 1994.</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center" w:pos="4740"/>
        </w:tabs>
        <w:suppressAutoHyphens/>
        <w:spacing w:line="240" w:lineRule="atLeast"/>
        <w:jc w:val="both"/>
        <w:rPr>
          <w:spacing w:val="-2"/>
          <w:sz w:val="20"/>
          <w:szCs w:val="20"/>
          <w:lang w:val="en-GB"/>
        </w:rPr>
        <w:sectPr w:rsidR="006D0287">
          <w:headerReference w:type="default" r:id="rId16"/>
          <w:footerReference w:type="default" r:id="rId17"/>
          <w:footerReference w:type="first" r:id="rId18"/>
          <w:pgSz w:w="12240" w:h="15840"/>
          <w:pgMar w:top="720" w:right="1680" w:bottom="960" w:left="1080" w:header="720" w:footer="960" w:gutter="0"/>
          <w:pgNumType w:start="1755"/>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right"/>
              <w:rPr>
                <w:b/>
                <w:bCs/>
                <w:lang w:val="en-GB"/>
              </w:rPr>
            </w:pPr>
            <w:r>
              <w:rPr>
                <w:b/>
                <w:bCs/>
                <w:lang w:val="en-GB"/>
              </w:rPr>
              <w:t>REQUÊTES</w:t>
            </w:r>
          </w:p>
        </w:tc>
      </w:tr>
    </w:tbl>
    <w:p w:rsidR="006D0287" w:rsidRDefault="006D0287">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4.10.1993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  The Chief Justice Lamer and Cory, McLachlin, Iacobucci and Major JJ.</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quash</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Doug Stevenson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(23478)</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(Crim.)(Alta.)</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annulation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Henry S. Brown, Q.C., for the motion.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Heather Perkins-McVey, contra.</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MOOT / HYPOTHÉTIQUE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4.10.1993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  The Chief Justice Lamer and Cory, McLachlin, Iacobucci and Major JJ.</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quash</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Banque Nationale du Canada et al.</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(22408)</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William Neilson Ltd. et al. (Qué.)</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annulation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Marie Michelle Lavigne, for the motion.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Michel Deschamps, contra.</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EN DÉLIBÉRÉ / RESERVED</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4.10.1993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  The Chief Justice Lamer and Cory, McLachlin, Iacobucci and Major JJ.</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quash</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Canadian Broadcasting Corporation et al.</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(23403)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Lucien Dagenais (Ont.)</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annulation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Richard Stern and Peter A. Shoniker, for the motion.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 Ian C. Binnie, Q.C. and Malcolm Mercer, contra.</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Henry S. Brown, Q.C., for the intervenor John Newton Smith.</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EN DÉLIBÉRÉ / RESERVED</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4.10.1993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La Forest, L'Heureux-Dubé, Sopinka, Gonthier, Cory, McLachlin, Iacobucci and Major JJ.</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Motion for a stay of proceedings and motion for leave to intervene</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RJR MacDonald Inc.</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(23460)</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The Attorney General of Canada (Qué.)</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and between</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Imperial Tobacco Ltd.</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(23490)</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The Attorney General of Canada (Qué.)</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suspension des procédures et requête en autorisation d'intervention</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Colin K. Irving, for RJR MacDonald Inc.</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Simon V. Potter, for Imperial Tobacco Ltd.</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Claude Joyal and Yves Leboeuf, for the Attorney General of Canada.</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 Ian C. Binnie, Q.C. and Colin Baxter, for the intervenors Heart &amp; Stroke Foundation of Canada et al.</w:t>
            </w:r>
          </w:p>
        </w:tc>
      </w:tr>
    </w:tbl>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INTERVENTION GRANTED; STAY RESERVED /</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INTERVENTION ACCORDÉE; REQUÊTE EN SUSPENSION DES PROCÉDURES EN DÉLIBÉRÉ</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27.9.1993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Other motion </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Mary Tataryn</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(23398)</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Edward James Tataryn (B.C.)</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Autre requête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1.The Appellant may file with the Court a single copy of the complete case on appeal and 12 copies of a reduced case on appeal consisting of only those portions of the evidence and the exhibits referred to in the parties' facta, together with all the pleadings, orders and reasons of the Courts below;</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2.The time for service and filing of the complete case on appeal is extended to September 27, 1993 and the reduced case on appeal to within one week of the service and filing of the respondent's factum.</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28.9.1993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REGISTRAIRE</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mémoire des intimés</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ministre du Revenu du Québec et al.</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(22989)</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Leonardo Arcuri et al. (Qué.)</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factum</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Sept. 23, 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28.9.1993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appellants' reply to the cross-appeal</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Richard B. et al.</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(23298)</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Children's Aid Society of Metropolitan Toronto et al. (Ont.)</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réplique des appelants au pourvoi incident</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November 8, 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28.9.1993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LA FOREST J.</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adduce further evidence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Donald McGuire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(23625)</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Requête pour produire d'autres éléments de preuve </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tc>
      </w:tr>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DISMISSED / REJETÉE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lastRenderedPageBreak/>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28.9.1993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JUGE L'HEUREUX-DUBÉ</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visant à obtenir une ordonnance de retrait de certaines pages dans la demande d'autorisation</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Jean-Denis Gagnon</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(23597)</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Sa Majesté La Reine (Qué.)</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an order to remove certain pages from the application for leave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Avec le consentement des parties.</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ACCORDÉE / GRANTED</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Les pages 138 à 141 sont retirées et remplacées par l'admission suivante: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"Le 10 août 1992 le demandeur portait plainte contre M</w:t>
      </w:r>
      <w:r>
        <w:rPr>
          <w:spacing w:val="-2"/>
          <w:sz w:val="20"/>
          <w:szCs w:val="20"/>
          <w:vertAlign w:val="superscript"/>
          <w:lang w:val="en-GB"/>
        </w:rPr>
        <w:t>e</w:t>
      </w:r>
      <w:r>
        <w:rPr>
          <w:spacing w:val="-2"/>
          <w:sz w:val="20"/>
          <w:szCs w:val="20"/>
          <w:lang w:val="en-GB"/>
        </w:rPr>
        <w:t xml:space="preserve"> Micheline St-Laurent devant le syndic du Barreau du Québec alléguant que celle-ci l'avait empêché de présenter lors de son procès la preuve psychiatrique dont il disposait à l'époque."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29.9.1993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LA FOREST J.</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adduce further evidence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Cecile Deborah Silverberg</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(23598)</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Laurie Richard Silverberg (Ont.)</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Requête pour produire d'autres éléments de preuve </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DISMISSED / REJETÉE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29.9.1993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file a case on appeal and factum</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Gregory William Pitman</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(23436)</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(N.S.)</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production d'un dossier d'appel et d'un mémoire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September 29, 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29.9.1993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file the respondent's factum</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(23313)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Keith Gordon Profit (Ont.)</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production du mémoire de l'intimé</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GRANTED / ACCORDÉE </w:t>
      </w:r>
      <w:r>
        <w:rPr>
          <w:spacing w:val="-2"/>
          <w:sz w:val="20"/>
          <w:szCs w:val="20"/>
          <w:lang w:val="en-GB"/>
        </w:rPr>
        <w:t xml:space="preserve">  Time extended to Sept. 14, 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29.9.1993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Other motion</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Trikha</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(23495)</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Wenden</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and between</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Wenden</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Royal Alexandra Hospital et al. (Alta.)</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Autre requête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Patricia MacGuigan, for H. Johanna Wenden.</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Henry S. Brown, Q.C., for Mathew Yaltho.</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Barbara Nicholls, for Anil Kumar Trikha.</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Taxation of the Bill of Costs of Mathew Yaltho and motion pursuant to Rule 59(2) on behalf of Mathew Yaltho for an order, </w:t>
      </w:r>
      <w:r>
        <w:rPr>
          <w:i/>
          <w:iCs/>
          <w:spacing w:val="-2"/>
          <w:sz w:val="20"/>
          <w:szCs w:val="20"/>
          <w:lang w:val="en-GB"/>
        </w:rPr>
        <w:t>inter alia</w:t>
      </w:r>
      <w:r>
        <w:rPr>
          <w:spacing w:val="-2"/>
          <w:sz w:val="20"/>
          <w:szCs w:val="20"/>
          <w:lang w:val="en-GB"/>
        </w:rPr>
        <w:t>, delaying the allowance of costs H. Johanna Wenden is entitled to receive from Anil Kumar Trikha.</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Taxation of the Bill of Costs of H. Johanna Wenden.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ADJOURNED SINE DIE / AJOURNÉE SINE DIE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30.9.1993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JUGE EN CHEF LAMER</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déclaration que le présent appel est censé ne pas avoir été abandonné</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Jacques Boies</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(23353)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Sa Majesté La Reine (Qué.)</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an order that this appeal is to be deemed not abandoned</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ACCORDÉE / GRANTED</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30.9.1993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CHIEF JUSTICE LAMER</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an order that this appeal is to be deemed not abandoned</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Viateur Richardson</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(23413)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(N.B.)</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déclaration que le présent appel est censé ne pas avoir été abandonné</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tc>
      </w:tr>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1.10.1993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DEPUTY REGISTRAR</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factum</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(23253)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Native Women's Association of Canada et al. (F.C.A.)</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 factum de l'intimée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tc>
      </w:tr>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November 15, 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4.10.1993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factum</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(23049)</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Shane Leslie Price (Alta.)</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d'un mémoire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September 24, 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4.10.1993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response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Verlie Ann Halcrow</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(23542)</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(B.C.)</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réponse de l'intimée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September 21, 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4.10.1993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response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Giuseppe Arcangioli</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(23380)</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réponse de l'intimée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September 28, 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4.10.1993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REGISTRAIRE</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production du mémoire des intimés</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Les Services M.L. Marengère Inc.</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(23681)</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Les Copropriétaires de la copropriété La Caserne &amp; Als (Qué.)</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file the respondents' factum</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Avec le consentement des parties.</w:t>
            </w:r>
          </w:p>
        </w:tc>
      </w:tr>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b/>
                <w:bCs/>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b/>
                <w:bCs/>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ACCORDÉE / GRANTED</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6.10.1993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MAJOR J.</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application for leave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Clifford Crawford</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(23711)</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demande d'autorisation</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With the consent of the parties.</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November 1, 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sectPr w:rsidR="006D0287">
          <w:headerReference w:type="default" r:id="rId19"/>
          <w:footerReference w:type="default" r:id="rId20"/>
          <w:footerReference w:type="first" r:id="rId21"/>
          <w:type w:val="continuous"/>
          <w:pgSz w:w="12240" w:h="15840"/>
          <w:pgMar w:top="720" w:right="1680" w:bottom="960" w:left="1080" w:header="720" w:footer="960" w:gutter="0"/>
          <w:pgNumType w:start="1759"/>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6D0287" w:rsidRDefault="006D0287">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sectPr w:rsidR="006D0287">
          <w:headerReference w:type="default" r:id="rId22"/>
          <w:footerReference w:type="default" r:id="rId23"/>
          <w:footerReference w:type="first" r:id="rId24"/>
          <w:pgSz w:w="12240" w:h="15840"/>
          <w:pgMar w:top="720" w:right="1680" w:bottom="960" w:left="1080" w:header="720" w:footer="960" w:gutter="0"/>
          <w:pgNumType w:start="1768"/>
          <w:cols w:space="720"/>
          <w:noEndnote/>
          <w:titlePg/>
        </w:sect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6.10.1993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Michael Dean Bleasdale</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(23729)</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(Crim.)(B.C.)</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AS OF RIGHT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6.10.1993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Michael David Barzal</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(23730)</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(Crim.)(B.C.)</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AS OF RIGHT</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6.10.1993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Brian Gordon Jack</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(23731)</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(Crim.)(Man.)</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AS OF RIGHT </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6.10.1993</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Roy Edward Rhymer</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(23732)</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(Crim.)(B.C.)</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AS OF RIGHT</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sectPr w:rsidR="006D0287">
          <w:type w:val="continuous"/>
          <w:pgSz w:w="12240" w:h="15840"/>
          <w:pgMar w:top="720" w:right="1680" w:bottom="960" w:left="1080" w:header="720" w:footer="960" w:gutter="0"/>
          <w:cols w:num="2" w:space="1200" w:equalWidth="0">
            <w:col w:w="4200" w:space="1200"/>
            <w:col w:w="4080"/>
          </w:cols>
          <w:noEndnote/>
        </w:sectPr>
      </w:pPr>
      <w:r>
        <w:rPr>
          <w:spacing w:val="-2"/>
          <w:sz w:val="20"/>
          <w:szCs w:val="20"/>
          <w:lang w:val="en-GB"/>
        </w:rPr>
        <w:br w:type="column"/>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b/>
                <w:bCs/>
                <w:spacing w:val="-3"/>
                <w:lang w:val="en-GB"/>
              </w:rPr>
            </w:pPr>
            <w:r>
              <w:rPr>
                <w:spacing w:val="-2"/>
                <w:sz w:val="20"/>
                <w:szCs w:val="20"/>
                <w:lang w:val="en-GB"/>
              </w:rPr>
              <w:lastRenderedPageBreak/>
              <w:br w:type="page"/>
            </w:r>
            <w:r>
              <w:rPr>
                <w:b/>
                <w:bCs/>
                <w:spacing w:val="-3"/>
                <w:lang w:val="en-GB"/>
              </w:rPr>
              <w:t>NOTICES  OF  INTERVENTION FILED SINCE LAST ISSUE</w:t>
            </w:r>
          </w:p>
        </w:tc>
        <w:tc>
          <w:tcPr>
            <w:tcW w:w="5280" w:type="dxa"/>
            <w:tcBorders>
              <w:top w:val="nil"/>
              <w:left w:val="nil"/>
              <w:bottom w:val="nil"/>
              <w:right w:val="nil"/>
            </w:tcBorders>
          </w:tcPr>
          <w:p w:rsidR="006D0287" w:rsidRDefault="006D0287">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6D0287" w:rsidRDefault="006D0287">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lastRenderedPageBreak/>
        <w:t>BY/PAR:Procureur général du Canada</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Attorney General of Saskatchewan</w:t>
      </w: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t xml:space="preserve">IN/DANS: </w:t>
      </w:r>
      <w:r>
        <w:rPr>
          <w:b/>
          <w:bCs/>
          <w:spacing w:val="-2"/>
          <w:sz w:val="20"/>
          <w:szCs w:val="20"/>
          <w:lang w:val="en-GB"/>
        </w:rPr>
        <w:t>Le procureur général du Québec et al.</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w:t>
      </w:r>
      <w:r>
        <w:rPr>
          <w:b/>
          <w:bCs/>
          <w:spacing w:val="-2"/>
          <w:sz w:val="20"/>
          <w:szCs w:val="20"/>
          <w:lang w:val="en-GB"/>
        </w:rPr>
        <w:tab/>
      </w:r>
      <w:r>
        <w:rPr>
          <w:b/>
          <w:bCs/>
          <w:spacing w:val="-2"/>
          <w:sz w:val="20"/>
          <w:szCs w:val="20"/>
          <w:lang w:val="en-GB"/>
        </w:rPr>
        <w:tab/>
        <w:t>v. (23345)</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 xml:space="preserve">         Téléphone Guèvremont Inc. (Qué.)</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BY/PAR:Attorney Generanl of Newfoundland</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t>IN/DANS:</w:t>
      </w:r>
      <w:r>
        <w:rPr>
          <w:b/>
          <w:bCs/>
          <w:spacing w:val="-2"/>
          <w:sz w:val="20"/>
          <w:szCs w:val="20"/>
          <w:lang w:val="en-GB"/>
        </w:rPr>
        <w:t>Renvoi sur la Loi sur la taxe d'accise (23630) (Qué.) / In the matter of a Reference of Quebec Sales Tax (Qué.)(23690)</w:t>
      </w:r>
    </w:p>
    <w:p w:rsidR="006D0287" w:rsidRDefault="006D0287">
      <w:pPr>
        <w:widowControl/>
        <w:tabs>
          <w:tab w:val="left" w:pos="-1440"/>
          <w:tab w:val="left" w:pos="-720"/>
        </w:tabs>
        <w:suppressAutoHyphens/>
        <w:spacing w:line="240" w:lineRule="atLeast"/>
        <w:jc w:val="both"/>
        <w:rPr>
          <w:b/>
          <w:bCs/>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(Under section 53 of the SC Act)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sectPr w:rsidR="006D0287">
          <w:headerReference w:type="default" r:id="rId25"/>
          <w:footerReference w:type="default" r:id="rId26"/>
          <w:footerReference w:type="first" r:id="rId27"/>
          <w:type w:val="continuous"/>
          <w:pgSz w:w="12240" w:h="15840"/>
          <w:pgMar w:top="720" w:right="1680" w:bottom="960" w:left="1080" w:header="720" w:footer="960" w:gutter="0"/>
          <w:pgNumType w:start="1769"/>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6D0287" w:rsidRDefault="006D0287">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5.10.1993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Willoughby Allen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(23655)</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(Crim.)(Ont.)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(motion)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sectPr w:rsidR="006D0287">
          <w:headerReference w:type="default" r:id="rId28"/>
          <w:footerReference w:type="default" r:id="rId29"/>
          <w:footerReference w:type="first" r:id="rId30"/>
          <w:pgSz w:w="12240" w:h="15840"/>
          <w:pgMar w:top="720" w:right="1680" w:bottom="960" w:left="1080" w:header="720" w:footer="960" w:gutter="0"/>
          <w:pgNumType w:start="177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 xml:space="preserve"> 5.10.93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La Forest, Sopinka, Gonthier, Cory, McLachlin and Iacobucci JJ.</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(23049)</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Shane Leslie Price a.k.a. Brown (Crim.)(Alta.)</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Jack Watson, for the appellant.</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François-B. Côté, Q.C. and Louise Viau, for the intervener the A.G. of Canada.</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 Casey Hill, for the intervener the A.G. of Ontario</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Marvin R. Bloos, for the respondent.</w:t>
            </w:r>
          </w:p>
        </w:tc>
      </w:tr>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THE CHIEF JUSTICE</w:t>
            </w:r>
            <w:r>
              <w:rPr>
                <w:spacing w:val="-2"/>
                <w:sz w:val="20"/>
                <w:szCs w:val="20"/>
                <w:lang w:val="en-GB"/>
              </w:rPr>
              <w:t xml:space="preserve"> (orally for the Court) -- Mr. Justice Sopinka will pronounce the judgment of the Court.</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EN CHEF</w:t>
            </w:r>
            <w:r>
              <w:rPr>
                <w:spacing w:val="-2"/>
                <w:sz w:val="20"/>
                <w:szCs w:val="20"/>
                <w:lang w:val="en-GB"/>
              </w:rPr>
              <w:t xml:space="preserve"> (oralement au nom de la Cour) -- Le juge Sopinka va prononcer le jugement de la Cour.</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SOPINKA J.</w:t>
            </w:r>
            <w:r>
              <w:rPr>
                <w:spacing w:val="-2"/>
                <w:sz w:val="20"/>
                <w:szCs w:val="20"/>
                <w:lang w:val="en-GB"/>
              </w:rPr>
              <w:t xml:space="preserve"> -- </w:t>
            </w:r>
            <w:r>
              <w:rPr>
                <w:spacing w:val="-2"/>
                <w:sz w:val="20"/>
                <w:szCs w:val="20"/>
                <w:lang w:val="en-GB"/>
              </w:rPr>
              <w:tab/>
              <w:t xml:space="preserve">This is an appeal as of right.  Applying the principle set out in </w:t>
            </w:r>
            <w:r>
              <w:rPr>
                <w:i/>
                <w:iCs/>
                <w:spacing w:val="-2"/>
                <w:sz w:val="20"/>
                <w:szCs w:val="20"/>
                <w:lang w:val="en-GB"/>
              </w:rPr>
              <w:t>R. v. Stolar</w:t>
            </w:r>
            <w:r>
              <w:rPr>
                <w:spacing w:val="-2"/>
                <w:sz w:val="20"/>
                <w:szCs w:val="20"/>
                <w:lang w:val="en-GB"/>
              </w:rPr>
              <w:t xml:space="preserve">, [1988] 1 S.C.R. 480, and </w:t>
            </w:r>
            <w:r>
              <w:rPr>
                <w:i/>
                <w:iCs/>
                <w:spacing w:val="-2"/>
                <w:sz w:val="20"/>
                <w:szCs w:val="20"/>
                <w:lang w:val="en-GB"/>
              </w:rPr>
              <w:t>Palmer v. The Queen</w:t>
            </w:r>
            <w:r>
              <w:rPr>
                <w:spacing w:val="-2"/>
                <w:sz w:val="20"/>
                <w:szCs w:val="20"/>
                <w:lang w:val="en-GB"/>
              </w:rPr>
              <w:t>, [1980] 1 S.C.R. 759, we agree with the conclusion of the Court of Appeal that the evidence should be admitted as fresh evidence and the conclusion to direct a new trial.  While the exercise of due diligence is one of the significant factors, it is not applied strictly in criminal cases and must be applied in light of the other relevant factors.  The amount of weight to be given to this factor depends on the strength of the other factors, in other words, on the totality of the circumstances.</w:t>
            </w:r>
          </w:p>
        </w:tc>
        <w:tc>
          <w:tcPr>
            <w:tcW w:w="5280" w:type="dxa"/>
            <w:tcBorders>
              <w:top w:val="nil"/>
              <w:left w:val="nil"/>
              <w:bottom w:val="nil"/>
              <w:right w:val="nil"/>
            </w:tcBorders>
          </w:tcPr>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SOPINKA</w:t>
            </w:r>
            <w:r>
              <w:rPr>
                <w:spacing w:val="-2"/>
                <w:sz w:val="20"/>
                <w:szCs w:val="20"/>
                <w:lang w:val="en-GB"/>
              </w:rPr>
              <w:t xml:space="preserve"> -- Le présent pourvoi est formé de plein droit.  Appliquant le principe énoncé dans les arrêts </w:t>
            </w:r>
            <w:r>
              <w:rPr>
                <w:i/>
                <w:iCs/>
                <w:spacing w:val="-2"/>
                <w:sz w:val="20"/>
                <w:szCs w:val="20"/>
                <w:lang w:val="en-GB"/>
              </w:rPr>
              <w:t>R. c. Stolar</w:t>
            </w:r>
            <w:r>
              <w:rPr>
                <w:spacing w:val="-2"/>
                <w:sz w:val="20"/>
                <w:szCs w:val="20"/>
                <w:lang w:val="en-GB"/>
              </w:rPr>
              <w:t xml:space="preserve">, [1988] 1 R.C.S. 480, et </w:t>
            </w:r>
            <w:r>
              <w:rPr>
                <w:i/>
                <w:iCs/>
                <w:spacing w:val="-2"/>
                <w:sz w:val="20"/>
                <w:szCs w:val="20"/>
                <w:lang w:val="en-GB"/>
              </w:rPr>
              <w:t>Palmer c. La Reine</w:t>
            </w:r>
            <w:r>
              <w:rPr>
                <w:spacing w:val="-2"/>
                <w:sz w:val="20"/>
                <w:szCs w:val="20"/>
                <w:lang w:val="en-GB"/>
              </w:rPr>
              <w:t>, [1980] 1 R.C.S. 759, nous acceptons la conclusion de la Cour d'appel qu'il y a lieu d'admettre la preuve à titre de nouvelle preuve, de même que la conclusion qu'il y a lieu d'ordonner un nouveau procès.  Même si la diligence raisonnable n'est qu'un des facteurs importants, elle ne s'applique pas strictement en matière criminelle et doit s'appliquer en fonction des autres facteurs pertinents.  Le poids qu'il faut accorder à ce facteur dépend de la force des autres facteurs ou, en d'autres termes, de l'ensemble des circonstances.</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Under these circumstances, the constitutional questions do not arise and we need not consider them.</w:t>
            </w:r>
          </w:p>
        </w:tc>
        <w:tc>
          <w:tcPr>
            <w:tcW w:w="5280" w:type="dxa"/>
            <w:tcBorders>
              <w:top w:val="nil"/>
              <w:left w:val="nil"/>
              <w:bottom w:val="nil"/>
              <w:right w:val="nil"/>
            </w:tcBorders>
          </w:tcPr>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Dans ces circonstances, les questions constitutionnelles ne se posent pas et nous n'avons pas à les examiner.</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appeal is dismissed.</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pourvoi est rejeté.</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tc>
      </w:tr>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5.10.1993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CORAM:Le juge en chef Lamer et les juges La Forest, L'Heureux-Dubé, Sopinka, Cory, McLachlin et Iacobucci</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Le ministre du Revenu du Québec et al.</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c. (22989)</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Leonardo Arcuri et al.</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et entre</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Le ministre du Revenu du Québec et al.</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c.</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Maurice Tabah et al. (Qué.)</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Michel Dansereau, Judith Kucharsky et Pierre Gonthier, pour l'appelant.</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Guy Du Pont, Basile Angelopoulos et Arianne Bourque, pour l'intimé.</w:t>
            </w:r>
          </w:p>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RESERVED / EN DÉLIBÉRÉ</w:t>
      </w:r>
      <w:r>
        <w:rPr>
          <w:spacing w:val="-2"/>
          <w:sz w:val="20"/>
          <w:szCs w:val="20"/>
          <w:lang w:val="en-GB"/>
        </w:rPr>
        <w:tab/>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fiscal - Procédure - Saisie - La Cour d'appel a-t-elle erré dans son application des critères développés dans l'arrêt </w:t>
            </w:r>
            <w:r>
              <w:rPr>
                <w:i/>
                <w:iCs/>
                <w:spacing w:val="-2"/>
                <w:sz w:val="20"/>
                <w:szCs w:val="20"/>
                <w:lang w:val="en-GB"/>
              </w:rPr>
              <w:t>Manitoba (P.G.) c. Metropolitan Stores Ltd.</w:t>
            </w:r>
            <w:r>
              <w:rPr>
                <w:spacing w:val="-2"/>
                <w:sz w:val="20"/>
                <w:szCs w:val="20"/>
                <w:lang w:val="en-GB"/>
              </w:rPr>
              <w:t>, [1987] 1 R.C.S. 110?</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Tax law - Procedure - Seizure - Whether Court of Appeal erred in applying criteria stated in </w:t>
            </w:r>
            <w:r>
              <w:rPr>
                <w:i/>
                <w:iCs/>
                <w:spacing w:val="-2"/>
                <w:sz w:val="20"/>
                <w:szCs w:val="20"/>
                <w:lang w:val="en-GB"/>
              </w:rPr>
              <w:t>Manitoba (A.G.) v. Metropolitan Stores Ltd.</w:t>
            </w:r>
            <w:r>
              <w:rPr>
                <w:spacing w:val="-2"/>
                <w:sz w:val="20"/>
                <w:szCs w:val="20"/>
                <w:lang w:val="en-GB"/>
              </w:rPr>
              <w:t>, [1987] 1 S.C.R. 110.</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6.10.1993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La Forest, L'Heureux-Dubé, Sopinka, Gonthier, Cory, McLachlin, Iacobucci and Major JJ.</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The Hydro Electric Commission of the Town of Kenora et al.</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(22947)</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Vacationland Dairy Co-Operative Limited (Ont.)</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Alan H. Mark and Joe Conforti, for the appellant.</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Maurice J. Neirinck, for the respondent.</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RESERVED / EN DÉLIBÉRÉ</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lastRenderedPageBreak/>
              <w:t>Nature of the case: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Municipal law - Municipal corporation - Public utilities - Energy - Statutes - Rates -Underbilling - Error as to billing - Statutory entitlement to reimbursement - Duties to consumers - Discrimination - Estoppel - Whether utility is estopped from collecting money it claims it is owed.</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municipal </w:t>
            </w:r>
            <w:r>
              <w:rPr>
                <w:spacing w:val="-2"/>
                <w:sz w:val="20"/>
                <w:szCs w:val="20"/>
                <w:lang w:val="en-GB"/>
              </w:rPr>
              <w:sym w:font="Courier New" w:char="2500"/>
            </w:r>
            <w:r>
              <w:rPr>
                <w:spacing w:val="-2"/>
                <w:sz w:val="20"/>
                <w:szCs w:val="20"/>
                <w:lang w:val="en-GB"/>
              </w:rPr>
              <w:t xml:space="preserve"> Corporation municipale </w:t>
            </w:r>
            <w:r>
              <w:rPr>
                <w:spacing w:val="-2"/>
                <w:sz w:val="20"/>
                <w:szCs w:val="20"/>
                <w:lang w:val="en-GB"/>
              </w:rPr>
              <w:sym w:font="Courier New" w:char="2500"/>
            </w:r>
            <w:r>
              <w:rPr>
                <w:spacing w:val="-2"/>
                <w:sz w:val="20"/>
                <w:szCs w:val="20"/>
                <w:lang w:val="en-GB"/>
              </w:rPr>
              <w:t xml:space="preserve"> Services publics </w:t>
            </w:r>
            <w:r>
              <w:rPr>
                <w:spacing w:val="-2"/>
                <w:sz w:val="20"/>
                <w:szCs w:val="20"/>
                <w:lang w:val="en-GB"/>
              </w:rPr>
              <w:sym w:font="Courier New" w:char="2500"/>
            </w:r>
            <w:r>
              <w:rPr>
                <w:spacing w:val="-2"/>
                <w:sz w:val="20"/>
                <w:szCs w:val="20"/>
                <w:lang w:val="en-GB"/>
              </w:rPr>
              <w:t xml:space="preserve"> Énergie </w:t>
            </w:r>
            <w:r>
              <w:rPr>
                <w:spacing w:val="-2"/>
                <w:sz w:val="20"/>
                <w:szCs w:val="20"/>
                <w:lang w:val="en-GB"/>
              </w:rPr>
              <w:sym w:font="Courier New" w:char="2500"/>
            </w:r>
            <w:r>
              <w:rPr>
                <w:spacing w:val="-2"/>
                <w:sz w:val="20"/>
                <w:szCs w:val="20"/>
                <w:lang w:val="en-GB"/>
              </w:rPr>
              <w:t xml:space="preserve"> Lois </w:t>
            </w:r>
            <w:r>
              <w:rPr>
                <w:spacing w:val="-2"/>
                <w:sz w:val="20"/>
                <w:szCs w:val="20"/>
                <w:lang w:val="en-GB"/>
              </w:rPr>
              <w:sym w:font="Courier New" w:char="2500"/>
            </w:r>
            <w:r>
              <w:rPr>
                <w:spacing w:val="-2"/>
                <w:sz w:val="20"/>
                <w:szCs w:val="20"/>
                <w:lang w:val="en-GB"/>
              </w:rPr>
              <w:t xml:space="preserve"> Tarifs </w:t>
            </w:r>
            <w:r>
              <w:rPr>
                <w:spacing w:val="-2"/>
                <w:sz w:val="20"/>
                <w:szCs w:val="20"/>
                <w:lang w:val="en-GB"/>
              </w:rPr>
              <w:sym w:font="Courier New" w:char="2500"/>
            </w:r>
            <w:r>
              <w:rPr>
                <w:spacing w:val="-2"/>
                <w:sz w:val="20"/>
                <w:szCs w:val="20"/>
                <w:lang w:val="en-GB"/>
              </w:rPr>
              <w:t xml:space="preserve"> Facturation insuffisante </w:t>
            </w:r>
            <w:r>
              <w:rPr>
                <w:spacing w:val="-2"/>
                <w:sz w:val="20"/>
                <w:szCs w:val="20"/>
                <w:lang w:val="en-GB"/>
              </w:rPr>
              <w:sym w:font="Courier New" w:char="2500"/>
            </w:r>
            <w:r>
              <w:rPr>
                <w:spacing w:val="-2"/>
                <w:sz w:val="20"/>
                <w:szCs w:val="20"/>
                <w:lang w:val="en-GB"/>
              </w:rPr>
              <w:t xml:space="preserve"> Erreur de facturation </w:t>
            </w:r>
            <w:r>
              <w:rPr>
                <w:spacing w:val="-2"/>
                <w:sz w:val="20"/>
                <w:szCs w:val="20"/>
                <w:lang w:val="en-GB"/>
              </w:rPr>
              <w:sym w:font="Courier New" w:char="2500"/>
            </w:r>
            <w:r>
              <w:rPr>
                <w:spacing w:val="-2"/>
                <w:sz w:val="20"/>
                <w:szCs w:val="20"/>
                <w:lang w:val="en-GB"/>
              </w:rPr>
              <w:t xml:space="preserve"> Droit au remboursement prévu dans la loi </w:t>
            </w:r>
            <w:r>
              <w:rPr>
                <w:spacing w:val="-2"/>
                <w:sz w:val="20"/>
                <w:szCs w:val="20"/>
                <w:lang w:val="en-GB"/>
              </w:rPr>
              <w:sym w:font="Courier New" w:char="2500"/>
            </w:r>
            <w:r>
              <w:rPr>
                <w:spacing w:val="-2"/>
                <w:sz w:val="20"/>
                <w:szCs w:val="20"/>
                <w:lang w:val="en-GB"/>
              </w:rPr>
              <w:t xml:space="preserve"> Obligations envers les abonnés </w:t>
            </w:r>
            <w:r>
              <w:rPr>
                <w:spacing w:val="-2"/>
                <w:sz w:val="20"/>
                <w:szCs w:val="20"/>
                <w:lang w:val="en-GB"/>
              </w:rPr>
              <w:sym w:font="Courier New" w:char="2500"/>
            </w:r>
            <w:r>
              <w:rPr>
                <w:spacing w:val="-2"/>
                <w:sz w:val="20"/>
                <w:szCs w:val="20"/>
                <w:lang w:val="en-GB"/>
              </w:rPr>
              <w:t xml:space="preserve"> Discrimination </w:t>
            </w:r>
            <w:r>
              <w:rPr>
                <w:spacing w:val="-2"/>
                <w:sz w:val="20"/>
                <w:szCs w:val="20"/>
                <w:lang w:val="en-GB"/>
              </w:rPr>
              <w:sym w:font="Courier New" w:char="2500"/>
            </w:r>
            <w:r>
              <w:rPr>
                <w:spacing w:val="-2"/>
                <w:sz w:val="20"/>
                <w:szCs w:val="20"/>
                <w:lang w:val="en-GB"/>
              </w:rPr>
              <w:t xml:space="preserve"> Irrecevabilité </w:t>
            </w:r>
            <w:r>
              <w:rPr>
                <w:spacing w:val="-2"/>
                <w:sz w:val="20"/>
                <w:szCs w:val="20"/>
                <w:lang w:val="en-GB"/>
              </w:rPr>
              <w:sym w:font="Courier New" w:char="2500"/>
            </w:r>
            <w:r>
              <w:rPr>
                <w:spacing w:val="-2"/>
                <w:sz w:val="20"/>
                <w:szCs w:val="20"/>
                <w:lang w:val="en-GB"/>
              </w:rPr>
              <w:t xml:space="preserve"> La commission de services publics est-elle irrecevable à recouvrer les sommes qu'elle prétend lui être dues?</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6.10.1993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CORAM:Sopinka, Gonthier, Cory, McLachlin and Iacobucci JJ.</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Jimmy Joseph Smith</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(23304)</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(Crim.)(Ont.)</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Samuel Willoughby and Randall J. Hofley, for the appellant.</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Roger A. Pinnock, for the respondent.</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DISMISSED / REJETÉ</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Offences - Interpretation - Is an accused who obtains possession and proprietorship of a good through fraudulent means liable to conviction for theft of such a good on the basis that he converted the good to his own use "fraudulently and without colour of right", contrary to s. 322 of the </w:t>
            </w:r>
            <w:r>
              <w:rPr>
                <w:i/>
                <w:iCs/>
                <w:spacing w:val="-2"/>
                <w:sz w:val="20"/>
                <w:szCs w:val="20"/>
                <w:lang w:val="en-GB"/>
              </w:rPr>
              <w:t>Criminal Code</w:t>
            </w:r>
            <w:r>
              <w:rPr>
                <w:spacing w:val="-2"/>
                <w:sz w:val="20"/>
                <w:szCs w:val="20"/>
                <w:lang w:val="en-GB"/>
              </w:rPr>
              <w:t xml:space="preserve">? - Whether the majority of the Court of Appeal erred in law in its application of s. 322 to the facts at instance, obliterating the legal distinction between fraud (or fraudulent pretence), in s. 362 of the </w:t>
            </w:r>
            <w:r>
              <w:rPr>
                <w:i/>
                <w:iCs/>
                <w:spacing w:val="-2"/>
                <w:sz w:val="20"/>
                <w:szCs w:val="20"/>
                <w:lang w:val="en-GB"/>
              </w:rPr>
              <w:t>Criminal Code</w:t>
            </w:r>
            <w:r>
              <w:rPr>
                <w:spacing w:val="-2"/>
                <w:sz w:val="20"/>
                <w:szCs w:val="20"/>
                <w:lang w:val="en-GB"/>
              </w:rPr>
              <w:t xml:space="preserve">, and theft in s. 322, heretofore recognized in Canadian criminal law. </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criminel - Infractions - Interprétation - L'accusé qui obtient la possession et la propriété d'un bien par des moyens frauduleux peut-il être déclaré coupable de vol de ce bien sur le fondement qu'il l'a détourné à son propre usage «frauduleusement et sans apparence de droit», contrevenant à l'art. 322 du </w:t>
            </w:r>
            <w:r>
              <w:rPr>
                <w:i/>
                <w:iCs/>
                <w:spacing w:val="-2"/>
                <w:sz w:val="20"/>
                <w:szCs w:val="20"/>
                <w:lang w:val="en-GB"/>
              </w:rPr>
              <w:t>Code criminel</w:t>
            </w:r>
            <w:r>
              <w:rPr>
                <w:spacing w:val="-2"/>
                <w:sz w:val="20"/>
                <w:szCs w:val="20"/>
                <w:lang w:val="en-GB"/>
              </w:rPr>
              <w:t xml:space="preserve">? - La Cour d'appel, à la majorité, a-t-elle commis une erreur de droit lorsqu'elle a appliqué l'art. 322 aux faits de l'espèce, éliminant la distinction légale entre la fraude (ou faux semblant), à l'art. 362 du </w:t>
            </w:r>
            <w:r>
              <w:rPr>
                <w:i/>
                <w:iCs/>
                <w:spacing w:val="-2"/>
                <w:sz w:val="20"/>
                <w:szCs w:val="20"/>
                <w:lang w:val="en-GB"/>
              </w:rPr>
              <w:t>Code criminel</w:t>
            </w:r>
            <w:r>
              <w:rPr>
                <w:spacing w:val="-2"/>
                <w:sz w:val="20"/>
                <w:szCs w:val="20"/>
                <w:lang w:val="en-GB"/>
              </w:rPr>
              <w:t>, et le vol à l'art. 322, reconnue en droit criminel canadien.</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7.10.1993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L'Heureux-Dubé, Sopinka, McLachlin and Iacobucci JJ.</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(23313)</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Keith Gordon Profit (Crim.)(Ont.)</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Carol A. Brewer, for the appellant.</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Brian H. Greenspan, for the respondent.</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ALLOWED / ACCORDÉE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Trial - Evidence - Evidence of good character in case involving sexual offences - Whether the majority of the Court of Appeal erred in concluding that the trial judge did not give proper legal effect to evidence of good character - Whether majority of Court of Appeal erred in finding that trial judge's verdict could have been affected by his failure to consider whether the character evidence formed basis for inference that Respondent was not likely to have committed offence. </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criminel - Procès - Preuve - Preuve d'honorabilité dans les affaires portant sur des infractions de nature sexuelle - La Cour d'appel à la majorité a-t-elle commis une erreur lorsqu'elle a conclu que le juge du procès n'a pas accordé l'effet juridique approprié à la preuve d'honorabilité? - La Cour d'appel à la majorité a-t-elle commis une erreur lorsqu'elle a conclu que le verdict du juge du procès aurait pu être modifié par le fait qu'il a omis de déterminer si la preuve de moralité permettait de déduire que l'intimé n'était pas susceptible d'avoir commis l'infraction?</w:t>
            </w:r>
          </w:p>
        </w:tc>
      </w:tr>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7.10.1993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L'Heureux-Dubé, Gonthier, McLachlin and Major JJ.</w:t>
      </w:r>
    </w:p>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Philip Joseph Coté</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(23067)</w:t>
            </w:r>
          </w:p>
          <w:p w:rsidR="006D0287" w:rsidRDefault="006D0287">
            <w:pPr>
              <w:keepNext/>
              <w:keepLines/>
              <w:widowControl/>
              <w:tabs>
                <w:tab w:val="left" w:pos="-1440"/>
                <w:tab w:val="left" w:pos="-720"/>
              </w:tabs>
              <w:suppressAutoHyphens/>
              <w:spacing w:line="240" w:lineRule="atLeast"/>
              <w:jc w:val="both"/>
              <w:rPr>
                <w:b/>
                <w:bCs/>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(Crim.)(N.B.)</w:t>
            </w: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Scott F. Fowler, for the appellant.</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John A. Henheffer, for the respondent.</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r w:rsidR="006D0287">
        <w:tblPrEx>
          <w:tblCellMar>
            <w:top w:w="0" w:type="dxa"/>
            <w:bottom w:w="0" w:type="dxa"/>
          </w:tblCellMar>
        </w:tblPrEx>
        <w:tc>
          <w:tcPr>
            <w:tcW w:w="540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lastRenderedPageBreak/>
              <w:t>THE CHIEF JUSTICE</w:t>
            </w:r>
            <w:r>
              <w:rPr>
                <w:spacing w:val="-2"/>
                <w:sz w:val="20"/>
                <w:szCs w:val="20"/>
                <w:lang w:val="en-GB"/>
              </w:rPr>
              <w:t xml:space="preserve"> (orally) -- The Court, the Chief Justice and Madam Justice McLachlin dissenting, agrees with the majority below that this is a proper case for applying the proviso of s. 686(1)(</w:t>
            </w:r>
            <w:r>
              <w:rPr>
                <w:i/>
                <w:iCs/>
                <w:spacing w:val="-2"/>
                <w:sz w:val="20"/>
                <w:szCs w:val="20"/>
                <w:lang w:val="en-GB"/>
              </w:rPr>
              <w:t>b</w:t>
            </w:r>
            <w:r>
              <w:rPr>
                <w:spacing w:val="-2"/>
                <w:sz w:val="20"/>
                <w:szCs w:val="20"/>
                <w:lang w:val="en-GB"/>
              </w:rPr>
              <w:t>)(iii).  The Chief Justice and McLachlin J., agreeing with Mr. Justice Angers' reasons, would, while also dismissing the appeal, enter a conviction for manslaugher and remit the matter to the trial judge for sentencing.</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appeal is dismissed.</w:t>
            </w:r>
          </w:p>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EN CHEF</w:t>
            </w:r>
            <w:r>
              <w:rPr>
                <w:spacing w:val="-2"/>
                <w:sz w:val="20"/>
                <w:szCs w:val="20"/>
                <w:lang w:val="en-GB"/>
              </w:rPr>
              <w:t xml:space="preserve"> (oralement) -- La Cour, avec dissidence de la part du Juge en chef et du juge McLachlin, convient avec la Cour d'appel à la majorité qu'il s'agit d'un cas approprié pour appliquer la réserve du sous-al. 686(1)</w:t>
            </w:r>
            <w:r>
              <w:rPr>
                <w:i/>
                <w:iCs/>
                <w:spacing w:val="-2"/>
                <w:sz w:val="20"/>
                <w:szCs w:val="20"/>
                <w:lang w:val="en-GB"/>
              </w:rPr>
              <w:t>b</w:t>
            </w:r>
            <w:r>
              <w:rPr>
                <w:spacing w:val="-2"/>
                <w:sz w:val="20"/>
                <w:szCs w:val="20"/>
                <w:lang w:val="en-GB"/>
              </w:rPr>
              <w:t>)(iii).  Tout en rejetant eux aussi le pourvoi, le Juge en chef et le juge McLachlin, qui souscrivent aux motifs du juge Angers, inscriraient une déclaration de culpabilité d'homicide involontaire coupable et renverraient l'affaire au juge du procès pour qu'il prononce une sentence.</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pourvoi est rejeté.</w:t>
            </w: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p w:rsidR="006D0287" w:rsidRDefault="006D0287">
            <w:pPr>
              <w:keepNext/>
              <w:keepLines/>
              <w:widowControl/>
              <w:tabs>
                <w:tab w:val="left" w:pos="-1440"/>
                <w:tab w:val="left" w:pos="-720"/>
              </w:tabs>
              <w:suppressAutoHyphens/>
              <w:spacing w:line="240" w:lineRule="atLeast"/>
              <w:jc w:val="both"/>
              <w:rPr>
                <w:spacing w:val="-2"/>
                <w:sz w:val="20"/>
                <w:szCs w:val="20"/>
                <w:lang w:val="en-GB"/>
              </w:rPr>
            </w:pPr>
          </w:p>
        </w:tc>
      </w:tr>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p>
        </w:tc>
      </w:tr>
    </w:tbl>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center" w:pos="4740"/>
        </w:tabs>
        <w:suppressAutoHyphens/>
        <w:spacing w:line="240" w:lineRule="atLeast"/>
        <w:jc w:val="both"/>
        <w:rPr>
          <w:spacing w:val="-2"/>
          <w:sz w:val="20"/>
          <w:szCs w:val="20"/>
          <w:lang w:val="en-GB"/>
        </w:rPr>
        <w:sectPr w:rsidR="006D0287">
          <w:headerReference w:type="default" r:id="rId31"/>
          <w:footerReference w:type="default" r:id="rId32"/>
          <w:footerReference w:type="first" r:id="rId33"/>
          <w:pgSz w:w="12240" w:h="15840"/>
          <w:pgMar w:top="720" w:right="1680" w:bottom="960" w:left="1080" w:header="720" w:footer="960" w:gutter="0"/>
          <w:pgNumType w:start="1771"/>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D0287">
        <w:tblPrEx>
          <w:tblCellMar>
            <w:top w:w="0" w:type="dxa"/>
            <w:bottom w:w="0" w:type="dxa"/>
          </w:tblCellMar>
        </w:tblPrEx>
        <w:tc>
          <w:tcPr>
            <w:tcW w:w="5160" w:type="dxa"/>
            <w:tcBorders>
              <w:top w:val="nil"/>
              <w:left w:val="nil"/>
              <w:bottom w:val="nil"/>
              <w:right w:val="nil"/>
            </w:tcBorders>
          </w:tcPr>
          <w:p w:rsidR="006D0287" w:rsidRDefault="006D0287">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6D0287" w:rsidRDefault="006D0287">
            <w:pPr>
              <w:widowControl/>
              <w:tabs>
                <w:tab w:val="left" w:pos="-1440"/>
                <w:tab w:val="left" w:pos="-720"/>
              </w:tabs>
              <w:suppressAutoHyphens/>
              <w:spacing w:line="240" w:lineRule="atLeast"/>
              <w:rPr>
                <w:b/>
                <w:bCs/>
                <w:lang w:val="en-GB"/>
              </w:rPr>
            </w:pPr>
            <w:r>
              <w:rPr>
                <w:b/>
                <w:bCs/>
                <w:lang w:val="en-GB"/>
              </w:rPr>
              <w:t xml:space="preserve">ORDRE DU JOUR DE LA </w:t>
            </w:r>
          </w:p>
          <w:p w:rsidR="006D0287" w:rsidRDefault="006D0287">
            <w:pPr>
              <w:widowControl/>
              <w:tabs>
                <w:tab w:val="left" w:pos="-1440"/>
                <w:tab w:val="left" w:pos="-720"/>
              </w:tabs>
              <w:suppressAutoHyphens/>
              <w:spacing w:line="240" w:lineRule="atLeast"/>
              <w:rPr>
                <w:b/>
                <w:bCs/>
                <w:lang w:val="en-GB"/>
              </w:rPr>
            </w:pPr>
            <w:r>
              <w:rPr>
                <w:b/>
                <w:bCs/>
                <w:lang w:val="en-GB"/>
              </w:rPr>
              <w:t>SEMAINE</w:t>
            </w:r>
          </w:p>
        </w:tc>
      </w:tr>
    </w:tbl>
    <w:p w:rsidR="006D0287" w:rsidRDefault="006D0287">
      <w:pPr>
        <w:widowControl/>
        <w:tabs>
          <w:tab w:val="right" w:pos="9480"/>
        </w:tabs>
        <w:suppressAutoHyphens/>
        <w:spacing w:line="240" w:lineRule="atLeast"/>
        <w:rPr>
          <w:sz w:val="20"/>
          <w:szCs w:val="20"/>
          <w:lang w:val="en-GB"/>
        </w:rPr>
      </w:pPr>
      <w:r>
        <w:rPr>
          <w:sz w:val="20"/>
          <w:szCs w:val="20"/>
          <w:u w:val="single"/>
          <w:lang w:val="en-GB"/>
        </w:rPr>
        <w:tab/>
      </w:r>
    </w:p>
    <w:p w:rsidR="006D0287" w:rsidRDefault="006D0287">
      <w:pPr>
        <w:widowControl/>
        <w:tabs>
          <w:tab w:val="left" w:pos="-1440"/>
          <w:tab w:val="left" w:pos="-720"/>
        </w:tabs>
        <w:suppressAutoHyphens/>
        <w:spacing w:line="240" w:lineRule="atLeast"/>
        <w:rPr>
          <w:sz w:val="20"/>
          <w:szCs w:val="20"/>
          <w:lang w:val="en-GB"/>
        </w:rPr>
      </w:pPr>
    </w:p>
    <w:p w:rsidR="006D0287" w:rsidRDefault="006D0287">
      <w:pPr>
        <w:widowControl/>
        <w:tabs>
          <w:tab w:val="left" w:pos="-1440"/>
          <w:tab w:val="left" w:pos="-720"/>
        </w:tabs>
        <w:suppressAutoHyphens/>
        <w:spacing w:line="240" w:lineRule="atLeast"/>
        <w:rPr>
          <w:b/>
          <w:bCs/>
          <w:sz w:val="20"/>
          <w:szCs w:val="20"/>
          <w:lang w:val="en-GB"/>
        </w:rPr>
      </w:pPr>
      <w:r>
        <w:rPr>
          <w:b/>
          <w:bCs/>
          <w:sz w:val="20"/>
          <w:szCs w:val="20"/>
          <w:lang w:val="en-GB"/>
        </w:rPr>
        <w:t>AGENDA for the week beginning October 11, 1993.</w:t>
      </w:r>
    </w:p>
    <w:p w:rsidR="006D0287" w:rsidRDefault="006D0287">
      <w:pPr>
        <w:widowControl/>
        <w:tabs>
          <w:tab w:val="left" w:pos="-1440"/>
          <w:tab w:val="left" w:pos="-720"/>
        </w:tabs>
        <w:suppressAutoHyphens/>
        <w:spacing w:line="240" w:lineRule="atLeast"/>
        <w:rPr>
          <w:sz w:val="20"/>
          <w:szCs w:val="20"/>
          <w:lang w:val="en-GB"/>
        </w:rPr>
      </w:pPr>
      <w:r>
        <w:rPr>
          <w:b/>
          <w:bCs/>
          <w:sz w:val="20"/>
          <w:szCs w:val="20"/>
          <w:lang w:val="en-GB"/>
        </w:rPr>
        <w:t>ORDRE DU JOUR pour la semaine commençant le 11 octobre 1993.</w:t>
      </w:r>
    </w:p>
    <w:p w:rsidR="006D0287" w:rsidRDefault="006D0287">
      <w:pPr>
        <w:widowControl/>
        <w:tabs>
          <w:tab w:val="left" w:pos="240"/>
          <w:tab w:val="left" w:pos="2280"/>
          <w:tab w:val="left" w:pos="3000"/>
          <w:tab w:val="left" w:pos="4200"/>
          <w:tab w:val="left" w:pos="7920"/>
        </w:tabs>
        <w:suppressAutoHyphens/>
        <w:spacing w:line="240" w:lineRule="atLeast"/>
        <w:rPr>
          <w:sz w:val="20"/>
          <w:szCs w:val="20"/>
          <w:lang w:val="en-GB"/>
        </w:rPr>
      </w:pPr>
    </w:p>
    <w:p w:rsidR="006D0287" w:rsidRDefault="006D0287">
      <w:pPr>
        <w:widowControl/>
        <w:tabs>
          <w:tab w:val="left" w:pos="240"/>
          <w:tab w:val="left" w:pos="2280"/>
          <w:tab w:val="left" w:pos="3000"/>
          <w:tab w:val="left" w:pos="4200"/>
          <w:tab w:val="left" w:pos="7920"/>
        </w:tabs>
        <w:suppressAutoHyphens/>
        <w:spacing w:line="240" w:lineRule="atLeast"/>
        <w:rPr>
          <w:sz w:val="20"/>
          <w:szCs w:val="20"/>
          <w:lang w:val="en-GB"/>
        </w:rPr>
      </w:pPr>
    </w:p>
    <w:p w:rsidR="006D0287" w:rsidRDefault="006D0287">
      <w:pPr>
        <w:widowControl/>
        <w:tabs>
          <w:tab w:val="right" w:pos="9480"/>
        </w:tabs>
        <w:suppressAutoHyphens/>
        <w:spacing w:line="240" w:lineRule="atLeast"/>
        <w:rPr>
          <w:sz w:val="20"/>
          <w:szCs w:val="20"/>
          <w:lang w:val="en-GB"/>
        </w:rPr>
      </w:pPr>
      <w:r>
        <w:rPr>
          <w:sz w:val="20"/>
          <w:szCs w:val="20"/>
          <w:u w:val="single"/>
          <w:lang w:val="en-GB"/>
        </w:rPr>
        <w:tab/>
      </w:r>
    </w:p>
    <w:p w:rsidR="006D0287" w:rsidRDefault="006D0287">
      <w:pPr>
        <w:widowControl/>
        <w:tabs>
          <w:tab w:val="left" w:pos="240"/>
          <w:tab w:val="left" w:pos="2280"/>
          <w:tab w:val="left" w:pos="3000"/>
          <w:tab w:val="left" w:pos="4200"/>
          <w:tab w:val="left" w:pos="7920"/>
        </w:tabs>
        <w:suppressAutoHyphens/>
        <w:spacing w:line="240" w:lineRule="atLeast"/>
        <w:rPr>
          <w:sz w:val="20"/>
          <w:szCs w:val="20"/>
          <w:lang w:val="en-GB"/>
        </w:rPr>
      </w:pPr>
    </w:p>
    <w:p w:rsidR="006D0287" w:rsidRDefault="006D0287">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Date of Hearing</w:t>
      </w:r>
      <w:r>
        <w:rPr>
          <w:sz w:val="20"/>
          <w:szCs w:val="20"/>
          <w:lang w:val="en-GB"/>
        </w:rPr>
        <w:t>/</w:t>
      </w:r>
      <w:r>
        <w:rPr>
          <w:sz w:val="20"/>
          <w:szCs w:val="20"/>
          <w:lang w:val="en-GB"/>
        </w:rPr>
        <w:tab/>
      </w:r>
      <w:r>
        <w:rPr>
          <w:sz w:val="20"/>
          <w:szCs w:val="20"/>
          <w:lang w:val="en-GB"/>
        </w:rPr>
        <w:tab/>
      </w:r>
      <w:r>
        <w:rPr>
          <w:sz w:val="20"/>
          <w:szCs w:val="20"/>
          <w:u w:val="single"/>
          <w:lang w:val="en-GB"/>
        </w:rPr>
        <w:t>Case Number and Name</w:t>
      </w:r>
      <w:r>
        <w:rPr>
          <w:sz w:val="20"/>
          <w:szCs w:val="20"/>
          <w:lang w:val="en-GB"/>
        </w:rPr>
        <w:t xml:space="preserve">/     </w:t>
      </w:r>
    </w:p>
    <w:p w:rsidR="006D0287" w:rsidRDefault="006D0287">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Date d'audition</w:t>
      </w:r>
      <w:r>
        <w:rPr>
          <w:sz w:val="20"/>
          <w:szCs w:val="20"/>
          <w:lang w:val="en-GB"/>
        </w:rPr>
        <w:tab/>
      </w:r>
      <w:r>
        <w:rPr>
          <w:sz w:val="20"/>
          <w:szCs w:val="20"/>
          <w:u w:val="single"/>
          <w:lang w:val="en-GB"/>
        </w:rPr>
        <w:t>NO.</w:t>
      </w:r>
      <w:r>
        <w:rPr>
          <w:sz w:val="20"/>
          <w:szCs w:val="20"/>
          <w:lang w:val="en-GB"/>
        </w:rPr>
        <w:tab/>
      </w:r>
      <w:r>
        <w:rPr>
          <w:sz w:val="20"/>
          <w:szCs w:val="20"/>
          <w:u w:val="single"/>
          <w:lang w:val="en-GB"/>
        </w:rPr>
        <w:t>Numéro et nom de la cause</w:t>
      </w:r>
    </w:p>
    <w:p w:rsidR="006D0287" w:rsidRDefault="006D0287">
      <w:pPr>
        <w:widowControl/>
        <w:tabs>
          <w:tab w:val="left" w:pos="240"/>
          <w:tab w:val="left" w:pos="2280"/>
          <w:tab w:val="left" w:pos="3000"/>
          <w:tab w:val="left" w:pos="4200"/>
          <w:tab w:val="left" w:pos="7920"/>
        </w:tabs>
        <w:suppressAutoHyphens/>
        <w:spacing w:line="240" w:lineRule="atLeast"/>
        <w:rPr>
          <w:sz w:val="20"/>
          <w:szCs w:val="20"/>
          <w:lang w:val="en-GB"/>
        </w:rPr>
      </w:pPr>
    </w:p>
    <w:p w:rsidR="006D0287" w:rsidRDefault="006D0287">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 xml:space="preserve">12/10/93 8Scott Jones v. Her Majesty The Queen (Crim.)(B.C.)(23157) </w:t>
      </w:r>
    </w:p>
    <w:p w:rsidR="006D0287" w:rsidRDefault="006D0287">
      <w:pPr>
        <w:widowControl/>
        <w:tabs>
          <w:tab w:val="left" w:pos="240"/>
          <w:tab w:val="left" w:pos="2280"/>
          <w:tab w:val="left" w:pos="3000"/>
          <w:tab w:val="left" w:pos="4200"/>
          <w:tab w:val="left" w:pos="7920"/>
        </w:tabs>
        <w:suppressAutoHyphens/>
        <w:spacing w:line="240" w:lineRule="atLeast"/>
        <w:rPr>
          <w:sz w:val="20"/>
          <w:szCs w:val="20"/>
          <w:lang w:val="en-GB"/>
        </w:rPr>
      </w:pPr>
    </w:p>
    <w:p w:rsidR="006D0287" w:rsidRDefault="006D0287">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12/10/9315Graham Gaetz v. Her Majesty The Queen (Crim.)(N.S.)(23369)</w:t>
      </w:r>
    </w:p>
    <w:p w:rsidR="006D0287" w:rsidRDefault="006D0287">
      <w:pPr>
        <w:widowControl/>
        <w:tabs>
          <w:tab w:val="left" w:pos="240"/>
          <w:tab w:val="left" w:pos="2280"/>
          <w:tab w:val="left" w:pos="3000"/>
          <w:tab w:val="left" w:pos="4200"/>
          <w:tab w:val="left" w:pos="7920"/>
        </w:tabs>
        <w:suppressAutoHyphens/>
        <w:spacing w:line="240" w:lineRule="atLeast"/>
        <w:rPr>
          <w:sz w:val="20"/>
          <w:szCs w:val="20"/>
          <w:lang w:val="en-GB"/>
        </w:rPr>
      </w:pPr>
    </w:p>
    <w:p w:rsidR="006D0287" w:rsidRDefault="006D0287">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13/10/93 23The Grand Council of the Crees (of Quebec) et al. v. The Attorney General of Quebec et al. (F.C.A.)(Qué.)(22705)</w:t>
      </w:r>
    </w:p>
    <w:p w:rsidR="006D0287" w:rsidRDefault="006D0287">
      <w:pPr>
        <w:widowControl/>
        <w:tabs>
          <w:tab w:val="left" w:pos="240"/>
          <w:tab w:val="left" w:pos="2280"/>
          <w:tab w:val="left" w:pos="3000"/>
          <w:tab w:val="left" w:pos="4200"/>
          <w:tab w:val="left" w:pos="7920"/>
        </w:tabs>
        <w:suppressAutoHyphens/>
        <w:spacing w:line="240" w:lineRule="atLeast"/>
        <w:rPr>
          <w:sz w:val="20"/>
          <w:szCs w:val="20"/>
          <w:lang w:val="en-GB"/>
        </w:rPr>
      </w:pPr>
    </w:p>
    <w:p w:rsidR="006D0287" w:rsidRDefault="006D0287">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14/10/93 36John O. Miron et al. v. Richard Trudel et al. (Ont.)(22744)</w:t>
      </w:r>
    </w:p>
    <w:p w:rsidR="006D0287" w:rsidRDefault="006D0287">
      <w:pPr>
        <w:widowControl/>
        <w:tabs>
          <w:tab w:val="left" w:pos="240"/>
          <w:tab w:val="left" w:pos="2280"/>
          <w:tab w:val="left" w:pos="3000"/>
          <w:tab w:val="left" w:pos="4200"/>
          <w:tab w:val="left" w:pos="7920"/>
        </w:tabs>
        <w:suppressAutoHyphens/>
        <w:spacing w:line="240" w:lineRule="atLeast"/>
        <w:rPr>
          <w:sz w:val="20"/>
          <w:szCs w:val="20"/>
          <w:lang w:val="en-GB"/>
        </w:rPr>
      </w:pPr>
    </w:p>
    <w:p w:rsidR="006D0287" w:rsidRDefault="006D0287">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15/10/9316Roger Cornelius Russell Yorke v. Her Majesty The Queen (Crim.)(N.S.)(23359)</w:t>
      </w:r>
    </w:p>
    <w:p w:rsidR="006D0287" w:rsidRDefault="006D0287">
      <w:pPr>
        <w:widowControl/>
        <w:tabs>
          <w:tab w:val="left" w:pos="240"/>
          <w:tab w:val="left" w:pos="2280"/>
          <w:tab w:val="left" w:pos="3000"/>
          <w:tab w:val="left" w:pos="4200"/>
          <w:tab w:val="left" w:pos="7920"/>
        </w:tabs>
        <w:suppressAutoHyphens/>
        <w:spacing w:line="240" w:lineRule="atLeast"/>
        <w:rPr>
          <w:sz w:val="20"/>
          <w:szCs w:val="20"/>
          <w:lang w:val="en-GB"/>
        </w:rPr>
      </w:pPr>
    </w:p>
    <w:p w:rsidR="006D0287" w:rsidRDefault="006D0287">
      <w:pPr>
        <w:widowControl/>
        <w:tabs>
          <w:tab w:val="left" w:pos="240"/>
          <w:tab w:val="left" w:pos="2280"/>
          <w:tab w:val="left" w:pos="3000"/>
          <w:tab w:val="left" w:pos="4200"/>
          <w:tab w:val="left" w:pos="7920"/>
        </w:tabs>
        <w:suppressAutoHyphens/>
        <w:spacing w:line="240" w:lineRule="atLeast"/>
        <w:ind w:left="3000" w:hanging="3000"/>
        <w:rPr>
          <w:sz w:val="20"/>
          <w:szCs w:val="20"/>
          <w:lang w:val="en-GB"/>
        </w:rPr>
      </w:pPr>
      <w:r>
        <w:rPr>
          <w:sz w:val="20"/>
          <w:szCs w:val="20"/>
          <w:lang w:val="en-GB"/>
        </w:rPr>
        <w:t>15/10/9318Robert Ambrosio San Vincente Freitas v. Her Majesty The Queen (Crim.)(N.B.)(23396)</w:t>
      </w:r>
    </w:p>
    <w:p w:rsidR="006D0287" w:rsidRDefault="006D0287">
      <w:pPr>
        <w:widowControl/>
        <w:tabs>
          <w:tab w:val="left" w:pos="240"/>
          <w:tab w:val="left" w:pos="2280"/>
          <w:tab w:val="left" w:pos="3000"/>
          <w:tab w:val="left" w:pos="4200"/>
          <w:tab w:val="left" w:pos="7920"/>
        </w:tabs>
        <w:suppressAutoHyphens/>
        <w:spacing w:line="240" w:lineRule="atLeast"/>
        <w:rPr>
          <w:sz w:val="20"/>
          <w:szCs w:val="20"/>
          <w:lang w:val="en-GB"/>
        </w:rPr>
      </w:pPr>
    </w:p>
    <w:p w:rsidR="006D0287" w:rsidRDefault="006D0287">
      <w:pPr>
        <w:widowControl/>
        <w:tabs>
          <w:tab w:val="left" w:pos="240"/>
          <w:tab w:val="left" w:pos="2280"/>
          <w:tab w:val="left" w:pos="3000"/>
          <w:tab w:val="left" w:pos="4200"/>
          <w:tab w:val="left" w:pos="7920"/>
        </w:tabs>
        <w:suppressAutoHyphens/>
        <w:spacing w:line="240" w:lineRule="atLeast"/>
        <w:rPr>
          <w:sz w:val="20"/>
          <w:szCs w:val="20"/>
          <w:lang w:val="en-GB"/>
        </w:rPr>
      </w:pPr>
    </w:p>
    <w:p w:rsidR="006D0287" w:rsidRDefault="006D0287">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 xml:space="preserve">                                                                                                                                              </w:t>
      </w:r>
      <w:r>
        <w:rPr>
          <w:sz w:val="20"/>
          <w:szCs w:val="20"/>
          <w:lang w:val="en-GB"/>
        </w:rPr>
        <w:t xml:space="preserve">                                                                                                                                                </w:t>
      </w:r>
      <w:r>
        <w:rPr>
          <w:b/>
          <w:bCs/>
          <w:sz w:val="20"/>
          <w:szCs w:val="20"/>
          <w:lang w:val="en-GB"/>
        </w:rPr>
        <w:t>NOTE:</w:t>
      </w:r>
      <w:r>
        <w:rPr>
          <w:sz w:val="20"/>
          <w:szCs w:val="20"/>
          <w:lang w:val="en-GB"/>
        </w:rPr>
        <w:t xml:space="preserve">  </w:t>
      </w:r>
    </w:p>
    <w:p w:rsidR="006D0287" w:rsidRDefault="006D0287">
      <w:pPr>
        <w:widowControl/>
        <w:tabs>
          <w:tab w:val="left" w:pos="240"/>
          <w:tab w:val="left" w:pos="2280"/>
          <w:tab w:val="left" w:pos="3000"/>
          <w:tab w:val="left" w:pos="4200"/>
          <w:tab w:val="left" w:pos="7920"/>
        </w:tabs>
        <w:suppressAutoHyphens/>
        <w:spacing w:line="240" w:lineRule="atLeast"/>
        <w:rPr>
          <w:sz w:val="20"/>
          <w:szCs w:val="20"/>
          <w:lang w:val="en-GB"/>
        </w:rPr>
      </w:pPr>
    </w:p>
    <w:p w:rsidR="006D0287" w:rsidRDefault="006D0287">
      <w:pPr>
        <w:widowControl/>
        <w:tabs>
          <w:tab w:val="left" w:pos="240"/>
          <w:tab w:val="left" w:pos="2280"/>
          <w:tab w:val="left" w:pos="3000"/>
          <w:tab w:val="left" w:pos="4200"/>
          <w:tab w:val="left" w:pos="7920"/>
        </w:tabs>
        <w:suppressAutoHyphens/>
        <w:spacing w:line="240" w:lineRule="atLeast"/>
        <w:ind w:left="240" w:hanging="240"/>
        <w:rPr>
          <w:sz w:val="20"/>
          <w:szCs w:val="20"/>
          <w:lang w:val="en-GB"/>
        </w:rPr>
      </w:pPr>
      <w:r>
        <w:rPr>
          <w:sz w:val="20"/>
          <w:szCs w:val="20"/>
          <w:lang w:val="en-GB"/>
        </w:rPr>
        <w:t>This agenda is subject to change.  Hearing dates should be confirmed with Process Registry staff at (613) 996-8666.</w:t>
      </w:r>
    </w:p>
    <w:p w:rsidR="006D0287" w:rsidRDefault="006D0287">
      <w:pPr>
        <w:widowControl/>
        <w:tabs>
          <w:tab w:val="left" w:pos="240"/>
          <w:tab w:val="left" w:pos="2280"/>
          <w:tab w:val="left" w:pos="3000"/>
          <w:tab w:val="left" w:pos="4200"/>
          <w:tab w:val="left" w:pos="7920"/>
        </w:tabs>
        <w:suppressAutoHyphens/>
        <w:spacing w:line="240" w:lineRule="atLeast"/>
        <w:rPr>
          <w:sz w:val="20"/>
          <w:szCs w:val="20"/>
          <w:lang w:val="en-GB"/>
        </w:rPr>
      </w:pPr>
    </w:p>
    <w:p w:rsidR="006D0287" w:rsidRDefault="006D0287">
      <w:pPr>
        <w:widowControl/>
        <w:tabs>
          <w:tab w:val="left" w:pos="240"/>
          <w:tab w:val="left" w:pos="2280"/>
          <w:tab w:val="left" w:pos="3000"/>
          <w:tab w:val="left" w:pos="4200"/>
          <w:tab w:val="left" w:pos="7920"/>
        </w:tabs>
        <w:suppressAutoHyphens/>
        <w:spacing w:line="240" w:lineRule="atLeast"/>
        <w:ind w:left="240" w:hanging="240"/>
        <w:rPr>
          <w:sz w:val="20"/>
          <w:szCs w:val="20"/>
          <w:lang w:val="en-GB"/>
        </w:rPr>
      </w:pPr>
      <w:r>
        <w:rPr>
          <w:sz w:val="20"/>
          <w:szCs w:val="20"/>
          <w:lang w:val="en-GB"/>
        </w:rPr>
        <w:t>Cet ordre du jour est sujet à modification.  Les dates d'audience devraient être confirmées auprès du personnel du greffe au (613) 996-8666.</w:t>
      </w:r>
    </w:p>
    <w:p w:rsidR="006D0287" w:rsidRDefault="006D0287">
      <w:pPr>
        <w:widowControl/>
        <w:tabs>
          <w:tab w:val="left" w:pos="240"/>
          <w:tab w:val="left" w:pos="2280"/>
          <w:tab w:val="left" w:pos="3000"/>
          <w:tab w:val="left" w:pos="4200"/>
          <w:tab w:val="left" w:pos="7920"/>
        </w:tabs>
        <w:suppressAutoHyphens/>
        <w:spacing w:line="240" w:lineRule="atLeast"/>
        <w:ind w:left="240" w:hanging="240"/>
        <w:rPr>
          <w:sz w:val="20"/>
          <w:szCs w:val="20"/>
          <w:lang w:val="en-GB"/>
        </w:rPr>
        <w:sectPr w:rsidR="006D0287">
          <w:headerReference w:type="default" r:id="rId34"/>
          <w:footerReference w:type="default" r:id="rId35"/>
          <w:footerReference w:type="first" r:id="rId36"/>
          <w:pgSz w:w="12240" w:h="15840"/>
          <w:pgMar w:top="720" w:right="1680" w:bottom="960" w:left="1080" w:header="720" w:footer="960" w:gutter="0"/>
          <w:pgNumType w:start="1776"/>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rPr>
                <w:b/>
                <w:bCs/>
                <w:lang w:val="en-GB"/>
              </w:rPr>
            </w:pPr>
            <w:r>
              <w:rPr>
                <w:b/>
                <w:bCs/>
                <w:lang w:val="en-GB"/>
              </w:rPr>
              <w:lastRenderedPageBreak/>
              <w:t>SUMMARIES OF THE CASES</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right"/>
              <w:rPr>
                <w:b/>
                <w:bCs/>
                <w:lang w:val="en-GB"/>
              </w:rPr>
            </w:pPr>
            <w:r>
              <w:rPr>
                <w:b/>
                <w:bCs/>
                <w:lang w:val="en-GB"/>
              </w:rPr>
              <w:t>RÉSUMÉS DES AFFAIRES</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u w:val="single"/>
          <w:lang w:val="en-GB"/>
        </w:rPr>
        <w:t xml:space="preserve">                                                                                                                                              </w:t>
      </w:r>
      <w:r>
        <w:rPr>
          <w:spacing w:val="-2"/>
          <w:sz w:val="20"/>
          <w:szCs w:val="20"/>
          <w:lang w:val="en-GB"/>
        </w:rPr>
        <w:t xml:space="preserve"> </w:t>
      </w:r>
      <w:r>
        <w:rPr>
          <w:b/>
          <w:bCs/>
          <w:spacing w:val="-2"/>
          <w:sz w:val="20"/>
          <w:szCs w:val="20"/>
          <w:lang w:val="en-GB"/>
        </w:rPr>
        <w:t>23157</w:t>
      </w:r>
      <w:r>
        <w:rPr>
          <w:b/>
          <w:bCs/>
          <w:spacing w:val="-2"/>
          <w:sz w:val="20"/>
          <w:szCs w:val="20"/>
          <w:u w:val="single"/>
          <w:lang w:val="en-GB"/>
        </w:rPr>
        <w:t xml:space="preserve">SCOTT JONES </w:t>
      </w:r>
      <w:r>
        <w:rPr>
          <w:b/>
          <w:bCs/>
          <w:spacing w:val="-2"/>
          <w:sz w:val="20"/>
          <w:szCs w:val="20"/>
          <w:u w:val="single"/>
          <w:lang w:val="en-GB"/>
        </w:rPr>
        <w:noBreakHyphen/>
        <w:t xml:space="preserve"> AND </w:t>
      </w:r>
      <w:r>
        <w:rPr>
          <w:b/>
          <w:bCs/>
          <w:spacing w:val="-2"/>
          <w:sz w:val="20"/>
          <w:szCs w:val="20"/>
          <w:u w:val="single"/>
          <w:lang w:val="en-GB"/>
        </w:rPr>
        <w:noBreakHyphen/>
        <w:t xml:space="preserve"> HER MAJESTY THE QUEEN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w:t>
      </w:r>
      <w:r>
        <w:rPr>
          <w:spacing w:val="-2"/>
          <w:sz w:val="20"/>
          <w:szCs w:val="20"/>
          <w:lang w:val="en-GB"/>
        </w:rPr>
        <w:noBreakHyphen/>
        <w:t xml:space="preserve"> Criminal law </w:t>
      </w:r>
      <w:r>
        <w:rPr>
          <w:spacing w:val="-2"/>
          <w:sz w:val="20"/>
          <w:szCs w:val="20"/>
          <w:lang w:val="en-GB"/>
        </w:rPr>
        <w:noBreakHyphen/>
        <w:t xml:space="preserve"> Sentencing </w:t>
      </w:r>
      <w:r>
        <w:rPr>
          <w:spacing w:val="-2"/>
          <w:sz w:val="20"/>
          <w:szCs w:val="20"/>
          <w:lang w:val="en-GB"/>
        </w:rPr>
        <w:noBreakHyphen/>
        <w:t xml:space="preserve"> During course of an assessment of mental state, prior to preliminary inquiry, investigation undertaken about his potential to re</w:t>
      </w:r>
      <w:r>
        <w:rPr>
          <w:spacing w:val="-2"/>
          <w:sz w:val="20"/>
          <w:szCs w:val="20"/>
          <w:lang w:val="en-GB"/>
        </w:rPr>
        <w:noBreakHyphen/>
        <w:t xml:space="preserve">offend </w:t>
      </w:r>
      <w:r>
        <w:rPr>
          <w:spacing w:val="-2"/>
          <w:sz w:val="20"/>
          <w:szCs w:val="20"/>
          <w:lang w:val="en-GB"/>
        </w:rPr>
        <w:noBreakHyphen/>
        <w:t xml:space="preserve"> Appellant aware of his right to counsel and that information could be used against him in Court </w:t>
      </w:r>
      <w:r>
        <w:rPr>
          <w:spacing w:val="-2"/>
          <w:sz w:val="20"/>
          <w:szCs w:val="20"/>
          <w:lang w:val="en-GB"/>
        </w:rPr>
        <w:noBreakHyphen/>
        <w:t xml:space="preserve"> Following plea of guilty, inquiry undertaken and Appellant found to be dangerous offender </w:t>
      </w:r>
      <w:r>
        <w:rPr>
          <w:spacing w:val="-2"/>
          <w:sz w:val="20"/>
          <w:szCs w:val="20"/>
          <w:lang w:val="en-GB"/>
        </w:rPr>
        <w:noBreakHyphen/>
        <w:t xml:space="preserve"> Was his right to silence infringed when he was not told by mental health professionals that the examinations might lead to dangerous offender proceedings </w:t>
      </w:r>
      <w:r>
        <w:rPr>
          <w:spacing w:val="-2"/>
          <w:sz w:val="20"/>
          <w:szCs w:val="20"/>
          <w:lang w:val="en-GB"/>
        </w:rPr>
        <w:noBreakHyphen/>
        <w:t xml:space="preserve"> Were Appellant's s. 10(</w:t>
      </w:r>
      <w:r>
        <w:rPr>
          <w:i/>
          <w:iCs/>
          <w:spacing w:val="-2"/>
          <w:sz w:val="20"/>
          <w:szCs w:val="20"/>
          <w:lang w:val="en-GB"/>
        </w:rPr>
        <w:t>b</w:t>
      </w:r>
      <w:r>
        <w:rPr>
          <w:spacing w:val="-2"/>
          <w:sz w:val="20"/>
          <w:szCs w:val="20"/>
          <w:lang w:val="en-GB"/>
        </w:rPr>
        <w:t xml:space="preserve">) rights infringed when he was not advised of his right to counsel with respect to these examinations insofar as they related to his ongoing custody.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Appellant, who was aware that the Crown would be seeking an indeterminate sentence, pleaded guilty to one count each of sexual assault and sexual assault with a weapon.  He had a record of similar offenses against young women, four of which involved assaults of girls between the ages of nine and thirteen.  Following his conviction, an inquiry was held to determine whether he should be sentenced as a dangerous offender.  The sentencing judge held a </w:t>
      </w:r>
      <w:r>
        <w:rPr>
          <w:i/>
          <w:iCs/>
          <w:spacing w:val="-2"/>
          <w:sz w:val="20"/>
          <w:szCs w:val="20"/>
          <w:lang w:val="en-GB"/>
        </w:rPr>
        <w:t>voir dire</w:t>
      </w:r>
      <w:r>
        <w:rPr>
          <w:spacing w:val="-2"/>
          <w:sz w:val="20"/>
          <w:szCs w:val="20"/>
          <w:lang w:val="en-GB"/>
        </w:rPr>
        <w:t xml:space="preserve"> to determine the admissibility of evidence from two psychiatrists and a psychologist, who had dealt with the Appellant during a thirty day psychiatric evaluation of his fitness to stand trial, conducted at the request of the defence.  The attending psychiatrist advised the Appellant that he was not required to talk to the doctors, and that any information he gave could be used against him in court.  No further warning was given when the focus of their investigation broadened to include inquiry as to whether the Appellant was likely to be a repeat offender.  As a result of information given by the Appellant, psychological tests were administered which indicated that there was a danger the Appellant would re</w:t>
      </w:r>
      <w:r>
        <w:rPr>
          <w:spacing w:val="-2"/>
          <w:sz w:val="20"/>
          <w:szCs w:val="20"/>
          <w:lang w:val="en-GB"/>
        </w:rPr>
        <w:noBreakHyphen/>
        <w:t>offend.  The psychologist testified that he administered a more detailed intelligence test than he would have had the Appellant's mental state only been under investigation.  The sentencing judge admitted the evidence.  He declared the Appellant to be a dangerous offender and gave him an indeterminate sentence.  The Appellant's appeal to the Court of Appeal for British Columbia was dismissed.</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Origin of the case:</w:t>
      </w:r>
      <w:r>
        <w:rPr>
          <w:spacing w:val="-2"/>
          <w:sz w:val="20"/>
          <w:szCs w:val="20"/>
          <w:lang w:val="en-GB"/>
        </w:rPr>
        <w:tab/>
      </w:r>
      <w:r>
        <w:rPr>
          <w:spacing w:val="-2"/>
          <w:sz w:val="20"/>
          <w:szCs w:val="20"/>
          <w:lang w:val="en-GB"/>
        </w:rPr>
        <w:tab/>
        <w:t>British Columbia</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File No:</w:t>
      </w:r>
      <w:r>
        <w:rPr>
          <w:spacing w:val="-2"/>
          <w:sz w:val="20"/>
          <w:szCs w:val="20"/>
          <w:lang w:val="en-GB"/>
        </w:rPr>
        <w:tab/>
      </w:r>
      <w:r>
        <w:rPr>
          <w:spacing w:val="-2"/>
          <w:sz w:val="20"/>
          <w:szCs w:val="20"/>
          <w:lang w:val="en-GB"/>
        </w:rPr>
        <w:tab/>
      </w:r>
      <w:r>
        <w:rPr>
          <w:spacing w:val="-2"/>
          <w:sz w:val="20"/>
          <w:szCs w:val="20"/>
          <w:lang w:val="en-GB"/>
        </w:rPr>
        <w:tab/>
        <w:t>23157</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judgment:</w:t>
      </w:r>
      <w:r>
        <w:rPr>
          <w:spacing w:val="-2"/>
          <w:sz w:val="20"/>
          <w:szCs w:val="20"/>
          <w:lang w:val="en-GB"/>
        </w:rPr>
        <w:tab/>
        <w:t>July 29, 1992</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Counsel:</w:t>
      </w:r>
      <w:r>
        <w:rPr>
          <w:spacing w:val="-2"/>
          <w:sz w:val="20"/>
          <w:szCs w:val="20"/>
          <w:lang w:val="en-GB"/>
        </w:rPr>
        <w:tab/>
      </w:r>
      <w:r>
        <w:rPr>
          <w:spacing w:val="-2"/>
          <w:sz w:val="20"/>
          <w:szCs w:val="20"/>
          <w:lang w:val="en-GB"/>
        </w:rPr>
        <w:tab/>
      </w:r>
      <w:r>
        <w:rPr>
          <w:spacing w:val="-2"/>
          <w:sz w:val="20"/>
          <w:szCs w:val="20"/>
          <w:lang w:val="en-GB"/>
        </w:rPr>
        <w:tab/>
        <w:t>Richard P. Anderson Q.C. for the Appellant</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Alexander Budlovsky for the Respondent</w:t>
      </w: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b/>
          <w:bCs/>
          <w:spacing w:val="-2"/>
          <w:sz w:val="20"/>
          <w:szCs w:val="20"/>
          <w:lang w:val="en-GB"/>
        </w:rPr>
        <w:lastRenderedPageBreak/>
        <w:t>23157</w:t>
      </w:r>
      <w:r>
        <w:rPr>
          <w:b/>
          <w:bCs/>
          <w:spacing w:val="-2"/>
          <w:sz w:val="20"/>
          <w:szCs w:val="20"/>
          <w:u w:val="single"/>
          <w:lang w:val="en-GB"/>
        </w:rPr>
        <w:t>SCOTT JONES - ET - SA MAJESTÉ LA REINE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i/>
          <w:iCs/>
          <w:spacing w:val="-2"/>
          <w:sz w:val="20"/>
          <w:szCs w:val="20"/>
          <w:lang w:val="en-GB"/>
        </w:rPr>
        <w:t>Charte canadienne des droits et libertés</w:t>
      </w:r>
      <w:r>
        <w:rPr>
          <w:spacing w:val="-2"/>
          <w:sz w:val="20"/>
          <w:szCs w:val="20"/>
          <w:lang w:val="en-GB"/>
        </w:rPr>
        <w:t xml:space="preserve"> - Droit criminel - Détermination de la peine - Au cours d'une évaluation de l'état mental, avant l'enquête préliminaire, une enquête a été entreprise sur la possibilité de récidive - L'appelant était au courant de son droit à l'assistance d'un avocat et que ces renseignements pouvaient être utilisés contre lui devant le tribunal - Par suite d'un plaidoyer de culpabilité, une enquête a été menée et l'appelant a été désigné délinquant dangereux - Y a-t-il eu violation de son droit au silence lorsque les professionnels de la santé mentale ont omis de lui dire que les examens pouvaient entraîner des procédures relatives aux déliquants dangereux? - Y a-t-il eu violation des droits que l'al. 10</w:t>
      </w:r>
      <w:r>
        <w:rPr>
          <w:i/>
          <w:iCs/>
          <w:spacing w:val="-2"/>
          <w:sz w:val="20"/>
          <w:szCs w:val="20"/>
          <w:lang w:val="en-GB"/>
        </w:rPr>
        <w:t>b</w:t>
      </w:r>
      <w:r>
        <w:rPr>
          <w:spacing w:val="-2"/>
          <w:sz w:val="20"/>
          <w:szCs w:val="20"/>
          <w:lang w:val="en-GB"/>
        </w:rPr>
        <w:t>) confère à l'appelant lorsqu'on a omis de l'aviser de son droit à l'assistance d'un avocat relativement à ces examens, dans la mesure où ils se rapportaient à sa détention?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L'appelant, qui savait que le ministère public chercherait à obtenir une peine à durée indéterminée, a plaidé coupable relativement à un chef d'accusation d'agression sexuelle et d'agression sexuelle armée.  Son dossier comportait des infractions semblables contre des jeunes femmes, dont quatre étaient des agressions contre des jeunes filles âgées de neuf à treize ans.  Après la déclaration de culpabilité de celui-ci, une enquête a été tenue pour déterminer s'il devrait être puni comme un délinquant dangereux.  Le juge qui impose la peine a tenu un voir dire pour déterminer la recevabilité du témoignage de deux psychiatres et d'un psychologue qui ont traité l'appelant pendant une évaluation psychiatrique de trente jours sur sa capacité à subir un procès, tenue à la demande de la défense.  Le psychiatre qui était présent a dit à l'appelant qu'il n'était pas tenu de parler aux médecins et que tout renseignement qu'il donnerait pourrait être utilisé contre lui devant le tribunal.  Aucun autre avertissement n'a été donné quand le sujet de leur enquête a été élargi pour porter sur le fait de savoir si l'appelant était susceptible de récidiver.  Suite aux renseignements donnés par l'appelant, des examens psychologiques ont révélé qu'il y avait un risque que l'appelant récidive.  Le psychologue a témoigné qu'il avait fait subir un test d'intelligence plus détaillé qu'il ne l'aurait fait si l'enquête n'avait porté que sur l'état mental de l'appelant.  Le juge qui impose la peine a admis la preuve.  Il a déclaré que l'appelant était un déliquant dangereux et lui a imposé une peine à durée indéterminée.  L'appel de l'appelant à la Cour d'appel de la Colombie-Britannique a été rejeté.</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 xml:space="preserve">Origine :Colombie-Britannique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 :                </w:t>
      </w:r>
      <w:r>
        <w:rPr>
          <w:spacing w:val="-2"/>
          <w:sz w:val="20"/>
          <w:szCs w:val="20"/>
          <w:lang w:val="en-GB"/>
        </w:rPr>
        <w:tab/>
        <w:t>23157</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Arrêt de la Cour d'appel :    </w:t>
      </w:r>
      <w:r>
        <w:rPr>
          <w:spacing w:val="-2"/>
          <w:sz w:val="20"/>
          <w:szCs w:val="20"/>
          <w:lang w:val="en-GB"/>
        </w:rPr>
        <w:tab/>
        <w:t>29 juillet 1992</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Avocat :      </w:t>
      </w:r>
      <w:r>
        <w:rPr>
          <w:spacing w:val="-2"/>
          <w:sz w:val="20"/>
          <w:szCs w:val="20"/>
          <w:lang w:val="en-GB"/>
        </w:rPr>
        <w:tab/>
      </w:r>
      <w:r>
        <w:rPr>
          <w:spacing w:val="-2"/>
          <w:sz w:val="20"/>
          <w:szCs w:val="20"/>
          <w:lang w:val="en-GB"/>
        </w:rPr>
        <w:tab/>
      </w:r>
      <w:r>
        <w:rPr>
          <w:spacing w:val="-2"/>
          <w:sz w:val="20"/>
          <w:szCs w:val="20"/>
          <w:lang w:val="en-GB"/>
        </w:rPr>
        <w:tab/>
        <w:t>Richard P. Anderson pour l'appelant</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 xml:space="preserve">Alexander Budlovsky pour l'intimée                  </w:t>
      </w: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b/>
          <w:bCs/>
          <w:spacing w:val="-2"/>
          <w:sz w:val="20"/>
          <w:szCs w:val="20"/>
          <w:lang w:val="en-GB"/>
        </w:rPr>
        <w:lastRenderedPageBreak/>
        <w:t>23369</w:t>
      </w:r>
      <w:r>
        <w:rPr>
          <w:b/>
          <w:bCs/>
          <w:spacing w:val="-2"/>
          <w:sz w:val="20"/>
          <w:szCs w:val="20"/>
          <w:u w:val="single"/>
          <w:lang w:val="en-GB"/>
        </w:rPr>
        <w:t>GRAHAM GAETZ v. HER MAJESTY THE QUEEN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Criminal law - Offences - Fraud - Evidence - Whether the majority of the Court of Appeal erred in law in upholding a conviction when the trial judge erred in law in instructing the jury that the deprivation of the victim required to sustain a conviction did not have to involve the loss of any money when the wording in the indictment particularized the deprivation as the loss of a sum of money exceeding $1,000 - Whether the majority of the Court of Appeal erred in law in upholding a conviction under s. 380(1)(a) of the </w:t>
      </w:r>
      <w:r>
        <w:rPr>
          <w:i/>
          <w:iCs/>
          <w:spacing w:val="-2"/>
          <w:sz w:val="20"/>
          <w:szCs w:val="20"/>
          <w:lang w:val="en-GB"/>
        </w:rPr>
        <w:t>Criminal Code</w:t>
      </w:r>
      <w:r>
        <w:rPr>
          <w:spacing w:val="-2"/>
          <w:sz w:val="20"/>
          <w:szCs w:val="20"/>
          <w:lang w:val="en-GB"/>
        </w:rPr>
        <w:t xml:space="preserve"> when the Crown failed to prove a deprivation of a sum of money exceeding $1,000 as alleged in the indictment.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Appellant was the sole shareholder and president of Concept Ford Ltd., a company involved in car and truck sales and leasing.  The operations of Concept were financed through the Bank of Nova Scotia pursuant to a credit agreement with the bank.  Under that agreement funds were advanced to Concept to enable it to purchase vehicles to be leased.  Concept leased these vehicles out.  Upon the disposal of a leased vehicle, funds received were deposited into Concept's current account at the bank.  A cheque was then issued to the bank to repay the loan against the leased vehicle.  Between November, 1989, and January, 1990, Concept received cheques representing the proceeds of sales of six leased vehicles, totalling approximately $246,251.  None of these monies was repaid to the bank, but with respect to the six leases involved, Concept continued to make monthly loan payments to the bank as if the vehicles were still being leased.  The Appellant had every intention of ultimately paying out these unpaid lease loans.  His business was in great difficulty.  In April, 1990, the bank declared Concept in default and appointed a receiver to realize on the indebtedness of the dealership.</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Appellant was charged with defrauding the bank, by deceit, falsehood, or other fraudulent means, of a sum of money exceeding $1,000.00 contrary to s. 380(1)(a) of the </w:t>
      </w:r>
      <w:r>
        <w:rPr>
          <w:i/>
          <w:iCs/>
          <w:spacing w:val="-2"/>
          <w:sz w:val="20"/>
          <w:szCs w:val="20"/>
          <w:lang w:val="en-GB"/>
        </w:rPr>
        <w:t>Criminal Code</w:t>
      </w:r>
      <w:r>
        <w:rPr>
          <w:spacing w:val="-2"/>
          <w:sz w:val="20"/>
          <w:szCs w:val="20"/>
          <w:lang w:val="en-GB"/>
        </w:rPr>
        <w:t>.  Following a trial before a judge and a jury, the Appellant was found guilty.  He appealed his conviction and sentence to the Court of Appeal.  On the appeal from conviction, the Appellant submitted that the trial judge erred in failing, at the request of counsel, to specifically instruct the jury as follows:  (a) that the jury could consider that the Appellant was acting in the best interests of the company in the absence of personal gain; (b) that mere non-disclosure, even of a material fact, is not fraud; and (c) that fraud does not encompass depriving someone of his due, but rather, of his property.  The Court of Appeal dismissed the appeal.  Jones J.A., dissenting, would have allowed the appeal and set aside the conviction and sentence.  The Appellant appeals as of right.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Origin of the case:Nova Scotia</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File No.:23369</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Judgment of the Court of Appeal:November 9, 1992</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Counsel:Douglas A. Caldwell, Q.C., and Patterson Kitz for the Appellant</w:t>
      </w: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John C. Pearson for the Respondent</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b/>
          <w:bCs/>
          <w:spacing w:val="-2"/>
          <w:sz w:val="20"/>
          <w:szCs w:val="20"/>
          <w:lang w:val="en-GB"/>
        </w:rPr>
        <w:lastRenderedPageBreak/>
        <w:t>23369</w:t>
      </w:r>
      <w:r>
        <w:rPr>
          <w:b/>
          <w:bCs/>
          <w:spacing w:val="-2"/>
          <w:sz w:val="20"/>
          <w:szCs w:val="20"/>
          <w:lang w:val="en-GB"/>
        </w:rPr>
        <w:tab/>
      </w:r>
      <w:r>
        <w:rPr>
          <w:b/>
          <w:bCs/>
          <w:spacing w:val="-2"/>
          <w:sz w:val="20"/>
          <w:szCs w:val="20"/>
          <w:u w:val="single"/>
          <w:lang w:val="en-GB"/>
        </w:rPr>
        <w:t>GRAHAM GAETZ c. SA MAJESTÉ LA REINE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Droit criminel - Infractions - Fraude - Preuve - La Cour d'appel à la majorité a</w:t>
      </w:r>
      <w:r>
        <w:rPr>
          <w:spacing w:val="-2"/>
          <w:sz w:val="20"/>
          <w:szCs w:val="20"/>
          <w:lang w:val="en-GB"/>
        </w:rPr>
        <w:noBreakHyphen/>
        <w:t>t</w:t>
      </w:r>
      <w:r>
        <w:rPr>
          <w:spacing w:val="-2"/>
          <w:sz w:val="20"/>
          <w:szCs w:val="20"/>
          <w:lang w:val="en-GB"/>
        </w:rPr>
        <w:noBreakHyphen/>
        <w:t>elle commis une erreur de droit en confirmant une déclaration de culpabilité alors que le juge du procès a commis une erreur de droit en disant au jury que, pour fonder un verdict de culpabilité dans un cas où l'acte d'accusation précisait la perte d'une somme de plus de mille dollars, la privation subie par la victime ne devait pas nécessairement consister dans la perte d'argent? - La Cour d'appel à la majorité a</w:t>
      </w:r>
      <w:r>
        <w:rPr>
          <w:spacing w:val="-2"/>
          <w:sz w:val="20"/>
          <w:szCs w:val="20"/>
          <w:lang w:val="en-GB"/>
        </w:rPr>
        <w:noBreakHyphen/>
        <w:t>t</w:t>
      </w:r>
      <w:r>
        <w:rPr>
          <w:spacing w:val="-2"/>
          <w:sz w:val="20"/>
          <w:szCs w:val="20"/>
          <w:lang w:val="en-GB"/>
        </w:rPr>
        <w:noBreakHyphen/>
        <w:t>elle commis une erreur de droit en confirmant une déclaration de culpabilité fondée sur l'art. 380(1)</w:t>
      </w:r>
      <w:r>
        <w:rPr>
          <w:i/>
          <w:iCs/>
          <w:spacing w:val="-2"/>
          <w:sz w:val="20"/>
          <w:szCs w:val="20"/>
          <w:lang w:val="en-GB"/>
        </w:rPr>
        <w:t>a</w:t>
      </w:r>
      <w:r>
        <w:rPr>
          <w:spacing w:val="-2"/>
          <w:sz w:val="20"/>
          <w:szCs w:val="20"/>
          <w:lang w:val="en-GB"/>
        </w:rPr>
        <w:t xml:space="preserve">) du </w:t>
      </w:r>
      <w:r>
        <w:rPr>
          <w:i/>
          <w:iCs/>
          <w:spacing w:val="-2"/>
          <w:sz w:val="20"/>
          <w:szCs w:val="20"/>
          <w:lang w:val="en-GB"/>
        </w:rPr>
        <w:t>Code criminel</w:t>
      </w:r>
      <w:r>
        <w:rPr>
          <w:spacing w:val="-2"/>
          <w:sz w:val="20"/>
          <w:szCs w:val="20"/>
          <w:lang w:val="en-GB"/>
        </w:rPr>
        <w:t xml:space="preserve"> alors que le ministère public n'a pas prouvé la privation d'une somme de plus de mille dollars alléguée dans l'acte d'accusation?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L'appelant était l'unique actionnaire et le président de Concept Ford Ltd., une société de vente et de location de voitures et de camions.  Les opérations de Concept étaient financées au moyen d'une convention de crédit intervenue avec la Banque de Nouvelle</w:t>
      </w:r>
      <w:r>
        <w:rPr>
          <w:spacing w:val="-2"/>
          <w:sz w:val="20"/>
          <w:szCs w:val="20"/>
          <w:lang w:val="en-GB"/>
        </w:rPr>
        <w:noBreakHyphen/>
        <w:t>Écosse.  Suivant cette convention, des fonds étaient avancés à Concept pour qu'elle puisse faire l'acquisition de véhicules qu'elle donnait ensuite en location.  À la vente d'un véhicule de location, le produit était déposé au compte courant de Concept à la banque.  Puis on tirait à l'ordre de la banque un chèque en remboursement du prêt consenti pour l'achat du véhicule.  Entre novembre 1989 et janvier 1990, Concept a touché des chèques représentant le produit de la vente de six véhicules de location, soit, au total, environ 246 251 $.  Aucune partie de cette somme n'a été remboursée à la banque, mais en ce qui concerne les six contrats de louage en question, Concept a continué à verser les mensualités à la banque, comme si les véhicules étaient encore en location.  L'appelant avait la ferme intention de rembourser un jour ces prêts impayés.  Son entreprise connaissait toutefois de grandes difficultés.  En avril 1990, la banque a déclaré Concept en défaut et a nommé un séquestre chargé de réaliser l'actif de l'entreprise.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L'appelant a été accusé d'avoir, par supercherie, mensonge ou autre moyen dolosif, frustré la banque d'une somme supérieure à mille dollars, contrairement à l'al. 380(1)</w:t>
      </w:r>
      <w:r>
        <w:rPr>
          <w:i/>
          <w:iCs/>
          <w:spacing w:val="-2"/>
          <w:sz w:val="20"/>
          <w:szCs w:val="20"/>
          <w:lang w:val="en-GB"/>
        </w:rPr>
        <w:t>a</w:t>
      </w:r>
      <w:r>
        <w:rPr>
          <w:spacing w:val="-2"/>
          <w:sz w:val="20"/>
          <w:szCs w:val="20"/>
          <w:lang w:val="en-GB"/>
        </w:rPr>
        <w:t xml:space="preserve">) du </w:t>
      </w:r>
      <w:r>
        <w:rPr>
          <w:i/>
          <w:iCs/>
          <w:spacing w:val="-2"/>
          <w:sz w:val="20"/>
          <w:szCs w:val="20"/>
          <w:lang w:val="en-GB"/>
        </w:rPr>
        <w:t>Code criminel</w:t>
      </w:r>
      <w:r>
        <w:rPr>
          <w:spacing w:val="-2"/>
          <w:sz w:val="20"/>
          <w:szCs w:val="20"/>
          <w:lang w:val="en-GB"/>
        </w:rPr>
        <w:t>.  À la suite d'un procès tenu devant un juge et un jury, l'appelant a été reconnu coupable.  Il a appelé de ce verdict et de la peine infligée devant la Cour d'appel.  Dans le cadre de l'appel contre le verdict de culpabilité, l'appelant a soutenu que le juge du procès avait commis une erreur en ne donnant pas suite à la demande de l'avocat de faire expressément savoir au jury : a) qu'il lui était permis de conclure que l'appelant, n'ayant reçu aucun gain personnel, agissait au mieux des intérêts de la compagnie; b) que la simple omission de communiquer même un fait substantiel ne constitue pas une fraude; et c) que la fraude consiste à priver une personne non pas de ce qui lui est dû mais de son bien.  La Cour d'appel a rejeté l'appel.  Le juge Jones, dissident, a été d'avis d'accueillir l'appel et d'annuler la déclaration de culpabilité ainsi que la peine fixée.  L'appelant se pourvoit de plein droit devant la Cour suprême du Canada.</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Origine:</w:t>
      </w:r>
      <w:r>
        <w:rPr>
          <w:spacing w:val="-2"/>
          <w:sz w:val="20"/>
          <w:szCs w:val="20"/>
          <w:lang w:val="en-GB"/>
        </w:rPr>
        <w:tab/>
      </w:r>
      <w:r>
        <w:rPr>
          <w:spacing w:val="-2"/>
          <w:sz w:val="20"/>
          <w:szCs w:val="20"/>
          <w:lang w:val="en-GB"/>
        </w:rPr>
        <w:tab/>
      </w:r>
      <w:r>
        <w:rPr>
          <w:spacing w:val="-2"/>
          <w:sz w:val="20"/>
          <w:szCs w:val="20"/>
          <w:lang w:val="en-GB"/>
        </w:rPr>
        <w:tab/>
        <w:t>Nouvelle-Écosse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 :</w:t>
      </w:r>
      <w:r>
        <w:rPr>
          <w:spacing w:val="-2"/>
          <w:sz w:val="20"/>
          <w:szCs w:val="20"/>
          <w:lang w:val="en-GB"/>
        </w:rPr>
        <w:tab/>
      </w:r>
      <w:r>
        <w:rPr>
          <w:spacing w:val="-2"/>
          <w:sz w:val="20"/>
          <w:szCs w:val="20"/>
          <w:lang w:val="en-GB"/>
        </w:rPr>
        <w:tab/>
      </w:r>
      <w:r>
        <w:rPr>
          <w:spacing w:val="-2"/>
          <w:sz w:val="20"/>
          <w:szCs w:val="20"/>
          <w:lang w:val="en-GB"/>
        </w:rPr>
        <w:tab/>
        <w:t>23369</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Arrêt de la Cour d'appel :</w:t>
      </w:r>
      <w:r>
        <w:rPr>
          <w:spacing w:val="-2"/>
          <w:sz w:val="20"/>
          <w:szCs w:val="20"/>
          <w:lang w:val="en-GB"/>
        </w:rPr>
        <w:tab/>
        <w:t>Le 9 novembre 1992</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Avocats :Douglas A. Caldwell, c.r., et Patterson Kitz pour l'appelant</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John C. Pearson pour l'intimée</w:t>
      </w: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b/>
          <w:bCs/>
          <w:spacing w:val="-2"/>
          <w:sz w:val="20"/>
          <w:szCs w:val="20"/>
          <w:lang w:val="en-GB"/>
        </w:rPr>
        <w:lastRenderedPageBreak/>
        <w:t>22705</w:t>
      </w:r>
      <w:r>
        <w:rPr>
          <w:b/>
          <w:bCs/>
          <w:spacing w:val="-2"/>
          <w:sz w:val="20"/>
          <w:szCs w:val="20"/>
          <w:u w:val="single"/>
          <w:lang w:val="en-GB"/>
        </w:rPr>
        <w:t xml:space="preserve">LE GRAND CONSEIL DES CRIS (DU QUÉBEC) </w:t>
      </w:r>
      <w:r>
        <w:rPr>
          <w:b/>
          <w:bCs/>
          <w:i/>
          <w:iCs/>
          <w:spacing w:val="-2"/>
          <w:sz w:val="20"/>
          <w:szCs w:val="20"/>
          <w:u w:val="single"/>
          <w:lang w:val="en-GB"/>
        </w:rPr>
        <w:t>ET AL.</w:t>
      </w:r>
      <w:r>
        <w:rPr>
          <w:b/>
          <w:bCs/>
          <w:spacing w:val="-2"/>
          <w:sz w:val="20"/>
          <w:szCs w:val="20"/>
          <w:u w:val="single"/>
          <w:lang w:val="en-GB"/>
        </w:rPr>
        <w:t xml:space="preserve"> c. LE PROCUREUR GÉNÉRAL DU QUÉBEC </w:t>
      </w:r>
      <w:r>
        <w:rPr>
          <w:b/>
          <w:bCs/>
          <w:i/>
          <w:iCs/>
          <w:spacing w:val="-2"/>
          <w:sz w:val="20"/>
          <w:szCs w:val="20"/>
          <w:u w:val="single"/>
          <w:lang w:val="en-GB"/>
        </w:rPr>
        <w:t>ET AL.</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Droit de l'environnement - Énergie - Droit administratif - Preuve -Lois - Interprétation.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28 juillet 1989, Hydro</w:t>
      </w:r>
      <w:r>
        <w:rPr>
          <w:spacing w:val="-2"/>
          <w:sz w:val="20"/>
          <w:szCs w:val="20"/>
          <w:lang w:val="en-GB"/>
        </w:rPr>
        <w:noBreakHyphen/>
        <w:t xml:space="preserve">Québec a demandé à l'Office national de l'énergie, conformément aux dispositions de la partie VI de la </w:t>
      </w:r>
      <w:r>
        <w:rPr>
          <w:i/>
          <w:iCs/>
          <w:spacing w:val="-2"/>
          <w:sz w:val="20"/>
          <w:szCs w:val="20"/>
          <w:lang w:val="en-GB"/>
        </w:rPr>
        <w:t>Loi sur l'Office national de l'énergie</w:t>
      </w:r>
      <w:r>
        <w:rPr>
          <w:spacing w:val="-2"/>
          <w:sz w:val="20"/>
          <w:szCs w:val="20"/>
          <w:lang w:val="en-GB"/>
        </w:rPr>
        <w:t>, L.R.C. (1985), ch. N</w:t>
      </w:r>
      <w:r>
        <w:rPr>
          <w:spacing w:val="-2"/>
          <w:sz w:val="20"/>
          <w:szCs w:val="20"/>
          <w:lang w:val="en-GB"/>
        </w:rPr>
        <w:noBreakHyphen/>
        <w:t xml:space="preserve">7, l'autorisation d'exporter de l'électricité vers New York et le Vermont.  Au moment du dépôt des demandes de licence, l'art. 118 de la </w:t>
      </w:r>
      <w:r>
        <w:rPr>
          <w:i/>
          <w:iCs/>
          <w:spacing w:val="-2"/>
          <w:sz w:val="20"/>
          <w:szCs w:val="20"/>
          <w:lang w:val="en-GB"/>
        </w:rPr>
        <w:t>Loi</w:t>
      </w:r>
      <w:r>
        <w:rPr>
          <w:spacing w:val="-2"/>
          <w:sz w:val="20"/>
          <w:szCs w:val="20"/>
          <w:lang w:val="en-GB"/>
        </w:rPr>
        <w:t xml:space="preserve"> obligeait l'Office à s'assurer que l'énergie à exporter soit excédentaire par rapport aux besoins normalement prévisibles du Canada et que le prix à demander par le requérant soit juste et raisonnable.  Avant que l'Office ne se prononce sur les demandes, mais après la tenue de l'audience, l'art. 118 a été modifié de manière à supprimer les critères quant à l'excédent et au prix qu'était tenu d'appliquer l'Office en examinant une demande de licence d'exportation.  Pour terminer leur argumentation, les appelants et Hydro</w:t>
      </w:r>
      <w:r>
        <w:rPr>
          <w:spacing w:val="-2"/>
          <w:sz w:val="20"/>
          <w:szCs w:val="20"/>
          <w:lang w:val="en-GB"/>
        </w:rPr>
        <w:noBreakHyphen/>
        <w:t>Québec ont présenté à l'Office des observations sur l'effet des modifications.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L'Office a octroyé les sept licences demandées, celles</w:t>
      </w:r>
      <w:r>
        <w:rPr>
          <w:spacing w:val="-2"/>
          <w:sz w:val="20"/>
          <w:szCs w:val="20"/>
          <w:lang w:val="en-GB"/>
        </w:rPr>
        <w:noBreakHyphen/>
        <w:t>ci étant toutefois soumises aux conditions 10 et 11 concernant les conséquences environnementales des exportations.  La condition 10 stipulait notamment que la licence ne demeurera «valide que dans la mesure où toute installation de production requise par Hydro</w:t>
      </w:r>
      <w:r>
        <w:rPr>
          <w:spacing w:val="-2"/>
          <w:sz w:val="20"/>
          <w:szCs w:val="20"/>
          <w:lang w:val="en-GB"/>
        </w:rPr>
        <w:noBreakHyphen/>
        <w:t>Québec pour alimenter les exportations [...] aura été soumise, préalablement à sa construction, aux évaluations et examens en matière d'environnement ainsi qu'aux normes environnementales applicables en vertu des lois et règlements du gouvernement fédéral».  Suivant la condition 11, la «production de l'énergie thermique qui sera exportée [en vertu des licences] ne doit pas contrevenir aux normes ni aux lignes directrices fédérales pertinentes en matière d'environnement».  Le procureur général du Québec et Hydro</w:t>
      </w:r>
      <w:r>
        <w:rPr>
          <w:spacing w:val="-2"/>
          <w:sz w:val="20"/>
          <w:szCs w:val="20"/>
          <w:lang w:val="en-GB"/>
        </w:rPr>
        <w:noBreakHyphen/>
        <w:t>Québec se sont adressés à la Cour d'appel fédérale afin de faire annuler ces deux conditions.  Les appelants ont également interjeté appel de la décision de l'Office en demandant la révocation des licences.  La Cour d'appel fédérale a maintenu les licences, mais a annulé les conditions 10 et 11 au motif que l'Office national de l'énergie avait outrepassé ses pouvoirs statutaires en les prescrivant.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L'appel soulève les questions suivantes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1.Dans le contexte d'une demande d'autorisation d'exporter de l'électricité, quel est le sens du terme «exportation» employé dans la </w:t>
      </w:r>
      <w:r>
        <w:rPr>
          <w:i/>
          <w:iCs/>
          <w:spacing w:val="-2"/>
          <w:sz w:val="20"/>
          <w:szCs w:val="20"/>
          <w:lang w:val="en-GB"/>
        </w:rPr>
        <w:t>Loi sur l'Office national de l'énergie</w:t>
      </w:r>
      <w:r>
        <w:rPr>
          <w:spacing w:val="-2"/>
          <w:sz w:val="20"/>
          <w:szCs w:val="20"/>
          <w:lang w:val="en-GB"/>
        </w:rPr>
        <w: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2.L'Office national de l'énergie peut</w:t>
      </w:r>
      <w:r>
        <w:rPr>
          <w:spacing w:val="-2"/>
          <w:sz w:val="20"/>
          <w:szCs w:val="20"/>
          <w:lang w:val="en-GB"/>
        </w:rPr>
        <w:noBreakHyphen/>
        <w:t>il octroyer une licence d'exportation d'électricité en l'absence d'une preuve suffisante quant aux inconvénients et aux avantages sur le plan social?</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3.L'Office national de l'énergie peut</w:t>
      </w:r>
      <w:r>
        <w:rPr>
          <w:spacing w:val="-2"/>
          <w:sz w:val="20"/>
          <w:szCs w:val="20"/>
          <w:lang w:val="en-GB"/>
        </w:rPr>
        <w:noBreakHyphen/>
        <w:t>il octroyer une licence d'exportation d'électricité dans un cas où le requérant refuse de divulguer complètement à l'Office et aux intervenants des renseignements essentiels concernant notamment le coût?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4.L'Office national de l'énergie peut</w:t>
      </w:r>
      <w:r>
        <w:rPr>
          <w:spacing w:val="-2"/>
          <w:sz w:val="20"/>
          <w:szCs w:val="20"/>
          <w:lang w:val="en-GB"/>
        </w:rPr>
        <w:noBreakHyphen/>
        <w:t xml:space="preserve">il octroyer une licence d'exportation d'électricité sans avoir appliqué à l'entrave à l'exercice de leurs droits qui en résultera pour les peuples autochtones, en l'occurrence les appelants, le critère de la justification énoncé par la Cour suprême du Canada dans l'arrêt </w:t>
      </w:r>
      <w:r>
        <w:rPr>
          <w:i/>
          <w:iCs/>
          <w:spacing w:val="-2"/>
          <w:sz w:val="20"/>
          <w:szCs w:val="20"/>
          <w:lang w:val="en-GB"/>
        </w:rPr>
        <w:t>R. c. Sparrow</w:t>
      </w:r>
      <w:r>
        <w:rPr>
          <w:spacing w:val="-2"/>
          <w:sz w:val="20"/>
          <w:szCs w:val="20"/>
          <w:lang w:val="en-GB"/>
        </w:rPr>
        <w:t>, [1990] 1 R.C.S. 1075?</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5.Quelle est la nature et la portée de la compétence de l'Office national de l'énergie en matière environnementale dans le cas d'une demande d'exportation d'électricité?</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6.L'Office national de l'énergie doit</w:t>
      </w:r>
      <w:r>
        <w:rPr>
          <w:spacing w:val="-2"/>
          <w:sz w:val="20"/>
          <w:szCs w:val="20"/>
          <w:lang w:val="en-GB"/>
        </w:rPr>
        <w:noBreakHyphen/>
        <w:t xml:space="preserve">il suivre à la lettre chacune des étapes prévues dans le </w:t>
      </w:r>
      <w:r>
        <w:rPr>
          <w:i/>
          <w:iCs/>
          <w:spacing w:val="-2"/>
          <w:sz w:val="20"/>
          <w:szCs w:val="20"/>
          <w:lang w:val="en-GB"/>
        </w:rPr>
        <w:t>Décret sur les lignes directrices visant le processus d'évaluation et d'examen en matière d'environnement</w:t>
      </w:r>
      <w:r>
        <w:rPr>
          <w:spacing w:val="-2"/>
          <w:sz w:val="20"/>
          <w:szCs w:val="20"/>
          <w:lang w:val="en-GB"/>
        </w:rPr>
        <w:t xml:space="preserve"> avant de pouvoir octroyer une licence d'exportation d'électricité?</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7.Subsidiairement, les conditions 10 et 11 peuvent</w:t>
      </w:r>
      <w:r>
        <w:rPr>
          <w:spacing w:val="-2"/>
          <w:sz w:val="20"/>
          <w:szCs w:val="20"/>
          <w:lang w:val="en-GB"/>
        </w:rPr>
        <w:noBreakHyphen/>
        <w:t>elles être dissociées des licences octroyées par l'Office national de l'énergie en l'espèce?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Origine :</w:t>
      </w:r>
      <w:r>
        <w:rPr>
          <w:spacing w:val="-2"/>
          <w:sz w:val="20"/>
          <w:szCs w:val="20"/>
          <w:lang w:val="en-GB"/>
        </w:rPr>
        <w:tab/>
      </w:r>
      <w:r>
        <w:rPr>
          <w:spacing w:val="-2"/>
          <w:sz w:val="20"/>
          <w:szCs w:val="20"/>
          <w:lang w:val="en-GB"/>
        </w:rPr>
        <w:tab/>
      </w:r>
      <w:r>
        <w:rPr>
          <w:spacing w:val="-2"/>
          <w:sz w:val="20"/>
          <w:szCs w:val="20"/>
          <w:lang w:val="en-GB"/>
        </w:rPr>
        <w:tab/>
        <w:t>Québec</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du greffe :</w:t>
      </w:r>
      <w:r>
        <w:rPr>
          <w:spacing w:val="-2"/>
          <w:sz w:val="20"/>
          <w:szCs w:val="20"/>
          <w:lang w:val="en-GB"/>
        </w:rPr>
        <w:tab/>
      </w:r>
      <w:r>
        <w:rPr>
          <w:spacing w:val="-2"/>
          <w:sz w:val="20"/>
          <w:szCs w:val="20"/>
          <w:lang w:val="en-GB"/>
        </w:rPr>
        <w:tab/>
      </w:r>
      <w:r>
        <w:rPr>
          <w:spacing w:val="-2"/>
          <w:sz w:val="20"/>
          <w:szCs w:val="20"/>
          <w:lang w:val="en-GB"/>
        </w:rPr>
        <w:tab/>
        <w:t>22705</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Arrêt de la Cour d'appel :</w:t>
      </w:r>
      <w:r>
        <w:rPr>
          <w:spacing w:val="-2"/>
          <w:sz w:val="20"/>
          <w:szCs w:val="20"/>
          <w:lang w:val="en-GB"/>
        </w:rPr>
        <w:tab/>
        <w:t>le 9 juillet 1991</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Avocats :</w:t>
      </w:r>
      <w:r>
        <w:rPr>
          <w:spacing w:val="-2"/>
          <w:sz w:val="20"/>
          <w:szCs w:val="20"/>
          <w:lang w:val="en-GB"/>
        </w:rPr>
        <w:tab/>
      </w:r>
      <w:r>
        <w:rPr>
          <w:spacing w:val="-2"/>
          <w:sz w:val="20"/>
          <w:szCs w:val="20"/>
          <w:lang w:val="en-GB"/>
        </w:rPr>
        <w:tab/>
      </w:r>
      <w:r>
        <w:rPr>
          <w:spacing w:val="-2"/>
          <w:sz w:val="20"/>
          <w:szCs w:val="20"/>
          <w:lang w:val="en-GB"/>
        </w:rPr>
        <w:tab/>
        <w:t>Robert Mainville et Peter W. Hutchins pour les appelants</w:t>
      </w:r>
    </w:p>
    <w:p w:rsidR="006D0287" w:rsidRDefault="006D0287">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Jean</w:t>
      </w:r>
      <w:r>
        <w:rPr>
          <w:spacing w:val="-2"/>
          <w:sz w:val="20"/>
          <w:szCs w:val="20"/>
          <w:lang w:val="en-GB"/>
        </w:rPr>
        <w:noBreakHyphen/>
        <w:t>K. Samson, Robert Monette et Pierre Lachance pour le procureur général du Québec</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Bernard A. Roy, c.r., Pierre Bienvenu et Jean G. Bertrand pour Hydro-Québec</w:t>
      </w:r>
    </w:p>
    <w:p w:rsidR="006D0287" w:rsidRDefault="006D0287">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t>Jean-Marc Aubry, c.r., pour l'Office national de l'énergie et le procureur général du Canada</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22705</w:t>
      </w:r>
      <w:r>
        <w:rPr>
          <w:b/>
          <w:bCs/>
          <w:spacing w:val="-2"/>
          <w:sz w:val="20"/>
          <w:szCs w:val="20"/>
          <w:u w:val="single"/>
          <w:lang w:val="en-GB"/>
        </w:rPr>
        <w:t>THE GRAND COUNCIL OF THE CREES (OF QUEBEC) ET AL. v. THE ATTORNEY GENERAL OF QUEBEC ET AL.</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Environmental law - Energy - Administrative law - Evidence - Statutes - Interpretation.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On July 28, 1989, Hydro-Québec applied to the National Energy Board pursuant to the provisions of Part VI of the </w:t>
      </w:r>
      <w:r>
        <w:rPr>
          <w:i/>
          <w:iCs/>
          <w:spacing w:val="-2"/>
          <w:sz w:val="20"/>
          <w:szCs w:val="20"/>
          <w:lang w:val="en-GB"/>
        </w:rPr>
        <w:t>National Energy Board Act</w:t>
      </w:r>
      <w:r>
        <w:rPr>
          <w:spacing w:val="-2"/>
          <w:sz w:val="20"/>
          <w:szCs w:val="20"/>
          <w:lang w:val="en-GB"/>
        </w:rPr>
        <w:t xml:space="preserve">, R.S.C. 1985, c. N-7, for leave to export electricity in New York and Vermont.  At the time the licence applications were filed, s. 118 of the </w:t>
      </w:r>
      <w:r>
        <w:rPr>
          <w:i/>
          <w:iCs/>
          <w:spacing w:val="-2"/>
          <w:sz w:val="20"/>
          <w:szCs w:val="20"/>
          <w:lang w:val="en-GB"/>
        </w:rPr>
        <w:t>Act</w:t>
      </w:r>
      <w:r>
        <w:rPr>
          <w:spacing w:val="-2"/>
          <w:sz w:val="20"/>
          <w:szCs w:val="20"/>
          <w:lang w:val="en-GB"/>
        </w:rPr>
        <w:t xml:space="preserve"> required that the Board satisfy itself that the power to be exported was surplus to reasonably foreseeable Canadian requirements for use in Canada and that the price to be charged by the applicant was just and reasonable.  Before the Board had ruled on the applications, but after the hearing had taken place, s. 118 was amended to remove the surplus and price criteria that the Board was obliged to consider in examining an application for an export licence.  In their final arguments, the Appellants and Hydro-Québec made submissions to the Board on the effect of the amendments.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Board granted the seven licences requested subject to conditions 10 and 11 concerning the environmental impacts of the exports.  Condition 10 provided in part that the export licence would remain "valid to the extent that any production facility required by Hydro-Québec to supply the exports ... will have been subjected, prior to its construction, to the appropriate environmental assessment and review procedures as well as to the applicable environmental standards and guidelines in accordance with federal government laws and regulations."  Condition 11 provided that the "generation of thermal energy to be exported [under the licences] shall not contravene relevant federal environmental standards or guidelines."  The Attorney General of Quebec and Hydro-Québec appealed to the Federal Court of Appeal to have conditions 10 and 11 quashed.  The Appellants also appealed the decision of the Board seeking the quashing of the licences.  The Federal Court of Appeal upheld the licences, but it set aside conditions 10 and 11 on the ground that they went beyond the statutory powers of the National Energy Board.</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following are the issues raised in this appeal:</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1.What is the meaning of "export" under the </w:t>
      </w:r>
      <w:r>
        <w:rPr>
          <w:i/>
          <w:iCs/>
          <w:spacing w:val="-2"/>
          <w:sz w:val="20"/>
          <w:szCs w:val="20"/>
          <w:lang w:val="en-GB"/>
        </w:rPr>
        <w:t>National Energy Board Act</w:t>
      </w:r>
      <w:r>
        <w:rPr>
          <w:spacing w:val="-2"/>
          <w:sz w:val="20"/>
          <w:szCs w:val="20"/>
          <w:lang w:val="en-GB"/>
        </w:rPr>
        <w:t xml:space="preserve"> in the case of an application for the export of electricity.</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2.Whether a licence to export electricity may be granted by the National Energy Board in the absence of sufficient evidence on social costs and benefits.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3.Whether a licence to export electricity may be granted by the National Energy Board when an applicant refuses complete disclosure of essential information such as cost information to the Board and to intervenors.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4.Whether a licence to export electricity may be granted by the National Energy Board without applying the justification test established by this Court in </w:t>
      </w:r>
      <w:r>
        <w:rPr>
          <w:i/>
          <w:iCs/>
          <w:spacing w:val="-2"/>
          <w:sz w:val="20"/>
          <w:szCs w:val="20"/>
          <w:lang w:val="en-GB"/>
        </w:rPr>
        <w:t>R. v. Sparrow</w:t>
      </w:r>
      <w:r>
        <w:rPr>
          <w:spacing w:val="-2"/>
          <w:sz w:val="20"/>
          <w:szCs w:val="20"/>
          <w:lang w:val="en-GB"/>
        </w:rPr>
        <w:t>, [1990] 1 S.C.R. 1075, to the consequent interference with the exercise of the rights of aboriginal people, Appellants in this instance.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lastRenderedPageBreak/>
        <w:t>5.What is the nature and scope of the jurisdiction of the National Energy Board in environmental matters in the case of an application for the export of electricity.</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6.Whether full compliance by the National Energy Board with all the steps in the </w:t>
      </w:r>
      <w:r>
        <w:rPr>
          <w:i/>
          <w:iCs/>
          <w:spacing w:val="-2"/>
          <w:sz w:val="20"/>
          <w:szCs w:val="20"/>
          <w:lang w:val="en-GB"/>
        </w:rPr>
        <w:t>Environmental Assessment and Review Process Guidelines Order</w:t>
      </w:r>
      <w:r>
        <w:rPr>
          <w:spacing w:val="-2"/>
          <w:sz w:val="20"/>
          <w:szCs w:val="20"/>
          <w:lang w:val="en-GB"/>
        </w:rPr>
        <w:t xml:space="preserve"> is a condition precedent to granting a licence to export electricity.</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7.Subsidiarily, whether conditions 10 and 11 were severable from the licences granted by the National Energy Board in this instance.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Origin of the case:</w:t>
      </w:r>
      <w:r>
        <w:rPr>
          <w:spacing w:val="-2"/>
          <w:sz w:val="20"/>
          <w:szCs w:val="20"/>
          <w:lang w:val="en-GB"/>
        </w:rPr>
        <w:tab/>
      </w:r>
      <w:r>
        <w:rPr>
          <w:spacing w:val="-2"/>
          <w:sz w:val="20"/>
          <w:szCs w:val="20"/>
          <w:lang w:val="en-GB"/>
        </w:rPr>
        <w:tab/>
        <w:t>Quebec</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File No.:</w:t>
      </w:r>
      <w:r>
        <w:rPr>
          <w:spacing w:val="-2"/>
          <w:sz w:val="20"/>
          <w:szCs w:val="20"/>
          <w:lang w:val="en-GB"/>
        </w:rPr>
        <w:tab/>
      </w:r>
      <w:r>
        <w:rPr>
          <w:spacing w:val="-2"/>
          <w:sz w:val="20"/>
          <w:szCs w:val="20"/>
          <w:lang w:val="en-GB"/>
        </w:rPr>
        <w:tab/>
      </w:r>
      <w:r>
        <w:rPr>
          <w:spacing w:val="-2"/>
          <w:sz w:val="20"/>
          <w:szCs w:val="20"/>
          <w:lang w:val="en-GB"/>
        </w:rPr>
        <w:tab/>
        <w:t>22705</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Judgment of the Court of Appeal:July 9, 1991</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Counsel:Robert Mainville and Peter W. Hutchins for the Appellants</w:t>
      </w: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Jean-K. Samson, Robert Monette and Pierre Lachance for the Attorney General of Quebec</w:t>
      </w: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Bernard A. Roy, Q.C., Pierre Bienvenu and Jean G. Bertrand for Hydro-Québec</w:t>
      </w: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Jean-Marc Aubry, Q.C. for the National Energy Board and the Attorney General of Canada</w:t>
      </w: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b/>
          <w:bCs/>
          <w:spacing w:val="-2"/>
          <w:sz w:val="20"/>
          <w:szCs w:val="20"/>
          <w:lang w:val="en-GB"/>
        </w:rPr>
        <w:lastRenderedPageBreak/>
        <w:t>22744</w:t>
      </w:r>
      <w:r>
        <w:rPr>
          <w:b/>
          <w:bCs/>
          <w:spacing w:val="-2"/>
          <w:sz w:val="20"/>
          <w:szCs w:val="20"/>
          <w:u w:val="single"/>
          <w:lang w:val="en-GB"/>
        </w:rPr>
        <w:t>JOHN O. MIRON et al v. RICHARD TRUDEL et al.</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Statutes - Insurance - Interpretation - Motor vehicles - </w:t>
      </w:r>
      <w:r>
        <w:rPr>
          <w:i/>
          <w:iCs/>
          <w:spacing w:val="-2"/>
          <w:sz w:val="20"/>
          <w:szCs w:val="20"/>
          <w:lang w:val="en-GB"/>
        </w:rPr>
        <w:t>Insurance Act</w:t>
      </w:r>
      <w:r>
        <w:rPr>
          <w:spacing w:val="-2"/>
          <w:sz w:val="20"/>
          <w:szCs w:val="20"/>
          <w:lang w:val="en-GB"/>
        </w:rPr>
        <w:t xml:space="preserve">, R.S.O. 1980, c. 218 - Definition of spouse - Whether common law spouse covered by uninsured motorist coverage and accident benefits for loss of income -Whether the Court of Appeal erred in finding that the provisions of the Ontario Standard Auto Policy with respect to uninsured coverage and accident benefits for loss of income as prescribed by Part V1 of the </w:t>
      </w:r>
      <w:r>
        <w:rPr>
          <w:i/>
          <w:iCs/>
          <w:spacing w:val="-2"/>
          <w:sz w:val="20"/>
          <w:szCs w:val="20"/>
          <w:lang w:val="en-GB"/>
        </w:rPr>
        <w:t>Insurance Act</w:t>
      </w:r>
      <w:r>
        <w:rPr>
          <w:spacing w:val="-2"/>
          <w:sz w:val="20"/>
          <w:szCs w:val="20"/>
          <w:lang w:val="en-GB"/>
        </w:rPr>
        <w:t xml:space="preserve"> do not contravene s. 15 of the </w:t>
      </w:r>
      <w:r>
        <w:rPr>
          <w:i/>
          <w:iCs/>
          <w:spacing w:val="-2"/>
          <w:sz w:val="20"/>
          <w:szCs w:val="20"/>
          <w:lang w:val="en-GB"/>
        </w:rPr>
        <w:t>Charter</w:t>
      </w:r>
      <w:r>
        <w:rPr>
          <w:spacing w:val="-2"/>
          <w:sz w:val="20"/>
          <w:szCs w:val="20"/>
          <w:lang w:val="en-GB"/>
        </w:rPr>
        <w:t xml:space="preserve"> by limiting benefits of the law to married spouses - Whether the Court of Appeal erred in finding that a court of first instance is bound by </w:t>
      </w:r>
      <w:r>
        <w:rPr>
          <w:i/>
          <w:iCs/>
          <w:spacing w:val="-2"/>
          <w:sz w:val="20"/>
          <w:szCs w:val="20"/>
          <w:lang w:val="en-GB"/>
        </w:rPr>
        <w:t>stare decisis</w:t>
      </w:r>
      <w:r>
        <w:rPr>
          <w:spacing w:val="-2"/>
          <w:sz w:val="20"/>
          <w:szCs w:val="20"/>
          <w:lang w:val="en-GB"/>
        </w:rPr>
        <w:t xml:space="preserve"> to follow an appellate court's decision thus prevailing over the requirements of the Constitution as set out in s. 52(1) of the </w:t>
      </w:r>
      <w:r>
        <w:rPr>
          <w:i/>
          <w:iCs/>
          <w:spacing w:val="-2"/>
          <w:sz w:val="20"/>
          <w:szCs w:val="20"/>
          <w:lang w:val="en-GB"/>
        </w:rPr>
        <w:t>Charter</w:t>
      </w:r>
      <w:r>
        <w:rPr>
          <w:spacing w:val="-2"/>
          <w:sz w:val="20"/>
          <w:szCs w:val="20"/>
          <w:lang w:val="en-GB"/>
        </w:rPr>
        <w:t xml:space="preserve">, contrary to the reasoning of the Supreme Court of Canada in </w:t>
      </w:r>
      <w:r>
        <w:rPr>
          <w:i/>
          <w:iCs/>
          <w:spacing w:val="-2"/>
          <w:sz w:val="20"/>
          <w:szCs w:val="20"/>
          <w:lang w:val="en-GB"/>
        </w:rPr>
        <w:t>R.W.D.S.U. v. Dolphin Delivery Ltd</w:t>
      </w:r>
      <w:r>
        <w:rPr>
          <w:spacing w:val="-2"/>
          <w:sz w:val="20"/>
          <w:szCs w:val="20"/>
          <w:lang w:val="en-GB"/>
        </w:rPr>
        <w:t xml:space="preserve">., [1986] 2 S.C.R. 573 and </w:t>
      </w:r>
      <w:r>
        <w:rPr>
          <w:i/>
          <w:iCs/>
          <w:spacing w:val="-2"/>
          <w:sz w:val="20"/>
          <w:szCs w:val="20"/>
          <w:lang w:val="en-GB"/>
        </w:rPr>
        <w:t>R. v. Swain</w:t>
      </w:r>
      <w:r>
        <w:rPr>
          <w:spacing w:val="-2"/>
          <w:sz w:val="20"/>
          <w:szCs w:val="20"/>
          <w:lang w:val="en-GB"/>
        </w:rPr>
        <w:t>, [1991] 1 S.C.R. 933.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Appellants have resided in a common-law relationship since 1983.  A policy of motor vehicle insurance was issued to the Appellant Vallière for the year 1986-87.  The Appellant Miron is the father of two children born to the Appellant Vallière.  In August 1987, the Appellant Miron sustained injuries while a passenger in a motor vehicle owned by the Respondent McIsaac and operated by the Respondent Trudel, neither the vehicle of which was insured.  The Appellant Miron is not a dependant relative of Vallière but claims from the Respondents accidental benefits for loss of income, pursuant to Section B, Subsection 2, Part 11 of the Ontario Standard Automobile policy, as well as damages pursuant to the uninsured motorist coverage under Section B, Subsection 3 of the said policy.  The Respondent Insurance Company, sought dismissal of the Appellants' action upon a determination before trial, of the following question of law:  Is the Appellant Miron an insured within the meaning of Section B, Subsection 2, Part 11 of the Ontario Standard Automobile Policy or under Section B, Subsection 3, of the said Ontario Standard Automobile policy?  The Appellants' action on the determination of a point of law was dismissed by the trial judge on a motion by the Respondent insurance company.  The Appellants' appeal to the Court of Appeal was dismissed.</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following are the issues raised in this appeal:</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1.Is Miron, as a person living in a conjugal relationship outside of marriage, a "spouse" of Vallière and therefore an insured person within the meaning of section B, subsection 2, Part II or Section B, Subsection 3 of the Ontario Standard Automobile Policy.</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2.In the alternative, do the provisions of Section B, subsection 2, Part II or Section B, subsection 3 of the Ontario Standard Automobile Policy infringe s. 15 of the </w:t>
      </w:r>
      <w:r>
        <w:rPr>
          <w:i/>
          <w:iCs/>
          <w:spacing w:val="-2"/>
          <w:sz w:val="20"/>
          <w:szCs w:val="20"/>
          <w:lang w:val="en-GB"/>
        </w:rPr>
        <w:t>Canadian Charter of Rights and Freedoms</w:t>
      </w:r>
      <w:r>
        <w:rPr>
          <w:spacing w:val="-2"/>
          <w:sz w:val="20"/>
          <w:szCs w:val="20"/>
          <w:lang w:val="en-GB"/>
        </w:rPr>
        <w:t xml:space="preserve">, and if so, are the provisions justified under s. 1 of the </w:t>
      </w:r>
      <w:r>
        <w:rPr>
          <w:i/>
          <w:iCs/>
          <w:spacing w:val="-2"/>
          <w:sz w:val="20"/>
          <w:szCs w:val="20"/>
          <w:lang w:val="en-GB"/>
        </w:rPr>
        <w:t>Charter</w:t>
      </w:r>
      <w:r>
        <w:rPr>
          <w:spacing w:val="-2"/>
          <w:sz w:val="20"/>
          <w:szCs w:val="20"/>
          <w:lang w:val="en-GB"/>
        </w:rPr>
        <w: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3.In the alternative, do the provisions of Section B, subsection 2, Part II or Section B, subsection 3 of the Ontario Standard Automobile Policy violate the Ontario </w:t>
      </w:r>
      <w:r>
        <w:rPr>
          <w:i/>
          <w:iCs/>
          <w:spacing w:val="-2"/>
          <w:sz w:val="20"/>
          <w:szCs w:val="20"/>
          <w:lang w:val="en-GB"/>
        </w:rPr>
        <w:t>Human Rights Code</w:t>
      </w:r>
      <w:r>
        <w:rPr>
          <w:spacing w:val="-2"/>
          <w:sz w:val="20"/>
          <w:szCs w:val="20"/>
          <w:lang w:val="en-GB"/>
        </w:rPr>
        <w: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4.The following constitutional questions were stated by the Chief Justice, on November 11, 1992:</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s>
        <w:suppressAutoHyphens/>
        <w:spacing w:line="240" w:lineRule="atLeast"/>
        <w:ind w:left="2160" w:hanging="2160"/>
        <w:jc w:val="both"/>
        <w:rPr>
          <w:spacing w:val="-2"/>
          <w:sz w:val="20"/>
          <w:szCs w:val="20"/>
          <w:lang w:val="en-GB"/>
        </w:rPr>
      </w:pPr>
      <w:r>
        <w:rPr>
          <w:spacing w:val="-2"/>
          <w:sz w:val="20"/>
          <w:szCs w:val="20"/>
          <w:lang w:val="en-GB"/>
        </w:rPr>
        <w:t xml:space="preserve">1.Do the provisions of Section B, subsection 2, Part II or Section B, Subsection 3 of the Ontario Standard Automobile Policy (S.P.F.No.1) infringe s. 15 of the </w:t>
      </w:r>
      <w:r>
        <w:rPr>
          <w:i/>
          <w:iCs/>
          <w:spacing w:val="-2"/>
          <w:sz w:val="20"/>
          <w:szCs w:val="20"/>
          <w:lang w:val="en-GB"/>
        </w:rPr>
        <w:t>Canadian Charter of Rights of Rights and Freedoms</w:t>
      </w:r>
      <w:r>
        <w:rPr>
          <w:spacing w:val="-2"/>
          <w:sz w:val="20"/>
          <w:szCs w:val="20"/>
          <w:lang w:val="en-GB"/>
        </w:rPr>
        <w: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s>
        <w:suppressAutoHyphens/>
        <w:spacing w:line="240" w:lineRule="atLeast"/>
        <w:ind w:left="2160" w:hanging="2160"/>
        <w:jc w:val="both"/>
        <w:rPr>
          <w:spacing w:val="-2"/>
          <w:sz w:val="20"/>
          <w:szCs w:val="20"/>
          <w:lang w:val="en-GB"/>
        </w:rPr>
      </w:pPr>
      <w:r>
        <w:rPr>
          <w:spacing w:val="-2"/>
          <w:sz w:val="20"/>
          <w:szCs w:val="20"/>
          <w:lang w:val="en-GB"/>
        </w:rPr>
        <w:t xml:space="preserve">2.If the answer to question (1) is in the affirmative, are the provisions justified under s. 1 of the </w:t>
      </w:r>
      <w:r>
        <w:rPr>
          <w:i/>
          <w:iCs/>
          <w:spacing w:val="-2"/>
          <w:sz w:val="20"/>
          <w:szCs w:val="20"/>
          <w:lang w:val="en-GB"/>
        </w:rPr>
        <w:t>Charter</w:t>
      </w:r>
      <w:r>
        <w:rPr>
          <w:spacing w:val="-2"/>
          <w:sz w:val="20"/>
          <w:szCs w:val="20"/>
          <w:lang w:val="en-GB"/>
        </w:rPr>
        <w: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Origin of the case:Ontario</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File No:22744</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jc w:val="both"/>
        <w:rPr>
          <w:spacing w:val="-2"/>
          <w:sz w:val="20"/>
          <w:szCs w:val="20"/>
          <w:lang w:val="en-GB"/>
        </w:rPr>
      </w:pPr>
      <w:r>
        <w:rPr>
          <w:spacing w:val="-2"/>
          <w:sz w:val="20"/>
          <w:szCs w:val="20"/>
          <w:lang w:val="en-GB"/>
        </w:rPr>
        <w:t>Judgment of the Court of Appeal:September 16, 1991</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Counsel:Nelligan &amp; Power for the Appellants</w:t>
      </w: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lastRenderedPageBreak/>
        <w:t>Cooligan, Ryan for the Respondents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22744</w:t>
      </w:r>
      <w:r>
        <w:rPr>
          <w:b/>
          <w:bCs/>
          <w:spacing w:val="-2"/>
          <w:sz w:val="20"/>
          <w:szCs w:val="20"/>
          <w:u w:val="single"/>
          <w:lang w:val="en-GB"/>
        </w:rPr>
        <w:t>JOHN O. MIRON et al c. RICHARD TRUDEL et al</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i/>
          <w:iCs/>
          <w:spacing w:val="-2"/>
          <w:sz w:val="20"/>
          <w:szCs w:val="20"/>
          <w:lang w:val="en-GB"/>
        </w:rPr>
        <w:t>Charte canadienne des droits et libertés</w:t>
      </w:r>
      <w:r>
        <w:rPr>
          <w:spacing w:val="-2"/>
          <w:sz w:val="20"/>
          <w:szCs w:val="20"/>
          <w:lang w:val="en-GB"/>
        </w:rPr>
        <w:t xml:space="preserve"> </w:t>
      </w:r>
      <w:r>
        <w:rPr>
          <w:spacing w:val="-2"/>
          <w:sz w:val="20"/>
          <w:szCs w:val="20"/>
          <w:lang w:val="en-GB"/>
        </w:rPr>
        <w:sym w:font="Courier New" w:char="2500"/>
      </w:r>
      <w:r>
        <w:rPr>
          <w:spacing w:val="-2"/>
          <w:sz w:val="20"/>
          <w:szCs w:val="20"/>
          <w:lang w:val="en-GB"/>
        </w:rPr>
        <w:t xml:space="preserve"> Lois </w:t>
      </w:r>
      <w:r>
        <w:rPr>
          <w:spacing w:val="-2"/>
          <w:sz w:val="20"/>
          <w:szCs w:val="20"/>
          <w:lang w:val="en-GB"/>
        </w:rPr>
        <w:sym w:font="Courier New" w:char="2500"/>
      </w:r>
      <w:r>
        <w:rPr>
          <w:spacing w:val="-2"/>
          <w:sz w:val="20"/>
          <w:szCs w:val="20"/>
          <w:lang w:val="en-GB"/>
        </w:rPr>
        <w:t xml:space="preserve"> Assurances </w:t>
      </w:r>
      <w:r>
        <w:rPr>
          <w:spacing w:val="-2"/>
          <w:sz w:val="20"/>
          <w:szCs w:val="20"/>
          <w:lang w:val="en-GB"/>
        </w:rPr>
        <w:sym w:font="Courier New" w:char="2500"/>
      </w:r>
      <w:r>
        <w:rPr>
          <w:spacing w:val="-2"/>
          <w:sz w:val="20"/>
          <w:szCs w:val="20"/>
          <w:lang w:val="en-GB"/>
        </w:rPr>
        <w:t xml:space="preserve"> Interprétation </w:t>
      </w:r>
      <w:r>
        <w:rPr>
          <w:spacing w:val="-2"/>
          <w:sz w:val="20"/>
          <w:szCs w:val="20"/>
          <w:lang w:val="en-GB"/>
        </w:rPr>
        <w:sym w:font="Courier New" w:char="2500"/>
      </w:r>
      <w:r>
        <w:rPr>
          <w:spacing w:val="-2"/>
          <w:sz w:val="20"/>
          <w:szCs w:val="20"/>
          <w:lang w:val="en-GB"/>
        </w:rPr>
        <w:t xml:space="preserve"> Véhicules à moteur </w:t>
      </w:r>
      <w:r>
        <w:rPr>
          <w:spacing w:val="-2"/>
          <w:sz w:val="20"/>
          <w:szCs w:val="20"/>
          <w:lang w:val="en-GB"/>
        </w:rPr>
        <w:sym w:font="Courier New" w:char="2500"/>
      </w:r>
      <w:r>
        <w:rPr>
          <w:spacing w:val="-2"/>
          <w:sz w:val="20"/>
          <w:szCs w:val="20"/>
          <w:lang w:val="en-GB"/>
        </w:rPr>
        <w:t xml:space="preserve"> </w:t>
      </w:r>
      <w:r>
        <w:rPr>
          <w:i/>
          <w:iCs/>
          <w:spacing w:val="-2"/>
          <w:sz w:val="20"/>
          <w:szCs w:val="20"/>
          <w:lang w:val="en-GB"/>
        </w:rPr>
        <w:t>Loi sur les assurances</w:t>
      </w:r>
      <w:r>
        <w:rPr>
          <w:spacing w:val="-2"/>
          <w:sz w:val="20"/>
          <w:szCs w:val="20"/>
          <w:lang w:val="en-GB"/>
        </w:rPr>
        <w:t xml:space="preserve">, S.R.O. 1980, ch. 218 </w:t>
      </w:r>
      <w:r>
        <w:rPr>
          <w:spacing w:val="-2"/>
          <w:sz w:val="20"/>
          <w:szCs w:val="20"/>
          <w:lang w:val="en-GB"/>
        </w:rPr>
        <w:sym w:font="Courier New" w:char="2500"/>
      </w:r>
      <w:r>
        <w:rPr>
          <w:spacing w:val="-2"/>
          <w:sz w:val="20"/>
          <w:szCs w:val="20"/>
          <w:lang w:val="en-GB"/>
        </w:rPr>
        <w:t xml:space="preserve"> Définition de conjoint </w:t>
      </w:r>
      <w:r>
        <w:rPr>
          <w:spacing w:val="-2"/>
          <w:sz w:val="20"/>
          <w:szCs w:val="20"/>
          <w:lang w:val="en-GB"/>
        </w:rPr>
        <w:sym w:font="Courier New" w:char="2500"/>
      </w:r>
      <w:r>
        <w:rPr>
          <w:spacing w:val="-2"/>
          <w:sz w:val="20"/>
          <w:szCs w:val="20"/>
          <w:lang w:val="en-GB"/>
        </w:rPr>
        <w:t xml:space="preserve"> Le conjoint de fait est-il couvert par la garantie non</w:t>
      </w:r>
      <w:r>
        <w:rPr>
          <w:spacing w:val="-2"/>
          <w:sz w:val="20"/>
          <w:szCs w:val="20"/>
          <w:lang w:val="en-GB"/>
        </w:rPr>
        <w:noBreakHyphen/>
        <w:t xml:space="preserve">assurance et l'indemnité d'accident pour perte de revenu? </w:t>
      </w:r>
      <w:r>
        <w:rPr>
          <w:spacing w:val="-2"/>
          <w:sz w:val="20"/>
          <w:szCs w:val="20"/>
          <w:lang w:val="en-GB"/>
        </w:rPr>
        <w:sym w:font="Courier New" w:char="2500"/>
      </w:r>
      <w:r>
        <w:rPr>
          <w:spacing w:val="-2"/>
          <w:sz w:val="20"/>
          <w:szCs w:val="20"/>
          <w:lang w:val="en-GB"/>
        </w:rPr>
        <w:t xml:space="preserve"> La Cour d'appel a-t-elle commis une erreur en concluant que les dispositions de la police type d'assurance-automobile relatives à la garantie non</w:t>
      </w:r>
      <w:r>
        <w:rPr>
          <w:spacing w:val="-2"/>
          <w:sz w:val="20"/>
          <w:szCs w:val="20"/>
          <w:lang w:val="en-GB"/>
        </w:rPr>
        <w:noBreakHyphen/>
        <w:t xml:space="preserve">assurance et à l'indemnité d'accident pour perte de revenu, prescrites à la partie VI de la </w:t>
      </w:r>
      <w:r>
        <w:rPr>
          <w:i/>
          <w:iCs/>
          <w:spacing w:val="-2"/>
          <w:sz w:val="20"/>
          <w:szCs w:val="20"/>
          <w:lang w:val="en-GB"/>
        </w:rPr>
        <w:t>Loi sur les assurances</w:t>
      </w:r>
      <w:r>
        <w:rPr>
          <w:spacing w:val="-2"/>
          <w:sz w:val="20"/>
          <w:szCs w:val="20"/>
          <w:lang w:val="en-GB"/>
        </w:rPr>
        <w:t xml:space="preserve"> ne contreviennent pas à l'art. 15 de la </w:t>
      </w:r>
      <w:r>
        <w:rPr>
          <w:i/>
          <w:iCs/>
          <w:spacing w:val="-2"/>
          <w:sz w:val="20"/>
          <w:szCs w:val="20"/>
          <w:lang w:val="en-GB"/>
        </w:rPr>
        <w:t>Charte</w:t>
      </w:r>
      <w:r>
        <w:rPr>
          <w:spacing w:val="-2"/>
          <w:sz w:val="20"/>
          <w:szCs w:val="20"/>
          <w:lang w:val="en-GB"/>
        </w:rPr>
        <w:t xml:space="preserve"> en limitant le bénéfice de la loi aux conjoints mariés? </w:t>
      </w:r>
      <w:r>
        <w:rPr>
          <w:spacing w:val="-2"/>
          <w:sz w:val="20"/>
          <w:szCs w:val="20"/>
          <w:lang w:val="en-GB"/>
        </w:rPr>
        <w:sym w:font="Courier New" w:char="2500"/>
      </w:r>
      <w:r>
        <w:rPr>
          <w:spacing w:val="-2"/>
          <w:sz w:val="20"/>
          <w:szCs w:val="20"/>
          <w:lang w:val="en-GB"/>
        </w:rPr>
        <w:t xml:space="preserve"> La Cour d'appel a-t-elle commis une erreur en concluant qu'une cour de première instance est tenue, vu la règle </w:t>
      </w:r>
      <w:r>
        <w:rPr>
          <w:i/>
          <w:iCs/>
          <w:spacing w:val="-2"/>
          <w:sz w:val="20"/>
          <w:szCs w:val="20"/>
          <w:lang w:val="en-GB"/>
        </w:rPr>
        <w:t>stare decisis</w:t>
      </w:r>
      <w:r>
        <w:rPr>
          <w:spacing w:val="-2"/>
          <w:sz w:val="20"/>
          <w:szCs w:val="20"/>
          <w:lang w:val="en-GB"/>
        </w:rPr>
        <w:t xml:space="preserve">, de suivre une décision d'un tribunal d'appel écartant ainsi les exigences de la Constitution énoncées au par. 52(1) de la </w:t>
      </w:r>
      <w:r>
        <w:rPr>
          <w:i/>
          <w:iCs/>
          <w:spacing w:val="-2"/>
          <w:sz w:val="20"/>
          <w:szCs w:val="20"/>
          <w:lang w:val="en-GB"/>
        </w:rPr>
        <w:t>Charte</w:t>
      </w:r>
      <w:r>
        <w:rPr>
          <w:spacing w:val="-2"/>
          <w:sz w:val="20"/>
          <w:szCs w:val="20"/>
          <w:lang w:val="en-GB"/>
        </w:rPr>
        <w:t xml:space="preserve">, contrairement au raisonnement de la Cour suprême du Canada dans les arrêts </w:t>
      </w:r>
      <w:r>
        <w:rPr>
          <w:i/>
          <w:iCs/>
          <w:spacing w:val="-2"/>
          <w:sz w:val="20"/>
          <w:szCs w:val="20"/>
          <w:lang w:val="en-GB"/>
        </w:rPr>
        <w:t>SDGMR c. Dolphin Delivery Ltd.</w:t>
      </w:r>
      <w:r>
        <w:rPr>
          <w:spacing w:val="-2"/>
          <w:sz w:val="20"/>
          <w:szCs w:val="20"/>
          <w:lang w:val="en-GB"/>
        </w:rPr>
        <w:t xml:space="preserve">, [1986] 2 R.C.S. 573, et </w:t>
      </w:r>
      <w:r>
        <w:rPr>
          <w:i/>
          <w:iCs/>
          <w:spacing w:val="-2"/>
          <w:sz w:val="20"/>
          <w:szCs w:val="20"/>
          <w:lang w:val="en-GB"/>
        </w:rPr>
        <w:t>R. c. Swain</w:t>
      </w:r>
      <w:r>
        <w:rPr>
          <w:spacing w:val="-2"/>
          <w:sz w:val="20"/>
          <w:szCs w:val="20"/>
          <w:lang w:val="en-GB"/>
        </w:rPr>
        <w:t>, [1991] 1 R.C.S. 933?</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Les appelants sont conjoints de fait depuis 1983.  Une police d'assurance-automobile pour l'année 1986-1987 a été émise au nom de l'appelante Vallière.  L'appelant Miron est le père de deux enfants de l'appelante Vallière.  En août 1987, l'appelant Miron a subi des blessures alors qu'il était passager d'un véhicule automobile appartenant à l'intimé McIsaac conduit par l'intimé Trudel qui ni l'un ni l'autre n'était assuré.  L'appelant Miron n'est pas un parent à charge de Vallière mais réclame aux intimés une indemnité d'accident pour perte de revenu en application de la section B, sous-section 2, partie 11 de la police d'assurance-automobile type de l'Ontario ainsi que des dommages-intérêts en application de la section B, sous-section 3 de ladite police.  La compagnie d'assurances intimée a demandé le rejet de l'action des appelants à la suite d'une décision préalable rendue sur la question de droit suivante : L'appelant Miron est-il un assuré au sens de la section B, sous-section 2, partie 11 de la police d'assurance-automobile type de l'Ontario ou en vertu de la section B, sous-section 3 de ladite police type?  Sur requête de la compagnie d'assurances intimée, le juge de première instance a rejeté l'action des appelants relative à la décision sur un point de droit.  La Cour d'appel a rejeté l'appel des appelants.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pourvoi soulève les questions suivantes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1.En tant que personne vivant une relation conjugale hors mariage, Miron est-il l'«époux» de Vallière et, par conséquent, un assuré au sens de la section B, sous-section 2, partie II ou de la section B, sous-section 3 de la police d'assurance-automobile type de l'Ontario?</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2.Subsidiairement, les dispositions de la section B, sous-section 2, partie II ou de la section B, sous-section 3 de la police d'assurance-automobile type de l'Ontario contreviennent-elles à l'art. 15 de la </w:t>
      </w:r>
      <w:r>
        <w:rPr>
          <w:i/>
          <w:iCs/>
          <w:spacing w:val="-2"/>
          <w:sz w:val="20"/>
          <w:szCs w:val="20"/>
          <w:lang w:val="en-GB"/>
        </w:rPr>
        <w:t>Charte canadienne des droits et libertés</w:t>
      </w:r>
      <w:r>
        <w:rPr>
          <w:spacing w:val="-2"/>
          <w:sz w:val="20"/>
          <w:szCs w:val="20"/>
          <w:lang w:val="en-GB"/>
        </w:rPr>
        <w:t xml:space="preserve"> et, dans l'affirmative, sont-elles justifiées en vertu de l'article premier de la </w:t>
      </w:r>
      <w:r>
        <w:rPr>
          <w:i/>
          <w:iCs/>
          <w:spacing w:val="-2"/>
          <w:sz w:val="20"/>
          <w:szCs w:val="20"/>
          <w:lang w:val="en-GB"/>
        </w:rPr>
        <w:t>Charte</w:t>
      </w:r>
      <w:r>
        <w:rPr>
          <w:spacing w:val="-2"/>
          <w:sz w:val="20"/>
          <w:szCs w:val="20"/>
          <w:lang w:val="en-GB"/>
        </w:rPr>
        <w: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3.Subsidiairement, les dispositions de la section B, sous-section 2, partie II ou de la section B, sous-section 3 de la police d'assurance-automobile type de l'Ontario contreviennent-elles au </w:t>
      </w:r>
      <w:r>
        <w:rPr>
          <w:i/>
          <w:iCs/>
          <w:spacing w:val="-2"/>
          <w:sz w:val="20"/>
          <w:szCs w:val="20"/>
          <w:lang w:val="en-GB"/>
        </w:rPr>
        <w:t>Code des droits de la personne</w:t>
      </w:r>
      <w:r>
        <w:rPr>
          <w:spacing w:val="-2"/>
          <w:sz w:val="20"/>
          <w:szCs w:val="20"/>
          <w:lang w:val="en-GB"/>
        </w:rPr>
        <w:t xml:space="preserve"> de l'Ontario?</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11 novembre 1992, le Juge en chef a formulé les questions constitutionnelles suivantes: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1.Les dispositions de la section B, subdivision 2, partie II ou de la section B, subdivision 3 de la police d'assurance-automobile type de l'Ontario (F.P.S. n</w:t>
      </w:r>
      <w:r>
        <w:rPr>
          <w:spacing w:val="-2"/>
          <w:sz w:val="20"/>
          <w:szCs w:val="20"/>
          <w:vertAlign w:val="superscript"/>
          <w:lang w:val="en-GB"/>
        </w:rPr>
        <w:t>o</w:t>
      </w:r>
      <w:r>
        <w:rPr>
          <w:spacing w:val="-2"/>
          <w:sz w:val="20"/>
          <w:szCs w:val="20"/>
          <w:lang w:val="en-GB"/>
        </w:rPr>
        <w:t xml:space="preserve"> 1) contreviennent-elles à l'art. 15 de la </w:t>
      </w:r>
      <w:r>
        <w:rPr>
          <w:i/>
          <w:iCs/>
          <w:spacing w:val="-2"/>
          <w:sz w:val="20"/>
          <w:szCs w:val="20"/>
          <w:lang w:val="en-GB"/>
        </w:rPr>
        <w:t>Charte canadienne des droits et libertés</w:t>
      </w:r>
      <w:r>
        <w:rPr>
          <w:spacing w:val="-2"/>
          <w:sz w:val="20"/>
          <w:szCs w:val="20"/>
          <w:lang w:val="en-GB"/>
        </w:rPr>
        <w: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 xml:space="preserve">2.Si la réponse à la première question est affirmative, ces dispositions sont-elles justifiées en vertu de l'article premier de la </w:t>
      </w:r>
      <w:r>
        <w:rPr>
          <w:i/>
          <w:iCs/>
          <w:spacing w:val="-2"/>
          <w:sz w:val="20"/>
          <w:szCs w:val="20"/>
          <w:lang w:val="en-GB"/>
        </w:rPr>
        <w:t>Charte</w:t>
      </w:r>
      <w:r>
        <w:rPr>
          <w:spacing w:val="-2"/>
          <w:sz w:val="20"/>
          <w:szCs w:val="20"/>
          <w:lang w:val="en-GB"/>
        </w:rPr>
        <w: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Origine :Ontario</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 :22744</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s>
        <w:suppressAutoHyphens/>
        <w:spacing w:line="240" w:lineRule="atLeast"/>
        <w:ind w:left="2880" w:hanging="2880"/>
        <w:jc w:val="both"/>
        <w:rPr>
          <w:spacing w:val="-2"/>
          <w:sz w:val="20"/>
          <w:szCs w:val="20"/>
          <w:lang w:val="en-GB"/>
        </w:rPr>
      </w:pPr>
      <w:r>
        <w:rPr>
          <w:spacing w:val="-2"/>
          <w:sz w:val="20"/>
          <w:szCs w:val="20"/>
          <w:lang w:val="en-GB"/>
        </w:rPr>
        <w:t>Arrêt de la Cour d'appel</w:t>
      </w:r>
      <w:r>
        <w:rPr>
          <w:spacing w:val="-2"/>
          <w:sz w:val="20"/>
          <w:szCs w:val="20"/>
          <w:lang w:val="en-GB"/>
        </w:rPr>
        <w:tab/>
        <w:t>le 16 septembre 1991</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Avocats :Nelligan &amp; Power pour les appelants</w:t>
      </w: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Cooligan, Ryan pour les intimés</w:t>
      </w: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b/>
          <w:bCs/>
          <w:spacing w:val="-2"/>
          <w:sz w:val="20"/>
          <w:szCs w:val="20"/>
          <w:lang w:val="en-GB"/>
        </w:rPr>
        <w:lastRenderedPageBreak/>
        <w:t>23359</w:t>
      </w:r>
      <w:r>
        <w:rPr>
          <w:b/>
          <w:bCs/>
          <w:spacing w:val="-2"/>
          <w:sz w:val="20"/>
          <w:szCs w:val="20"/>
          <w:u w:val="single"/>
          <w:lang w:val="en-GB"/>
        </w:rPr>
        <w:t>YORKE v. HER MAJESTY THE QUEEN, BY HER ATTORNEY GENERAL OF CANADA</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Customs and excise - Seizure - Evidence - Search warrant obtained pursuant to s. 111(1) of the </w:t>
      </w:r>
      <w:r>
        <w:rPr>
          <w:i/>
          <w:iCs/>
          <w:spacing w:val="-2"/>
          <w:sz w:val="20"/>
          <w:szCs w:val="20"/>
          <w:lang w:val="en-GB"/>
        </w:rPr>
        <w:t>Customs Act</w:t>
      </w:r>
      <w:r>
        <w:rPr>
          <w:spacing w:val="-2"/>
          <w:sz w:val="20"/>
          <w:szCs w:val="20"/>
          <w:lang w:val="en-GB"/>
        </w:rPr>
        <w:t xml:space="preserve">, R.S.C. 1985, c. C-52.6 - Sections 8 and 24(2) of the </w:t>
      </w:r>
      <w:r>
        <w:rPr>
          <w:i/>
          <w:iCs/>
          <w:spacing w:val="-2"/>
          <w:sz w:val="20"/>
          <w:szCs w:val="20"/>
          <w:lang w:val="en-GB"/>
        </w:rPr>
        <w:t>Charter</w:t>
      </w:r>
      <w:r>
        <w:rPr>
          <w:spacing w:val="-2"/>
          <w:sz w:val="20"/>
          <w:szCs w:val="20"/>
          <w:lang w:val="en-GB"/>
        </w:rPr>
        <w: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Appellant was charged with importing foreign cultural property contrary to s. 37 of the </w:t>
      </w:r>
      <w:r>
        <w:rPr>
          <w:i/>
          <w:iCs/>
          <w:spacing w:val="-2"/>
          <w:sz w:val="20"/>
          <w:szCs w:val="20"/>
          <w:lang w:val="en-GB"/>
        </w:rPr>
        <w:t>Cultural Property Export and Import Act</w:t>
      </w:r>
      <w:r>
        <w:rPr>
          <w:spacing w:val="-2"/>
          <w:sz w:val="20"/>
          <w:szCs w:val="20"/>
          <w:lang w:val="en-GB"/>
        </w:rPr>
        <w:t xml:space="preserve">, R.S.C. 1985, c. C-51.  At the trial, the Crown conceded the constitutional deficiency of s. 111(1) of the </w:t>
      </w:r>
      <w:r>
        <w:rPr>
          <w:i/>
          <w:iCs/>
          <w:spacing w:val="-2"/>
          <w:sz w:val="20"/>
          <w:szCs w:val="20"/>
          <w:lang w:val="en-GB"/>
        </w:rPr>
        <w:t>Customs Act</w:t>
      </w:r>
      <w:r>
        <w:rPr>
          <w:spacing w:val="-2"/>
          <w:sz w:val="20"/>
          <w:szCs w:val="20"/>
          <w:lang w:val="en-GB"/>
        </w:rPr>
        <w:t xml:space="preserve"> but sought to prove that the search was reasonable despite the invalidity of the warrant.  The trial judge dismissed the charge against the Appellant.  He found that the search warrant was not valid, that the search and seizure contravened the Appellant's rights under s. 8 of the </w:t>
      </w:r>
      <w:r>
        <w:rPr>
          <w:i/>
          <w:iCs/>
          <w:spacing w:val="-2"/>
          <w:sz w:val="20"/>
          <w:szCs w:val="20"/>
          <w:lang w:val="en-GB"/>
        </w:rPr>
        <w:t>Charter</w:t>
      </w:r>
      <w:r>
        <w:rPr>
          <w:spacing w:val="-2"/>
          <w:sz w:val="20"/>
          <w:szCs w:val="20"/>
          <w:lang w:val="en-GB"/>
        </w:rPr>
        <w:t xml:space="preserve"> and that the evidence should be excluded pursuant to s. 24(2).  The Appeal Division of the Supreme Court of Nova Scotia allowed the Respondent's appeal against the trial judgment and ordered a new trial.</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appeal raises the following issues: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1.Did the Court of Appeal err in law in holding that the search warrant was valid but for the unconstitutionality of the statute under which it was issued?</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(a)Did the Court of Appeal err in holding that the information to obtain the search warrant and the search warrant contained sufficient particulars of the items to be searched for?</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(b)Did the Court of Appeal err in holding that there was sufficient information before the issuing justice of the peace for him to determine that the items to be searched for would afford evidence of an offence?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(c)Did the Court of Appeal err in holding that there was sufficient grounds placed before the issuing justice of the peace for the informant's belief that the items to be searched for would be found at 33 Teviot Place?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(d)Did the Court of Appeal err in holding that there was no basis to conclude that the justice of the peace was misled by the affiant?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(e)Did the Court of Appeal err in holding that the failure of the affiant to pledge his belief was not a fatal flaw?</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2.Did the Court of Appeal err in holding that the only basis for a determination that the accused's rights pursuant to s. 8 of the </w:t>
      </w:r>
      <w:r>
        <w:rPr>
          <w:i/>
          <w:iCs/>
          <w:spacing w:val="-2"/>
          <w:sz w:val="20"/>
          <w:szCs w:val="20"/>
          <w:lang w:val="en-GB"/>
        </w:rPr>
        <w:t>Charter</w:t>
      </w:r>
      <w:r>
        <w:rPr>
          <w:spacing w:val="-2"/>
          <w:sz w:val="20"/>
          <w:szCs w:val="20"/>
          <w:lang w:val="en-GB"/>
        </w:rPr>
        <w:t xml:space="preserve"> were breached was as a result of the unconstitutionality of the section of the </w:t>
      </w:r>
      <w:r>
        <w:rPr>
          <w:i/>
          <w:iCs/>
          <w:spacing w:val="-2"/>
          <w:sz w:val="20"/>
          <w:szCs w:val="20"/>
          <w:lang w:val="en-GB"/>
        </w:rPr>
        <w:t>Customs Act</w:t>
      </w:r>
      <w:r>
        <w:rPr>
          <w:spacing w:val="-2"/>
          <w:sz w:val="20"/>
          <w:szCs w:val="20"/>
          <w:lang w:val="en-GB"/>
        </w:rPr>
        <w:t xml:space="preserve"> under which the search warrant was issued?</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3.Did the Court of Appeal err in law in reversing the trial judge's decision to exclude the evidence pursuant to s. 24(2) of the </w:t>
      </w:r>
      <w:r>
        <w:rPr>
          <w:i/>
          <w:iCs/>
          <w:spacing w:val="-2"/>
          <w:sz w:val="20"/>
          <w:szCs w:val="20"/>
          <w:lang w:val="en-GB"/>
        </w:rPr>
        <w:t>Charter of Rights and Freedoms</w:t>
      </w:r>
      <w:r>
        <w:rPr>
          <w:spacing w:val="-2"/>
          <w:sz w:val="20"/>
          <w:szCs w:val="20"/>
          <w:lang w:val="en-GB"/>
        </w:rPr>
        <w: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Origin of the case:</w:t>
      </w:r>
      <w:r>
        <w:rPr>
          <w:spacing w:val="-2"/>
          <w:sz w:val="20"/>
          <w:szCs w:val="20"/>
          <w:lang w:val="en-GB"/>
        </w:rPr>
        <w:tab/>
      </w:r>
      <w:r>
        <w:rPr>
          <w:spacing w:val="-2"/>
          <w:sz w:val="20"/>
          <w:szCs w:val="20"/>
          <w:lang w:val="en-GB"/>
        </w:rPr>
        <w:tab/>
      </w:r>
      <w:r>
        <w:rPr>
          <w:spacing w:val="-2"/>
          <w:sz w:val="20"/>
          <w:szCs w:val="20"/>
          <w:lang w:val="en-GB"/>
        </w:rPr>
        <w:tab/>
        <w:t>Nova Scotia</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File No.:</w:t>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23359</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 of the Court of Appeal:</w:t>
      </w:r>
      <w:r>
        <w:rPr>
          <w:spacing w:val="-2"/>
          <w:sz w:val="20"/>
          <w:szCs w:val="20"/>
          <w:lang w:val="en-GB"/>
        </w:rPr>
        <w:tab/>
        <w:t>November 23, 1992</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Counsel:</w:t>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Patrick J. Duncan for the Appellant</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David M. Meadows for the Respondent</w:t>
      </w: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b/>
          <w:bCs/>
          <w:spacing w:val="-2"/>
          <w:sz w:val="20"/>
          <w:szCs w:val="20"/>
          <w:lang w:val="en-GB"/>
        </w:rPr>
        <w:lastRenderedPageBreak/>
        <w:t>23359</w:t>
      </w:r>
      <w:r>
        <w:rPr>
          <w:b/>
          <w:bCs/>
          <w:spacing w:val="-2"/>
          <w:sz w:val="20"/>
          <w:szCs w:val="20"/>
          <w:u w:val="single"/>
          <w:lang w:val="en-GB"/>
        </w:rPr>
        <w:t>YORKE c. SA MAJESTÉ LA REINE, REPRÉSENTÉE PAR LE PROCUREUR GÉNÉRAL DU CANADA</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i/>
          <w:iCs/>
          <w:spacing w:val="-2"/>
          <w:sz w:val="20"/>
          <w:szCs w:val="20"/>
          <w:lang w:val="en-GB"/>
        </w:rPr>
        <w:t>Charte canadienne des droits et libertés</w:t>
      </w:r>
      <w:r>
        <w:rPr>
          <w:spacing w:val="-2"/>
          <w:sz w:val="20"/>
          <w:szCs w:val="20"/>
          <w:lang w:val="en-GB"/>
        </w:rPr>
        <w:t xml:space="preserve"> - Droit criminel - Douanes et accise - Saisie - Preuve - Mandat de perquisition obtenu en vertu de l'art. 111(1) de la </w:t>
      </w:r>
      <w:r>
        <w:rPr>
          <w:i/>
          <w:iCs/>
          <w:spacing w:val="-2"/>
          <w:sz w:val="20"/>
          <w:szCs w:val="20"/>
          <w:lang w:val="en-GB"/>
        </w:rPr>
        <w:t>Loi sur les douanes</w:t>
      </w:r>
      <w:r>
        <w:rPr>
          <w:spacing w:val="-2"/>
          <w:sz w:val="20"/>
          <w:szCs w:val="20"/>
          <w:lang w:val="en-GB"/>
        </w:rPr>
        <w:t xml:space="preserve">, L.R.C. (1985), ch. C-52.6 - Articles 8 et 24(2) de la </w:t>
      </w:r>
      <w:r>
        <w:rPr>
          <w:i/>
          <w:iCs/>
          <w:spacing w:val="-2"/>
          <w:sz w:val="20"/>
          <w:szCs w:val="20"/>
          <w:lang w:val="en-GB"/>
        </w:rPr>
        <w:t>Charte</w:t>
      </w:r>
      <w:r>
        <w:rPr>
          <w:spacing w:val="-2"/>
          <w:sz w:val="20"/>
          <w:szCs w:val="20"/>
          <w:lang w:val="en-GB"/>
        </w:rPr>
        <w: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L'appelant a été accusé d'avoir enfreint l'art. 37 de la </w:t>
      </w:r>
      <w:r>
        <w:rPr>
          <w:i/>
          <w:iCs/>
          <w:spacing w:val="-2"/>
          <w:sz w:val="20"/>
          <w:szCs w:val="20"/>
          <w:lang w:val="en-GB"/>
        </w:rPr>
        <w:t>Loi sur l'exportation et l'importation de biens culturels</w:t>
      </w:r>
      <w:r>
        <w:rPr>
          <w:spacing w:val="-2"/>
          <w:sz w:val="20"/>
          <w:szCs w:val="20"/>
          <w:lang w:val="en-GB"/>
        </w:rPr>
        <w:t>, L.R.C. (1985), ch. C</w:t>
      </w:r>
      <w:r>
        <w:rPr>
          <w:spacing w:val="-2"/>
          <w:sz w:val="20"/>
          <w:szCs w:val="20"/>
          <w:lang w:val="en-GB"/>
        </w:rPr>
        <w:noBreakHyphen/>
        <w:t xml:space="preserve">51, en important des biens culturels étrangers.  Au procès, le ministère public a reconnu l'inconstitutionnalité du par. 111(1) de la </w:t>
      </w:r>
      <w:r>
        <w:rPr>
          <w:i/>
          <w:iCs/>
          <w:spacing w:val="-2"/>
          <w:sz w:val="20"/>
          <w:szCs w:val="20"/>
          <w:lang w:val="en-GB"/>
        </w:rPr>
        <w:t>Loi sur les douanes</w:t>
      </w:r>
      <w:r>
        <w:rPr>
          <w:spacing w:val="-2"/>
          <w:sz w:val="20"/>
          <w:szCs w:val="20"/>
          <w:lang w:val="en-GB"/>
        </w:rPr>
        <w:t xml:space="preserve">, mais a tenté de prouver qu'il s'agissait d'une perquisition non abusive malgré l'invalidité du mandat.  Le juge du procès a rejeté l'accusation portée contre l'appelant.  Il a conclu que le mandat de perquisition était invalide, que la perquisition et la saisie violaient les droits dont jouissait l'appelant aux termes de l'art. 8 de la </w:t>
      </w:r>
      <w:r>
        <w:rPr>
          <w:i/>
          <w:iCs/>
          <w:spacing w:val="-2"/>
          <w:sz w:val="20"/>
          <w:szCs w:val="20"/>
          <w:lang w:val="en-GB"/>
        </w:rPr>
        <w:t>Charte</w:t>
      </w:r>
      <w:r>
        <w:rPr>
          <w:spacing w:val="-2"/>
          <w:sz w:val="20"/>
          <w:szCs w:val="20"/>
          <w:lang w:val="en-GB"/>
        </w:rPr>
        <w:t xml:space="preserve"> et qu'il y avait lieu d'écarter la preuve en vertu du par. 24(2).  La Section d'appel de la Cour suprême de la Nouvelle</w:t>
      </w:r>
      <w:r>
        <w:rPr>
          <w:spacing w:val="-2"/>
          <w:sz w:val="20"/>
          <w:szCs w:val="20"/>
          <w:lang w:val="en-GB"/>
        </w:rPr>
        <w:noBreakHyphen/>
        <w:t>Écosse a accueilli l'appel interjeté par l'intimée contre le jugement de première instance et a ordonné la tenue d'un nouveau procès.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pourvoi soulève les questions suivantes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1.La Cour d'appel a-t</w:t>
      </w:r>
      <w:r>
        <w:rPr>
          <w:spacing w:val="-2"/>
          <w:sz w:val="20"/>
          <w:szCs w:val="20"/>
          <w:lang w:val="en-GB"/>
        </w:rPr>
        <w:noBreakHyphen/>
        <w:t>elle commis une erreur de droit en concluant que le mandat de perquisition aurait été tout à fait valide n'eût été l'inconstitutionnalité de la loi en vertu de laquelle il a été décerné?</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a)Est</w:t>
      </w:r>
      <w:r>
        <w:rPr>
          <w:spacing w:val="-2"/>
          <w:sz w:val="20"/>
          <w:szCs w:val="20"/>
          <w:lang w:val="en-GB"/>
        </w:rPr>
        <w:noBreakHyphen/>
        <w:t>ce à tort que la Cour d'appel a conclu que la dénonciation en vue d'obtenir le mandat de perquisition ainsi que le mandat lui</w:t>
      </w:r>
      <w:r>
        <w:rPr>
          <w:spacing w:val="-2"/>
          <w:sz w:val="20"/>
          <w:szCs w:val="20"/>
          <w:lang w:val="en-GB"/>
        </w:rPr>
        <w:noBreakHyphen/>
        <w:t>même renfermaient suffisamment de détails concernant les articles recherchés?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b)Est</w:t>
      </w:r>
      <w:r>
        <w:rPr>
          <w:spacing w:val="-2"/>
          <w:sz w:val="20"/>
          <w:szCs w:val="20"/>
          <w:lang w:val="en-GB"/>
        </w:rPr>
        <w:noBreakHyphen/>
        <w:t>ce à tort que la Cour d'appel a conclu que le juge de paix qui a décerné le mandat disposait de suffisamment de données pour qu'il puisse décider que les articles recherchés constitueraient une preuve de la perpétration d'une infraction?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c)Est</w:t>
      </w:r>
      <w:r>
        <w:rPr>
          <w:spacing w:val="-2"/>
          <w:sz w:val="20"/>
          <w:szCs w:val="20"/>
          <w:lang w:val="en-GB"/>
        </w:rPr>
        <w:noBreakHyphen/>
        <w:t>ce à tort que la Cour d'appel a conclu qu'on a exposé au juge de paix qui a décerné le mandat des motifs suffisants pour fonder la croyance de l'indicateur que les articles recherchés se trouvaient au 33, Teviot Place?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d)Est</w:t>
      </w:r>
      <w:r>
        <w:rPr>
          <w:spacing w:val="-2"/>
          <w:sz w:val="20"/>
          <w:szCs w:val="20"/>
          <w:lang w:val="en-GB"/>
        </w:rPr>
        <w:noBreakHyphen/>
        <w:t>ce à tort que la Cour d'appel a jugé mal fondée la conclusion que le juge de paix avait été induit en erreur par le souscripteur d'affidavit?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e)Est</w:t>
      </w:r>
      <w:r>
        <w:rPr>
          <w:spacing w:val="-2"/>
          <w:sz w:val="20"/>
          <w:szCs w:val="20"/>
          <w:lang w:val="en-GB"/>
        </w:rPr>
        <w:noBreakHyphen/>
        <w:t>ce à tort que la Cour d'appel a conclu que l'omission du souscripteur d'affidavit de dire sous serment ce qu'il croyait ne constituait pas un vice fatal?</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2.Est</w:t>
      </w:r>
      <w:r>
        <w:rPr>
          <w:spacing w:val="-2"/>
          <w:sz w:val="20"/>
          <w:szCs w:val="20"/>
          <w:lang w:val="en-GB"/>
        </w:rPr>
        <w:noBreakHyphen/>
        <w:t xml:space="preserve">ce à tort que la Cour d'appel a statué que l'unique fondement d'une conclusion que l'accusé a subi une atteinte à ses droits garantis par l'art. 8 de la </w:t>
      </w:r>
      <w:r>
        <w:rPr>
          <w:i/>
          <w:iCs/>
          <w:spacing w:val="-2"/>
          <w:sz w:val="20"/>
          <w:szCs w:val="20"/>
          <w:lang w:val="en-GB"/>
        </w:rPr>
        <w:t>Charte</w:t>
      </w:r>
      <w:r>
        <w:rPr>
          <w:spacing w:val="-2"/>
          <w:sz w:val="20"/>
          <w:szCs w:val="20"/>
          <w:lang w:val="en-GB"/>
        </w:rPr>
        <w:t xml:space="preserve"> était l'inconstitutionnalité de l'article de la </w:t>
      </w:r>
      <w:r>
        <w:rPr>
          <w:i/>
          <w:iCs/>
          <w:spacing w:val="-2"/>
          <w:sz w:val="20"/>
          <w:szCs w:val="20"/>
          <w:lang w:val="en-GB"/>
        </w:rPr>
        <w:t>Loi sur les douanes</w:t>
      </w:r>
      <w:r>
        <w:rPr>
          <w:spacing w:val="-2"/>
          <w:sz w:val="20"/>
          <w:szCs w:val="20"/>
          <w:lang w:val="en-GB"/>
        </w:rPr>
        <w:t xml:space="preserve"> en vertu duquel a été décerné le mandat de perquisition?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3.La Cour d'appel a</w:t>
      </w:r>
      <w:r>
        <w:rPr>
          <w:spacing w:val="-2"/>
          <w:sz w:val="20"/>
          <w:szCs w:val="20"/>
          <w:lang w:val="en-GB"/>
        </w:rPr>
        <w:noBreakHyphen/>
        <w:t>t</w:t>
      </w:r>
      <w:r>
        <w:rPr>
          <w:spacing w:val="-2"/>
          <w:sz w:val="20"/>
          <w:szCs w:val="20"/>
          <w:lang w:val="en-GB"/>
        </w:rPr>
        <w:noBreakHyphen/>
        <w:t xml:space="preserve">elle commis une erreur de droit en annulant la décision du juge du procès d'écarter la preuve en vertu du par. 24(2) de la </w:t>
      </w:r>
      <w:r>
        <w:rPr>
          <w:i/>
          <w:iCs/>
          <w:spacing w:val="-2"/>
          <w:sz w:val="20"/>
          <w:szCs w:val="20"/>
          <w:lang w:val="en-GB"/>
        </w:rPr>
        <w:t>Charte des droits et libertés</w:t>
      </w:r>
      <w:r>
        <w:rPr>
          <w:spacing w:val="-2"/>
          <w:sz w:val="20"/>
          <w:szCs w:val="20"/>
          <w:lang w:val="en-GB"/>
        </w:rPr>
        <w: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Origine :</w:t>
      </w:r>
      <w:r>
        <w:rPr>
          <w:spacing w:val="-2"/>
          <w:sz w:val="20"/>
          <w:szCs w:val="20"/>
          <w:lang w:val="en-GB"/>
        </w:rPr>
        <w:tab/>
      </w:r>
      <w:r>
        <w:rPr>
          <w:spacing w:val="-2"/>
          <w:sz w:val="20"/>
          <w:szCs w:val="20"/>
          <w:lang w:val="en-GB"/>
        </w:rPr>
        <w:tab/>
      </w:r>
      <w:r>
        <w:rPr>
          <w:spacing w:val="-2"/>
          <w:sz w:val="20"/>
          <w:szCs w:val="20"/>
          <w:lang w:val="en-GB"/>
        </w:rPr>
        <w:tab/>
        <w:t>Nouvelle-Écosse</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 :</w:t>
      </w:r>
      <w:r>
        <w:rPr>
          <w:spacing w:val="-2"/>
          <w:sz w:val="20"/>
          <w:szCs w:val="20"/>
          <w:lang w:val="en-GB"/>
        </w:rPr>
        <w:tab/>
      </w:r>
      <w:r>
        <w:rPr>
          <w:spacing w:val="-2"/>
          <w:sz w:val="20"/>
          <w:szCs w:val="20"/>
          <w:lang w:val="en-GB"/>
        </w:rPr>
        <w:tab/>
      </w:r>
      <w:r>
        <w:rPr>
          <w:spacing w:val="-2"/>
          <w:sz w:val="20"/>
          <w:szCs w:val="20"/>
          <w:lang w:val="en-GB"/>
        </w:rPr>
        <w:tab/>
        <w:t>23359</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Arrêt de la Cour d'appel :</w:t>
      </w:r>
      <w:r>
        <w:rPr>
          <w:spacing w:val="-2"/>
          <w:sz w:val="20"/>
          <w:szCs w:val="20"/>
          <w:lang w:val="en-GB"/>
        </w:rPr>
        <w:tab/>
        <w:t>le 23 novembre 1992</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Avocats :</w:t>
      </w:r>
      <w:r>
        <w:rPr>
          <w:spacing w:val="-2"/>
          <w:sz w:val="20"/>
          <w:szCs w:val="20"/>
          <w:lang w:val="en-GB"/>
        </w:rPr>
        <w:tab/>
      </w:r>
      <w:r>
        <w:rPr>
          <w:spacing w:val="-2"/>
          <w:sz w:val="20"/>
          <w:szCs w:val="20"/>
          <w:lang w:val="en-GB"/>
        </w:rPr>
        <w:tab/>
      </w:r>
      <w:r>
        <w:rPr>
          <w:spacing w:val="-2"/>
          <w:sz w:val="20"/>
          <w:szCs w:val="20"/>
          <w:lang w:val="en-GB"/>
        </w:rPr>
        <w:tab/>
        <w:t>Patrick J. Duncan pour l'appelant</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David M. Meadows pour l'intimée</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b/>
          <w:bCs/>
          <w:spacing w:val="-2"/>
          <w:sz w:val="20"/>
          <w:szCs w:val="20"/>
          <w:lang w:val="en-GB"/>
        </w:rPr>
        <w:lastRenderedPageBreak/>
        <w:t>23396</w:t>
      </w:r>
      <w:r>
        <w:rPr>
          <w:b/>
          <w:bCs/>
          <w:spacing w:val="-2"/>
          <w:sz w:val="20"/>
          <w:szCs w:val="20"/>
          <w:lang w:val="en-GB"/>
        </w:rPr>
        <w:tab/>
      </w:r>
      <w:r>
        <w:rPr>
          <w:b/>
          <w:bCs/>
          <w:spacing w:val="-2"/>
          <w:sz w:val="20"/>
          <w:szCs w:val="20"/>
          <w:u w:val="single"/>
          <w:lang w:val="en-GB"/>
        </w:rPr>
        <w:t>ROBERT AMBROSIO SAN VICENTE FREITAS v. HER MAJESTY THE QUEEN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Criminal law - Evidence - Witnesses - Unfavourable inference - Appellant failing to call witnesses - Information contained in an affidavit sworn by counsel for the Appellant and filed on a matter which was separate from the trial and did not form part of the trial record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Appellant was convicted before Stevenson J. in the Court of Queen's Bench of New Brunswick on an indictment charging that he and four others, all from South America, conspired and agreed to break two men from the Fredericton jail.</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Appellant who pleaded not guilty testified at his trial that he was not aware of the activities of his four companions and that he had been hired to act because of his ability in English, as a translator for one of them, who told him that he had business in Canada.   The other four pleaded guilty.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In an affidavit he had sworn in support of the application for production of the prisoners, counsel for the Appellant had sworn that the evidence of `two of the individuals who pleaded guilty to the same offence', was `absolutely necessary'.  At trial, however, the witness were not called.  The trial judge concluded that "the failure of the [Appellant] to call either of those witnesses gives rise in this case to an inference that their evidence would have been unfavourable to the [Appellant]".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The Appellant appealed to the Court of Appeal of New Brunswick.  The appeal was dismissed.  Angers J.A., dissenting, would have ordered a new trial on the grounds that the trial judge having erred in drawing an adverse inference, the prosecution failed to show that the verdict would necessarily have been the same were it not for the error, as provided in section 686(1)(b)(iii) of the </w:t>
      </w:r>
      <w:r>
        <w:rPr>
          <w:i/>
          <w:iCs/>
          <w:spacing w:val="-2"/>
          <w:sz w:val="20"/>
          <w:szCs w:val="20"/>
          <w:lang w:val="en-GB"/>
        </w:rPr>
        <w:t>Criminal Code</w:t>
      </w:r>
      <w:r>
        <w:rPr>
          <w:spacing w:val="-2"/>
          <w:sz w:val="20"/>
          <w:szCs w:val="20"/>
          <w:lang w:val="en-GB"/>
        </w:rPr>
        <w:t>.  The Appellant appeals as of right before this Court.  The appeal raises the following issues: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1.Did the majority of the Court of Appeal err in law in holding that the trial judge could properly draw an adverse inference from the Appellant's failure to call witnesses?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2.Did the majority of the Court of Appeal err in law in holding that the trial judge properly took in account evidence not admitted at trial, in arriving at the conclusion that an adverse inference could be drawn from the Appellant's failure to call witnesses?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Origin of the case:New Brunswick</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File No.:23396</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Judgment of the Court of Appeal:November 29, 1991</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Counsel:Brian H. Greenspan for the Appellant</w:t>
      </w: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William Corby for the Respondent</w:t>
      </w: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b/>
          <w:bCs/>
          <w:spacing w:val="-2"/>
          <w:sz w:val="20"/>
          <w:szCs w:val="20"/>
          <w:lang w:val="en-GB"/>
        </w:rPr>
        <w:lastRenderedPageBreak/>
        <w:t>23396</w:t>
      </w:r>
      <w:r>
        <w:rPr>
          <w:b/>
          <w:bCs/>
          <w:spacing w:val="-2"/>
          <w:sz w:val="20"/>
          <w:szCs w:val="20"/>
          <w:u w:val="single"/>
          <w:lang w:val="en-GB"/>
        </w:rPr>
        <w:t>ROBERT AMBROSIO SAN VICENTE FREITAS c. SA MAJESTÉ LA REINE</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 xml:space="preserve">Droit criminel </w:t>
      </w:r>
      <w:r>
        <w:rPr>
          <w:spacing w:val="-2"/>
          <w:sz w:val="20"/>
          <w:szCs w:val="20"/>
          <w:lang w:val="en-GB"/>
        </w:rPr>
        <w:sym w:font="Courier New" w:char="2500"/>
      </w:r>
      <w:r>
        <w:rPr>
          <w:spacing w:val="-2"/>
          <w:sz w:val="20"/>
          <w:szCs w:val="20"/>
          <w:lang w:val="en-GB"/>
        </w:rPr>
        <w:t xml:space="preserve"> Preuve </w:t>
      </w:r>
      <w:r>
        <w:rPr>
          <w:spacing w:val="-2"/>
          <w:sz w:val="20"/>
          <w:szCs w:val="20"/>
          <w:lang w:val="en-GB"/>
        </w:rPr>
        <w:sym w:font="Courier New" w:char="2500"/>
      </w:r>
      <w:r>
        <w:rPr>
          <w:spacing w:val="-2"/>
          <w:sz w:val="20"/>
          <w:szCs w:val="20"/>
          <w:lang w:val="en-GB"/>
        </w:rPr>
        <w:t xml:space="preserve"> Témoins </w:t>
      </w:r>
      <w:r>
        <w:rPr>
          <w:spacing w:val="-2"/>
          <w:sz w:val="20"/>
          <w:szCs w:val="20"/>
          <w:lang w:val="en-GB"/>
        </w:rPr>
        <w:sym w:font="Courier New" w:char="2500"/>
      </w:r>
      <w:r>
        <w:rPr>
          <w:spacing w:val="-2"/>
          <w:sz w:val="20"/>
          <w:szCs w:val="20"/>
          <w:lang w:val="en-GB"/>
        </w:rPr>
        <w:t xml:space="preserve"> Déduction défavorable </w:t>
      </w:r>
      <w:r>
        <w:rPr>
          <w:spacing w:val="-2"/>
          <w:sz w:val="20"/>
          <w:szCs w:val="20"/>
          <w:lang w:val="en-GB"/>
        </w:rPr>
        <w:sym w:font="Courier New" w:char="2500"/>
      </w:r>
      <w:r>
        <w:rPr>
          <w:spacing w:val="-2"/>
          <w:sz w:val="20"/>
          <w:szCs w:val="20"/>
          <w:lang w:val="en-GB"/>
        </w:rPr>
        <w:t xml:space="preserve"> L'appelant n'a pas assigné de témoins </w:t>
      </w:r>
      <w:r>
        <w:rPr>
          <w:spacing w:val="-2"/>
          <w:sz w:val="20"/>
          <w:szCs w:val="20"/>
          <w:lang w:val="en-GB"/>
        </w:rPr>
        <w:sym w:font="Courier New" w:char="2500"/>
      </w:r>
      <w:r>
        <w:rPr>
          <w:spacing w:val="-2"/>
          <w:sz w:val="20"/>
          <w:szCs w:val="20"/>
          <w:lang w:val="en-GB"/>
        </w:rPr>
        <w:t xml:space="preserve"> Renseignements contenus dans un affidavit de l'avocat de l'appelant produit dans une instance différente et ne faisant pas partie du dossier du procès.</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L'appelant a été déclaré coupable devant le juge Stevenson de la Cour du Banc de la Reine du Nouveau-Brunswick relativement à un acte d'accusation suivant lequel lui et quatre autres personnes, tous originaires de l'Amérique du Sud, avaient comploté et convenu de faire évader deux hommes de la prison de Fredericton.</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L'appelant qui a plaidé non coupable a témoigné à son procès qu'il ne connaissait pas les activités de ses quatre compagnons et qu'on avait retenu ses services, à cause de sa connaissance de l'anglais, comme traducteur pour l'un d'eux qui lui avait dit qu'il faisait des affaires au Canada.  Les quatre autres personnes ont reconnu leur culpabilité.</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Dans un affidavit produit à l'appui de la demande de présentation des prisonniers, l'avocat de l'appelant avait déclaré que le témoignage de «deux des individus qui ont reconnu leur culpabilité relativement à la même infraction» était «absolument nécessaire».  Les témoins n'ont cependant pas été assignés.  Le juge du procès a conclu que «l'omission de [l'appelant] d'assigner l'un ou l'autre de ces témoins permet de déduire en l'espèce que leur témoignage aurait été défavorable à [l'appelant]».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Cour d'appel du Nouveau-Brunswick a rejeté l'appel de l'appelant.  Le juge Angers, dissident, aurait ordonné un nouveau procès pour le motif que le juge du procès ayant commis une erreur en tirant une déduction défavorable, le ministère public n'a pas démontré, comme le prévoit le sous-al. 686(1)</w:t>
      </w:r>
      <w:r>
        <w:rPr>
          <w:i/>
          <w:iCs/>
          <w:spacing w:val="-2"/>
          <w:sz w:val="20"/>
          <w:szCs w:val="20"/>
          <w:lang w:val="en-GB"/>
        </w:rPr>
        <w:t>b</w:t>
      </w:r>
      <w:r>
        <w:rPr>
          <w:spacing w:val="-2"/>
          <w:sz w:val="20"/>
          <w:szCs w:val="20"/>
          <w:lang w:val="en-GB"/>
        </w:rPr>
        <w:t xml:space="preserve">)(iii) du </w:t>
      </w:r>
      <w:r>
        <w:rPr>
          <w:i/>
          <w:iCs/>
          <w:spacing w:val="-2"/>
          <w:sz w:val="20"/>
          <w:szCs w:val="20"/>
          <w:lang w:val="en-GB"/>
        </w:rPr>
        <w:t>code criminel</w:t>
      </w:r>
      <w:r>
        <w:rPr>
          <w:spacing w:val="-2"/>
          <w:sz w:val="20"/>
          <w:szCs w:val="20"/>
          <w:lang w:val="en-GB"/>
        </w:rPr>
        <w:t>, que le verdict aurait nécessairement été le même n'eût été l'erreur.  L'appelant se pourvoit de plein droit devant notre Cour.  Le pourvoi soulève les questions suivantes :</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1.La Cour d'appel à la majorité a-t-elle commis une erreur de droit en concluant que l'omission d'assigner permettait au juge du procès de tirer une déduction défavorable à l'appelant?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2.La Cour d'appel à la majorité a-t-elle commis une erreur de droit en concluant que le juge du procès était fondé à tenir compte d'éléments de preuve non produits au procès, en arrivant à la conclusion que l'omission d'assigner des témoins lui permettait de tirer une déduction défavorable à l'appelant?</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Origine :Nouveau-Brunswick</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N</w:t>
      </w:r>
      <w:r>
        <w:rPr>
          <w:spacing w:val="-2"/>
          <w:sz w:val="20"/>
          <w:szCs w:val="20"/>
          <w:vertAlign w:val="superscript"/>
          <w:lang w:val="en-GB"/>
        </w:rPr>
        <w:t>o</w:t>
      </w:r>
      <w:r>
        <w:rPr>
          <w:spacing w:val="-2"/>
          <w:sz w:val="20"/>
          <w:szCs w:val="20"/>
          <w:lang w:val="en-GB"/>
        </w:rPr>
        <w:t xml:space="preserve"> du greffe :23396</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Arrêt de la Cour d'appel:</w:t>
      </w:r>
      <w:r>
        <w:rPr>
          <w:spacing w:val="-2"/>
          <w:sz w:val="20"/>
          <w:szCs w:val="20"/>
          <w:lang w:val="en-GB"/>
        </w:rPr>
        <w:tab/>
        <w:t>le 29 novembre 1991</w:t>
      </w:r>
    </w:p>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spacing w:val="-2"/>
          <w:sz w:val="20"/>
          <w:szCs w:val="20"/>
          <w:lang w:val="en-GB"/>
        </w:rPr>
      </w:pPr>
      <w:r>
        <w:rPr>
          <w:spacing w:val="-2"/>
          <w:sz w:val="20"/>
          <w:szCs w:val="20"/>
          <w:lang w:val="en-GB"/>
        </w:rPr>
        <w:t>Avocats :Brian H. Greenspan pour l'appelant</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r>
      <w:r>
        <w:rPr>
          <w:spacing w:val="-2"/>
          <w:sz w:val="20"/>
          <w:szCs w:val="20"/>
          <w:lang w:val="en-GB"/>
        </w:rPr>
        <w:tab/>
        <w:t>William Corby pour l'intimée</w:t>
      </w:r>
    </w:p>
    <w:p w:rsidR="006D0287" w:rsidRDefault="006D0287">
      <w:pPr>
        <w:widowControl/>
        <w:tabs>
          <w:tab w:val="left" w:pos="-1440"/>
          <w:tab w:val="left" w:pos="-720"/>
        </w:tabs>
        <w:suppressAutoHyphens/>
        <w:spacing w:line="240" w:lineRule="atLeast"/>
        <w:jc w:val="both"/>
        <w:rPr>
          <w:spacing w:val="-2"/>
          <w:sz w:val="20"/>
          <w:szCs w:val="20"/>
          <w:lang w:val="en-GB"/>
        </w:rPr>
        <w:sectPr w:rsidR="006D0287">
          <w:headerReference w:type="default" r:id="rId37"/>
          <w:footerReference w:type="default" r:id="rId38"/>
          <w:footerReference w:type="first" r:id="rId39"/>
          <w:pgSz w:w="12240" w:h="15840"/>
          <w:pgMar w:top="720" w:right="1680" w:bottom="960" w:left="1080" w:header="720" w:footer="960" w:gutter="0"/>
          <w:pgNumType w:start="1777"/>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D0287">
        <w:tblPrEx>
          <w:tblCellMar>
            <w:top w:w="0" w:type="dxa"/>
            <w:bottom w:w="0" w:type="dxa"/>
          </w:tblCellMar>
        </w:tblPrEx>
        <w:tc>
          <w:tcPr>
            <w:tcW w:w="5160" w:type="dxa"/>
            <w:tcBorders>
              <w:top w:val="nil"/>
              <w:left w:val="nil"/>
              <w:bottom w:val="nil"/>
              <w:right w:val="nil"/>
            </w:tcBorders>
          </w:tcPr>
          <w:p w:rsidR="006D0287" w:rsidRDefault="006D0287">
            <w:pPr>
              <w:keepNext/>
              <w:keepLines/>
              <w:widowControl/>
              <w:tabs>
                <w:tab w:val="left" w:pos="-1440"/>
                <w:tab w:val="left" w:pos="-720"/>
              </w:tabs>
              <w:suppressAutoHyphens/>
              <w:spacing w:line="240" w:lineRule="atLeast"/>
              <w:rPr>
                <w:b/>
                <w:bCs/>
                <w:lang w:val="en-GB"/>
              </w:rPr>
            </w:pPr>
            <w:r>
              <w:rPr>
                <w:b/>
                <w:bCs/>
                <w:lang w:val="en-GB"/>
              </w:rPr>
              <w:lastRenderedPageBreak/>
              <w:t xml:space="preserve">DEADLINES: MOTIONS </w:t>
            </w:r>
          </w:p>
          <w:p w:rsidR="006D0287" w:rsidRDefault="006D0287">
            <w:pPr>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s>
              <w:suppressAutoHyphens/>
              <w:spacing w:line="240" w:lineRule="atLeast"/>
              <w:rPr>
                <w:b/>
                <w:bCs/>
                <w:lang w:val="en-GB"/>
              </w:rPr>
            </w:pPr>
            <w:r>
              <w:rPr>
                <w:b/>
                <w:bCs/>
                <w:lang w:val="en-GB"/>
              </w:rPr>
              <w:t>BEFORE THE COURT:</w:t>
            </w:r>
          </w:p>
        </w:tc>
        <w:tc>
          <w:tcPr>
            <w:tcW w:w="5160" w:type="dxa"/>
            <w:tcBorders>
              <w:top w:val="nil"/>
              <w:left w:val="nil"/>
              <w:bottom w:val="nil"/>
              <w:right w:val="nil"/>
            </w:tcBorders>
          </w:tcPr>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DÉLAIS: REQUÊTES</w:t>
            </w:r>
          </w:p>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sz w:val="20"/>
                <w:szCs w:val="20"/>
                <w:lang w:val="en-GB"/>
              </w:rPr>
            </w:pPr>
            <w:r>
              <w:rPr>
                <w:b/>
                <w:bCs/>
                <w:lang w:val="en-GB"/>
              </w:rPr>
              <w:t>DEVANT LA COUR</w:t>
            </w:r>
            <w:r>
              <w:rPr>
                <w:b/>
                <w:bCs/>
                <w:sz w:val="20"/>
                <w:szCs w:val="20"/>
                <w:lang w:val="en-GB"/>
              </w:rPr>
              <w:t>:</w:t>
            </w:r>
          </w:p>
        </w:tc>
      </w:tr>
    </w:tbl>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sz w:val="20"/>
          <w:szCs w:val="20"/>
          <w:lang w:val="en-GB"/>
        </w:rPr>
      </w:pPr>
      <w:r>
        <w:rPr>
          <w:sz w:val="20"/>
          <w:szCs w:val="20"/>
          <w:u w:val="single"/>
          <w:lang w:val="en-GB"/>
        </w:rPr>
        <w:t xml:space="preserve">                                                                                                                                               </w:t>
      </w:r>
    </w:p>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D0287">
        <w:tblPrEx>
          <w:tblCellMar>
            <w:top w:w="0" w:type="dxa"/>
            <w:bottom w:w="0" w:type="dxa"/>
          </w:tblCellMar>
        </w:tblPrEx>
        <w:tc>
          <w:tcPr>
            <w:tcW w:w="5160" w:type="dxa"/>
            <w:tcBorders>
              <w:top w:val="nil"/>
              <w:left w:val="nil"/>
              <w:bottom w:val="nil"/>
              <w:right w:val="nil"/>
            </w:tcBorders>
          </w:tcPr>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 xml:space="preserve">Pursuant to Rule 23.1 of the </w:t>
            </w:r>
            <w:r>
              <w:rPr>
                <w:i/>
                <w:iCs/>
                <w:spacing w:val="-2"/>
                <w:sz w:val="20"/>
                <w:szCs w:val="20"/>
                <w:lang w:val="en-GB"/>
              </w:rPr>
              <w:t>Rules of the Supreme Court of Canada</w:t>
            </w:r>
            <w:r>
              <w:rPr>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 xml:space="preserve">Conformément à l'article 23.1 des </w:t>
            </w:r>
            <w:r>
              <w:rPr>
                <w:i/>
                <w:iCs/>
                <w:spacing w:val="-2"/>
                <w:sz w:val="20"/>
                <w:szCs w:val="20"/>
                <w:lang w:val="en-GB"/>
              </w:rPr>
              <w:t>Règles de la Cour suprême du Canada</w:t>
            </w:r>
            <w:r>
              <w:rPr>
                <w:spacing w:val="-2"/>
                <w:sz w:val="20"/>
                <w:szCs w:val="20"/>
                <w:lang w:val="en-GB"/>
              </w:rPr>
              <w:t>, les délais suivants doivent être respectés pour qu'une requête soit entendue par la Cour:</w:t>
            </w:r>
          </w:p>
        </w:tc>
      </w:tr>
      <w:tr w:rsidR="006D0287">
        <w:tblPrEx>
          <w:tblCellMar>
            <w:top w:w="0" w:type="dxa"/>
            <w:bottom w:w="0" w:type="dxa"/>
          </w:tblCellMar>
        </w:tblPrEx>
        <w:tc>
          <w:tcPr>
            <w:tcW w:w="5160" w:type="dxa"/>
            <w:tcBorders>
              <w:top w:val="nil"/>
              <w:left w:val="nil"/>
              <w:bottom w:val="nil"/>
              <w:right w:val="nil"/>
            </w:tcBorders>
          </w:tcPr>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October 4, 1993</w:t>
            </w:r>
          </w:p>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September 13, 1993</w:t>
            </w:r>
          </w:p>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September 20, 1993</w:t>
            </w:r>
          </w:p>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September 27, 1993</w:t>
            </w:r>
          </w:p>
        </w:tc>
        <w:tc>
          <w:tcPr>
            <w:tcW w:w="5160" w:type="dxa"/>
            <w:tcBorders>
              <w:top w:val="nil"/>
              <w:left w:val="nil"/>
              <w:bottom w:val="nil"/>
              <w:right w:val="nil"/>
            </w:tcBorders>
          </w:tcPr>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4 octobre 1993</w:t>
            </w:r>
          </w:p>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13 septembre 1993</w:t>
            </w:r>
          </w:p>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20 septembre 1993</w:t>
            </w:r>
          </w:p>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27 septembre 1993</w:t>
            </w:r>
          </w:p>
        </w:tc>
      </w:tr>
    </w:tbl>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D0287">
        <w:tblPrEx>
          <w:tblCellMar>
            <w:top w:w="0" w:type="dxa"/>
            <w:bottom w:w="0" w:type="dxa"/>
          </w:tblCellMar>
        </w:tblPrEx>
        <w:tc>
          <w:tcPr>
            <w:tcW w:w="5160" w:type="dxa"/>
            <w:tcBorders>
              <w:top w:val="nil"/>
              <w:left w:val="nil"/>
              <w:bottom w:val="nil"/>
              <w:right w:val="nil"/>
            </w:tcBorders>
          </w:tcPr>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November 1, 1993</w:t>
            </w:r>
          </w:p>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October 11, 1993</w:t>
            </w:r>
          </w:p>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October 18, 1993</w:t>
            </w:r>
          </w:p>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October 25, 1993</w:t>
            </w:r>
          </w:p>
        </w:tc>
        <w:tc>
          <w:tcPr>
            <w:tcW w:w="5160" w:type="dxa"/>
            <w:tcBorders>
              <w:top w:val="nil"/>
              <w:left w:val="nil"/>
              <w:bottom w:val="nil"/>
              <w:right w:val="nil"/>
            </w:tcBorders>
          </w:tcPr>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1 novembre 1993</w:t>
            </w:r>
          </w:p>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11 octobre 1993</w:t>
            </w:r>
          </w:p>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18 octobre 1993</w:t>
            </w:r>
          </w:p>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25 octobre 1993</w:t>
            </w:r>
          </w:p>
        </w:tc>
      </w:tr>
    </w:tbl>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D0287">
        <w:tblPrEx>
          <w:tblCellMar>
            <w:top w:w="0" w:type="dxa"/>
            <w:bottom w:w="0" w:type="dxa"/>
          </w:tblCellMar>
        </w:tblPrEx>
        <w:tc>
          <w:tcPr>
            <w:tcW w:w="5160" w:type="dxa"/>
            <w:tcBorders>
              <w:top w:val="nil"/>
              <w:left w:val="nil"/>
              <w:bottom w:val="nil"/>
              <w:right w:val="nil"/>
            </w:tcBorders>
          </w:tcPr>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b/>
                <w:bCs/>
                <w:spacing w:val="-2"/>
                <w:sz w:val="20"/>
                <w:szCs w:val="20"/>
                <w:lang w:val="en-GB"/>
              </w:rPr>
              <w:t>Motion day</w:t>
            </w:r>
            <w:r>
              <w:rPr>
                <w:b/>
                <w:bCs/>
                <w:spacing w:val="-2"/>
                <w:sz w:val="20"/>
                <w:szCs w:val="20"/>
                <w:lang w:val="en-GB"/>
              </w:rPr>
              <w:tab/>
              <w:t xml:space="preserve">: </w:t>
            </w:r>
            <w:r>
              <w:rPr>
                <w:b/>
                <w:bCs/>
                <w:spacing w:val="-2"/>
                <w:sz w:val="20"/>
                <w:szCs w:val="20"/>
                <w:lang w:val="en-GB"/>
              </w:rPr>
              <w:tab/>
              <w:t>December 6, 1993</w:t>
            </w:r>
          </w:p>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Service</w:t>
            </w:r>
            <w:r>
              <w:rPr>
                <w:spacing w:val="-2"/>
                <w:sz w:val="20"/>
                <w:szCs w:val="20"/>
                <w:lang w:val="en-GB"/>
              </w:rPr>
              <w:tab/>
            </w:r>
            <w:r>
              <w:rPr>
                <w:spacing w:val="-2"/>
                <w:sz w:val="20"/>
                <w:szCs w:val="20"/>
                <w:lang w:val="en-GB"/>
              </w:rPr>
              <w:tab/>
              <w:t>:</w:t>
            </w:r>
            <w:r>
              <w:rPr>
                <w:spacing w:val="-2"/>
                <w:sz w:val="20"/>
                <w:szCs w:val="20"/>
                <w:lang w:val="en-GB"/>
              </w:rPr>
              <w:tab/>
              <w:t>November 15, 1993</w:t>
            </w:r>
          </w:p>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Filing</w:t>
            </w:r>
            <w:r>
              <w:rPr>
                <w:spacing w:val="-2"/>
                <w:sz w:val="20"/>
                <w:szCs w:val="20"/>
                <w:lang w:val="en-GB"/>
              </w:rPr>
              <w:tab/>
            </w:r>
            <w:r>
              <w:rPr>
                <w:spacing w:val="-2"/>
                <w:sz w:val="20"/>
                <w:szCs w:val="20"/>
                <w:lang w:val="en-GB"/>
              </w:rPr>
              <w:tab/>
              <w:t>:</w:t>
            </w:r>
            <w:r>
              <w:rPr>
                <w:spacing w:val="-2"/>
                <w:sz w:val="20"/>
                <w:szCs w:val="20"/>
                <w:lang w:val="en-GB"/>
              </w:rPr>
              <w:tab/>
              <w:t>November 22, 1993</w:t>
            </w:r>
          </w:p>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Respondent</w:t>
            </w:r>
            <w:r>
              <w:rPr>
                <w:spacing w:val="-2"/>
                <w:sz w:val="20"/>
                <w:szCs w:val="20"/>
                <w:lang w:val="en-GB"/>
              </w:rPr>
              <w:tab/>
              <w:t>:</w:t>
            </w:r>
            <w:r>
              <w:rPr>
                <w:spacing w:val="-2"/>
                <w:sz w:val="20"/>
                <w:szCs w:val="20"/>
                <w:lang w:val="en-GB"/>
              </w:rPr>
              <w:tab/>
              <w:t>November 29, 1993</w:t>
            </w:r>
          </w:p>
        </w:tc>
        <w:tc>
          <w:tcPr>
            <w:tcW w:w="5160" w:type="dxa"/>
            <w:tcBorders>
              <w:top w:val="nil"/>
              <w:left w:val="nil"/>
              <w:bottom w:val="nil"/>
              <w:right w:val="nil"/>
            </w:tcBorders>
          </w:tcPr>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b/>
                <w:bCs/>
                <w:spacing w:val="-2"/>
                <w:sz w:val="20"/>
                <w:szCs w:val="20"/>
                <w:lang w:val="en-GB"/>
              </w:rPr>
              <w:t>Audience du</w:t>
            </w:r>
            <w:r>
              <w:rPr>
                <w:b/>
                <w:bCs/>
                <w:spacing w:val="-2"/>
                <w:sz w:val="20"/>
                <w:szCs w:val="20"/>
                <w:lang w:val="en-GB"/>
              </w:rPr>
              <w:tab/>
              <w:t>:</w:t>
            </w:r>
            <w:r>
              <w:rPr>
                <w:b/>
                <w:bCs/>
                <w:spacing w:val="-2"/>
                <w:sz w:val="20"/>
                <w:szCs w:val="20"/>
                <w:lang w:val="en-GB"/>
              </w:rPr>
              <w:tab/>
              <w:t>6 décembre 1993</w:t>
            </w:r>
          </w:p>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Signification</w:t>
            </w:r>
            <w:r>
              <w:rPr>
                <w:spacing w:val="-2"/>
                <w:sz w:val="20"/>
                <w:szCs w:val="20"/>
                <w:lang w:val="en-GB"/>
              </w:rPr>
              <w:tab/>
              <w:t>:</w:t>
            </w:r>
            <w:r>
              <w:rPr>
                <w:spacing w:val="-2"/>
                <w:sz w:val="20"/>
                <w:szCs w:val="20"/>
                <w:lang w:val="en-GB"/>
              </w:rPr>
              <w:tab/>
              <w:t>15 novembre 1993</w:t>
            </w:r>
          </w:p>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Dépot</w:t>
            </w:r>
            <w:r>
              <w:rPr>
                <w:spacing w:val="-2"/>
                <w:sz w:val="20"/>
                <w:szCs w:val="20"/>
                <w:lang w:val="en-GB"/>
              </w:rPr>
              <w:tab/>
            </w:r>
            <w:r>
              <w:rPr>
                <w:spacing w:val="-2"/>
                <w:sz w:val="20"/>
                <w:szCs w:val="20"/>
                <w:lang w:val="en-GB"/>
              </w:rPr>
              <w:tab/>
              <w:t>:</w:t>
            </w:r>
            <w:r>
              <w:rPr>
                <w:spacing w:val="-2"/>
                <w:sz w:val="20"/>
                <w:szCs w:val="20"/>
                <w:lang w:val="en-GB"/>
              </w:rPr>
              <w:tab/>
              <w:t>22 novembre 1993</w:t>
            </w:r>
          </w:p>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Intimé</w:t>
            </w:r>
            <w:r>
              <w:rPr>
                <w:spacing w:val="-2"/>
                <w:sz w:val="20"/>
                <w:szCs w:val="20"/>
                <w:lang w:val="en-GB"/>
              </w:rPr>
              <w:tab/>
            </w:r>
            <w:r>
              <w:rPr>
                <w:spacing w:val="-2"/>
                <w:sz w:val="20"/>
                <w:szCs w:val="20"/>
                <w:lang w:val="en-GB"/>
              </w:rPr>
              <w:tab/>
              <w:t>:</w:t>
            </w:r>
            <w:r>
              <w:rPr>
                <w:spacing w:val="-2"/>
                <w:sz w:val="20"/>
                <w:szCs w:val="20"/>
                <w:lang w:val="en-GB"/>
              </w:rPr>
              <w:tab/>
              <w:t>29 novembre 1993</w:t>
            </w:r>
          </w:p>
        </w:tc>
      </w:tr>
    </w:tbl>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D0287">
        <w:tblPrEx>
          <w:tblCellMar>
            <w:top w:w="0" w:type="dxa"/>
            <w:bottom w:w="0" w:type="dxa"/>
          </w:tblCellMar>
        </w:tblPrEx>
        <w:tc>
          <w:tcPr>
            <w:tcW w:w="5160" w:type="dxa"/>
            <w:tcBorders>
              <w:top w:val="nil"/>
              <w:left w:val="nil"/>
              <w:bottom w:val="nil"/>
              <w:right w:val="nil"/>
            </w:tcBorders>
          </w:tcPr>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b/>
                <w:bCs/>
                <w:spacing w:val="-2"/>
                <w:sz w:val="20"/>
                <w:szCs w:val="20"/>
                <w:lang w:val="en-GB"/>
              </w:rPr>
            </w:pPr>
            <w:r>
              <w:rPr>
                <w:b/>
                <w:bCs/>
                <w:spacing w:val="-2"/>
                <w:sz w:val="20"/>
                <w:szCs w:val="20"/>
                <w:lang w:val="en-GB"/>
              </w:rPr>
              <w:t>BEFORE A JUDGE OR THE REGISTRAR:</w:t>
            </w:r>
          </w:p>
        </w:tc>
        <w:tc>
          <w:tcPr>
            <w:tcW w:w="5160" w:type="dxa"/>
            <w:tcBorders>
              <w:top w:val="nil"/>
              <w:left w:val="nil"/>
              <w:bottom w:val="nil"/>
              <w:right w:val="nil"/>
            </w:tcBorders>
          </w:tcPr>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b/>
                <w:bCs/>
                <w:spacing w:val="-2"/>
                <w:sz w:val="20"/>
                <w:szCs w:val="20"/>
                <w:lang w:val="en-GB"/>
              </w:rPr>
            </w:pPr>
            <w:r>
              <w:rPr>
                <w:b/>
                <w:bCs/>
                <w:spacing w:val="-2"/>
                <w:sz w:val="20"/>
                <w:szCs w:val="20"/>
                <w:lang w:val="en-GB"/>
              </w:rPr>
              <w:t>DEVANT UN JUGE OU LE REGISTRAIRE:</w:t>
            </w:r>
          </w:p>
        </w:tc>
      </w:tr>
    </w:tbl>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D0287">
        <w:tblPrEx>
          <w:tblCellMar>
            <w:top w:w="0" w:type="dxa"/>
            <w:bottom w:w="0" w:type="dxa"/>
          </w:tblCellMar>
        </w:tblPrEx>
        <w:tc>
          <w:tcPr>
            <w:tcW w:w="5160" w:type="dxa"/>
            <w:tcBorders>
              <w:top w:val="nil"/>
              <w:left w:val="nil"/>
              <w:bottom w:val="nil"/>
              <w:right w:val="nil"/>
            </w:tcBorders>
          </w:tcPr>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 xml:space="preserve">Pursuant to Rule 22 of the </w:t>
            </w:r>
            <w:r>
              <w:rPr>
                <w:i/>
                <w:iCs/>
                <w:spacing w:val="-2"/>
                <w:sz w:val="20"/>
                <w:szCs w:val="20"/>
                <w:lang w:val="en-GB"/>
              </w:rPr>
              <w:t>Rules of the Supreme Court of Canada</w:t>
            </w:r>
            <w:r>
              <w:rPr>
                <w:spacing w:val="-2"/>
                <w:sz w:val="20"/>
                <w:szCs w:val="20"/>
                <w:lang w:val="en-GB"/>
              </w:rPr>
              <w:t>, a motion before a judge or the Registrar must be filed not later than three clear days before the time of the hearing.</w:t>
            </w:r>
          </w:p>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p>
          <w:p w:rsidR="006D0287" w:rsidRDefault="006D028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en-GB"/>
              </w:rPr>
            </w:pPr>
            <w:r>
              <w:rPr>
                <w:spacing w:val="-2"/>
                <w:sz w:val="20"/>
                <w:szCs w:val="20"/>
                <w:lang w:val="en-GB"/>
              </w:rPr>
              <w:t>Please call (613) 996-8666 for further information.</w:t>
            </w:r>
          </w:p>
        </w:tc>
        <w:tc>
          <w:tcPr>
            <w:tcW w:w="5160" w:type="dxa"/>
            <w:tcBorders>
              <w:top w:val="nil"/>
              <w:left w:val="nil"/>
              <w:bottom w:val="nil"/>
              <w:right w:val="nil"/>
            </w:tcBorders>
          </w:tcPr>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 xml:space="preserve">Conformément à l'article 22 des </w:t>
            </w:r>
            <w:r>
              <w:rPr>
                <w:i/>
                <w:iCs/>
                <w:spacing w:val="-2"/>
                <w:sz w:val="20"/>
                <w:szCs w:val="20"/>
                <w:lang w:val="en-GB"/>
              </w:rPr>
              <w:t>Règles de la Cour suprême du Canada</w:t>
            </w:r>
            <w:r>
              <w:rPr>
                <w:spacing w:val="-2"/>
                <w:sz w:val="20"/>
                <w:szCs w:val="20"/>
                <w:lang w:val="en-GB"/>
              </w:rPr>
              <w:t>, une requête présentée devant un juge ou le registraire doit être déposée au moins trois jours francs avant la date d'audition.</w:t>
            </w:r>
          </w:p>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p>
          <w:p w:rsidR="006D0287" w:rsidRDefault="006D028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en-GB"/>
              </w:rPr>
            </w:pPr>
            <w:r>
              <w:rPr>
                <w:spacing w:val="-2"/>
                <w:sz w:val="20"/>
                <w:szCs w:val="20"/>
                <w:lang w:val="en-GB"/>
              </w:rPr>
              <w:t>Pour de plus amples renseignements, veuillez appeler au (613) 996-8666.</w:t>
            </w:r>
          </w:p>
        </w:tc>
      </w:tr>
    </w:tbl>
    <w:p w:rsidR="006D0287" w:rsidRDefault="006D0287">
      <w:pPr>
        <w:widowControl/>
        <w:tabs>
          <w:tab w:val="left" w:pos="0"/>
        </w:tabs>
        <w:suppressAutoHyphens/>
        <w:spacing w:line="240" w:lineRule="atLeast"/>
        <w:jc w:val="both"/>
        <w:rPr>
          <w:spacing w:val="-2"/>
          <w:sz w:val="20"/>
          <w:szCs w:val="20"/>
          <w:lang w:val="en-GB"/>
        </w:rPr>
        <w:sectPr w:rsidR="006D0287">
          <w:headerReference w:type="default" r:id="rId40"/>
          <w:footerReference w:type="default" r:id="rId41"/>
          <w:pgSz w:w="12240" w:h="15840"/>
          <w:pgMar w:top="720" w:right="1680" w:bottom="960" w:left="1080" w:header="720" w:footer="960" w:gutter="0"/>
          <w:pgNumType w:start="1791"/>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D0287">
        <w:tblPrEx>
          <w:tblCellMar>
            <w:top w:w="0" w:type="dxa"/>
            <w:bottom w:w="0" w:type="dxa"/>
          </w:tblCellMar>
        </w:tblPrEx>
        <w:tc>
          <w:tcPr>
            <w:tcW w:w="5160" w:type="dxa"/>
            <w:tcBorders>
              <w:top w:val="nil"/>
              <w:left w:val="nil"/>
              <w:bottom w:val="nil"/>
              <w:right w:val="nil"/>
            </w:tcBorders>
          </w:tcPr>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DEADLINES:  APPEALS</w:t>
            </w:r>
          </w:p>
        </w:tc>
        <w:tc>
          <w:tcPr>
            <w:tcW w:w="5160" w:type="dxa"/>
            <w:tcBorders>
              <w:top w:val="nil"/>
              <w:left w:val="nil"/>
              <w:bottom w:val="nil"/>
              <w:right w:val="nil"/>
            </w:tcBorders>
          </w:tcPr>
          <w:p w:rsidR="006D0287" w:rsidRDefault="006D028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DÉLAIS:  APPELS</w:t>
            </w:r>
          </w:p>
        </w:tc>
      </w:tr>
    </w:tbl>
    <w:p w:rsidR="006D0287" w:rsidRDefault="006D0287">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D0287">
        <w:tblPrEx>
          <w:tblCellMar>
            <w:top w:w="0" w:type="dxa"/>
            <w:bottom w:w="0" w:type="dxa"/>
          </w:tblCellMar>
        </w:tblPrEx>
        <w:tc>
          <w:tcPr>
            <w:tcW w:w="5160" w:type="dxa"/>
            <w:tcBorders>
              <w:top w:val="nil"/>
              <w:left w:val="nil"/>
              <w:bottom w:val="nil"/>
              <w:right w:val="nil"/>
            </w:tcBorders>
          </w:tcPr>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The next session of the Supreme Court of Canada commences on October 4, 1993.  </w:t>
            </w:r>
          </w:p>
        </w:tc>
        <w:tc>
          <w:tcPr>
            <w:tcW w:w="5160" w:type="dxa"/>
            <w:tcBorders>
              <w:top w:val="nil"/>
              <w:left w:val="nil"/>
              <w:bottom w:val="nil"/>
              <w:right w:val="nil"/>
            </w:tcBorders>
          </w:tcPr>
          <w:p w:rsidR="006D0287" w:rsidRDefault="006D028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p>
          <w:p w:rsidR="006D0287" w:rsidRDefault="006D028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La prochaine session de la Cour suprême du Canada débute le 4 octobre 1993.</w:t>
            </w:r>
          </w:p>
        </w:tc>
      </w:tr>
    </w:tbl>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D0287">
        <w:tblPrEx>
          <w:tblCellMar>
            <w:top w:w="0" w:type="dxa"/>
            <w:bottom w:w="0" w:type="dxa"/>
          </w:tblCellMar>
        </w:tblPrEx>
        <w:tc>
          <w:tcPr>
            <w:tcW w:w="5160" w:type="dxa"/>
            <w:tcBorders>
              <w:top w:val="nil"/>
              <w:left w:val="nil"/>
              <w:bottom w:val="nil"/>
              <w:right w:val="nil"/>
            </w:tcBorders>
          </w:tcPr>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Pursuant to the </w:t>
            </w:r>
            <w:r>
              <w:rPr>
                <w:i/>
                <w:iCs/>
                <w:spacing w:val="-2"/>
                <w:sz w:val="20"/>
                <w:szCs w:val="20"/>
                <w:lang w:val="en-GB"/>
              </w:rPr>
              <w:t>Supreme Court Act</w:t>
            </w:r>
            <w:r>
              <w:rPr>
                <w:spacing w:val="-2"/>
                <w:sz w:val="20"/>
                <w:szCs w:val="20"/>
                <w:lang w:val="en-GB"/>
              </w:rPr>
              <w:t xml:space="preserve"> and </w:t>
            </w:r>
            <w:r>
              <w:rPr>
                <w:i/>
                <w:iCs/>
                <w:spacing w:val="-2"/>
                <w:sz w:val="20"/>
                <w:szCs w:val="20"/>
                <w:lang w:val="en-GB"/>
              </w:rPr>
              <w:t>Rules</w:t>
            </w:r>
            <w:r>
              <w:rPr>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6D0287" w:rsidRDefault="006D028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 xml:space="preserve">Conformément à la </w:t>
            </w:r>
            <w:r>
              <w:rPr>
                <w:i/>
                <w:iCs/>
                <w:spacing w:val="-2"/>
                <w:sz w:val="20"/>
                <w:szCs w:val="20"/>
                <w:lang w:val="en-GB"/>
              </w:rPr>
              <w:t>Loi sur la Cour suprême</w:t>
            </w:r>
            <w:r>
              <w:rPr>
                <w:spacing w:val="-2"/>
                <w:sz w:val="20"/>
                <w:szCs w:val="20"/>
                <w:lang w:val="en-GB"/>
              </w:rPr>
              <w:t xml:space="preserve"> et aux </w:t>
            </w:r>
            <w:r>
              <w:rPr>
                <w:i/>
                <w:iCs/>
                <w:spacing w:val="-2"/>
                <w:sz w:val="20"/>
                <w:szCs w:val="20"/>
                <w:lang w:val="en-GB"/>
              </w:rPr>
              <w:t>Règles</w:t>
            </w:r>
            <w:r>
              <w:rPr>
                <w:spacing w:val="-2"/>
                <w:sz w:val="20"/>
                <w:szCs w:val="20"/>
                <w:lang w:val="en-GB"/>
              </w:rPr>
              <w:t>, il faut se conformer aux exigences suivantes avant qu'un appel puisse être inscrit pour audition:</w:t>
            </w:r>
          </w:p>
        </w:tc>
      </w:tr>
    </w:tbl>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D0287">
        <w:tblPrEx>
          <w:tblCellMar>
            <w:top w:w="0" w:type="dxa"/>
            <w:bottom w:w="0" w:type="dxa"/>
          </w:tblCellMar>
        </w:tblPrEx>
        <w:tc>
          <w:tcPr>
            <w:tcW w:w="5160" w:type="dxa"/>
            <w:tcBorders>
              <w:top w:val="nil"/>
              <w:left w:val="nil"/>
              <w:bottom w:val="nil"/>
              <w:right w:val="nil"/>
            </w:tcBorders>
          </w:tcPr>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Case on appeal</w:t>
            </w:r>
            <w:r>
              <w:rPr>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6D0287" w:rsidRDefault="006D028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dossier d'appel</w:t>
            </w:r>
            <w:r>
              <w:rPr>
                <w:spacing w:val="-2"/>
                <w:sz w:val="20"/>
                <w:szCs w:val="20"/>
                <w:lang w:val="en-GB"/>
              </w:rPr>
              <w:t xml:space="preserve"> doit être déposé dans les trois mois du dépôt de l'avis d'appel.</w:t>
            </w:r>
          </w:p>
        </w:tc>
      </w:tr>
    </w:tbl>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D0287">
        <w:tblPrEx>
          <w:tblCellMar>
            <w:top w:w="0" w:type="dxa"/>
            <w:bottom w:w="0" w:type="dxa"/>
          </w:tblCellMar>
        </w:tblPrEx>
        <w:tc>
          <w:tcPr>
            <w:tcW w:w="5160" w:type="dxa"/>
            <w:tcBorders>
              <w:top w:val="nil"/>
              <w:left w:val="nil"/>
              <w:bottom w:val="nil"/>
              <w:right w:val="nil"/>
            </w:tcBorders>
          </w:tcPr>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Appellant's factum</w:t>
            </w:r>
            <w:r>
              <w:rPr>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6D0287" w:rsidRDefault="006D028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mémoire de l'appelant</w:t>
            </w:r>
            <w:r>
              <w:rPr>
                <w:spacing w:val="-2"/>
                <w:sz w:val="20"/>
                <w:szCs w:val="20"/>
                <w:lang w:val="en-GB"/>
              </w:rPr>
              <w:t xml:space="preserve"> doit être déposé dans les cinq mois du dépôt de l'avis d'appel.</w:t>
            </w:r>
          </w:p>
        </w:tc>
      </w:tr>
    </w:tbl>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D0287">
        <w:tblPrEx>
          <w:tblCellMar>
            <w:top w:w="0" w:type="dxa"/>
            <w:bottom w:w="0" w:type="dxa"/>
          </w:tblCellMar>
        </w:tblPrEx>
        <w:tc>
          <w:tcPr>
            <w:tcW w:w="5160" w:type="dxa"/>
            <w:tcBorders>
              <w:top w:val="nil"/>
              <w:left w:val="nil"/>
              <w:bottom w:val="nil"/>
              <w:right w:val="nil"/>
            </w:tcBorders>
          </w:tcPr>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Respondent's factum</w:t>
            </w:r>
            <w:r>
              <w:rPr>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6D0287" w:rsidRDefault="006D028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mémoire de l'intimé</w:t>
            </w:r>
            <w:r>
              <w:rPr>
                <w:spacing w:val="-2"/>
                <w:sz w:val="20"/>
                <w:szCs w:val="20"/>
                <w:lang w:val="en-GB"/>
              </w:rPr>
              <w:t xml:space="preserve"> doit être déposé dans les huit semaines suivant la signification de celui de l'appelant.</w:t>
            </w:r>
          </w:p>
        </w:tc>
      </w:tr>
    </w:tbl>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D0287">
        <w:tblPrEx>
          <w:tblCellMar>
            <w:top w:w="0" w:type="dxa"/>
            <w:bottom w:w="0" w:type="dxa"/>
          </w:tblCellMar>
        </w:tblPrEx>
        <w:tc>
          <w:tcPr>
            <w:tcW w:w="5160" w:type="dxa"/>
            <w:tcBorders>
              <w:top w:val="nil"/>
              <w:left w:val="nil"/>
              <w:bottom w:val="nil"/>
              <w:right w:val="nil"/>
            </w:tcBorders>
          </w:tcPr>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b/>
                <w:bCs/>
                <w:spacing w:val="-2"/>
                <w:sz w:val="20"/>
                <w:szCs w:val="20"/>
                <w:lang w:val="en-GB"/>
              </w:rPr>
              <w:t>Intervener's factum</w:t>
            </w:r>
            <w:r>
              <w:rPr>
                <w:spacing w:val="-2"/>
                <w:sz w:val="20"/>
                <w:szCs w:val="20"/>
                <w:lang w:val="en-GB"/>
              </w:rPr>
              <w:t xml:space="preserve"> must be filed within two weeks of the date of service of the respondent's factum.</w:t>
            </w:r>
          </w:p>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tc>
        <w:tc>
          <w:tcPr>
            <w:tcW w:w="5160" w:type="dxa"/>
            <w:tcBorders>
              <w:top w:val="nil"/>
              <w:left w:val="nil"/>
              <w:bottom w:val="nil"/>
              <w:right w:val="nil"/>
            </w:tcBorders>
          </w:tcPr>
          <w:p w:rsidR="006D0287" w:rsidRDefault="006D028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b/>
                <w:bCs/>
                <w:spacing w:val="-2"/>
                <w:sz w:val="20"/>
                <w:szCs w:val="20"/>
                <w:lang w:val="en-GB"/>
              </w:rPr>
              <w:t>Le mémoire de l'intervenant</w:t>
            </w:r>
            <w:r>
              <w:rPr>
                <w:spacing w:val="-2"/>
                <w:sz w:val="20"/>
                <w:szCs w:val="20"/>
                <w:lang w:val="en-GB"/>
              </w:rPr>
              <w:t xml:space="preserve"> doit être déposé dans les deux semaines suivant la signification de celui de l'intimé.</w:t>
            </w:r>
          </w:p>
        </w:tc>
      </w:tr>
      <w:tr w:rsidR="006D0287">
        <w:tblPrEx>
          <w:tblCellMar>
            <w:top w:w="0" w:type="dxa"/>
            <w:bottom w:w="0" w:type="dxa"/>
          </w:tblCellMar>
        </w:tblPrEx>
        <w:tc>
          <w:tcPr>
            <w:tcW w:w="5160" w:type="dxa"/>
            <w:tcBorders>
              <w:top w:val="nil"/>
              <w:left w:val="nil"/>
              <w:bottom w:val="nil"/>
              <w:right w:val="nil"/>
            </w:tcBorders>
          </w:tcPr>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6D0287" w:rsidRDefault="006D028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p>
          <w:p w:rsidR="006D0287" w:rsidRDefault="006D028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Le registraire inscrit l'appel pour audition après le dépôt du mémoire de l'intimé ou à l'expiration du délai de signification du mémoire de l'intimé.</w:t>
            </w:r>
          </w:p>
        </w:tc>
      </w:tr>
    </w:tbl>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D0287">
        <w:tblPrEx>
          <w:tblCellMar>
            <w:top w:w="0" w:type="dxa"/>
            <w:bottom w:w="0" w:type="dxa"/>
          </w:tblCellMar>
        </w:tblPrEx>
        <w:tc>
          <w:tcPr>
            <w:tcW w:w="5160" w:type="dxa"/>
            <w:tcBorders>
              <w:top w:val="nil"/>
              <w:left w:val="nil"/>
              <w:bottom w:val="nil"/>
              <w:right w:val="nil"/>
            </w:tcBorders>
          </w:tcPr>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The Registrar shall enter on a list all appeals inscribed for hearing at the October 1993 Session on August 4, 1993.</w:t>
            </w:r>
          </w:p>
        </w:tc>
        <w:tc>
          <w:tcPr>
            <w:tcW w:w="5160" w:type="dxa"/>
            <w:tcBorders>
              <w:top w:val="nil"/>
              <w:left w:val="nil"/>
              <w:bottom w:val="nil"/>
              <w:right w:val="nil"/>
            </w:tcBorders>
          </w:tcPr>
          <w:p w:rsidR="006D0287" w:rsidRDefault="006D028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en-GB"/>
              </w:rPr>
            </w:pPr>
            <w:r>
              <w:rPr>
                <w:spacing w:val="-2"/>
                <w:sz w:val="20"/>
                <w:szCs w:val="20"/>
                <w:lang w:val="en-GB"/>
              </w:rPr>
              <w:t>Le 4 août 1993, le registraire met au rôle de la session d'octobre 1993 tous les appels inscrits pour audition.</w:t>
            </w:r>
          </w:p>
        </w:tc>
      </w:tr>
    </w:tbl>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p>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sectPr w:rsidR="006D0287">
          <w:headerReference w:type="default" r:id="rId42"/>
          <w:footerReference w:type="default" r:id="rId43"/>
          <w:footerReference w:type="first" r:id="rId44"/>
          <w:pgSz w:w="12240" w:h="15840"/>
          <w:pgMar w:top="720" w:right="1680" w:bottom="960" w:left="1080" w:header="720" w:footer="960" w:gutter="0"/>
          <w:pgNumType w:start="1792"/>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D0287">
        <w:tblPrEx>
          <w:tblCellMar>
            <w:top w:w="0" w:type="dxa"/>
            <w:bottom w:w="0" w:type="dxa"/>
          </w:tblCellMar>
        </w:tblPrEx>
        <w:tc>
          <w:tcPr>
            <w:tcW w:w="5160" w:type="dxa"/>
            <w:tcBorders>
              <w:top w:val="nil"/>
              <w:left w:val="nil"/>
              <w:bottom w:val="nil"/>
              <w:right w:val="nil"/>
            </w:tcBorders>
          </w:tcPr>
          <w:p w:rsidR="006D0287" w:rsidRDefault="006D0287">
            <w:pPr>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lang w:val="en-GB"/>
              </w:rPr>
            </w:pPr>
            <w:r>
              <w:rPr>
                <w:b/>
                <w:bCs/>
                <w:lang w:val="en-GB"/>
              </w:rPr>
              <w:lastRenderedPageBreak/>
              <w:t>SUPREME COURT REPORTS</w:t>
            </w:r>
          </w:p>
        </w:tc>
        <w:tc>
          <w:tcPr>
            <w:tcW w:w="5160" w:type="dxa"/>
            <w:tcBorders>
              <w:top w:val="nil"/>
              <w:left w:val="nil"/>
              <w:bottom w:val="nil"/>
              <w:right w:val="nil"/>
            </w:tcBorders>
          </w:tcPr>
          <w:p w:rsidR="006D0287" w:rsidRDefault="006D028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lang w:val="en-GB"/>
              </w:rPr>
            </w:pPr>
            <w:r>
              <w:rPr>
                <w:b/>
                <w:bCs/>
                <w:lang w:val="en-GB"/>
              </w:rPr>
              <w:t>RECUEIL DES ARRÊTS DE LA COUR SUPRÊME</w:t>
            </w:r>
          </w:p>
        </w:tc>
      </w:tr>
    </w:tbl>
    <w:p w:rsidR="006D0287" w:rsidRDefault="006D0287">
      <w:pPr>
        <w:widowControl/>
        <w:tabs>
          <w:tab w:val="right" w:pos="9480"/>
        </w:tabs>
        <w:suppressAutoHyphens/>
        <w:spacing w:line="240" w:lineRule="atLeast"/>
        <w:rPr>
          <w:lang w:val="en-GB"/>
        </w:rPr>
      </w:pPr>
      <w:r>
        <w:rPr>
          <w:u w:val="single"/>
          <w:lang w:val="en-GB"/>
        </w:rPr>
        <w:tab/>
      </w:r>
    </w:p>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6D0287">
        <w:tblPrEx>
          <w:tblCellMar>
            <w:top w:w="0" w:type="dxa"/>
            <w:bottom w:w="0" w:type="dxa"/>
          </w:tblCellMar>
        </w:tblPrEx>
        <w:tc>
          <w:tcPr>
            <w:tcW w:w="5160" w:type="dxa"/>
            <w:tcBorders>
              <w:top w:val="nil"/>
              <w:left w:val="nil"/>
              <w:bottom w:val="nil"/>
              <w:right w:val="nil"/>
            </w:tcBorders>
          </w:tcPr>
          <w:p w:rsidR="006D0287" w:rsidRDefault="006D0287">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sz w:val="20"/>
                <w:szCs w:val="20"/>
                <w:lang w:val="en-GB"/>
              </w:rPr>
            </w:pPr>
            <w:r>
              <w:rPr>
                <w:b/>
                <w:bCs/>
                <w:sz w:val="20"/>
                <w:szCs w:val="20"/>
                <w:lang w:val="en-GB"/>
              </w:rPr>
              <w:t>THE STYLES OF CAUSE IN THE PRESENT TABLE ARE THE STANDARDIZED STYLES OF CAUSE (AS EXPRESSED UNDER THE "INDEXED AS " ENTRY IN EACH CASE).</w:t>
            </w:r>
          </w:p>
          <w:p w:rsidR="006D0287" w:rsidRDefault="006D0287">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b/>
                <w:bCs/>
                <w:sz w:val="20"/>
                <w:szCs w:val="20"/>
                <w:lang w:val="en-GB"/>
              </w:rPr>
              <w:t xml:space="preserve">Judgments reported in [1993] 2 S.C.R., Part 5 </w:t>
            </w:r>
          </w:p>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Canada (Attorney General) </w:t>
            </w:r>
            <w:r>
              <w:rPr>
                <w:i/>
                <w:iCs/>
                <w:sz w:val="20"/>
                <w:szCs w:val="20"/>
                <w:lang w:val="en-GB"/>
              </w:rPr>
              <w:t>v.</w:t>
            </w:r>
            <w:r>
              <w:rPr>
                <w:sz w:val="20"/>
                <w:szCs w:val="20"/>
                <w:lang w:val="en-GB"/>
              </w:rPr>
              <w:t xml:space="preserve"> Ward, [1993] 2 S.C.R. 689</w:t>
            </w:r>
          </w:p>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Domtar Inc. </w:t>
            </w:r>
            <w:r>
              <w:rPr>
                <w:i/>
                <w:iCs/>
                <w:sz w:val="20"/>
                <w:szCs w:val="20"/>
                <w:lang w:val="en-GB"/>
              </w:rPr>
              <w:t>v.</w:t>
            </w:r>
            <w:r>
              <w:rPr>
                <w:sz w:val="20"/>
                <w:szCs w:val="20"/>
                <w:lang w:val="en-GB"/>
              </w:rPr>
              <w:t xml:space="preserve"> Quebec (Commission d'appel en matière de lésions professionnelles), [1993] 2 S.C.R. 756</w:t>
            </w:r>
          </w:p>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R. </w:t>
            </w:r>
            <w:r>
              <w:rPr>
                <w:i/>
                <w:iCs/>
                <w:sz w:val="20"/>
                <w:szCs w:val="20"/>
                <w:lang w:val="en-GB"/>
              </w:rPr>
              <w:t>v.</w:t>
            </w:r>
            <w:r>
              <w:rPr>
                <w:sz w:val="20"/>
                <w:szCs w:val="20"/>
                <w:lang w:val="en-GB"/>
              </w:rPr>
              <w:t xml:space="preserve"> Macooh, [1993] 2 S.C.R. 802</w:t>
            </w:r>
          </w:p>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R. </w:t>
            </w:r>
            <w:r>
              <w:rPr>
                <w:i/>
                <w:iCs/>
                <w:sz w:val="20"/>
                <w:szCs w:val="20"/>
                <w:lang w:val="en-GB"/>
              </w:rPr>
              <w:t>v.</w:t>
            </w:r>
            <w:r>
              <w:rPr>
                <w:sz w:val="20"/>
                <w:szCs w:val="20"/>
                <w:lang w:val="en-GB"/>
              </w:rPr>
              <w:t xml:space="preserve"> V. (K.B.), [1993] 2 S.C.R. 857</w:t>
            </w:r>
          </w:p>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r>
              <w:rPr>
                <w:sz w:val="20"/>
                <w:szCs w:val="20"/>
                <w:lang w:val="en-GB"/>
              </w:rPr>
              <w:t xml:space="preserve">Saint-Basile, Village Sud (Corporation municipale de) </w:t>
            </w:r>
            <w:r>
              <w:rPr>
                <w:i/>
                <w:iCs/>
                <w:sz w:val="20"/>
                <w:szCs w:val="20"/>
                <w:lang w:val="en-GB"/>
              </w:rPr>
              <w:t>v.</w:t>
            </w:r>
            <w:r>
              <w:rPr>
                <w:sz w:val="20"/>
                <w:szCs w:val="20"/>
                <w:lang w:val="en-GB"/>
              </w:rPr>
              <w:t xml:space="preserve"> Ciment Québec Inc., [1993] 2 S.C.R. 823</w:t>
            </w:r>
          </w:p>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sz w:val="20"/>
                <w:szCs w:val="20"/>
                <w:lang w:val="en-GB"/>
              </w:rPr>
            </w:pPr>
          </w:p>
        </w:tc>
        <w:tc>
          <w:tcPr>
            <w:tcW w:w="5160" w:type="dxa"/>
            <w:tcBorders>
              <w:top w:val="nil"/>
              <w:left w:val="nil"/>
              <w:bottom w:val="nil"/>
              <w:right w:val="nil"/>
            </w:tcBorders>
          </w:tcPr>
          <w:p w:rsidR="006D0287" w:rsidRDefault="006D028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sz w:val="20"/>
                <w:szCs w:val="20"/>
                <w:lang w:val="en-GB"/>
              </w:rPr>
            </w:pPr>
            <w:r>
              <w:rPr>
                <w:b/>
                <w:bCs/>
                <w:sz w:val="20"/>
                <w:szCs w:val="20"/>
                <w:lang w:val="en-GB"/>
              </w:rPr>
              <w:t>LES INTITULÉS UTILISÉS DANS CETTE TABLE SONT LES INTITULÉS NORMALISÉS DE LA RUBRIQUE "RÉPERTORIÉ" DANS CHAQUE ARRÊT.</w:t>
            </w:r>
          </w:p>
          <w:p w:rsidR="006D0287" w:rsidRDefault="006D028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sz w:val="20"/>
                <w:szCs w:val="20"/>
                <w:lang w:val="en-GB"/>
              </w:rPr>
            </w:pPr>
          </w:p>
          <w:p w:rsidR="006D0287" w:rsidRDefault="006D028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b/>
                <w:bCs/>
                <w:sz w:val="20"/>
                <w:szCs w:val="20"/>
                <w:lang w:val="en-GB"/>
              </w:rPr>
              <w:t xml:space="preserve">Jugements publiés dans [1993] 2 R.C.S., partie 5 </w:t>
            </w:r>
          </w:p>
          <w:p w:rsidR="006D0287" w:rsidRDefault="006D028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6D0287" w:rsidRDefault="006D028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Canada (Procureur général) </w:t>
            </w:r>
            <w:r>
              <w:rPr>
                <w:i/>
                <w:iCs/>
                <w:sz w:val="20"/>
                <w:szCs w:val="20"/>
                <w:lang w:val="en-GB"/>
              </w:rPr>
              <w:t>c.</w:t>
            </w:r>
            <w:r>
              <w:rPr>
                <w:sz w:val="20"/>
                <w:szCs w:val="20"/>
                <w:lang w:val="en-GB"/>
              </w:rPr>
              <w:t xml:space="preserve"> Ward, [1993] 2 R.C.S. 689</w:t>
            </w:r>
          </w:p>
          <w:p w:rsidR="006D0287" w:rsidRDefault="006D028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6D0287" w:rsidRDefault="006D028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Domtar Inc. </w:t>
            </w:r>
            <w:r>
              <w:rPr>
                <w:i/>
                <w:iCs/>
                <w:sz w:val="20"/>
                <w:szCs w:val="20"/>
                <w:lang w:val="en-GB"/>
              </w:rPr>
              <w:t>c.</w:t>
            </w:r>
            <w:r>
              <w:rPr>
                <w:sz w:val="20"/>
                <w:szCs w:val="20"/>
                <w:lang w:val="en-GB"/>
              </w:rPr>
              <w:t xml:space="preserve"> Québec (Commission d'appel en matière de lésions professionnelles), [1993] 2 R.C.S. 756</w:t>
            </w:r>
          </w:p>
          <w:p w:rsidR="006D0287" w:rsidRDefault="006D028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6D0287" w:rsidRDefault="006D028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R. </w:t>
            </w:r>
            <w:r>
              <w:rPr>
                <w:i/>
                <w:iCs/>
                <w:sz w:val="20"/>
                <w:szCs w:val="20"/>
                <w:lang w:val="en-GB"/>
              </w:rPr>
              <w:t>c.</w:t>
            </w:r>
            <w:r>
              <w:rPr>
                <w:sz w:val="20"/>
                <w:szCs w:val="20"/>
                <w:lang w:val="en-GB"/>
              </w:rPr>
              <w:t xml:space="preserve"> Macooh, [1993] 2 R.C.S. 802</w:t>
            </w:r>
          </w:p>
          <w:p w:rsidR="006D0287" w:rsidRDefault="006D028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6D0287" w:rsidRDefault="006D028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R. </w:t>
            </w:r>
            <w:r>
              <w:rPr>
                <w:i/>
                <w:iCs/>
                <w:sz w:val="20"/>
                <w:szCs w:val="20"/>
                <w:lang w:val="en-GB"/>
              </w:rPr>
              <w:t>c.</w:t>
            </w:r>
            <w:r>
              <w:rPr>
                <w:sz w:val="20"/>
                <w:szCs w:val="20"/>
                <w:lang w:val="en-GB"/>
              </w:rPr>
              <w:t xml:space="preserve"> V. (K.B.), [1993] 2 R.C.S. 857</w:t>
            </w:r>
          </w:p>
          <w:p w:rsidR="006D0287" w:rsidRDefault="006D028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p w:rsidR="006D0287" w:rsidRDefault="006D0287">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r>
              <w:rPr>
                <w:sz w:val="20"/>
                <w:szCs w:val="20"/>
                <w:lang w:val="en-GB"/>
              </w:rPr>
              <w:t xml:space="preserve">Saint-Basile, Village Sud (Corporation municipale de) </w:t>
            </w:r>
            <w:r>
              <w:rPr>
                <w:i/>
                <w:iCs/>
                <w:sz w:val="20"/>
                <w:szCs w:val="20"/>
                <w:lang w:val="en-GB"/>
              </w:rPr>
              <w:t>c.</w:t>
            </w:r>
            <w:r>
              <w:rPr>
                <w:sz w:val="20"/>
                <w:szCs w:val="20"/>
                <w:lang w:val="en-GB"/>
              </w:rPr>
              <w:t xml:space="preserve"> Ciment Québec Inc., [1993] 2 R.C.S. 823</w:t>
            </w:r>
          </w:p>
          <w:p w:rsidR="006D0287" w:rsidRDefault="006D028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sz w:val="20"/>
                <w:szCs w:val="20"/>
                <w:lang w:val="en-GB"/>
              </w:rPr>
            </w:pPr>
          </w:p>
        </w:tc>
      </w:tr>
    </w:tbl>
    <w:p w:rsidR="006D0287" w:rsidRDefault="006D0287">
      <w:pPr>
        <w:widowControl/>
        <w:tabs>
          <w:tab w:val="center" w:pos="4740"/>
        </w:tabs>
        <w:suppressAutoHyphens/>
        <w:spacing w:line="240" w:lineRule="atLeast"/>
        <w:rPr>
          <w:sz w:val="20"/>
          <w:szCs w:val="20"/>
          <w:lang w:val="en-GB"/>
        </w:rPr>
      </w:pPr>
      <w:r>
        <w:rPr>
          <w:sz w:val="20"/>
          <w:szCs w:val="20"/>
          <w:lang w:val="en-GB"/>
        </w:rPr>
        <w:tab/>
      </w:r>
      <w:r>
        <w:rPr>
          <w:sz w:val="20"/>
          <w:szCs w:val="20"/>
          <w:u w:val="single"/>
          <w:lang w:val="en-GB"/>
        </w:rPr>
        <w:t xml:space="preserve">                                          </w:t>
      </w:r>
    </w:p>
    <w:sectPr w:rsidR="006D0287" w:rsidSect="006D0287">
      <w:headerReference w:type="default" r:id="rId45"/>
      <w:footerReference w:type="default" r:id="rId46"/>
      <w:footerReference w:type="first" r:id="rId47"/>
      <w:pgSz w:w="12240" w:h="15840"/>
      <w:pgMar w:top="720" w:right="1680" w:bottom="960" w:left="1080" w:header="720" w:footer="960" w:gutter="0"/>
      <w:pgNumType w:start="1793"/>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287" w:rsidRDefault="006D0287">
      <w:pPr>
        <w:widowControl/>
        <w:spacing w:line="20" w:lineRule="exact"/>
      </w:pPr>
    </w:p>
  </w:endnote>
  <w:endnote w:type="continuationSeparator" w:id="0">
    <w:p w:rsidR="006D0287" w:rsidRDefault="006D0287" w:rsidP="006D0287">
      <w:r>
        <w:t xml:space="preserve"> </w:t>
      </w:r>
    </w:p>
  </w:endnote>
  <w:endnote w:type="continuationNotice" w:id="1">
    <w:p w:rsidR="006D0287" w:rsidRDefault="006D0287" w:rsidP="006D028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BA5689">
      <w:rPr>
        <w:noProof/>
        <w:sz w:val="20"/>
        <w:szCs w:val="20"/>
        <w:lang w:val="en-GB"/>
      </w:rPr>
      <w:t>1746</w:t>
    </w:r>
    <w:r>
      <w:rPr>
        <w:sz w:val="20"/>
        <w:szCs w:val="20"/>
        <w:lang w:val="en-GB"/>
      </w:rPr>
      <w:fldChar w:fldCharType="end"/>
    </w:r>
    <w:r>
      <w:rPr>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Pr>
        <w:sz w:val="20"/>
        <w:szCs w:val="20"/>
        <w:lang w:val="en-GB"/>
      </w:rPr>
      <w:t>1759</w:t>
    </w:r>
    <w:r>
      <w:rPr>
        <w:sz w:val="20"/>
        <w:szCs w:val="20"/>
        <w:lang w:val="en-GB"/>
      </w:rPr>
      <w:fldChar w:fldCharType="end"/>
    </w:r>
    <w:r>
      <w:rPr>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1768</w:t>
    </w:r>
    <w:r>
      <w:rPr>
        <w:spacing w:val="-2"/>
        <w:sz w:val="20"/>
        <w:szCs w:val="20"/>
        <w:lang w:val="en-GB"/>
      </w:rPr>
      <w:fldChar w:fldCharType="end"/>
    </w:r>
    <w:r>
      <w:rPr>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BA5689">
      <w:rPr>
        <w:noProof/>
        <w:spacing w:val="-2"/>
        <w:sz w:val="20"/>
        <w:szCs w:val="20"/>
        <w:lang w:val="en-GB"/>
      </w:rPr>
      <w:t>1768</w:t>
    </w:r>
    <w:r>
      <w:rPr>
        <w:spacing w:val="-2"/>
        <w:sz w:val="20"/>
        <w:szCs w:val="20"/>
        <w:lang w:val="en-GB"/>
      </w:rPr>
      <w:fldChar w:fldCharType="end"/>
    </w:r>
    <w:r>
      <w:rPr>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BA5689">
      <w:rPr>
        <w:noProof/>
        <w:spacing w:val="-2"/>
        <w:sz w:val="20"/>
        <w:szCs w:val="20"/>
        <w:lang w:val="en-GB"/>
      </w:rPr>
      <w:t>1770</w:t>
    </w:r>
    <w:r>
      <w:rPr>
        <w:spacing w:val="-2"/>
        <w:sz w:val="20"/>
        <w:szCs w:val="20"/>
        <w:lang w:val="en-GB"/>
      </w:rPr>
      <w:fldChar w:fldCharType="end"/>
    </w:r>
    <w:r>
      <w:rPr>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1770</w:t>
    </w:r>
    <w:r>
      <w:rPr>
        <w:spacing w:val="-2"/>
        <w:sz w:val="20"/>
        <w:szCs w:val="20"/>
        <w:lang w:val="en-GB"/>
      </w:rPr>
      <w:fldChar w:fldCharType="end"/>
    </w:r>
    <w:r>
      <w:rPr>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1770</w:t>
    </w:r>
    <w:r>
      <w:rPr>
        <w:spacing w:val="-2"/>
        <w:sz w:val="20"/>
        <w:szCs w:val="20"/>
        <w:lang w:val="en-GB"/>
      </w:rPr>
      <w:fldChar w:fldCharType="end"/>
    </w:r>
    <w:r>
      <w:rPr>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BA5689">
      <w:rPr>
        <w:noProof/>
        <w:spacing w:val="-2"/>
        <w:sz w:val="20"/>
        <w:szCs w:val="20"/>
        <w:lang w:val="en-GB"/>
      </w:rPr>
      <w:t>1770</w:t>
    </w:r>
    <w:r>
      <w:rPr>
        <w:spacing w:val="-2"/>
        <w:sz w:val="20"/>
        <w:szCs w:val="20"/>
        <w:lang w:val="en-GB"/>
      </w:rPr>
      <w:fldChar w:fldCharType="end"/>
    </w:r>
    <w:r>
      <w:rPr>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BA5689">
      <w:rPr>
        <w:noProof/>
        <w:spacing w:val="-2"/>
        <w:sz w:val="20"/>
        <w:szCs w:val="20"/>
        <w:lang w:val="en-GB"/>
      </w:rPr>
      <w:t>1775</w:t>
    </w:r>
    <w:r>
      <w:rPr>
        <w:spacing w:val="-2"/>
        <w:sz w:val="20"/>
        <w:szCs w:val="20"/>
        <w:lang w:val="en-GB"/>
      </w:rPr>
      <w:fldChar w:fldCharType="end"/>
    </w:r>
    <w:r>
      <w:rPr>
        <w:spacing w:val="-2"/>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BA5689">
      <w:rPr>
        <w:noProof/>
        <w:spacing w:val="-2"/>
        <w:sz w:val="20"/>
        <w:szCs w:val="20"/>
        <w:lang w:val="en-GB"/>
      </w:rPr>
      <w:t>1771</w:t>
    </w:r>
    <w:r>
      <w:rPr>
        <w:spacing w:val="-2"/>
        <w:sz w:val="20"/>
        <w:szCs w:val="20"/>
        <w:lang w:val="en-GB"/>
      </w:rPr>
      <w:fldChar w:fldCharType="end"/>
    </w:r>
    <w:r>
      <w:rPr>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Pr>
        <w:sz w:val="20"/>
        <w:szCs w:val="20"/>
        <w:lang w:val="en-GB"/>
      </w:rPr>
      <w:t>1776</w:t>
    </w:r>
    <w:r>
      <w:rPr>
        <w:sz w:val="20"/>
        <w:szCs w:val="20"/>
        <w:lang w:val="en-GB"/>
      </w:rPr>
      <w:fldChar w:fldCharType="end"/>
    </w:r>
    <w:r>
      <w:rPr>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BA5689">
      <w:rPr>
        <w:noProof/>
        <w:sz w:val="20"/>
        <w:szCs w:val="20"/>
        <w:lang w:val="en-GB"/>
      </w:rPr>
      <w:t>1745</w:t>
    </w:r>
    <w:r>
      <w:rPr>
        <w:sz w:val="20"/>
        <w:szCs w:val="20"/>
        <w:lang w:val="en-GB"/>
      </w:rPr>
      <w:fldChar w:fldCharType="end"/>
    </w:r>
    <w:r>
      <w:rPr>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BA5689">
      <w:rPr>
        <w:noProof/>
        <w:spacing w:val="-2"/>
        <w:sz w:val="20"/>
        <w:szCs w:val="20"/>
        <w:lang w:val="en-GB"/>
      </w:rPr>
      <w:t>1776</w:t>
    </w:r>
    <w:r>
      <w:rPr>
        <w:spacing w:val="-2"/>
        <w:sz w:val="20"/>
        <w:szCs w:val="20"/>
        <w:lang w:val="en-GB"/>
      </w:rPr>
      <w:fldChar w:fldCharType="end"/>
    </w:r>
    <w:r>
      <w:rPr>
        <w:spacing w:val="-2"/>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BA5689">
      <w:rPr>
        <w:noProof/>
        <w:sz w:val="20"/>
        <w:szCs w:val="20"/>
        <w:lang w:val="en-GB"/>
      </w:rPr>
      <w:t>1790</w:t>
    </w:r>
    <w:r>
      <w:rPr>
        <w:sz w:val="20"/>
        <w:szCs w:val="20"/>
        <w:lang w:val="en-GB"/>
      </w:rPr>
      <w:fldChar w:fldCharType="end"/>
    </w:r>
    <w:r>
      <w:rPr>
        <w:sz w:val="20"/>
        <w:szCs w:val="20"/>
        <w:lang w:val="en-GB"/>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BA5689">
      <w:rPr>
        <w:noProof/>
        <w:sz w:val="20"/>
        <w:szCs w:val="20"/>
        <w:lang w:val="en-GB"/>
      </w:rPr>
      <w:t>1777</w:t>
    </w:r>
    <w:r>
      <w:rPr>
        <w:sz w:val="20"/>
        <w:szCs w:val="20"/>
        <w:lang w:val="en-GB"/>
      </w:rPr>
      <w:fldChar w:fldCharType="end"/>
    </w:r>
    <w:r>
      <w:rPr>
        <w:sz w:val="20"/>
        <w:szCs w:val="20"/>
        <w:lang w:val="en-GB"/>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BA5689">
      <w:rPr>
        <w:noProof/>
        <w:sz w:val="20"/>
        <w:szCs w:val="20"/>
        <w:lang w:val="en-GB"/>
      </w:rPr>
      <w:t>1791</w:t>
    </w:r>
    <w:r>
      <w:rPr>
        <w:sz w:val="20"/>
        <w:szCs w:val="20"/>
        <w:lang w:val="en-GB"/>
      </w:rPr>
      <w:fldChar w:fldCharType="end"/>
    </w:r>
    <w:r>
      <w:rPr>
        <w:sz w:val="20"/>
        <w:szCs w:val="20"/>
        <w:lang w:val="en-GB"/>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1792</w:t>
    </w:r>
    <w:r>
      <w:rPr>
        <w:spacing w:val="-2"/>
        <w:sz w:val="20"/>
        <w:szCs w:val="20"/>
        <w:lang w:val="en-GB"/>
      </w:rPr>
      <w:fldChar w:fldCharType="end"/>
    </w:r>
    <w:r>
      <w:rPr>
        <w:spacing w:val="-2"/>
        <w:sz w:val="20"/>
        <w:szCs w:val="20"/>
        <w:lang w:val="en-GB"/>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BA5689">
      <w:rPr>
        <w:noProof/>
        <w:spacing w:val="-2"/>
        <w:sz w:val="20"/>
        <w:szCs w:val="20"/>
        <w:lang w:val="en-GB"/>
      </w:rPr>
      <w:t>1792</w:t>
    </w:r>
    <w:r>
      <w:rPr>
        <w:spacing w:val="-2"/>
        <w:sz w:val="20"/>
        <w:szCs w:val="20"/>
        <w:lang w:val="en-GB"/>
      </w:rPr>
      <w:fldChar w:fldCharType="end"/>
    </w:r>
    <w:r>
      <w:rPr>
        <w:spacing w:val="-2"/>
        <w:sz w:val="20"/>
        <w:szCs w:val="20"/>
        <w:lang w:val="en-GB"/>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Pr>
        <w:sz w:val="20"/>
        <w:szCs w:val="20"/>
        <w:lang w:val="en-GB"/>
      </w:rPr>
      <w:t>1793</w:t>
    </w:r>
    <w:r>
      <w:rPr>
        <w:sz w:val="20"/>
        <w:szCs w:val="20"/>
        <w:lang w:val="en-GB"/>
      </w:rPr>
      <w:fldChar w:fldCharType="end"/>
    </w:r>
    <w:r>
      <w:rPr>
        <w:sz w:val="20"/>
        <w:szCs w:val="20"/>
        <w:lang w:val="en-GB"/>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BA5689">
      <w:rPr>
        <w:noProof/>
        <w:spacing w:val="-2"/>
        <w:sz w:val="20"/>
        <w:szCs w:val="20"/>
        <w:lang w:val="en-GB"/>
      </w:rPr>
      <w:t>1793</w:t>
    </w:r>
    <w:r>
      <w:rPr>
        <w:spacing w:val="-2"/>
        <w:sz w:val="20"/>
        <w:szCs w:val="20"/>
        <w:lang w:val="en-GB"/>
      </w:rPr>
      <w:fldChar w:fldCharType="end"/>
    </w:r>
    <w:r>
      <w:rPr>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BA5689">
      <w:rPr>
        <w:noProof/>
        <w:sz w:val="20"/>
        <w:szCs w:val="20"/>
        <w:lang w:val="en-GB"/>
      </w:rPr>
      <w:t>1754</w:t>
    </w:r>
    <w:r>
      <w:rPr>
        <w:sz w:val="20"/>
        <w:szCs w:val="20"/>
        <w:lang w:val="en-GB"/>
      </w:rPr>
      <w:fldChar w:fldCharType="end"/>
    </w:r>
    <w:r>
      <w:rPr>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BA5689">
      <w:rPr>
        <w:noProof/>
        <w:sz w:val="20"/>
        <w:szCs w:val="20"/>
        <w:lang w:val="en-GB"/>
      </w:rPr>
      <w:t>1748</w:t>
    </w:r>
    <w:r>
      <w:rPr>
        <w:sz w:val="20"/>
        <w:szCs w:val="20"/>
        <w:lang w:val="en-GB"/>
      </w:rPr>
      <w:fldChar w:fldCharType="end"/>
    </w:r>
    <w:r>
      <w:rPr>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1754</w:t>
    </w:r>
    <w:r>
      <w:rPr>
        <w:spacing w:val="-2"/>
        <w:sz w:val="20"/>
        <w:szCs w:val="20"/>
        <w:lang w:val="en-GB"/>
      </w:rPr>
      <w:fldChar w:fldCharType="end"/>
    </w:r>
    <w:r>
      <w:rPr>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BA5689">
      <w:rPr>
        <w:noProof/>
        <w:spacing w:val="-2"/>
        <w:sz w:val="20"/>
        <w:szCs w:val="20"/>
        <w:lang w:val="en-GB"/>
      </w:rPr>
      <w:t>1754</w:t>
    </w:r>
    <w:r>
      <w:rPr>
        <w:spacing w:val="-2"/>
        <w:sz w:val="20"/>
        <w:szCs w:val="20"/>
        <w:lang w:val="en-GB"/>
      </w:rPr>
      <w:fldChar w:fldCharType="end"/>
    </w:r>
    <w:r>
      <w:rPr>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BA5689">
      <w:rPr>
        <w:noProof/>
        <w:spacing w:val="-2"/>
        <w:sz w:val="20"/>
        <w:szCs w:val="20"/>
        <w:lang w:val="en-GB"/>
      </w:rPr>
      <w:t>1758</w:t>
    </w:r>
    <w:r>
      <w:rPr>
        <w:spacing w:val="-2"/>
        <w:sz w:val="20"/>
        <w:szCs w:val="20"/>
        <w:lang w:val="en-GB"/>
      </w:rPr>
      <w:fldChar w:fldCharType="end"/>
    </w:r>
    <w:r>
      <w:rPr>
        <w:spacing w:val="-2"/>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BA5689">
      <w:rPr>
        <w:noProof/>
        <w:spacing w:val="-2"/>
        <w:sz w:val="20"/>
        <w:szCs w:val="20"/>
        <w:lang w:val="en-GB"/>
      </w:rPr>
      <w:t>1755</w:t>
    </w:r>
    <w:r>
      <w:rPr>
        <w:spacing w:val="-2"/>
        <w:sz w:val="20"/>
        <w:szCs w:val="20"/>
        <w:lang w:val="en-GB"/>
      </w:rPr>
      <w:fldChar w:fldCharType="end"/>
    </w:r>
    <w:r>
      <w:rPr>
        <w:spacing w:val="-2"/>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287" w:rsidRDefault="006D0287">
    <w:pPr>
      <w:spacing w:before="140" w:line="100" w:lineRule="exact"/>
      <w:rPr>
        <w:sz w:val="10"/>
        <w:szCs w:val="10"/>
      </w:rPr>
    </w:pPr>
  </w:p>
  <w:p w:rsidR="006D0287" w:rsidRDefault="006D0287">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BA5689">
      <w:rPr>
        <w:noProof/>
        <w:sz w:val="20"/>
        <w:szCs w:val="20"/>
        <w:lang w:val="en-GB"/>
      </w:rPr>
      <w:t>1765</w:t>
    </w:r>
    <w:r>
      <w:rPr>
        <w:sz w:val="20"/>
        <w:szCs w:val="20"/>
        <w:lang w:val="en-GB"/>
      </w:rPr>
      <w:fldChar w:fldCharType="end"/>
    </w:r>
    <w:r>
      <w:rPr>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287" w:rsidRDefault="006D0287" w:rsidP="006D0287">
      <w:r>
        <w:separator/>
      </w:r>
    </w:p>
  </w:footnote>
  <w:footnote w:type="continuationSeparator" w:id="0">
    <w:p w:rsidR="006D0287" w:rsidRDefault="006D0287" w:rsidP="006D0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tabs>
              <w:tab w:val="left" w:pos="-1440"/>
              <w:tab w:val="left" w:pos="-720"/>
            </w:tabs>
            <w:suppressAutoHyphens/>
            <w:spacing w:line="240" w:lineRule="atLeast"/>
            <w:rPr>
              <w:sz w:val="20"/>
              <w:szCs w:val="20"/>
              <w:lang w:val="en-GB"/>
            </w:rPr>
          </w:pPr>
          <w:r>
            <w:rPr>
              <w:sz w:val="20"/>
              <w:szCs w:val="20"/>
              <w:lang w:val="en-GB"/>
            </w:rPr>
            <w:t>APPLICATIONS FOR LEAVE TO APPEAL FILED</w:t>
          </w:r>
        </w:p>
      </w:tc>
      <w:tc>
        <w:tcPr>
          <w:tcW w:w="5280" w:type="dxa"/>
          <w:tcBorders>
            <w:top w:val="nil"/>
            <w:left w:val="nil"/>
            <w:bottom w:val="nil"/>
            <w:right w:val="nil"/>
          </w:tcBorders>
        </w:tcPr>
        <w:p w:rsidR="006D0287" w:rsidRDefault="006D0287">
          <w:pPr>
            <w:tabs>
              <w:tab w:val="left" w:pos="-1440"/>
              <w:tab w:val="left" w:pos="-720"/>
            </w:tabs>
            <w:suppressAutoHyphens/>
            <w:spacing w:line="240" w:lineRule="atLeast"/>
            <w:rPr>
              <w:sz w:val="20"/>
              <w:szCs w:val="20"/>
              <w:lang w:val="en-GB"/>
            </w:rPr>
          </w:pPr>
          <w:r>
            <w:rPr>
              <w:sz w:val="20"/>
              <w:szCs w:val="20"/>
              <w:lang w:val="en-GB"/>
            </w:rPr>
            <w:t>DEMANDES D'AUTORISATION D'APPEL PRODUITES</w:t>
          </w:r>
        </w:p>
      </w:tc>
    </w:tr>
  </w:tbl>
  <w:p w:rsidR="006D0287" w:rsidRDefault="006D0287">
    <w:pPr>
      <w:tabs>
        <w:tab w:val="left" w:pos="-1440"/>
        <w:tab w:val="left" w:pos="-720"/>
      </w:tabs>
      <w:suppressAutoHyphens/>
      <w:spacing w:line="240" w:lineRule="atLeast"/>
      <w:rPr>
        <w:sz w:val="20"/>
        <w:szCs w:val="20"/>
        <w:lang w:val="en-GB"/>
      </w:rPr>
    </w:pPr>
    <w:r>
      <w:rPr>
        <w:sz w:val="20"/>
        <w:szCs w:val="20"/>
        <w:u w:val="single"/>
        <w:lang w:val="en-GB"/>
      </w:rPr>
      <w:t xml:space="preserve">                                                                                                                                               </w:t>
    </w:r>
  </w:p>
  <w:p w:rsidR="006D0287" w:rsidRDefault="006D0287">
    <w:pPr>
      <w:spacing w:after="140" w:line="100" w:lineRule="exact"/>
      <w:rPr>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APPEALS HEARD SINCE LAST ISSUE AND DISPOSITION</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APPELS ENTENDUS DEPUIS LA DERNIÈRE PARUTION ET RÉSULTAT</w:t>
          </w: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6D0287" w:rsidRDefault="006D0287">
    <w:pPr>
      <w:spacing w:after="140" w:line="100" w:lineRule="exact"/>
      <w:rPr>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SUMMARIES OF THE CASES</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right"/>
            <w:rPr>
              <w:sz w:val="20"/>
              <w:szCs w:val="20"/>
              <w:lang w:val="en-GB"/>
            </w:rPr>
          </w:pPr>
          <w:r>
            <w:rPr>
              <w:sz w:val="20"/>
              <w:szCs w:val="20"/>
              <w:lang w:val="en-GB"/>
            </w:rPr>
            <w:t>RÉSUMÉS DES AFFAIRES</w:t>
          </w: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6D0287" w:rsidRDefault="006D0287">
    <w:pPr>
      <w:spacing w:after="140" w:line="100" w:lineRule="exact"/>
      <w:rPr>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SUMMARIES OF THE CASES</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right"/>
            <w:rPr>
              <w:sz w:val="20"/>
              <w:szCs w:val="20"/>
              <w:lang w:val="en-GB"/>
            </w:rPr>
          </w:pPr>
          <w:r>
            <w:rPr>
              <w:sz w:val="20"/>
              <w:szCs w:val="20"/>
              <w:lang w:val="en-GB"/>
            </w:rPr>
            <w:t>RÉSUMÉS DES AFFAIRES</w:t>
          </w: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6D0287" w:rsidRDefault="006D0287">
    <w:pPr>
      <w:spacing w:after="140" w:line="100" w:lineRule="exact"/>
      <w:rPr>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REQUIREMENTS FOR FILING A CASE </w:t>
          </w:r>
        </w:p>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spacing w:val="-2"/>
              <w:sz w:val="20"/>
              <w:szCs w:val="20"/>
              <w:lang w:val="en-GB"/>
            </w:rPr>
          </w:pPr>
          <w:r>
            <w:rPr>
              <w:spacing w:val="-2"/>
              <w:sz w:val="20"/>
              <w:szCs w:val="20"/>
              <w:lang w:val="en-GB"/>
            </w:rPr>
            <w:t>PRÉALABLES EN MATIÈRE DE PRODUCTION</w:t>
          </w:r>
        </w:p>
      </w:tc>
    </w:tr>
  </w:tbl>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r>
      <w:rPr>
        <w:spacing w:val="-2"/>
        <w:sz w:val="20"/>
        <w:szCs w:val="20"/>
        <w:u w:val="single"/>
        <w:lang w:val="en-GB"/>
      </w:rPr>
      <w:t xml:space="preserve">                                                                                                                                               </w:t>
    </w:r>
  </w:p>
  <w:p w:rsidR="006D0287" w:rsidRDefault="006D0287">
    <w:pPr>
      <w:spacing w:after="140" w:line="100" w:lineRule="exact"/>
      <w:rPr>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r>
            <w:rPr>
              <w:spacing w:val="-2"/>
              <w:sz w:val="20"/>
              <w:szCs w:val="20"/>
              <w:lang w:val="en-GB"/>
            </w:rPr>
            <w:t xml:space="preserve">REQUIREMENTS FOR FILING A CASE </w:t>
          </w:r>
        </w:p>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6D0287" w:rsidRDefault="006D0287">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spacing w:val="-2"/>
              <w:sz w:val="20"/>
              <w:szCs w:val="20"/>
              <w:lang w:val="en-GB"/>
            </w:rPr>
          </w:pPr>
          <w:r>
            <w:rPr>
              <w:spacing w:val="-2"/>
              <w:sz w:val="20"/>
              <w:szCs w:val="20"/>
              <w:lang w:val="en-GB"/>
            </w:rPr>
            <w:t>PRÉALABLES EN MATIÈRE DE PRODUCTION</w:t>
          </w:r>
        </w:p>
      </w:tc>
    </w:tr>
  </w:tbl>
  <w:p w:rsidR="006D0287" w:rsidRDefault="006D028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en-GB"/>
      </w:rPr>
    </w:pPr>
    <w:r>
      <w:rPr>
        <w:spacing w:val="-2"/>
        <w:sz w:val="20"/>
        <w:szCs w:val="20"/>
        <w:u w:val="single"/>
        <w:lang w:val="en-GB"/>
      </w:rPr>
      <w:t xml:space="preserve">                                                                                                                                               </w:t>
    </w:r>
  </w:p>
  <w:p w:rsidR="006D0287" w:rsidRDefault="006D0287">
    <w:pPr>
      <w:spacing w:after="140" w:line="100" w:lineRule="exac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 xml:space="preserve">APPLICATIONS FOR LEAVE  </w:t>
          </w:r>
        </w:p>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SUBMITTED TO COURT SINCE LAST ISSUE</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REQUÊTES SOUMISES À LA COUR DEPUIS LA DERNIÈRE PARUTION</w:t>
          </w:r>
        </w:p>
      </w:tc>
    </w:tr>
  </w:tbl>
  <w:p w:rsidR="006D0287" w:rsidRDefault="006D0287">
    <w:pPr>
      <w:widowControl/>
      <w:tabs>
        <w:tab w:val="left" w:pos="-1440"/>
        <w:tab w:val="left" w:pos="-720"/>
      </w:tabs>
      <w:suppressAutoHyphens/>
      <w:spacing w:line="240" w:lineRule="atLeast"/>
      <w:rPr>
        <w:sz w:val="20"/>
        <w:szCs w:val="20"/>
        <w:lang w:val="en-GB"/>
      </w:rPr>
    </w:pPr>
    <w:r>
      <w:rPr>
        <w:sz w:val="20"/>
        <w:szCs w:val="20"/>
        <w:u w:val="single"/>
        <w:lang w:val="en-GB"/>
      </w:rPr>
      <w:t xml:space="preserve">                                                                                                                                               </w:t>
    </w:r>
  </w:p>
  <w:p w:rsidR="006D0287" w:rsidRDefault="006D0287">
    <w:pPr>
      <w:spacing w:after="140" w:line="100" w:lineRule="exact"/>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ORAL HEARING ORDERED</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AUDIENCE ORDONNÉE</w:t>
          </w: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6D0287" w:rsidRDefault="006D0287">
    <w:pPr>
      <w:spacing w:after="140" w:line="100" w:lineRule="exact"/>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JUDGMENTS ON APPLICATIONS</w:t>
          </w: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FOR LEAVE</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JUGEMENTS RENDUS SUR LES DEMANDES D'AUTORISATION</w:t>
          </w:r>
        </w:p>
      </w:tc>
    </w:tr>
  </w:tbl>
  <w:p w:rsidR="006D0287" w:rsidRDefault="006D0287">
    <w:pPr>
      <w:widowControl/>
      <w:tabs>
        <w:tab w:val="left" w:pos="-1440"/>
        <w:tab w:val="left" w:pos="-720"/>
      </w:tabs>
      <w:suppressAutoHyphens/>
      <w:spacing w:line="240" w:lineRule="atLeast"/>
      <w:jc w:val="both"/>
      <w:rPr>
        <w:spacing w:val="-2"/>
        <w:sz w:val="20"/>
        <w:szCs w:val="20"/>
        <w:lang w:val="en-GB"/>
      </w:rPr>
    </w:pPr>
  </w:p>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6D0287" w:rsidRDefault="006D0287">
    <w:pPr>
      <w:spacing w:after="140" w:line="100" w:lineRule="exact"/>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rPr>
              <w:sz w:val="20"/>
              <w:szCs w:val="20"/>
              <w:lang w:val="en-GB"/>
            </w:rPr>
          </w:pPr>
          <w:r>
            <w:rPr>
              <w:sz w:val="20"/>
              <w:szCs w:val="20"/>
              <w:lang w:val="en-GB"/>
            </w:rPr>
            <w:t>MOTIONS</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right"/>
            <w:rPr>
              <w:sz w:val="20"/>
              <w:szCs w:val="20"/>
              <w:lang w:val="en-GB"/>
            </w:rPr>
          </w:pPr>
          <w:r>
            <w:rPr>
              <w:sz w:val="20"/>
              <w:szCs w:val="20"/>
              <w:lang w:val="en-GB"/>
            </w:rPr>
            <w:t>REQUÊTES</w:t>
          </w: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6D0287" w:rsidRDefault="006D0287">
    <w:pPr>
      <w:spacing w:after="140" w:line="100" w:lineRule="exact"/>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APPEAL FILED SINCE LAST ISSUE</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D'APPEL PRODUITS DEPUIS LA DERNIÈRE PARUTION</w:t>
          </w: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6D0287" w:rsidRDefault="006D0287">
    <w:pPr>
      <w:spacing w:after="140" w:line="100" w:lineRule="exact"/>
      <w:rPr>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INTERVENTION FILED SINCE LAST ISSUE</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D'INTERVENTION PRODUITS DEPUIS LA DERNIÈRE PARUTION</w:t>
          </w: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6D0287" w:rsidRDefault="006D0287">
    <w:pPr>
      <w:spacing w:after="140" w:line="100" w:lineRule="exact"/>
      <w:rPr>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DISCONTINUANCE FILED SINCE LAST ISSUE</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DE DÉSISTEMENT PRODUITS DEPUIS LA DERNIÈRE PARUTION</w:t>
          </w: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6D0287" w:rsidRDefault="006D0287">
    <w:pPr>
      <w:spacing w:after="140" w:line="100" w:lineRule="exact"/>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6D0287">
      <w:tblPrEx>
        <w:tblCellMar>
          <w:top w:w="0" w:type="dxa"/>
          <w:bottom w:w="0" w:type="dxa"/>
        </w:tblCellMar>
      </w:tblPrEx>
      <w:tc>
        <w:tcPr>
          <w:tcW w:w="540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APPEALS HEARD SINCE LAST ISSUE AND DISPOSITION</w:t>
          </w:r>
        </w:p>
      </w:tc>
      <w:tc>
        <w:tcPr>
          <w:tcW w:w="5280" w:type="dxa"/>
          <w:tcBorders>
            <w:top w:val="nil"/>
            <w:left w:val="nil"/>
            <w:bottom w:val="nil"/>
            <w:right w:val="nil"/>
          </w:tcBorders>
        </w:tcPr>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APPELS ENTENDUS DEPUIS LA DERNIÈRE PARUTION ET RÉSULTAT</w:t>
          </w:r>
        </w:p>
      </w:tc>
    </w:tr>
  </w:tbl>
  <w:p w:rsidR="006D0287" w:rsidRDefault="006D0287">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6D0287" w:rsidRDefault="006D0287">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87"/>
    <w:rsid w:val="006D0287"/>
    <w:rsid w:val="00BA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979DDB-F176-40CC-BDCE-14F9C4DC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6D0287"/>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6D0287"/>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imes New Roman" w:hAnsi="Times New Roman" w:cs="Times New Roman"/>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imes New Roman" w:hAnsi="Times New Roman" w:cs="Times New Roman"/>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TechInit">
    <w:name w:val="Tech Init"/>
    <w:basedOn w:val="DefaultParagraphFont"/>
    <w:uiPriority w:val="99"/>
    <w:rPr>
      <w:rFonts w:ascii="Times New Roman" w:hAnsi="Times New Roman" w:cs="Times New Roman"/>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imes New Roman" w:hAnsi="Times New Roman" w:cs="Times New Roman"/>
      <w:sz w:val="24"/>
      <w:szCs w:val="24"/>
      <w:lang w:val="en-US"/>
    </w:rPr>
  </w:style>
  <w:style w:type="character" w:customStyle="1" w:styleId="Technical3">
    <w:name w:val="Technical 3"/>
    <w:basedOn w:val="DefaultParagraphFont"/>
    <w:uiPriority w:val="99"/>
    <w:rPr>
      <w:rFonts w:ascii="Times New Roman" w:hAnsi="Times New Roman" w:cs="Times New Roman"/>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imes New Roman" w:hAnsi="Times New Roman" w:cs="Times New Roman"/>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6D02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0287"/>
    <w:rPr>
      <w:rFonts w:ascii="Times New Roman" w:hAnsi="Times New Roman" w:cs="Times New Roman"/>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imes New Roman" w:hAnsi="Times New Roman" w:cs="Times New Roman"/>
      <w:sz w:val="19"/>
      <w:szCs w:val="19"/>
    </w:rPr>
  </w:style>
  <w:style w:type="character" w:customStyle="1" w:styleId="Statutes">
    <w:name w:val="Statutes"/>
    <w:basedOn w:val="DefaultParagraphFont"/>
    <w:uiPriority w:val="99"/>
    <w:rPr>
      <w:rFonts w:ascii="Times New Roman" w:hAnsi="Times New Roman" w:cs="Times New Roman"/>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2head">
    <w:name w:val="2 head"/>
    <w:basedOn w:val="DefaultParagraphFont"/>
    <w:uiPriority w:val="99"/>
    <w:rPr>
      <w:sz w:val="24"/>
      <w:szCs w:val="24"/>
      <w:u w:val="single"/>
    </w:rPr>
  </w:style>
  <w:style w:type="character" w:customStyle="1" w:styleId="1head">
    <w:name w:val="1 head"/>
    <w:basedOn w:val="DefaultParagraphFont"/>
    <w:uiPriority w:val="99"/>
    <w:rPr>
      <w:sz w:val="24"/>
      <w:szCs w:val="24"/>
      <w:u w:val="single"/>
    </w:rPr>
  </w:style>
  <w:style w:type="character" w:customStyle="1" w:styleId="3head">
    <w:name w:val="3 head"/>
    <w:basedOn w:val="DefaultParagraphFont"/>
    <w:uiPriority w:val="99"/>
  </w:style>
  <w:style w:type="character" w:customStyle="1" w:styleId="4head">
    <w:name w:val="4 head"/>
    <w:basedOn w:val="DefaultParagraphFont"/>
    <w:uiPriority w:val="99"/>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imes New Roman" w:hAnsi="Times New Roman" w:cs="Times New Roman"/>
      <w:sz w:val="24"/>
      <w:szCs w:val="24"/>
    </w:rPr>
  </w:style>
  <w:style w:type="paragraph" w:styleId="Title">
    <w:name w:val="Title"/>
    <w:basedOn w:val="Normal"/>
    <w:next w:val="Normal"/>
    <w:link w:val="TitleChar"/>
    <w:uiPriority w:val="10"/>
    <w:qFormat/>
    <w:rsid w:val="006D028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D0287"/>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imes New Roman" w:hAnsi="Times New Roman" w:cs="Times New Roman"/>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imes New Roman" w:hAnsi="Times New Roman" w:cs="Times New Roman"/>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2.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footer" Target="footer27.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footer" Target="footer2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20.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footer" Target="footer24.xm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14000</Words>
  <Characters>79800</Characters>
  <Application>Microsoft Office Word</Application>
  <DocSecurity>0</DocSecurity>
  <Lines>665</Lines>
  <Paragraphs>187</Paragraphs>
  <ScaleCrop>false</ScaleCrop>
  <Company/>
  <LinksUpToDate>false</LinksUpToDate>
  <CharactersWithSpaces>93613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2015-08-27T13:02:00Z</dcterms:created>
  <dcterms:modified xsi:type="dcterms:W3CDTF">2015-08-27T13:02:00Z</dcterms:modified>
</cp:coreProperties>
</file>