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C618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C618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C618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C618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C6187" w:rsidTr="002E5576">
        <w:tc>
          <w:tcPr>
            <w:tcW w:w="4518" w:type="dxa"/>
          </w:tcPr>
          <w:p w:rsidR="00BF25F3" w:rsidRPr="002E2327" w:rsidRDefault="0036155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6155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C618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C6187"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5C6187">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5C6187">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87375" w:rsidP="00F0068D">
      <w:pPr>
        <w:pBdr>
          <w:bottom w:val="single" w:sz="6" w:space="1" w:color="auto"/>
        </w:pBdr>
        <w:tabs>
          <w:tab w:val="center" w:pos="4680"/>
          <w:tab w:val="right" w:pos="9360"/>
        </w:tabs>
        <w:rPr>
          <w:lang w:val="fr-CA"/>
        </w:rPr>
      </w:pPr>
      <w:r>
        <w:rPr>
          <w:lang w:val="fr-CA"/>
        </w:rPr>
        <w:t>September 4</w:t>
      </w:r>
      <w:r w:rsidR="00440E24" w:rsidRPr="00675479">
        <w:rPr>
          <w:lang w:val="fr-CA"/>
        </w:rPr>
        <w:t>, 201</w:t>
      </w:r>
      <w:r w:rsidR="00020DC3">
        <w:rPr>
          <w:lang w:val="fr-CA"/>
        </w:rPr>
        <w:t>5</w:t>
      </w:r>
      <w:r w:rsidR="00F0068D" w:rsidRPr="00675479">
        <w:rPr>
          <w:lang w:val="fr-CA"/>
        </w:rPr>
        <w:tab/>
        <w:t>1</w:t>
      </w:r>
      <w:r>
        <w:rPr>
          <w:lang w:val="fr-CA"/>
        </w:rPr>
        <w:t>271</w:t>
      </w:r>
      <w:r w:rsidR="00F0068D" w:rsidRPr="00675479">
        <w:rPr>
          <w:lang w:val="fr-CA"/>
        </w:rPr>
        <w:t xml:space="preserve"> - </w:t>
      </w:r>
      <w:r w:rsidR="001456B8">
        <w:rPr>
          <w:lang w:val="fr-CA"/>
        </w:rPr>
        <w:t>12</w:t>
      </w:r>
      <w:r w:rsidR="000D55D8">
        <w:rPr>
          <w:lang w:val="fr-CA"/>
        </w:rPr>
        <w:t>95</w:t>
      </w:r>
      <w:r w:rsidR="00440E24" w:rsidRPr="00675479">
        <w:rPr>
          <w:lang w:val="fr-CA"/>
        </w:rPr>
        <w:tab/>
      </w:r>
      <w:r w:rsidR="00440E24" w:rsidRPr="002E2327">
        <w:rPr>
          <w:lang w:val="fr-CA"/>
        </w:rPr>
        <w:t>Le</w:t>
      </w:r>
      <w:r w:rsidR="00C73D06">
        <w:rPr>
          <w:lang w:val="fr-CA"/>
        </w:rPr>
        <w:t xml:space="preserve"> </w:t>
      </w:r>
      <w:r>
        <w:rPr>
          <w:lang w:val="fr-CA"/>
        </w:rPr>
        <w:t>4 septemb</w:t>
      </w:r>
      <w:r w:rsidR="00C73D06">
        <w:rPr>
          <w:lang w:val="fr-CA"/>
        </w:rPr>
        <w:t>r</w:t>
      </w:r>
      <w:r>
        <w:rPr>
          <w:lang w:val="fr-CA"/>
        </w:rPr>
        <w:t>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887375" w:rsidRDefault="00440E24" w:rsidP="00440E24">
      <w:pPr>
        <w:pBdr>
          <w:bottom w:val="single" w:sz="6" w:space="1" w:color="auto"/>
        </w:pBdr>
        <w:tabs>
          <w:tab w:val="right" w:pos="9360"/>
        </w:tabs>
        <w:rPr>
          <w:sz w:val="18"/>
          <w:szCs w:val="18"/>
          <w:lang w:val="fr-CA"/>
        </w:rPr>
      </w:pPr>
      <w:r w:rsidRPr="00887375">
        <w:rPr>
          <w:sz w:val="18"/>
          <w:szCs w:val="18"/>
          <w:lang w:val="fr-CA"/>
        </w:rPr>
        <w:t>© Supreme Court of Canada (201</w:t>
      </w:r>
      <w:r w:rsidR="00020DC3" w:rsidRPr="00887375">
        <w:rPr>
          <w:sz w:val="18"/>
          <w:szCs w:val="18"/>
          <w:lang w:val="fr-CA"/>
        </w:rPr>
        <w:t>5</w:t>
      </w:r>
      <w:r w:rsidRPr="00887375">
        <w:rPr>
          <w:sz w:val="18"/>
          <w:szCs w:val="18"/>
          <w:lang w:val="fr-CA"/>
        </w:rPr>
        <w:t>)</w:t>
      </w:r>
      <w:r w:rsidRPr="00887375">
        <w:rPr>
          <w:sz w:val="18"/>
          <w:szCs w:val="18"/>
          <w:lang w:val="fr-CA"/>
        </w:rPr>
        <w:tab/>
        <w:t>© Cour suprême du Canada (201</w:t>
      </w:r>
      <w:r w:rsidR="00020DC3" w:rsidRPr="00887375">
        <w:rPr>
          <w:sz w:val="18"/>
          <w:szCs w:val="18"/>
          <w:lang w:val="fr-CA"/>
        </w:rPr>
        <w:t>5</w:t>
      </w:r>
      <w:r w:rsidRPr="0088737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8096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A57338">
            <w:pPr>
              <w:tabs>
                <w:tab w:val="right" w:pos="9360"/>
              </w:tabs>
              <w:rPr>
                <w:rFonts w:cs="Times New Roman"/>
                <w:sz w:val="20"/>
                <w:szCs w:val="20"/>
              </w:rPr>
            </w:pPr>
          </w:p>
        </w:tc>
        <w:tc>
          <w:tcPr>
            <w:tcW w:w="1980" w:type="dxa"/>
          </w:tcPr>
          <w:p w:rsidR="0095096B" w:rsidRPr="002E2327" w:rsidRDefault="00887375" w:rsidP="0095096B">
            <w:pPr>
              <w:jc w:val="center"/>
              <w:rPr>
                <w:rFonts w:cs="Times New Roman"/>
                <w:sz w:val="20"/>
                <w:szCs w:val="20"/>
              </w:rPr>
            </w:pPr>
            <w:r>
              <w:rPr>
                <w:rFonts w:cs="Times New Roman"/>
                <w:sz w:val="20"/>
                <w:szCs w:val="20"/>
              </w:rPr>
              <w:t xml:space="preserve">1271 </w:t>
            </w:r>
            <w:r w:rsidR="00361555" w:rsidRPr="002E2327">
              <w:rPr>
                <w:rFonts w:cs="Times New Roman"/>
                <w:sz w:val="20"/>
                <w:szCs w:val="20"/>
              </w:rPr>
              <w:fldChar w:fldCharType="begin"/>
            </w:r>
            <w:r w:rsidR="0095096B" w:rsidRPr="002E2327">
              <w:rPr>
                <w:rFonts w:cs="Times New Roman"/>
                <w:sz w:val="20"/>
                <w:szCs w:val="20"/>
              </w:rPr>
              <w:instrText xml:space="preserve"> SEQ CHAPTER \h \r 1</w:instrText>
            </w:r>
            <w:r w:rsidR="00361555" w:rsidRPr="002E2327">
              <w:rPr>
                <w:rFonts w:cs="Times New Roman"/>
                <w:sz w:val="20"/>
                <w:szCs w:val="20"/>
              </w:rPr>
              <w:fldChar w:fldCharType="end"/>
            </w:r>
            <w:r w:rsidR="0095096B" w:rsidRPr="002E2327">
              <w:rPr>
                <w:rFonts w:cs="Times New Roman"/>
                <w:sz w:val="20"/>
                <w:szCs w:val="20"/>
              </w:rPr>
              <w:t>-</w:t>
            </w:r>
            <w:r w:rsidR="001456B8">
              <w:rPr>
                <w:rFonts w:cs="Times New Roman"/>
                <w:sz w:val="20"/>
                <w:szCs w:val="20"/>
              </w:rPr>
              <w:t xml:space="preserve"> 1272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106BA" w:rsidP="0095096B">
            <w:pPr>
              <w:jc w:val="center"/>
              <w:rPr>
                <w:rFonts w:cs="Times New Roman"/>
                <w:sz w:val="20"/>
                <w:szCs w:val="20"/>
              </w:rPr>
            </w:pPr>
            <w:r>
              <w:rPr>
                <w:rFonts w:cs="Times New Roman"/>
                <w:sz w:val="20"/>
                <w:szCs w:val="20"/>
              </w:rPr>
              <w:t>1273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0E7C" w:rsidP="0095096B">
            <w:pPr>
              <w:jc w:val="center"/>
              <w:rPr>
                <w:rFonts w:cs="Times New Roman"/>
                <w:sz w:val="20"/>
                <w:szCs w:val="20"/>
              </w:rPr>
            </w:pPr>
            <w:r>
              <w:rPr>
                <w:rFonts w:cs="Times New Roman"/>
                <w:sz w:val="20"/>
                <w:szCs w:val="20"/>
              </w:rPr>
              <w:t xml:space="preserve">1274 </w:t>
            </w:r>
            <w:r w:rsidR="0095096B" w:rsidRPr="002E2327">
              <w:rPr>
                <w:rFonts w:cs="Times New Roman"/>
                <w:sz w:val="20"/>
                <w:szCs w:val="20"/>
              </w:rPr>
              <w:t>-</w:t>
            </w:r>
            <w:r>
              <w:rPr>
                <w:rFonts w:cs="Times New Roman"/>
                <w:sz w:val="20"/>
                <w:szCs w:val="20"/>
              </w:rPr>
              <w:t xml:space="preserve"> 1281</w:t>
            </w:r>
          </w:p>
          <w:p w:rsidR="0095096B" w:rsidRDefault="0095096B" w:rsidP="0095096B">
            <w:pPr>
              <w:jc w:val="center"/>
              <w:rPr>
                <w:rFonts w:cs="Times New Roman"/>
                <w:sz w:val="20"/>
                <w:szCs w:val="20"/>
              </w:rPr>
            </w:pPr>
          </w:p>
          <w:p w:rsidR="00B90E7C" w:rsidRPr="002E2327" w:rsidRDefault="00B90E7C" w:rsidP="0095096B">
            <w:pPr>
              <w:jc w:val="center"/>
              <w:rPr>
                <w:rFonts w:cs="Times New Roman"/>
                <w:sz w:val="20"/>
                <w:szCs w:val="20"/>
              </w:rPr>
            </w:pPr>
          </w:p>
          <w:p w:rsidR="0095096B" w:rsidRPr="002E2327" w:rsidRDefault="00B90E7C" w:rsidP="0095096B">
            <w:pPr>
              <w:jc w:val="center"/>
              <w:rPr>
                <w:rFonts w:cs="Times New Roman"/>
                <w:sz w:val="20"/>
                <w:szCs w:val="20"/>
              </w:rPr>
            </w:pPr>
            <w:r>
              <w:rPr>
                <w:rFonts w:cs="Times New Roman"/>
                <w:sz w:val="20"/>
                <w:szCs w:val="20"/>
              </w:rPr>
              <w:t xml:space="preserve">1282 </w:t>
            </w:r>
            <w:r w:rsidR="0095096B" w:rsidRPr="002E2327">
              <w:rPr>
                <w:rFonts w:cs="Times New Roman"/>
                <w:sz w:val="20"/>
                <w:szCs w:val="20"/>
              </w:rPr>
              <w:t>-</w:t>
            </w:r>
            <w:r>
              <w:rPr>
                <w:rFonts w:cs="Times New Roman"/>
                <w:sz w:val="20"/>
                <w:szCs w:val="20"/>
              </w:rPr>
              <w:t xml:space="preserve"> 1286</w:t>
            </w:r>
          </w:p>
          <w:p w:rsidR="0095096B" w:rsidRPr="002E2327" w:rsidRDefault="0095096B" w:rsidP="0095096B">
            <w:pPr>
              <w:jc w:val="center"/>
              <w:rPr>
                <w:rFonts w:cs="Times New Roman"/>
                <w:sz w:val="20"/>
                <w:szCs w:val="20"/>
              </w:rPr>
            </w:pPr>
          </w:p>
          <w:p w:rsidR="0095096B" w:rsidRPr="002E2327" w:rsidRDefault="00B90E7C" w:rsidP="0095096B">
            <w:pPr>
              <w:jc w:val="center"/>
              <w:rPr>
                <w:rFonts w:cs="Times New Roman"/>
                <w:sz w:val="20"/>
                <w:szCs w:val="20"/>
              </w:rPr>
            </w:pPr>
            <w:r>
              <w:rPr>
                <w:rFonts w:cs="Times New Roman"/>
                <w:sz w:val="20"/>
                <w:szCs w:val="20"/>
              </w:rPr>
              <w:t>1287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0E7C" w:rsidP="0095096B">
            <w:pPr>
              <w:jc w:val="center"/>
              <w:rPr>
                <w:rFonts w:cs="Times New Roman"/>
                <w:sz w:val="20"/>
                <w:szCs w:val="20"/>
              </w:rPr>
            </w:pPr>
            <w:r>
              <w:rPr>
                <w:rFonts w:cs="Times New Roman"/>
                <w:sz w:val="20"/>
                <w:szCs w:val="20"/>
              </w:rPr>
              <w:t>1288</w:t>
            </w:r>
          </w:p>
          <w:p w:rsidR="0095096B" w:rsidRDefault="0095096B" w:rsidP="0095096B">
            <w:pPr>
              <w:jc w:val="center"/>
              <w:rPr>
                <w:rFonts w:cs="Times New Roman"/>
                <w:sz w:val="20"/>
                <w:szCs w:val="20"/>
              </w:rPr>
            </w:pPr>
          </w:p>
          <w:p w:rsidR="00B90E7C" w:rsidRPr="002E2327" w:rsidRDefault="00B90E7C" w:rsidP="0095096B">
            <w:pPr>
              <w:jc w:val="center"/>
              <w:rPr>
                <w:rFonts w:cs="Times New Roman"/>
                <w:sz w:val="20"/>
                <w:szCs w:val="20"/>
              </w:rPr>
            </w:pPr>
          </w:p>
          <w:p w:rsidR="0095096B" w:rsidRPr="002E2327" w:rsidRDefault="000D55D8" w:rsidP="0095096B">
            <w:pPr>
              <w:jc w:val="center"/>
              <w:rPr>
                <w:rFonts w:cs="Times New Roman"/>
                <w:sz w:val="20"/>
                <w:szCs w:val="20"/>
              </w:rPr>
            </w:pPr>
            <w:r>
              <w:rPr>
                <w:rFonts w:cs="Times New Roman"/>
                <w:sz w:val="20"/>
                <w:szCs w:val="20"/>
              </w:rPr>
              <w:t xml:space="preserve">1289 </w:t>
            </w:r>
            <w:r w:rsidR="0095096B" w:rsidRPr="002E2327">
              <w:rPr>
                <w:rFonts w:cs="Times New Roman"/>
                <w:sz w:val="20"/>
                <w:szCs w:val="20"/>
              </w:rPr>
              <w:t>-</w:t>
            </w:r>
            <w:r>
              <w:rPr>
                <w:rFonts w:cs="Times New Roman"/>
                <w:sz w:val="20"/>
                <w:szCs w:val="20"/>
              </w:rPr>
              <w:t xml:space="preserve"> 1295</w:t>
            </w:r>
          </w:p>
          <w:p w:rsidR="00A87207" w:rsidRPr="002E2327" w:rsidRDefault="00A87207" w:rsidP="00A57338">
            <w:pPr>
              <w:jc w:val="center"/>
              <w:rPr>
                <w:rFonts w:cs="Times New Roman"/>
                <w:sz w:val="20"/>
                <w:szCs w:val="20"/>
              </w:rPr>
            </w:pPr>
          </w:p>
        </w:tc>
        <w:tc>
          <w:tcPr>
            <w:tcW w:w="3888" w:type="dxa"/>
          </w:tcPr>
          <w:p w:rsidR="0095096B" w:rsidRPr="002E2327" w:rsidRDefault="0036155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A57338">
            <w:pPr>
              <w:rPr>
                <w:rFonts w:cs="Times New Roman"/>
                <w:sz w:val="20"/>
                <w:szCs w:val="20"/>
                <w:lang w:val="fr-CA"/>
              </w:rPr>
            </w:pPr>
          </w:p>
        </w:tc>
      </w:tr>
    </w:tbl>
    <w:p w:rsidR="0095096B" w:rsidRDefault="0095096B" w:rsidP="0095096B">
      <w:pPr>
        <w:tabs>
          <w:tab w:val="right" w:pos="9360"/>
        </w:tabs>
        <w:rPr>
          <w:sz w:val="20"/>
          <w:szCs w:val="20"/>
          <w:lang w:val="fr-CA"/>
        </w:rPr>
      </w:pPr>
    </w:p>
    <w:p w:rsidR="00A87037" w:rsidRDefault="00A87037" w:rsidP="0095096B">
      <w:pPr>
        <w:tabs>
          <w:tab w:val="right" w:pos="9360"/>
        </w:tabs>
        <w:rPr>
          <w:sz w:val="20"/>
          <w:szCs w:val="20"/>
          <w:lang w:val="fr-CA"/>
        </w:rPr>
      </w:pPr>
    </w:p>
    <w:p w:rsidR="00A87037" w:rsidRDefault="00A87037" w:rsidP="0095096B">
      <w:pPr>
        <w:tabs>
          <w:tab w:val="right" w:pos="9360"/>
        </w:tabs>
        <w:rPr>
          <w:sz w:val="20"/>
          <w:szCs w:val="20"/>
          <w:lang w:val="fr-CA"/>
        </w:rPr>
      </w:pPr>
    </w:p>
    <w:p w:rsidR="00A87037" w:rsidRDefault="00A87037" w:rsidP="0095096B">
      <w:pPr>
        <w:tabs>
          <w:tab w:val="right" w:pos="9360"/>
        </w:tabs>
        <w:rPr>
          <w:sz w:val="20"/>
          <w:szCs w:val="20"/>
          <w:lang w:val="fr-CA"/>
        </w:rPr>
      </w:pPr>
    </w:p>
    <w:p w:rsidR="00A87037" w:rsidRPr="00A87037" w:rsidRDefault="00A87037"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5C618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768C6" w:rsidRPr="00C21644" w:rsidTr="003B3977">
        <w:tc>
          <w:tcPr>
            <w:tcW w:w="4320" w:type="dxa"/>
            <w:shd w:val="clear" w:color="auto" w:fill="auto"/>
          </w:tcPr>
          <w:p w:rsidR="007768C6" w:rsidRPr="00A935AA" w:rsidRDefault="007768C6" w:rsidP="007768C6">
            <w:pPr>
              <w:rPr>
                <w:b/>
                <w:sz w:val="20"/>
                <w:szCs w:val="20"/>
              </w:rPr>
            </w:pPr>
            <w:r>
              <w:rPr>
                <w:b/>
                <w:sz w:val="20"/>
                <w:szCs w:val="20"/>
              </w:rPr>
              <w:t>Wojciech Jerry Krzyz</w:t>
            </w:r>
          </w:p>
          <w:p w:rsidR="007768C6" w:rsidRPr="00A935AA" w:rsidRDefault="007768C6" w:rsidP="007768C6">
            <w:pPr>
              <w:tabs>
                <w:tab w:val="left" w:pos="-1440"/>
                <w:tab w:val="left" w:pos="-720"/>
              </w:tabs>
              <w:rPr>
                <w:sz w:val="20"/>
                <w:szCs w:val="20"/>
              </w:rPr>
            </w:pPr>
            <w:r w:rsidRPr="00A935AA">
              <w:rPr>
                <w:sz w:val="20"/>
                <w:szCs w:val="20"/>
              </w:rPr>
              <w:tab/>
            </w:r>
            <w:r>
              <w:rPr>
                <w:sz w:val="20"/>
                <w:szCs w:val="20"/>
              </w:rPr>
              <w:t xml:space="preserve">Wojciech Jerry Krzyz </w:t>
            </w:r>
          </w:p>
          <w:p w:rsidR="007768C6" w:rsidRPr="001456B8" w:rsidRDefault="007768C6" w:rsidP="007768C6">
            <w:pPr>
              <w:tabs>
                <w:tab w:val="left" w:pos="-1440"/>
                <w:tab w:val="left" w:pos="-720"/>
              </w:tabs>
              <w:rPr>
                <w:sz w:val="20"/>
                <w:szCs w:val="20"/>
                <w:lang w:val="en-US"/>
              </w:rPr>
            </w:pPr>
          </w:p>
          <w:p w:rsidR="007768C6" w:rsidRPr="007768C6" w:rsidRDefault="007768C6" w:rsidP="007768C6">
            <w:pPr>
              <w:tabs>
                <w:tab w:val="left" w:pos="-1440"/>
                <w:tab w:val="left" w:pos="-720"/>
              </w:tabs>
              <w:rPr>
                <w:sz w:val="20"/>
                <w:szCs w:val="20"/>
                <w:lang w:val="en-US"/>
              </w:rPr>
            </w:pPr>
            <w:r w:rsidRPr="001456B8">
              <w:rPr>
                <w:sz w:val="20"/>
                <w:szCs w:val="20"/>
                <w:lang w:val="en-US"/>
              </w:rPr>
              <w:tab/>
            </w:r>
            <w:r w:rsidRPr="007768C6">
              <w:rPr>
                <w:sz w:val="20"/>
                <w:szCs w:val="20"/>
                <w:lang w:val="en-US"/>
              </w:rPr>
              <w:t>v. (36560)</w:t>
            </w:r>
          </w:p>
          <w:p w:rsidR="007768C6" w:rsidRPr="007768C6" w:rsidRDefault="007768C6" w:rsidP="007768C6">
            <w:pPr>
              <w:tabs>
                <w:tab w:val="left" w:pos="-1440"/>
                <w:tab w:val="left" w:pos="-720"/>
              </w:tabs>
              <w:rPr>
                <w:sz w:val="20"/>
                <w:szCs w:val="20"/>
                <w:lang w:val="en-US"/>
              </w:rPr>
            </w:pPr>
          </w:p>
          <w:p w:rsidR="007768C6" w:rsidRPr="00A935AA" w:rsidRDefault="007768C6" w:rsidP="007768C6">
            <w:pPr>
              <w:tabs>
                <w:tab w:val="left" w:pos="-1440"/>
                <w:tab w:val="left" w:pos="-720"/>
              </w:tabs>
              <w:rPr>
                <w:b/>
                <w:sz w:val="20"/>
                <w:szCs w:val="20"/>
              </w:rPr>
            </w:pPr>
            <w:r w:rsidRPr="007768C6">
              <w:rPr>
                <w:b/>
                <w:sz w:val="20"/>
                <w:szCs w:val="20"/>
                <w:lang w:val="en-US"/>
              </w:rPr>
              <w:t>Her Majesty the Queen</w:t>
            </w:r>
            <w:r w:rsidRPr="007768C6">
              <w:rPr>
                <w:sz w:val="20"/>
                <w:szCs w:val="20"/>
                <w:lang w:val="en-US"/>
              </w:rPr>
              <w:t xml:space="preserve"> </w:t>
            </w:r>
            <w:r w:rsidRPr="00A935AA">
              <w:rPr>
                <w:b/>
                <w:sz w:val="20"/>
                <w:szCs w:val="20"/>
              </w:rPr>
              <w:t>(</w:t>
            </w:r>
            <w:r>
              <w:rPr>
                <w:b/>
                <w:sz w:val="20"/>
                <w:szCs w:val="20"/>
              </w:rPr>
              <w:t>F.C</w:t>
            </w:r>
            <w:r w:rsidRPr="00A935AA">
              <w:rPr>
                <w:b/>
                <w:sz w:val="20"/>
                <w:szCs w:val="20"/>
              </w:rPr>
              <w:t>.)</w:t>
            </w:r>
          </w:p>
          <w:p w:rsidR="007768C6" w:rsidRPr="00A935AA" w:rsidRDefault="007768C6" w:rsidP="007768C6">
            <w:pPr>
              <w:tabs>
                <w:tab w:val="left" w:pos="-1440"/>
                <w:tab w:val="left" w:pos="-720"/>
              </w:tabs>
              <w:rPr>
                <w:sz w:val="20"/>
                <w:szCs w:val="20"/>
              </w:rPr>
            </w:pPr>
            <w:r w:rsidRPr="00A935AA">
              <w:rPr>
                <w:sz w:val="20"/>
                <w:szCs w:val="20"/>
              </w:rPr>
              <w:tab/>
            </w:r>
            <w:r>
              <w:rPr>
                <w:sz w:val="20"/>
                <w:szCs w:val="20"/>
              </w:rPr>
              <w:t>Jonathan M. Bricker</w:t>
            </w:r>
          </w:p>
          <w:p w:rsidR="007768C6" w:rsidRPr="00A935AA" w:rsidRDefault="007768C6" w:rsidP="007768C6">
            <w:pPr>
              <w:tabs>
                <w:tab w:val="left" w:pos="-1440"/>
                <w:tab w:val="left" w:pos="-720"/>
              </w:tabs>
              <w:rPr>
                <w:sz w:val="20"/>
                <w:szCs w:val="20"/>
              </w:rPr>
            </w:pPr>
            <w:r w:rsidRPr="00A935AA">
              <w:rPr>
                <w:sz w:val="20"/>
                <w:szCs w:val="20"/>
              </w:rPr>
              <w:tab/>
            </w:r>
            <w:r>
              <w:rPr>
                <w:sz w:val="20"/>
                <w:szCs w:val="20"/>
              </w:rPr>
              <w:t>Department of Justice</w:t>
            </w:r>
          </w:p>
          <w:p w:rsidR="007768C6" w:rsidRPr="00A935AA" w:rsidRDefault="007768C6" w:rsidP="007768C6">
            <w:pPr>
              <w:tabs>
                <w:tab w:val="left" w:pos="-1440"/>
                <w:tab w:val="left" w:pos="-720"/>
              </w:tabs>
              <w:rPr>
                <w:sz w:val="20"/>
                <w:szCs w:val="20"/>
              </w:rPr>
            </w:pPr>
          </w:p>
          <w:p w:rsidR="007768C6" w:rsidRPr="00A935AA" w:rsidRDefault="007768C6" w:rsidP="007768C6">
            <w:pPr>
              <w:rPr>
                <w:sz w:val="20"/>
                <w:szCs w:val="20"/>
              </w:rPr>
            </w:pPr>
            <w:r w:rsidRPr="00A935AA">
              <w:rPr>
                <w:sz w:val="20"/>
                <w:szCs w:val="20"/>
              </w:rPr>
              <w:t xml:space="preserve">FILING DATE: </w:t>
            </w:r>
            <w:r>
              <w:rPr>
                <w:sz w:val="20"/>
                <w:szCs w:val="20"/>
              </w:rPr>
              <w:t>29</w:t>
            </w:r>
            <w:r w:rsidRPr="00A935AA">
              <w:rPr>
                <w:sz w:val="20"/>
                <w:szCs w:val="20"/>
              </w:rPr>
              <w:t>.</w:t>
            </w:r>
            <w:r>
              <w:rPr>
                <w:sz w:val="20"/>
                <w:szCs w:val="20"/>
              </w:rPr>
              <w:t>06</w:t>
            </w:r>
            <w:r w:rsidRPr="00A935AA">
              <w:rPr>
                <w:sz w:val="20"/>
                <w:szCs w:val="20"/>
              </w:rPr>
              <w:t>.201</w:t>
            </w:r>
            <w:r>
              <w:rPr>
                <w:sz w:val="20"/>
                <w:szCs w:val="20"/>
              </w:rPr>
              <w:t>5</w:t>
            </w:r>
            <w:r w:rsidR="005C618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p w:rsidR="007768C6" w:rsidRPr="00A935AA" w:rsidRDefault="007768C6" w:rsidP="007768C6">
            <w:pPr>
              <w:jc w:val="center"/>
              <w:rPr>
                <w:sz w:val="20"/>
                <w:szCs w:val="20"/>
              </w:rPr>
            </w:pPr>
          </w:p>
        </w:tc>
        <w:tc>
          <w:tcPr>
            <w:tcW w:w="4320" w:type="dxa"/>
            <w:shd w:val="clear" w:color="auto" w:fill="auto"/>
          </w:tcPr>
          <w:p w:rsidR="007768C6" w:rsidRPr="007768C6" w:rsidRDefault="007768C6" w:rsidP="007768C6">
            <w:pPr>
              <w:keepNext/>
              <w:keepLines/>
              <w:tabs>
                <w:tab w:val="left" w:pos="-1440"/>
                <w:tab w:val="left" w:pos="-720"/>
              </w:tabs>
              <w:rPr>
                <w:b/>
                <w:sz w:val="20"/>
                <w:szCs w:val="20"/>
                <w:lang w:val="en-US"/>
              </w:rPr>
            </w:pPr>
            <w:r w:rsidRPr="007768C6">
              <w:rPr>
                <w:b/>
                <w:sz w:val="20"/>
                <w:szCs w:val="20"/>
                <w:lang w:val="en-US"/>
              </w:rPr>
              <w:t>Ur</w:t>
            </w:r>
            <w:r w:rsidR="00597451">
              <w:rPr>
                <w:b/>
                <w:sz w:val="20"/>
                <w:szCs w:val="20"/>
                <w:lang w:val="en-US"/>
              </w:rPr>
              <w:t>s</w:t>
            </w:r>
            <w:r w:rsidRPr="007768C6">
              <w:rPr>
                <w:b/>
                <w:sz w:val="20"/>
                <w:szCs w:val="20"/>
                <w:lang w:val="en-US"/>
              </w:rPr>
              <w:t>zula Krzyz</w:t>
            </w:r>
          </w:p>
          <w:p w:rsidR="007768C6" w:rsidRPr="00A935AA" w:rsidRDefault="007768C6" w:rsidP="007768C6">
            <w:pPr>
              <w:tabs>
                <w:tab w:val="left" w:pos="-1440"/>
                <w:tab w:val="left" w:pos="-720"/>
              </w:tabs>
              <w:rPr>
                <w:sz w:val="20"/>
                <w:szCs w:val="20"/>
              </w:rPr>
            </w:pPr>
            <w:r w:rsidRPr="007768C6">
              <w:rPr>
                <w:sz w:val="20"/>
                <w:szCs w:val="20"/>
                <w:lang w:val="en-US"/>
              </w:rPr>
              <w:tab/>
            </w:r>
            <w:r>
              <w:rPr>
                <w:sz w:val="20"/>
                <w:szCs w:val="20"/>
                <w:lang w:val="en-US"/>
              </w:rPr>
              <w:t xml:space="preserve">Urszula </w:t>
            </w:r>
            <w:r>
              <w:rPr>
                <w:sz w:val="20"/>
                <w:szCs w:val="20"/>
              </w:rPr>
              <w:t xml:space="preserve">Krzyz </w:t>
            </w:r>
          </w:p>
          <w:p w:rsidR="007768C6" w:rsidRPr="007768C6" w:rsidRDefault="007768C6" w:rsidP="007768C6">
            <w:pPr>
              <w:tabs>
                <w:tab w:val="left" w:pos="-1440"/>
                <w:tab w:val="left" w:pos="-720"/>
              </w:tabs>
              <w:rPr>
                <w:sz w:val="20"/>
                <w:szCs w:val="20"/>
                <w:lang w:val="en-US"/>
              </w:rPr>
            </w:pPr>
          </w:p>
          <w:p w:rsidR="007768C6" w:rsidRPr="007768C6" w:rsidRDefault="007768C6" w:rsidP="007768C6">
            <w:pPr>
              <w:tabs>
                <w:tab w:val="left" w:pos="-1440"/>
                <w:tab w:val="left" w:pos="-720"/>
              </w:tabs>
              <w:rPr>
                <w:sz w:val="20"/>
                <w:szCs w:val="20"/>
                <w:lang w:val="en-US"/>
              </w:rPr>
            </w:pPr>
            <w:r w:rsidRPr="007768C6">
              <w:rPr>
                <w:sz w:val="20"/>
                <w:szCs w:val="20"/>
                <w:lang w:val="en-US"/>
              </w:rPr>
              <w:tab/>
              <w:t>v. (3656</w:t>
            </w:r>
            <w:r>
              <w:rPr>
                <w:sz w:val="20"/>
                <w:szCs w:val="20"/>
                <w:lang w:val="en-US"/>
              </w:rPr>
              <w:t>1</w:t>
            </w:r>
            <w:r w:rsidRPr="007768C6">
              <w:rPr>
                <w:sz w:val="20"/>
                <w:szCs w:val="20"/>
                <w:lang w:val="en-US"/>
              </w:rPr>
              <w:t>)</w:t>
            </w:r>
          </w:p>
          <w:p w:rsidR="007768C6" w:rsidRPr="007768C6" w:rsidRDefault="007768C6" w:rsidP="007768C6">
            <w:pPr>
              <w:tabs>
                <w:tab w:val="left" w:pos="-1440"/>
                <w:tab w:val="left" w:pos="-720"/>
              </w:tabs>
              <w:rPr>
                <w:sz w:val="20"/>
                <w:szCs w:val="20"/>
                <w:lang w:val="en-US"/>
              </w:rPr>
            </w:pPr>
          </w:p>
          <w:p w:rsidR="007768C6" w:rsidRPr="00A935AA" w:rsidRDefault="007768C6" w:rsidP="007768C6">
            <w:pPr>
              <w:tabs>
                <w:tab w:val="left" w:pos="-1440"/>
                <w:tab w:val="left" w:pos="-720"/>
              </w:tabs>
              <w:rPr>
                <w:b/>
                <w:sz w:val="20"/>
                <w:szCs w:val="20"/>
              </w:rPr>
            </w:pPr>
            <w:r w:rsidRPr="007768C6">
              <w:rPr>
                <w:b/>
                <w:sz w:val="20"/>
                <w:szCs w:val="20"/>
                <w:lang w:val="en-US"/>
              </w:rPr>
              <w:t>Her Majesty the Queen</w:t>
            </w:r>
            <w:r w:rsidRPr="007768C6">
              <w:rPr>
                <w:sz w:val="20"/>
                <w:szCs w:val="20"/>
                <w:lang w:val="en-US"/>
              </w:rPr>
              <w:t xml:space="preserve"> </w:t>
            </w:r>
            <w:r w:rsidRPr="00A935AA">
              <w:rPr>
                <w:b/>
                <w:sz w:val="20"/>
                <w:szCs w:val="20"/>
              </w:rPr>
              <w:t>(</w:t>
            </w:r>
            <w:r>
              <w:rPr>
                <w:b/>
                <w:sz w:val="20"/>
                <w:szCs w:val="20"/>
              </w:rPr>
              <w:t>F.C</w:t>
            </w:r>
            <w:r w:rsidRPr="00A935AA">
              <w:rPr>
                <w:b/>
                <w:sz w:val="20"/>
                <w:szCs w:val="20"/>
              </w:rPr>
              <w:t>.)</w:t>
            </w:r>
          </w:p>
          <w:p w:rsidR="007768C6" w:rsidRPr="00A935AA" w:rsidRDefault="007768C6" w:rsidP="007768C6">
            <w:pPr>
              <w:tabs>
                <w:tab w:val="left" w:pos="-1440"/>
                <w:tab w:val="left" w:pos="-720"/>
              </w:tabs>
              <w:rPr>
                <w:sz w:val="20"/>
                <w:szCs w:val="20"/>
              </w:rPr>
            </w:pPr>
            <w:r w:rsidRPr="00A935AA">
              <w:rPr>
                <w:sz w:val="20"/>
                <w:szCs w:val="20"/>
              </w:rPr>
              <w:tab/>
            </w:r>
            <w:r>
              <w:rPr>
                <w:sz w:val="20"/>
                <w:szCs w:val="20"/>
              </w:rPr>
              <w:t>Jonathan M. Bricker</w:t>
            </w:r>
          </w:p>
          <w:p w:rsidR="007768C6" w:rsidRPr="00A935AA" w:rsidRDefault="007768C6" w:rsidP="007768C6">
            <w:pPr>
              <w:tabs>
                <w:tab w:val="left" w:pos="-1440"/>
                <w:tab w:val="left" w:pos="-720"/>
              </w:tabs>
              <w:rPr>
                <w:sz w:val="20"/>
                <w:szCs w:val="20"/>
              </w:rPr>
            </w:pPr>
            <w:r w:rsidRPr="00A935AA">
              <w:rPr>
                <w:sz w:val="20"/>
                <w:szCs w:val="20"/>
              </w:rPr>
              <w:tab/>
            </w:r>
            <w:r>
              <w:rPr>
                <w:sz w:val="20"/>
                <w:szCs w:val="20"/>
              </w:rPr>
              <w:t>Department of Justice</w:t>
            </w:r>
          </w:p>
          <w:p w:rsidR="007768C6" w:rsidRPr="00A935AA" w:rsidRDefault="007768C6" w:rsidP="007768C6">
            <w:pPr>
              <w:tabs>
                <w:tab w:val="left" w:pos="-1440"/>
                <w:tab w:val="left" w:pos="-720"/>
              </w:tabs>
              <w:rPr>
                <w:sz w:val="20"/>
                <w:szCs w:val="20"/>
              </w:rPr>
            </w:pPr>
          </w:p>
          <w:p w:rsidR="007768C6" w:rsidRPr="00A935AA" w:rsidRDefault="007768C6" w:rsidP="007768C6">
            <w:pPr>
              <w:rPr>
                <w:sz w:val="20"/>
                <w:szCs w:val="20"/>
              </w:rPr>
            </w:pPr>
            <w:r w:rsidRPr="00A935AA">
              <w:rPr>
                <w:sz w:val="20"/>
                <w:szCs w:val="20"/>
              </w:rPr>
              <w:t xml:space="preserve">FILING DATE: </w:t>
            </w:r>
            <w:r>
              <w:rPr>
                <w:sz w:val="20"/>
                <w:szCs w:val="20"/>
              </w:rPr>
              <w:t>29</w:t>
            </w:r>
            <w:r w:rsidRPr="00A935AA">
              <w:rPr>
                <w:sz w:val="20"/>
                <w:szCs w:val="20"/>
              </w:rPr>
              <w:t>.</w:t>
            </w:r>
            <w:r>
              <w:rPr>
                <w:sz w:val="20"/>
                <w:szCs w:val="20"/>
              </w:rPr>
              <w:t>06</w:t>
            </w:r>
            <w:r w:rsidRPr="00A935AA">
              <w:rPr>
                <w:sz w:val="20"/>
                <w:szCs w:val="20"/>
              </w:rPr>
              <w:t>.201</w:t>
            </w:r>
            <w:r>
              <w:rPr>
                <w:sz w:val="20"/>
                <w:szCs w:val="20"/>
              </w:rPr>
              <w:t>5</w:t>
            </w:r>
            <w:r w:rsidR="005C6187">
              <w:rPr>
                <w:sz w:val="20"/>
                <w:szCs w:val="20"/>
                <w:lang w:val="fr-CA"/>
              </w:rPr>
              <w:pict w14:anchorId="358256AC">
                <v:rect id="_x0000_i1026" style="width:108pt;height:1pt" o:hrpct="0" o:hralign="center" o:hrstd="t" o:hrnoshade="t" o:hr="t" fillcolor="black [3213]" stroked="f"/>
              </w:pict>
            </w:r>
          </w:p>
        </w:tc>
      </w:tr>
      <w:tr w:rsidR="00CB50A8" w:rsidRPr="00C21644" w:rsidTr="003B3977">
        <w:tc>
          <w:tcPr>
            <w:tcW w:w="4320" w:type="dxa"/>
            <w:shd w:val="clear" w:color="auto" w:fill="auto"/>
          </w:tcPr>
          <w:p w:rsidR="00CB50A8" w:rsidRPr="00CB50A8" w:rsidRDefault="00CB50A8" w:rsidP="00CB50A8">
            <w:pPr>
              <w:rPr>
                <w:b/>
                <w:sz w:val="20"/>
                <w:szCs w:val="20"/>
                <w:lang w:val="en-US"/>
              </w:rPr>
            </w:pPr>
            <w:r w:rsidRPr="00CB50A8">
              <w:rPr>
                <w:b/>
                <w:sz w:val="20"/>
                <w:szCs w:val="20"/>
                <w:lang w:val="en-US"/>
              </w:rPr>
              <w:t>Adrian Stefanita Tuduce</w:t>
            </w:r>
          </w:p>
          <w:p w:rsidR="00CB50A8" w:rsidRPr="00CB50A8" w:rsidRDefault="00CB50A8" w:rsidP="00CB50A8">
            <w:pPr>
              <w:tabs>
                <w:tab w:val="left" w:pos="-1440"/>
                <w:tab w:val="left" w:pos="-720"/>
              </w:tabs>
              <w:rPr>
                <w:sz w:val="20"/>
                <w:szCs w:val="20"/>
                <w:lang w:val="en-US"/>
              </w:rPr>
            </w:pPr>
            <w:r w:rsidRPr="00CB50A8">
              <w:rPr>
                <w:sz w:val="20"/>
                <w:szCs w:val="20"/>
                <w:lang w:val="en-US"/>
              </w:rPr>
              <w:tab/>
              <w:t>Adrian Stefanita Tuduce</w:t>
            </w:r>
          </w:p>
          <w:p w:rsidR="00CB50A8" w:rsidRPr="00CB50A8" w:rsidRDefault="00CB50A8" w:rsidP="00CB50A8">
            <w:pPr>
              <w:tabs>
                <w:tab w:val="left" w:pos="-1440"/>
                <w:tab w:val="left" w:pos="-720"/>
              </w:tabs>
              <w:rPr>
                <w:sz w:val="20"/>
                <w:szCs w:val="20"/>
                <w:lang w:val="en-US"/>
              </w:rPr>
            </w:pPr>
          </w:p>
          <w:p w:rsidR="00CB50A8" w:rsidRPr="00A935AA" w:rsidRDefault="00CB50A8" w:rsidP="00CB50A8">
            <w:pPr>
              <w:tabs>
                <w:tab w:val="left" w:pos="-1440"/>
                <w:tab w:val="left" w:pos="-720"/>
              </w:tabs>
              <w:rPr>
                <w:sz w:val="20"/>
                <w:szCs w:val="20"/>
              </w:rPr>
            </w:pPr>
            <w:r w:rsidRPr="00CB50A8">
              <w:rPr>
                <w:sz w:val="20"/>
                <w:szCs w:val="20"/>
                <w:lang w:val="en-US"/>
              </w:rPr>
              <w:tab/>
            </w:r>
            <w:r w:rsidRPr="00A935AA">
              <w:rPr>
                <w:sz w:val="20"/>
                <w:szCs w:val="20"/>
              </w:rPr>
              <w:t>v. (3</w:t>
            </w:r>
            <w:r>
              <w:rPr>
                <w:sz w:val="20"/>
                <w:szCs w:val="20"/>
              </w:rPr>
              <w:t>6535</w:t>
            </w:r>
            <w:r w:rsidRPr="00A935AA">
              <w:rPr>
                <w:sz w:val="20"/>
                <w:szCs w:val="20"/>
              </w:rPr>
              <w:t>)</w:t>
            </w:r>
          </w:p>
          <w:p w:rsidR="00CB50A8" w:rsidRPr="00A935AA" w:rsidRDefault="00CB50A8" w:rsidP="00CB50A8">
            <w:pPr>
              <w:tabs>
                <w:tab w:val="left" w:pos="-1440"/>
                <w:tab w:val="left" w:pos="-720"/>
              </w:tabs>
              <w:rPr>
                <w:sz w:val="20"/>
                <w:szCs w:val="20"/>
              </w:rPr>
            </w:pPr>
          </w:p>
          <w:p w:rsidR="00CB50A8" w:rsidRPr="00A935AA" w:rsidRDefault="00CB50A8" w:rsidP="00CB50A8">
            <w:pPr>
              <w:tabs>
                <w:tab w:val="left" w:pos="-1440"/>
                <w:tab w:val="left" w:pos="-720"/>
              </w:tabs>
              <w:rPr>
                <w:b/>
                <w:sz w:val="20"/>
                <w:szCs w:val="20"/>
              </w:rPr>
            </w:pPr>
            <w:r w:rsidRPr="007768C6">
              <w:rPr>
                <w:b/>
                <w:sz w:val="20"/>
                <w:szCs w:val="20"/>
                <w:lang w:val="en-US"/>
              </w:rPr>
              <w:t>Her Majesty the Queen</w:t>
            </w:r>
            <w:r w:rsidRPr="007768C6">
              <w:rPr>
                <w:sz w:val="20"/>
                <w:szCs w:val="20"/>
                <w:lang w:val="en-US"/>
              </w:rPr>
              <w:t xml:space="preserve"> </w:t>
            </w:r>
            <w:r w:rsidRPr="00A935AA">
              <w:rPr>
                <w:b/>
                <w:sz w:val="20"/>
                <w:szCs w:val="20"/>
              </w:rPr>
              <w:t>(</w:t>
            </w:r>
            <w:r>
              <w:rPr>
                <w:b/>
                <w:sz w:val="20"/>
                <w:szCs w:val="20"/>
              </w:rPr>
              <w:t>Ont</w:t>
            </w:r>
            <w:r w:rsidRPr="00A935AA">
              <w:rPr>
                <w:b/>
                <w:sz w:val="20"/>
                <w:szCs w:val="20"/>
              </w:rPr>
              <w:t>.)</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Deborah Krick</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A.G. of Ontario</w:t>
            </w:r>
          </w:p>
          <w:p w:rsidR="00CB50A8" w:rsidRPr="00A935AA" w:rsidRDefault="00CB50A8" w:rsidP="00CB50A8">
            <w:pPr>
              <w:tabs>
                <w:tab w:val="left" w:pos="-1440"/>
                <w:tab w:val="left" w:pos="-720"/>
              </w:tabs>
              <w:rPr>
                <w:sz w:val="20"/>
                <w:szCs w:val="20"/>
              </w:rPr>
            </w:pPr>
          </w:p>
          <w:p w:rsidR="00CB50A8" w:rsidRPr="00A935AA" w:rsidRDefault="00CB50A8" w:rsidP="00CB50A8">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8</w:t>
            </w:r>
            <w:r w:rsidRPr="00A935AA">
              <w:rPr>
                <w:sz w:val="20"/>
                <w:szCs w:val="20"/>
              </w:rPr>
              <w:t>.201</w:t>
            </w:r>
            <w:r>
              <w:rPr>
                <w:sz w:val="20"/>
                <w:szCs w:val="20"/>
              </w:rPr>
              <w:t>5</w:t>
            </w:r>
            <w:r w:rsidR="005C6187">
              <w:rPr>
                <w:sz w:val="20"/>
                <w:szCs w:val="20"/>
                <w:lang w:val="fr-CA"/>
              </w:rPr>
              <w:pict w14:anchorId="4772D469">
                <v:rect id="_x0000_i1027" style="width:108pt;height:1pt" o:hrpct="0" o:hralign="center" o:hrstd="t" o:hrnoshade="t" o:hr="t" fillcolor="black [3213]" stroked="f"/>
              </w:pict>
            </w:r>
          </w:p>
        </w:tc>
        <w:tc>
          <w:tcPr>
            <w:tcW w:w="1181" w:type="dxa"/>
            <w:shd w:val="clear" w:color="auto" w:fill="auto"/>
          </w:tcPr>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Pr="00A935AA" w:rsidRDefault="00CB50A8" w:rsidP="00CB50A8">
            <w:pPr>
              <w:jc w:val="center"/>
              <w:rPr>
                <w:sz w:val="20"/>
                <w:szCs w:val="20"/>
              </w:rPr>
            </w:pPr>
          </w:p>
        </w:tc>
        <w:tc>
          <w:tcPr>
            <w:tcW w:w="4320" w:type="dxa"/>
            <w:shd w:val="clear" w:color="auto" w:fill="auto"/>
          </w:tcPr>
          <w:p w:rsidR="00CB50A8" w:rsidRDefault="00CB50A8" w:rsidP="00CB50A8">
            <w:pPr>
              <w:keepNext/>
              <w:keepLines/>
              <w:tabs>
                <w:tab w:val="left" w:pos="-1440"/>
                <w:tab w:val="left" w:pos="-720"/>
              </w:tabs>
              <w:rPr>
                <w:b/>
                <w:sz w:val="20"/>
                <w:szCs w:val="20"/>
                <w:lang w:val="en-US"/>
              </w:rPr>
            </w:pPr>
            <w:r>
              <w:rPr>
                <w:b/>
                <w:sz w:val="20"/>
                <w:szCs w:val="20"/>
                <w:lang w:val="en-US"/>
              </w:rPr>
              <w:t>Dwight Ira Isenor et al.</w:t>
            </w:r>
          </w:p>
          <w:p w:rsidR="00CB50A8" w:rsidRPr="007768C6" w:rsidRDefault="00EC1ADA" w:rsidP="00CB50A8">
            <w:pPr>
              <w:tabs>
                <w:tab w:val="left" w:pos="-1440"/>
                <w:tab w:val="left" w:pos="-720"/>
              </w:tabs>
              <w:rPr>
                <w:sz w:val="20"/>
                <w:szCs w:val="20"/>
                <w:lang w:val="en-US"/>
              </w:rPr>
            </w:pPr>
            <w:r>
              <w:rPr>
                <w:sz w:val="20"/>
                <w:szCs w:val="20"/>
                <w:lang w:val="en-US"/>
              </w:rPr>
              <w:tab/>
            </w:r>
            <w:r w:rsidR="00CB50A8">
              <w:rPr>
                <w:sz w:val="20"/>
                <w:szCs w:val="20"/>
                <w:lang w:val="en-US"/>
              </w:rPr>
              <w:t>Paul Miller</w:t>
            </w:r>
          </w:p>
          <w:p w:rsidR="00CB50A8" w:rsidRPr="007768C6" w:rsidRDefault="00CB50A8" w:rsidP="00CB50A8">
            <w:pPr>
              <w:tabs>
                <w:tab w:val="left" w:pos="-1440"/>
                <w:tab w:val="left" w:pos="-720"/>
              </w:tabs>
              <w:rPr>
                <w:sz w:val="20"/>
                <w:szCs w:val="20"/>
                <w:lang w:val="en-US"/>
              </w:rPr>
            </w:pPr>
            <w:r w:rsidRPr="007768C6">
              <w:rPr>
                <w:sz w:val="20"/>
                <w:szCs w:val="20"/>
                <w:lang w:val="en-US"/>
              </w:rPr>
              <w:tab/>
            </w:r>
            <w:r>
              <w:rPr>
                <w:sz w:val="20"/>
                <w:szCs w:val="20"/>
                <w:lang w:val="en-US"/>
              </w:rPr>
              <w:t>Paul B. Miller Law Office Inc.</w:t>
            </w:r>
          </w:p>
          <w:p w:rsidR="00CB50A8" w:rsidRPr="007768C6" w:rsidRDefault="00CB50A8" w:rsidP="00CB50A8">
            <w:pPr>
              <w:tabs>
                <w:tab w:val="left" w:pos="-1440"/>
                <w:tab w:val="left" w:pos="-720"/>
              </w:tabs>
              <w:rPr>
                <w:sz w:val="20"/>
                <w:szCs w:val="20"/>
                <w:lang w:val="en-US"/>
              </w:rPr>
            </w:pPr>
          </w:p>
          <w:p w:rsidR="00CB50A8" w:rsidRPr="00A935AA" w:rsidRDefault="00CB50A8" w:rsidP="00CB50A8">
            <w:pPr>
              <w:tabs>
                <w:tab w:val="left" w:pos="-1440"/>
                <w:tab w:val="left" w:pos="-720"/>
              </w:tabs>
              <w:rPr>
                <w:sz w:val="20"/>
                <w:szCs w:val="20"/>
              </w:rPr>
            </w:pPr>
            <w:r w:rsidRPr="007768C6">
              <w:rPr>
                <w:sz w:val="20"/>
                <w:szCs w:val="20"/>
                <w:lang w:val="en-US"/>
              </w:rPr>
              <w:tab/>
            </w:r>
            <w:r w:rsidRPr="00A935AA">
              <w:rPr>
                <w:sz w:val="20"/>
                <w:szCs w:val="20"/>
              </w:rPr>
              <w:t>v. (3</w:t>
            </w:r>
            <w:r>
              <w:rPr>
                <w:sz w:val="20"/>
                <w:szCs w:val="20"/>
              </w:rPr>
              <w:t>6549</w:t>
            </w:r>
            <w:r w:rsidRPr="00A935AA">
              <w:rPr>
                <w:sz w:val="20"/>
                <w:szCs w:val="20"/>
              </w:rPr>
              <w:t>)</w:t>
            </w:r>
          </w:p>
          <w:p w:rsidR="00CB50A8" w:rsidRPr="00A935AA" w:rsidRDefault="00CB50A8" w:rsidP="00CB50A8">
            <w:pPr>
              <w:tabs>
                <w:tab w:val="left" w:pos="-1440"/>
                <w:tab w:val="left" w:pos="-720"/>
              </w:tabs>
              <w:rPr>
                <w:sz w:val="20"/>
                <w:szCs w:val="20"/>
              </w:rPr>
            </w:pPr>
          </w:p>
          <w:p w:rsidR="00CB50A8" w:rsidRPr="00A935AA" w:rsidRDefault="00CB50A8" w:rsidP="00CB50A8">
            <w:pPr>
              <w:tabs>
                <w:tab w:val="left" w:pos="-1440"/>
                <w:tab w:val="left" w:pos="-720"/>
              </w:tabs>
              <w:rPr>
                <w:b/>
                <w:sz w:val="20"/>
                <w:szCs w:val="20"/>
              </w:rPr>
            </w:pPr>
            <w:r>
              <w:rPr>
                <w:b/>
                <w:sz w:val="20"/>
                <w:szCs w:val="20"/>
              </w:rPr>
              <w:t xml:space="preserve">Halifax Regional Municipality et al. </w:t>
            </w:r>
            <w:r w:rsidRPr="00A935AA">
              <w:rPr>
                <w:b/>
                <w:sz w:val="20"/>
                <w:szCs w:val="20"/>
              </w:rPr>
              <w:t>(</w:t>
            </w:r>
            <w:r>
              <w:rPr>
                <w:b/>
                <w:sz w:val="20"/>
                <w:szCs w:val="20"/>
              </w:rPr>
              <w:t>N.S</w:t>
            </w:r>
            <w:r w:rsidRPr="00A935AA">
              <w:rPr>
                <w:b/>
                <w:sz w:val="20"/>
                <w:szCs w:val="20"/>
              </w:rPr>
              <w:t>.)</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E. Roxanne MacLaurin</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Halifax Regional Municipality</w:t>
            </w:r>
          </w:p>
          <w:p w:rsidR="00CB50A8" w:rsidRPr="00A935AA" w:rsidRDefault="00CB50A8" w:rsidP="00CB50A8">
            <w:pPr>
              <w:tabs>
                <w:tab w:val="left" w:pos="-1440"/>
                <w:tab w:val="left" w:pos="-720"/>
              </w:tabs>
              <w:rPr>
                <w:sz w:val="20"/>
                <w:szCs w:val="20"/>
              </w:rPr>
            </w:pPr>
          </w:p>
          <w:p w:rsidR="00CB50A8" w:rsidRPr="00CB50A8" w:rsidRDefault="00CB50A8" w:rsidP="00CB50A8">
            <w:pPr>
              <w:keepNext/>
              <w:keepLines/>
              <w:tabs>
                <w:tab w:val="left" w:pos="-1440"/>
                <w:tab w:val="left" w:pos="-720"/>
              </w:tabs>
              <w:rPr>
                <w:sz w:val="20"/>
                <w:szCs w:val="20"/>
                <w:lang w:val="en-US"/>
              </w:rPr>
            </w:pPr>
            <w:r w:rsidRPr="00A935AA">
              <w:rPr>
                <w:sz w:val="20"/>
                <w:szCs w:val="20"/>
              </w:rPr>
              <w:t xml:space="preserve">FILING DATE: </w:t>
            </w:r>
            <w:r>
              <w:rPr>
                <w:sz w:val="20"/>
                <w:szCs w:val="20"/>
              </w:rPr>
              <w:t>11</w:t>
            </w:r>
            <w:r w:rsidRPr="00A935AA">
              <w:rPr>
                <w:sz w:val="20"/>
                <w:szCs w:val="20"/>
              </w:rPr>
              <w:t>.0</w:t>
            </w:r>
            <w:r>
              <w:rPr>
                <w:sz w:val="20"/>
                <w:szCs w:val="20"/>
              </w:rPr>
              <w:t>8</w:t>
            </w:r>
            <w:r w:rsidRPr="00A935AA">
              <w:rPr>
                <w:sz w:val="20"/>
                <w:szCs w:val="20"/>
              </w:rPr>
              <w:t>.201</w:t>
            </w:r>
            <w:r>
              <w:rPr>
                <w:sz w:val="20"/>
                <w:szCs w:val="20"/>
              </w:rPr>
              <w:t>5</w:t>
            </w:r>
            <w:r w:rsidR="005C6187">
              <w:rPr>
                <w:sz w:val="20"/>
                <w:szCs w:val="20"/>
                <w:lang w:val="fr-CA"/>
              </w:rPr>
              <w:pict>
                <v:rect id="_x0000_i1028" style="width:108pt;height:1pt" o:hrpct="0" o:hralign="center" o:hrstd="t" o:hrnoshade="t" o:hr="t" fillcolor="black [3213]" stroked="f"/>
              </w:pict>
            </w:r>
          </w:p>
        </w:tc>
      </w:tr>
      <w:tr w:rsidR="00CB50A8" w:rsidRPr="00DE5580" w:rsidTr="003B3977">
        <w:tc>
          <w:tcPr>
            <w:tcW w:w="4320" w:type="dxa"/>
            <w:shd w:val="clear" w:color="auto" w:fill="auto"/>
          </w:tcPr>
          <w:p w:rsidR="00CB50A8" w:rsidRPr="00DE5580" w:rsidRDefault="00CB50A8" w:rsidP="00CB50A8">
            <w:pPr>
              <w:rPr>
                <w:b/>
                <w:sz w:val="20"/>
                <w:szCs w:val="20"/>
                <w:lang w:val="en-US"/>
              </w:rPr>
            </w:pPr>
            <w:r w:rsidRPr="00DE5580">
              <w:rPr>
                <w:b/>
                <w:sz w:val="20"/>
                <w:szCs w:val="20"/>
                <w:lang w:val="en-US"/>
              </w:rPr>
              <w:t>Maria C. Erdmann</w:t>
            </w:r>
          </w:p>
          <w:p w:rsidR="00CB50A8" w:rsidRPr="00DE5580" w:rsidRDefault="00CB50A8" w:rsidP="00CB50A8">
            <w:pPr>
              <w:tabs>
                <w:tab w:val="left" w:pos="-1440"/>
                <w:tab w:val="left" w:pos="-720"/>
              </w:tabs>
              <w:rPr>
                <w:sz w:val="20"/>
                <w:szCs w:val="20"/>
                <w:lang w:val="en-US"/>
              </w:rPr>
            </w:pPr>
            <w:r w:rsidRPr="00DE5580">
              <w:rPr>
                <w:sz w:val="20"/>
                <w:szCs w:val="20"/>
                <w:lang w:val="en-US"/>
              </w:rPr>
              <w:tab/>
              <w:t xml:space="preserve">Maria C. </w:t>
            </w:r>
            <w:r>
              <w:rPr>
                <w:sz w:val="20"/>
                <w:szCs w:val="20"/>
                <w:lang w:val="en-US"/>
              </w:rPr>
              <w:t>Erdmann</w:t>
            </w:r>
          </w:p>
          <w:p w:rsidR="00CB50A8" w:rsidRPr="00DE5580" w:rsidRDefault="00CB50A8" w:rsidP="00CB50A8">
            <w:pPr>
              <w:tabs>
                <w:tab w:val="left" w:pos="-1440"/>
                <w:tab w:val="left" w:pos="-720"/>
              </w:tabs>
              <w:rPr>
                <w:sz w:val="20"/>
                <w:szCs w:val="20"/>
                <w:lang w:val="en-US"/>
              </w:rPr>
            </w:pPr>
          </w:p>
          <w:p w:rsidR="00CB50A8" w:rsidRPr="00A935AA" w:rsidRDefault="00CB50A8" w:rsidP="00CB50A8">
            <w:pPr>
              <w:tabs>
                <w:tab w:val="left" w:pos="-1440"/>
                <w:tab w:val="left" w:pos="-720"/>
              </w:tabs>
              <w:rPr>
                <w:sz w:val="20"/>
                <w:szCs w:val="20"/>
              </w:rPr>
            </w:pPr>
            <w:r w:rsidRPr="00DE5580">
              <w:rPr>
                <w:sz w:val="20"/>
                <w:szCs w:val="20"/>
                <w:lang w:val="en-US"/>
              </w:rPr>
              <w:tab/>
            </w:r>
            <w:r w:rsidRPr="00A935AA">
              <w:rPr>
                <w:sz w:val="20"/>
                <w:szCs w:val="20"/>
              </w:rPr>
              <w:t>v. (3</w:t>
            </w:r>
            <w:r>
              <w:rPr>
                <w:sz w:val="20"/>
                <w:szCs w:val="20"/>
              </w:rPr>
              <w:t>6557</w:t>
            </w:r>
            <w:r w:rsidRPr="00A935AA">
              <w:rPr>
                <w:sz w:val="20"/>
                <w:szCs w:val="20"/>
              </w:rPr>
              <w:t>)</w:t>
            </w:r>
          </w:p>
          <w:p w:rsidR="00CB50A8" w:rsidRPr="00A935AA" w:rsidRDefault="00CB50A8" w:rsidP="00CB50A8">
            <w:pPr>
              <w:tabs>
                <w:tab w:val="left" w:pos="-1440"/>
                <w:tab w:val="left" w:pos="-720"/>
              </w:tabs>
              <w:rPr>
                <w:sz w:val="20"/>
                <w:szCs w:val="20"/>
              </w:rPr>
            </w:pPr>
          </w:p>
          <w:p w:rsidR="00CB50A8" w:rsidRPr="00A935AA" w:rsidRDefault="00CB50A8" w:rsidP="00CB50A8">
            <w:pPr>
              <w:tabs>
                <w:tab w:val="left" w:pos="-1440"/>
                <w:tab w:val="left" w:pos="-720"/>
              </w:tabs>
              <w:rPr>
                <w:b/>
                <w:sz w:val="20"/>
                <w:szCs w:val="20"/>
              </w:rPr>
            </w:pPr>
            <w:r>
              <w:rPr>
                <w:b/>
                <w:sz w:val="20"/>
                <w:szCs w:val="20"/>
              </w:rPr>
              <w:t xml:space="preserve">Complaints Inquiry Committee of the Institute of Chartered Accountants of Alberta </w:t>
            </w:r>
            <w:r w:rsidRPr="00A935AA">
              <w:rPr>
                <w:b/>
                <w:sz w:val="20"/>
                <w:szCs w:val="20"/>
              </w:rPr>
              <w:t>(</w:t>
            </w:r>
            <w:r>
              <w:rPr>
                <w:b/>
                <w:sz w:val="20"/>
                <w:szCs w:val="20"/>
              </w:rPr>
              <w:t>Alta</w:t>
            </w:r>
            <w:r w:rsidRPr="00A935AA">
              <w:rPr>
                <w:b/>
                <w:sz w:val="20"/>
                <w:szCs w:val="20"/>
              </w:rPr>
              <w:t>.)</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Gordon R. McKenzie</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Bishop McKenzie LLP</w:t>
            </w:r>
          </w:p>
          <w:p w:rsidR="00CB50A8" w:rsidRPr="00A935AA" w:rsidRDefault="00CB50A8" w:rsidP="00CB50A8">
            <w:pPr>
              <w:tabs>
                <w:tab w:val="left" w:pos="-1440"/>
                <w:tab w:val="left" w:pos="-720"/>
              </w:tabs>
              <w:rPr>
                <w:sz w:val="20"/>
                <w:szCs w:val="20"/>
              </w:rPr>
            </w:pPr>
          </w:p>
          <w:p w:rsidR="00CB50A8" w:rsidRPr="00A935AA" w:rsidRDefault="00CB50A8" w:rsidP="00CB50A8">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8</w:t>
            </w:r>
            <w:r w:rsidRPr="00A935AA">
              <w:rPr>
                <w:sz w:val="20"/>
                <w:szCs w:val="20"/>
              </w:rPr>
              <w:t>.201</w:t>
            </w:r>
            <w:r>
              <w:rPr>
                <w:sz w:val="20"/>
                <w:szCs w:val="20"/>
              </w:rPr>
              <w:t>5</w:t>
            </w:r>
            <w:r w:rsidR="005C6187">
              <w:rPr>
                <w:sz w:val="20"/>
                <w:szCs w:val="20"/>
                <w:lang w:val="fr-CA"/>
              </w:rPr>
              <w:pict w14:anchorId="20A3B52A">
                <v:rect id="_x0000_i1029" style="width:108pt;height:1pt" o:hrpct="0" o:hralign="center" o:hrstd="t" o:hrnoshade="t" o:hr="t" fillcolor="black [3213]" stroked="f"/>
              </w:pict>
            </w:r>
          </w:p>
        </w:tc>
        <w:tc>
          <w:tcPr>
            <w:tcW w:w="1181" w:type="dxa"/>
            <w:shd w:val="clear" w:color="auto" w:fill="auto"/>
          </w:tcPr>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tc>
        <w:tc>
          <w:tcPr>
            <w:tcW w:w="4320" w:type="dxa"/>
            <w:shd w:val="clear" w:color="auto" w:fill="auto"/>
          </w:tcPr>
          <w:p w:rsidR="00EC1ADA" w:rsidRDefault="00EC1ADA" w:rsidP="00CB50A8">
            <w:pPr>
              <w:keepNext/>
              <w:keepLines/>
              <w:tabs>
                <w:tab w:val="left" w:pos="-1440"/>
                <w:tab w:val="left" w:pos="-720"/>
              </w:tabs>
              <w:rPr>
                <w:b/>
                <w:sz w:val="20"/>
                <w:szCs w:val="20"/>
                <w:lang w:val="fr-CA"/>
              </w:rPr>
            </w:pPr>
          </w:p>
          <w:p w:rsidR="00CB50A8" w:rsidRPr="00DE5580" w:rsidRDefault="00CB50A8" w:rsidP="00CB50A8">
            <w:pPr>
              <w:keepNext/>
              <w:keepLines/>
              <w:tabs>
                <w:tab w:val="left" w:pos="-1440"/>
                <w:tab w:val="left" w:pos="-720"/>
              </w:tabs>
              <w:rPr>
                <w:b/>
                <w:sz w:val="20"/>
                <w:szCs w:val="20"/>
                <w:lang w:val="fr-CA"/>
              </w:rPr>
            </w:pPr>
            <w:r w:rsidRPr="00DE5580">
              <w:rPr>
                <w:b/>
                <w:sz w:val="20"/>
                <w:szCs w:val="20"/>
                <w:lang w:val="fr-CA"/>
              </w:rPr>
              <w:t>Fédération des producteurs acéricoles du Québec</w:t>
            </w:r>
          </w:p>
          <w:p w:rsidR="00CB50A8" w:rsidRPr="00DE5580" w:rsidRDefault="00CB50A8" w:rsidP="00CB50A8">
            <w:pPr>
              <w:keepNext/>
              <w:keepLines/>
              <w:tabs>
                <w:tab w:val="left" w:pos="-1440"/>
                <w:tab w:val="left" w:pos="-720"/>
              </w:tabs>
              <w:rPr>
                <w:sz w:val="20"/>
                <w:szCs w:val="20"/>
                <w:lang w:val="fr-CA"/>
              </w:rPr>
            </w:pPr>
            <w:r w:rsidRPr="00DE5580">
              <w:rPr>
                <w:sz w:val="20"/>
                <w:szCs w:val="20"/>
                <w:lang w:val="fr-CA"/>
              </w:rPr>
              <w:tab/>
            </w:r>
            <w:r>
              <w:rPr>
                <w:sz w:val="20"/>
                <w:szCs w:val="20"/>
                <w:lang w:val="fr-CA"/>
              </w:rPr>
              <w:t>Mathieu Turcotte</w:t>
            </w:r>
          </w:p>
          <w:p w:rsidR="00CB50A8" w:rsidRPr="00DE5580" w:rsidRDefault="00CB50A8" w:rsidP="00CB50A8">
            <w:pPr>
              <w:keepNext/>
              <w:keepLines/>
              <w:tabs>
                <w:tab w:val="left" w:pos="-1440"/>
                <w:tab w:val="left" w:pos="-720"/>
              </w:tabs>
              <w:rPr>
                <w:sz w:val="20"/>
                <w:szCs w:val="20"/>
                <w:lang w:val="fr-CA"/>
              </w:rPr>
            </w:pPr>
            <w:r w:rsidRPr="00DE5580">
              <w:rPr>
                <w:sz w:val="20"/>
                <w:szCs w:val="20"/>
                <w:lang w:val="fr-CA"/>
              </w:rPr>
              <w:tab/>
            </w:r>
            <w:r>
              <w:rPr>
                <w:sz w:val="20"/>
                <w:szCs w:val="20"/>
                <w:lang w:val="fr-CA"/>
              </w:rPr>
              <w:t>Dufresne Hébert Comeau</w:t>
            </w:r>
          </w:p>
          <w:p w:rsidR="00CB50A8" w:rsidRPr="00DE5580" w:rsidRDefault="00CB50A8" w:rsidP="00CB50A8">
            <w:pPr>
              <w:keepNext/>
              <w:keepLines/>
              <w:tabs>
                <w:tab w:val="left" w:pos="-1440"/>
                <w:tab w:val="left" w:pos="-720"/>
              </w:tabs>
              <w:rPr>
                <w:sz w:val="20"/>
                <w:szCs w:val="20"/>
                <w:lang w:val="fr-CA"/>
              </w:rPr>
            </w:pPr>
          </w:p>
          <w:p w:rsidR="00CB50A8" w:rsidRPr="00DE5580" w:rsidRDefault="00CB50A8" w:rsidP="00CB50A8">
            <w:pPr>
              <w:keepNext/>
              <w:keepLines/>
              <w:tabs>
                <w:tab w:val="left" w:pos="-1440"/>
                <w:tab w:val="left" w:pos="-720"/>
              </w:tabs>
              <w:rPr>
                <w:sz w:val="20"/>
                <w:szCs w:val="20"/>
                <w:lang w:val="fr-CA"/>
              </w:rPr>
            </w:pPr>
            <w:r w:rsidRPr="00DE5580">
              <w:rPr>
                <w:sz w:val="20"/>
                <w:szCs w:val="20"/>
                <w:lang w:val="fr-CA"/>
              </w:rPr>
              <w:tab/>
              <w:t>c. (36551)</w:t>
            </w:r>
          </w:p>
          <w:p w:rsidR="00CB50A8" w:rsidRPr="00DE5580" w:rsidRDefault="00CB50A8" w:rsidP="00CB50A8">
            <w:pPr>
              <w:keepNext/>
              <w:keepLines/>
              <w:tabs>
                <w:tab w:val="left" w:pos="-1440"/>
                <w:tab w:val="left" w:pos="-720"/>
              </w:tabs>
              <w:rPr>
                <w:sz w:val="20"/>
                <w:szCs w:val="20"/>
                <w:lang w:val="fr-CA"/>
              </w:rPr>
            </w:pPr>
          </w:p>
          <w:p w:rsidR="00CB50A8" w:rsidRPr="00DE5580" w:rsidRDefault="00CB50A8" w:rsidP="00CB50A8">
            <w:pPr>
              <w:keepNext/>
              <w:keepLines/>
              <w:tabs>
                <w:tab w:val="left" w:pos="-1440"/>
                <w:tab w:val="left" w:pos="-720"/>
              </w:tabs>
              <w:rPr>
                <w:b/>
                <w:sz w:val="20"/>
                <w:szCs w:val="20"/>
                <w:lang w:val="fr-CA"/>
              </w:rPr>
            </w:pPr>
            <w:r>
              <w:rPr>
                <w:b/>
                <w:sz w:val="20"/>
                <w:szCs w:val="20"/>
                <w:lang w:val="fr-CA"/>
              </w:rPr>
              <w:t xml:space="preserve">S.K. Export Inc. et autre </w:t>
            </w:r>
            <w:r w:rsidRPr="00DE5580">
              <w:rPr>
                <w:b/>
                <w:sz w:val="20"/>
                <w:szCs w:val="20"/>
                <w:lang w:val="fr-CA"/>
              </w:rPr>
              <w:t>(N.B.)</w:t>
            </w:r>
          </w:p>
          <w:p w:rsidR="00CB50A8" w:rsidRPr="00DE5580" w:rsidRDefault="00CB50A8" w:rsidP="00CB50A8">
            <w:pPr>
              <w:keepNext/>
              <w:keepLines/>
              <w:tabs>
                <w:tab w:val="left" w:pos="-1440"/>
                <w:tab w:val="left" w:pos="-720"/>
              </w:tabs>
              <w:rPr>
                <w:sz w:val="20"/>
                <w:szCs w:val="20"/>
                <w:lang w:val="fr-CA"/>
              </w:rPr>
            </w:pPr>
            <w:r w:rsidRPr="00DE5580">
              <w:rPr>
                <w:sz w:val="20"/>
                <w:szCs w:val="20"/>
                <w:lang w:val="fr-CA"/>
              </w:rPr>
              <w:tab/>
            </w:r>
            <w:r>
              <w:rPr>
                <w:sz w:val="20"/>
                <w:szCs w:val="20"/>
                <w:lang w:val="fr-CA"/>
              </w:rPr>
              <w:t>Marc-Antoine Chiasson</w:t>
            </w:r>
          </w:p>
          <w:p w:rsidR="00CB50A8" w:rsidRPr="00DE5580" w:rsidRDefault="00CB50A8" w:rsidP="00CB50A8">
            <w:pPr>
              <w:keepNext/>
              <w:keepLines/>
              <w:tabs>
                <w:tab w:val="left" w:pos="-1440"/>
                <w:tab w:val="left" w:pos="-720"/>
              </w:tabs>
              <w:rPr>
                <w:sz w:val="20"/>
                <w:szCs w:val="20"/>
                <w:lang w:val="fr-CA"/>
              </w:rPr>
            </w:pPr>
            <w:r w:rsidRPr="00DE5580">
              <w:rPr>
                <w:sz w:val="20"/>
                <w:szCs w:val="20"/>
                <w:lang w:val="fr-CA"/>
              </w:rPr>
              <w:tab/>
            </w:r>
            <w:r>
              <w:rPr>
                <w:sz w:val="20"/>
                <w:szCs w:val="20"/>
                <w:lang w:val="fr-CA"/>
              </w:rPr>
              <w:t>McInnes Cooper</w:t>
            </w:r>
          </w:p>
          <w:p w:rsidR="00CB50A8" w:rsidRPr="00DE5580" w:rsidRDefault="00CB50A8" w:rsidP="00CB50A8">
            <w:pPr>
              <w:rPr>
                <w:sz w:val="20"/>
                <w:szCs w:val="20"/>
                <w:lang w:val="fr-CA"/>
              </w:rPr>
            </w:pPr>
          </w:p>
        </w:tc>
      </w:tr>
      <w:tr w:rsidR="00CB50A8" w:rsidRPr="00A935AA" w:rsidTr="003B3977">
        <w:tc>
          <w:tcPr>
            <w:tcW w:w="4320" w:type="dxa"/>
            <w:shd w:val="clear" w:color="auto" w:fill="auto"/>
          </w:tcPr>
          <w:p w:rsidR="00EC1ADA" w:rsidRDefault="00EC1ADA" w:rsidP="00CB50A8">
            <w:pPr>
              <w:rPr>
                <w:b/>
                <w:sz w:val="20"/>
                <w:szCs w:val="20"/>
                <w:lang w:val="fr-CA"/>
              </w:rPr>
            </w:pPr>
          </w:p>
          <w:p w:rsidR="00CB50A8" w:rsidRPr="00117C6E" w:rsidRDefault="00CB50A8" w:rsidP="00CB50A8">
            <w:pPr>
              <w:rPr>
                <w:b/>
                <w:sz w:val="20"/>
                <w:szCs w:val="20"/>
                <w:lang w:val="fr-CA"/>
              </w:rPr>
            </w:pPr>
            <w:r w:rsidRPr="00117C6E">
              <w:rPr>
                <w:b/>
                <w:sz w:val="20"/>
                <w:szCs w:val="20"/>
                <w:lang w:val="fr-CA"/>
              </w:rPr>
              <w:t>Directrice des poursuites criminelles et pénales et autre</w:t>
            </w:r>
          </w:p>
          <w:p w:rsidR="00CB50A8" w:rsidRPr="00117C6E" w:rsidRDefault="00CB50A8" w:rsidP="00CB50A8">
            <w:pPr>
              <w:tabs>
                <w:tab w:val="left" w:pos="-1440"/>
                <w:tab w:val="left" w:pos="-720"/>
              </w:tabs>
              <w:rPr>
                <w:sz w:val="20"/>
                <w:szCs w:val="20"/>
                <w:lang w:val="fr-CA"/>
              </w:rPr>
            </w:pPr>
            <w:r w:rsidRPr="00117C6E">
              <w:rPr>
                <w:sz w:val="20"/>
                <w:szCs w:val="20"/>
                <w:lang w:val="fr-CA"/>
              </w:rPr>
              <w:tab/>
            </w:r>
            <w:r>
              <w:rPr>
                <w:sz w:val="20"/>
                <w:szCs w:val="20"/>
                <w:lang w:val="fr-CA"/>
              </w:rPr>
              <w:t>Richard Audet</w:t>
            </w:r>
          </w:p>
          <w:p w:rsidR="00CB50A8" w:rsidRPr="00117C6E" w:rsidRDefault="00CB50A8" w:rsidP="00CB50A8">
            <w:pPr>
              <w:tabs>
                <w:tab w:val="left" w:pos="-1440"/>
                <w:tab w:val="left" w:pos="-720"/>
              </w:tabs>
              <w:rPr>
                <w:sz w:val="20"/>
                <w:szCs w:val="20"/>
                <w:lang w:val="fr-CA"/>
              </w:rPr>
            </w:pPr>
            <w:r w:rsidRPr="00117C6E">
              <w:rPr>
                <w:sz w:val="20"/>
                <w:szCs w:val="20"/>
                <w:lang w:val="fr-CA"/>
              </w:rPr>
              <w:tab/>
            </w:r>
            <w:r>
              <w:rPr>
                <w:sz w:val="20"/>
                <w:szCs w:val="20"/>
                <w:lang w:val="fr-CA"/>
              </w:rPr>
              <w:t xml:space="preserve">Directeur des poursuites criminelles et </w:t>
            </w:r>
            <w:r>
              <w:rPr>
                <w:sz w:val="20"/>
                <w:szCs w:val="20"/>
                <w:lang w:val="fr-CA"/>
              </w:rPr>
              <w:tab/>
              <w:t>pénales du Québec</w:t>
            </w:r>
          </w:p>
          <w:p w:rsidR="00CB50A8" w:rsidRPr="00117C6E" w:rsidRDefault="00CB50A8" w:rsidP="00CB50A8">
            <w:pPr>
              <w:tabs>
                <w:tab w:val="left" w:pos="-1440"/>
                <w:tab w:val="left" w:pos="-720"/>
              </w:tabs>
              <w:rPr>
                <w:sz w:val="20"/>
                <w:szCs w:val="20"/>
                <w:lang w:val="fr-CA"/>
              </w:rPr>
            </w:pPr>
          </w:p>
          <w:p w:rsidR="00CB50A8" w:rsidRPr="00117C6E" w:rsidRDefault="00CB50A8" w:rsidP="00CB50A8">
            <w:pPr>
              <w:tabs>
                <w:tab w:val="left" w:pos="-1440"/>
                <w:tab w:val="left" w:pos="-720"/>
              </w:tabs>
              <w:rPr>
                <w:sz w:val="20"/>
                <w:szCs w:val="20"/>
                <w:lang w:val="fr-CA"/>
              </w:rPr>
            </w:pPr>
            <w:r w:rsidRPr="00117C6E">
              <w:rPr>
                <w:sz w:val="20"/>
                <w:szCs w:val="20"/>
                <w:lang w:val="fr-CA"/>
              </w:rPr>
              <w:tab/>
              <w:t>v. (36555)</w:t>
            </w:r>
          </w:p>
          <w:p w:rsidR="00CB50A8" w:rsidRPr="00117C6E" w:rsidRDefault="00CB50A8" w:rsidP="00CB50A8">
            <w:pPr>
              <w:tabs>
                <w:tab w:val="left" w:pos="-1440"/>
                <w:tab w:val="left" w:pos="-720"/>
              </w:tabs>
              <w:rPr>
                <w:sz w:val="20"/>
                <w:szCs w:val="20"/>
                <w:lang w:val="fr-CA"/>
              </w:rPr>
            </w:pPr>
          </w:p>
          <w:p w:rsidR="00CB50A8" w:rsidRPr="00117C6E" w:rsidRDefault="00CB50A8" w:rsidP="00CB50A8">
            <w:pPr>
              <w:tabs>
                <w:tab w:val="left" w:pos="-1440"/>
                <w:tab w:val="left" w:pos="-720"/>
              </w:tabs>
              <w:rPr>
                <w:b/>
                <w:sz w:val="20"/>
                <w:szCs w:val="20"/>
                <w:lang w:val="fr-CA"/>
              </w:rPr>
            </w:pPr>
            <w:r>
              <w:rPr>
                <w:b/>
                <w:sz w:val="20"/>
                <w:szCs w:val="20"/>
                <w:lang w:val="fr-CA"/>
              </w:rPr>
              <w:t>Skyservice F.B.O. Inc. et autre</w:t>
            </w:r>
            <w:r w:rsidR="00EC1ADA">
              <w:rPr>
                <w:b/>
                <w:sz w:val="20"/>
                <w:szCs w:val="20"/>
                <w:lang w:val="fr-CA"/>
              </w:rPr>
              <w:t xml:space="preserve">s </w:t>
            </w:r>
            <w:r w:rsidRPr="00117C6E">
              <w:rPr>
                <w:b/>
                <w:sz w:val="20"/>
                <w:szCs w:val="20"/>
                <w:lang w:val="fr-CA"/>
              </w:rPr>
              <w:t>(</w:t>
            </w:r>
            <w:r>
              <w:rPr>
                <w:b/>
                <w:sz w:val="20"/>
                <w:szCs w:val="20"/>
                <w:lang w:val="fr-CA"/>
              </w:rPr>
              <w:t>Qc</w:t>
            </w:r>
            <w:r w:rsidRPr="00117C6E">
              <w:rPr>
                <w:b/>
                <w:sz w:val="20"/>
                <w:szCs w:val="20"/>
                <w:lang w:val="fr-CA"/>
              </w:rPr>
              <w:t>)</w:t>
            </w:r>
          </w:p>
          <w:p w:rsidR="00CB50A8" w:rsidRPr="00117C6E" w:rsidRDefault="00CB50A8" w:rsidP="00CB50A8">
            <w:pPr>
              <w:tabs>
                <w:tab w:val="left" w:pos="-1440"/>
                <w:tab w:val="left" w:pos="-720"/>
              </w:tabs>
              <w:rPr>
                <w:sz w:val="20"/>
                <w:szCs w:val="20"/>
                <w:lang w:val="fr-CA"/>
              </w:rPr>
            </w:pPr>
            <w:r w:rsidRPr="00117C6E">
              <w:rPr>
                <w:sz w:val="20"/>
                <w:szCs w:val="20"/>
                <w:lang w:val="fr-CA"/>
              </w:rPr>
              <w:tab/>
            </w:r>
            <w:r>
              <w:rPr>
                <w:sz w:val="20"/>
                <w:szCs w:val="20"/>
                <w:lang w:val="fr-CA"/>
              </w:rPr>
              <w:t>Robert Israël</w:t>
            </w:r>
          </w:p>
          <w:p w:rsidR="00CB50A8" w:rsidRPr="00117C6E" w:rsidRDefault="00CB50A8" w:rsidP="00CB50A8">
            <w:pPr>
              <w:tabs>
                <w:tab w:val="left" w:pos="-1440"/>
                <w:tab w:val="left" w:pos="-720"/>
              </w:tabs>
              <w:rPr>
                <w:sz w:val="20"/>
                <w:szCs w:val="20"/>
                <w:lang w:val="fr-CA"/>
              </w:rPr>
            </w:pPr>
            <w:r w:rsidRPr="00117C6E">
              <w:rPr>
                <w:sz w:val="20"/>
                <w:szCs w:val="20"/>
                <w:lang w:val="fr-CA"/>
              </w:rPr>
              <w:tab/>
            </w:r>
            <w:r>
              <w:rPr>
                <w:sz w:val="20"/>
                <w:szCs w:val="20"/>
                <w:lang w:val="fr-CA"/>
              </w:rPr>
              <w:t>Shadley Battista</w:t>
            </w:r>
          </w:p>
          <w:p w:rsidR="00CB50A8" w:rsidRPr="00117C6E" w:rsidRDefault="00CB50A8" w:rsidP="00CB50A8">
            <w:pPr>
              <w:tabs>
                <w:tab w:val="left" w:pos="-1440"/>
                <w:tab w:val="left" w:pos="-720"/>
              </w:tabs>
              <w:rPr>
                <w:sz w:val="20"/>
                <w:szCs w:val="20"/>
                <w:lang w:val="fr-CA"/>
              </w:rPr>
            </w:pPr>
          </w:p>
          <w:p w:rsidR="00CB50A8" w:rsidRPr="00117C6E" w:rsidRDefault="00CB50A8" w:rsidP="00CB50A8">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2</w:t>
            </w:r>
            <w:r w:rsidRPr="00806A5B">
              <w:rPr>
                <w:sz w:val="20"/>
                <w:szCs w:val="20"/>
                <w:lang w:val="fr-CA"/>
              </w:rPr>
              <w:t>.0</w:t>
            </w:r>
            <w:r>
              <w:rPr>
                <w:sz w:val="20"/>
                <w:szCs w:val="20"/>
                <w:lang w:val="fr-CA"/>
              </w:rPr>
              <w:t>8</w:t>
            </w:r>
            <w:r w:rsidRPr="00806A5B">
              <w:rPr>
                <w:sz w:val="20"/>
                <w:szCs w:val="20"/>
                <w:lang w:val="fr-CA"/>
              </w:rPr>
              <w:t>.201</w:t>
            </w:r>
            <w:r>
              <w:rPr>
                <w:sz w:val="20"/>
                <w:szCs w:val="20"/>
                <w:lang w:val="fr-CA"/>
              </w:rPr>
              <w:t>5</w:t>
            </w:r>
            <w:r w:rsidR="005C6187">
              <w:rPr>
                <w:sz w:val="20"/>
                <w:szCs w:val="20"/>
                <w:lang w:val="fr-CA"/>
              </w:rPr>
              <w:pict w14:anchorId="540BB11A">
                <v:rect id="_x0000_i1030" style="width:108pt;height:1pt" o:hrpct="0" o:hralign="center" o:hrstd="t" o:hrnoshade="t" o:hr="t" fillcolor="black [3213]" stroked="f"/>
              </w:pict>
            </w:r>
          </w:p>
        </w:tc>
        <w:tc>
          <w:tcPr>
            <w:tcW w:w="1181" w:type="dxa"/>
            <w:shd w:val="clear" w:color="auto" w:fill="auto"/>
          </w:tcPr>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CB50A8" w:rsidRDefault="00CB50A8" w:rsidP="00CB50A8">
            <w:pPr>
              <w:jc w:val="center"/>
              <w:rPr>
                <w:sz w:val="20"/>
                <w:szCs w:val="20"/>
              </w:rPr>
            </w:pPr>
          </w:p>
          <w:p w:rsidR="00EC1ADA" w:rsidRDefault="00EC1ADA" w:rsidP="00CB50A8">
            <w:pPr>
              <w:jc w:val="center"/>
              <w:rPr>
                <w:sz w:val="20"/>
                <w:szCs w:val="20"/>
              </w:rPr>
            </w:pPr>
          </w:p>
          <w:p w:rsidR="00CB50A8" w:rsidRPr="00A935AA" w:rsidRDefault="00CB50A8" w:rsidP="00CB50A8">
            <w:pPr>
              <w:jc w:val="center"/>
              <w:rPr>
                <w:sz w:val="20"/>
                <w:szCs w:val="20"/>
              </w:rPr>
            </w:pPr>
          </w:p>
        </w:tc>
        <w:tc>
          <w:tcPr>
            <w:tcW w:w="4320" w:type="dxa"/>
            <w:shd w:val="clear" w:color="auto" w:fill="auto"/>
          </w:tcPr>
          <w:p w:rsidR="00CB50A8" w:rsidRDefault="00EC1ADA" w:rsidP="00CB50A8">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1</w:t>
            </w:r>
            <w:r w:rsidRPr="00806A5B">
              <w:rPr>
                <w:sz w:val="20"/>
                <w:szCs w:val="20"/>
                <w:lang w:val="fr-CA"/>
              </w:rPr>
              <w:t>.0</w:t>
            </w:r>
            <w:r>
              <w:rPr>
                <w:sz w:val="20"/>
                <w:szCs w:val="20"/>
                <w:lang w:val="fr-CA"/>
              </w:rPr>
              <w:t>8</w:t>
            </w:r>
            <w:r w:rsidRPr="00806A5B">
              <w:rPr>
                <w:sz w:val="20"/>
                <w:szCs w:val="20"/>
                <w:lang w:val="fr-CA"/>
              </w:rPr>
              <w:t>.201</w:t>
            </w:r>
            <w:r>
              <w:rPr>
                <w:sz w:val="20"/>
                <w:szCs w:val="20"/>
                <w:lang w:val="fr-CA"/>
              </w:rPr>
              <w:t>5</w:t>
            </w:r>
            <w:r w:rsidR="005C6187">
              <w:rPr>
                <w:sz w:val="20"/>
                <w:szCs w:val="20"/>
                <w:lang w:val="fr-CA"/>
              </w:rPr>
              <w:pict>
                <v:rect id="_x0000_i1031" style="width:108pt;height:1pt" o:hrpct="0" o:hralign="center" o:hrstd="t" o:hrnoshade="t" o:hr="t" fillcolor="black [3213]" stroked="f"/>
              </w:pict>
            </w:r>
          </w:p>
          <w:p w:rsidR="00EC1ADA" w:rsidRPr="001456B8" w:rsidRDefault="00EC1ADA" w:rsidP="00CB50A8">
            <w:pPr>
              <w:rPr>
                <w:b/>
                <w:sz w:val="20"/>
                <w:szCs w:val="20"/>
                <w:lang w:val="fr-CA"/>
              </w:rPr>
            </w:pPr>
          </w:p>
          <w:p w:rsidR="00CB50A8" w:rsidRPr="00117C6E" w:rsidRDefault="00CB50A8" w:rsidP="00CB50A8">
            <w:pPr>
              <w:rPr>
                <w:b/>
                <w:sz w:val="20"/>
                <w:szCs w:val="20"/>
                <w:lang w:val="fr-CA"/>
              </w:rPr>
            </w:pPr>
            <w:r w:rsidRPr="00117C6E">
              <w:rPr>
                <w:b/>
                <w:sz w:val="20"/>
                <w:szCs w:val="20"/>
                <w:lang w:val="fr-CA"/>
              </w:rPr>
              <w:t>Michael Dwight Allen et al.</w:t>
            </w:r>
          </w:p>
          <w:p w:rsidR="00CB50A8" w:rsidRPr="00117C6E" w:rsidRDefault="00CB50A8" w:rsidP="00CB50A8">
            <w:pPr>
              <w:tabs>
                <w:tab w:val="left" w:pos="-1440"/>
                <w:tab w:val="left" w:pos="-720"/>
              </w:tabs>
              <w:rPr>
                <w:sz w:val="20"/>
                <w:szCs w:val="20"/>
                <w:lang w:val="en-US"/>
              </w:rPr>
            </w:pPr>
            <w:r w:rsidRPr="00117C6E">
              <w:rPr>
                <w:sz w:val="20"/>
                <w:szCs w:val="20"/>
                <w:lang w:val="fr-CA"/>
              </w:rPr>
              <w:tab/>
            </w:r>
            <w:r w:rsidRPr="00117C6E">
              <w:rPr>
                <w:sz w:val="20"/>
                <w:szCs w:val="20"/>
                <w:lang w:val="en-US"/>
              </w:rPr>
              <w:t>Margaret Bojanowska</w:t>
            </w:r>
          </w:p>
          <w:p w:rsidR="00CB50A8" w:rsidRPr="00117C6E" w:rsidRDefault="00CB50A8" w:rsidP="00CB50A8">
            <w:pPr>
              <w:tabs>
                <w:tab w:val="left" w:pos="-1440"/>
                <w:tab w:val="left" w:pos="-720"/>
              </w:tabs>
              <w:rPr>
                <w:sz w:val="20"/>
                <w:szCs w:val="20"/>
                <w:lang w:val="en-US"/>
              </w:rPr>
            </w:pPr>
          </w:p>
          <w:p w:rsidR="00CB50A8" w:rsidRPr="00A935AA" w:rsidRDefault="00CB50A8" w:rsidP="00CB50A8">
            <w:pPr>
              <w:tabs>
                <w:tab w:val="left" w:pos="-1440"/>
                <w:tab w:val="left" w:pos="-720"/>
              </w:tabs>
              <w:rPr>
                <w:sz w:val="20"/>
                <w:szCs w:val="20"/>
              </w:rPr>
            </w:pPr>
            <w:r w:rsidRPr="00117C6E">
              <w:rPr>
                <w:sz w:val="20"/>
                <w:szCs w:val="20"/>
                <w:lang w:val="en-US"/>
              </w:rPr>
              <w:tab/>
            </w:r>
            <w:r w:rsidRPr="00A935AA">
              <w:rPr>
                <w:sz w:val="20"/>
                <w:szCs w:val="20"/>
              </w:rPr>
              <w:t>v. (3</w:t>
            </w:r>
            <w:r>
              <w:rPr>
                <w:sz w:val="20"/>
                <w:szCs w:val="20"/>
              </w:rPr>
              <w:t>6552</w:t>
            </w:r>
            <w:r w:rsidRPr="00A935AA">
              <w:rPr>
                <w:sz w:val="20"/>
                <w:szCs w:val="20"/>
              </w:rPr>
              <w:t>)</w:t>
            </w:r>
          </w:p>
          <w:p w:rsidR="00CB50A8" w:rsidRPr="00A935AA" w:rsidRDefault="00CB50A8" w:rsidP="00CB50A8">
            <w:pPr>
              <w:tabs>
                <w:tab w:val="left" w:pos="-1440"/>
                <w:tab w:val="left" w:pos="-720"/>
              </w:tabs>
              <w:rPr>
                <w:sz w:val="20"/>
                <w:szCs w:val="20"/>
              </w:rPr>
            </w:pPr>
          </w:p>
          <w:p w:rsidR="00CB50A8" w:rsidRPr="00A935AA" w:rsidRDefault="00CB50A8" w:rsidP="00CB50A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Deborah Calderwood</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A.G. of Ontario</w:t>
            </w:r>
          </w:p>
          <w:p w:rsidR="00CB50A8" w:rsidRPr="00A935AA" w:rsidRDefault="00CB50A8" w:rsidP="00CB50A8">
            <w:pPr>
              <w:tabs>
                <w:tab w:val="left" w:pos="-1440"/>
                <w:tab w:val="left" w:pos="-720"/>
              </w:tabs>
              <w:rPr>
                <w:sz w:val="20"/>
                <w:szCs w:val="20"/>
              </w:rPr>
            </w:pPr>
          </w:p>
          <w:p w:rsidR="00CB50A8" w:rsidRPr="00A935AA" w:rsidRDefault="00CB50A8" w:rsidP="00CB50A8">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8</w:t>
            </w:r>
            <w:r w:rsidRPr="00A935AA">
              <w:rPr>
                <w:sz w:val="20"/>
                <w:szCs w:val="20"/>
              </w:rPr>
              <w:t>.201</w:t>
            </w:r>
            <w:r>
              <w:rPr>
                <w:sz w:val="20"/>
                <w:szCs w:val="20"/>
              </w:rPr>
              <w:t>5</w:t>
            </w:r>
            <w:r w:rsidR="005C6187">
              <w:rPr>
                <w:sz w:val="20"/>
                <w:szCs w:val="20"/>
                <w:lang w:val="fr-CA"/>
              </w:rPr>
              <w:pict>
                <v:rect id="_x0000_i1032" style="width:108pt;height:1pt" o:hrpct="0" o:hralign="center" o:hrstd="t" o:hrnoshade="t" o:hr="t" fillcolor="black [3213]" stroked="f"/>
              </w:pict>
            </w:r>
          </w:p>
        </w:tc>
      </w:tr>
      <w:tr w:rsidR="00CB50A8" w:rsidRPr="00117C6E" w:rsidTr="003B3977">
        <w:trPr>
          <w:cantSplit/>
        </w:trPr>
        <w:tc>
          <w:tcPr>
            <w:tcW w:w="4320" w:type="dxa"/>
            <w:shd w:val="clear" w:color="auto" w:fill="auto"/>
          </w:tcPr>
          <w:p w:rsidR="00CB50A8" w:rsidRPr="001456B8" w:rsidRDefault="00CB50A8" w:rsidP="00CB50A8">
            <w:pPr>
              <w:rPr>
                <w:b/>
                <w:sz w:val="20"/>
                <w:szCs w:val="20"/>
                <w:lang w:val="en-US"/>
              </w:rPr>
            </w:pPr>
            <w:r w:rsidRPr="001456B8">
              <w:rPr>
                <w:b/>
                <w:sz w:val="20"/>
                <w:szCs w:val="20"/>
                <w:lang w:val="en-US"/>
              </w:rPr>
              <w:lastRenderedPageBreak/>
              <w:t>Dragoljub Milunovic</w:t>
            </w:r>
          </w:p>
          <w:p w:rsidR="00CB50A8" w:rsidRPr="001456B8" w:rsidRDefault="00CB50A8" w:rsidP="00CB50A8">
            <w:pPr>
              <w:keepNext/>
              <w:keepLines/>
              <w:tabs>
                <w:tab w:val="left" w:pos="-1440"/>
                <w:tab w:val="left" w:pos="-720"/>
              </w:tabs>
              <w:rPr>
                <w:sz w:val="20"/>
                <w:szCs w:val="20"/>
                <w:lang w:val="en-US"/>
              </w:rPr>
            </w:pPr>
            <w:r w:rsidRPr="001456B8">
              <w:rPr>
                <w:sz w:val="20"/>
                <w:szCs w:val="20"/>
                <w:lang w:val="en-US"/>
              </w:rPr>
              <w:tab/>
              <w:t>Dragoljub Milunovic</w:t>
            </w:r>
          </w:p>
          <w:p w:rsidR="00CB50A8" w:rsidRPr="001456B8" w:rsidRDefault="00CB50A8" w:rsidP="00CB50A8">
            <w:pPr>
              <w:keepNext/>
              <w:keepLines/>
              <w:tabs>
                <w:tab w:val="left" w:pos="-1440"/>
                <w:tab w:val="left" w:pos="-720"/>
              </w:tabs>
              <w:rPr>
                <w:sz w:val="20"/>
                <w:szCs w:val="20"/>
                <w:lang w:val="en-US"/>
              </w:rPr>
            </w:pPr>
          </w:p>
          <w:p w:rsidR="00CB50A8" w:rsidRPr="001456B8" w:rsidRDefault="00CB50A8" w:rsidP="00CB50A8">
            <w:pPr>
              <w:keepNext/>
              <w:keepLines/>
              <w:tabs>
                <w:tab w:val="left" w:pos="-1440"/>
                <w:tab w:val="left" w:pos="-720"/>
              </w:tabs>
              <w:rPr>
                <w:sz w:val="20"/>
                <w:szCs w:val="20"/>
                <w:lang w:val="en-US"/>
              </w:rPr>
            </w:pPr>
            <w:r w:rsidRPr="001456B8">
              <w:rPr>
                <w:sz w:val="20"/>
                <w:szCs w:val="20"/>
                <w:lang w:val="en-US"/>
              </w:rPr>
              <w:tab/>
              <w:t>c. (36553)</w:t>
            </w:r>
          </w:p>
          <w:p w:rsidR="00CB50A8" w:rsidRPr="001456B8" w:rsidRDefault="00CB50A8" w:rsidP="00CB50A8">
            <w:pPr>
              <w:keepNext/>
              <w:keepLines/>
              <w:tabs>
                <w:tab w:val="left" w:pos="-1440"/>
                <w:tab w:val="left" w:pos="-720"/>
              </w:tabs>
              <w:rPr>
                <w:sz w:val="20"/>
                <w:szCs w:val="20"/>
                <w:lang w:val="en-US"/>
              </w:rPr>
            </w:pPr>
          </w:p>
          <w:p w:rsidR="00CB50A8" w:rsidRPr="00806A5B" w:rsidRDefault="00CB50A8" w:rsidP="00CB50A8">
            <w:pPr>
              <w:keepNext/>
              <w:keepLines/>
              <w:tabs>
                <w:tab w:val="left" w:pos="-1440"/>
                <w:tab w:val="left" w:pos="-720"/>
              </w:tabs>
              <w:rPr>
                <w:b/>
                <w:sz w:val="20"/>
                <w:szCs w:val="20"/>
                <w:lang w:val="fr-CA"/>
              </w:rPr>
            </w:pPr>
            <w:r>
              <w:rPr>
                <w:b/>
                <w:sz w:val="20"/>
                <w:szCs w:val="20"/>
                <w:lang w:val="fr-CA"/>
              </w:rPr>
              <w:t>Yve</w:t>
            </w:r>
            <w:r w:rsidRPr="00806A5B">
              <w:rPr>
                <w:b/>
                <w:sz w:val="20"/>
                <w:szCs w:val="20"/>
                <w:lang w:val="fr-CA"/>
              </w:rPr>
              <w:t>s</w:t>
            </w:r>
            <w:r>
              <w:rPr>
                <w:b/>
                <w:sz w:val="20"/>
                <w:szCs w:val="20"/>
                <w:lang w:val="fr-CA"/>
              </w:rPr>
              <w:t xml:space="preserve"> B</w:t>
            </w:r>
            <w:r w:rsidRPr="00806A5B">
              <w:rPr>
                <w:b/>
                <w:sz w:val="20"/>
                <w:szCs w:val="20"/>
                <w:lang w:val="fr-CA"/>
              </w:rPr>
              <w:t>él</w:t>
            </w:r>
            <w:r>
              <w:rPr>
                <w:b/>
                <w:sz w:val="20"/>
                <w:szCs w:val="20"/>
                <w:lang w:val="fr-CA"/>
              </w:rPr>
              <w:t>a</w:t>
            </w:r>
            <w:r w:rsidRPr="00806A5B">
              <w:rPr>
                <w:b/>
                <w:sz w:val="20"/>
                <w:szCs w:val="20"/>
                <w:lang w:val="fr-CA"/>
              </w:rPr>
              <w:t>n</w:t>
            </w:r>
            <w:r>
              <w:rPr>
                <w:b/>
                <w:sz w:val="20"/>
                <w:szCs w:val="20"/>
                <w:lang w:val="fr-CA"/>
              </w:rPr>
              <w:t>g</w:t>
            </w:r>
            <w:r w:rsidRPr="00806A5B">
              <w:rPr>
                <w:b/>
                <w:sz w:val="20"/>
                <w:szCs w:val="20"/>
                <w:lang w:val="fr-CA"/>
              </w:rPr>
              <w:t>e</w:t>
            </w:r>
            <w:r>
              <w:rPr>
                <w:b/>
                <w:sz w:val="20"/>
                <w:szCs w:val="20"/>
                <w:lang w:val="fr-CA"/>
              </w:rPr>
              <w:t>r et autre</w:t>
            </w:r>
            <w:r w:rsidRPr="00806A5B">
              <w:rPr>
                <w:b/>
                <w:sz w:val="20"/>
                <w:szCs w:val="20"/>
                <w:lang w:val="fr-CA"/>
              </w:rPr>
              <w:t xml:space="preserve"> (Qc)</w:t>
            </w:r>
          </w:p>
          <w:p w:rsidR="00CB50A8" w:rsidRPr="00806A5B" w:rsidRDefault="00CB50A8" w:rsidP="00CB50A8">
            <w:pPr>
              <w:keepNext/>
              <w:keepLines/>
              <w:tabs>
                <w:tab w:val="left" w:pos="-1440"/>
                <w:tab w:val="left" w:pos="-720"/>
              </w:tabs>
              <w:rPr>
                <w:sz w:val="20"/>
                <w:szCs w:val="20"/>
                <w:lang w:val="fr-CA"/>
              </w:rPr>
            </w:pPr>
            <w:r w:rsidRPr="00806A5B">
              <w:rPr>
                <w:sz w:val="20"/>
                <w:szCs w:val="20"/>
                <w:lang w:val="fr-CA"/>
              </w:rPr>
              <w:tab/>
            </w:r>
            <w:r>
              <w:rPr>
                <w:sz w:val="20"/>
                <w:szCs w:val="20"/>
                <w:lang w:val="fr-CA"/>
              </w:rPr>
              <w:t>Marie-Josée Bélainsky</w:t>
            </w:r>
          </w:p>
          <w:p w:rsidR="00CB50A8" w:rsidRDefault="00CB50A8" w:rsidP="00CB50A8">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Fonds d’assurance responsabilité </w:t>
            </w:r>
            <w:r>
              <w:rPr>
                <w:sz w:val="20"/>
                <w:szCs w:val="20"/>
                <w:lang w:val="fr-CA"/>
              </w:rPr>
              <w:tab/>
              <w:t>professionnelle</w:t>
            </w:r>
          </w:p>
          <w:p w:rsidR="00CB50A8" w:rsidRPr="00806A5B" w:rsidRDefault="00CB50A8" w:rsidP="00CB50A8">
            <w:pPr>
              <w:keepNext/>
              <w:keepLines/>
              <w:tabs>
                <w:tab w:val="left" w:pos="-1440"/>
                <w:tab w:val="left" w:pos="-720"/>
              </w:tabs>
              <w:rPr>
                <w:sz w:val="20"/>
                <w:szCs w:val="20"/>
                <w:lang w:val="fr-CA"/>
              </w:rPr>
            </w:pPr>
          </w:p>
          <w:p w:rsidR="00CB50A8" w:rsidRPr="00CB50A8" w:rsidRDefault="00CB50A8" w:rsidP="00CB50A8">
            <w:pPr>
              <w:rPr>
                <w:sz w:val="20"/>
                <w:szCs w:val="20"/>
                <w:lang w:val="fr-CA"/>
              </w:rPr>
            </w:pPr>
            <w:r w:rsidRPr="00806A5B">
              <w:rPr>
                <w:sz w:val="20"/>
                <w:szCs w:val="20"/>
                <w:lang w:val="fr-CA"/>
              </w:rPr>
              <w:t>DATE DE PRODUCTION: 1</w:t>
            </w:r>
            <w:r>
              <w:rPr>
                <w:sz w:val="20"/>
                <w:szCs w:val="20"/>
                <w:lang w:val="fr-CA"/>
              </w:rPr>
              <w:t>3</w:t>
            </w:r>
            <w:r w:rsidRPr="00806A5B">
              <w:rPr>
                <w:sz w:val="20"/>
                <w:szCs w:val="20"/>
                <w:lang w:val="fr-CA"/>
              </w:rPr>
              <w:t>.0</w:t>
            </w:r>
            <w:r>
              <w:rPr>
                <w:sz w:val="20"/>
                <w:szCs w:val="20"/>
                <w:lang w:val="fr-CA"/>
              </w:rPr>
              <w:t>8</w:t>
            </w:r>
            <w:r w:rsidRPr="00806A5B">
              <w:rPr>
                <w:sz w:val="20"/>
                <w:szCs w:val="20"/>
                <w:lang w:val="fr-CA"/>
              </w:rPr>
              <w:t>.201</w:t>
            </w:r>
            <w:r>
              <w:rPr>
                <w:sz w:val="20"/>
                <w:szCs w:val="20"/>
                <w:lang w:val="fr-CA"/>
              </w:rPr>
              <w:t>8</w:t>
            </w:r>
            <w:r w:rsidR="005C6187">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p w:rsidR="00CB50A8" w:rsidRPr="00117C6E" w:rsidRDefault="00CB50A8" w:rsidP="00CB50A8">
            <w:pPr>
              <w:jc w:val="center"/>
              <w:rPr>
                <w:sz w:val="20"/>
                <w:szCs w:val="20"/>
                <w:lang w:val="fr-CA"/>
              </w:rPr>
            </w:pPr>
          </w:p>
        </w:tc>
        <w:tc>
          <w:tcPr>
            <w:tcW w:w="4320" w:type="dxa"/>
            <w:shd w:val="clear" w:color="auto" w:fill="auto"/>
          </w:tcPr>
          <w:p w:rsidR="00CB50A8" w:rsidRDefault="00CB50A8" w:rsidP="00CB50A8">
            <w:pPr>
              <w:keepNext/>
              <w:keepLines/>
              <w:tabs>
                <w:tab w:val="left" w:pos="-1440"/>
                <w:tab w:val="left" w:pos="-720"/>
              </w:tabs>
              <w:rPr>
                <w:b/>
                <w:sz w:val="20"/>
                <w:szCs w:val="20"/>
                <w:lang w:val="en-US"/>
              </w:rPr>
            </w:pPr>
            <w:r w:rsidRPr="00114C1D">
              <w:rPr>
                <w:b/>
                <w:sz w:val="20"/>
                <w:szCs w:val="20"/>
                <w:lang w:val="en-US"/>
              </w:rPr>
              <w:t>Rakuten Kobo Inc.</w:t>
            </w:r>
          </w:p>
          <w:p w:rsidR="00CB50A8" w:rsidRPr="00114C1D" w:rsidRDefault="00CB50A8" w:rsidP="00CB50A8">
            <w:pPr>
              <w:tabs>
                <w:tab w:val="left" w:pos="-1440"/>
                <w:tab w:val="left" w:pos="-720"/>
              </w:tabs>
              <w:rPr>
                <w:sz w:val="20"/>
                <w:szCs w:val="20"/>
                <w:lang w:val="en-US"/>
              </w:rPr>
            </w:pPr>
            <w:r w:rsidRPr="00CB50A8">
              <w:rPr>
                <w:sz w:val="20"/>
                <w:szCs w:val="20"/>
                <w:lang w:val="en-US"/>
              </w:rPr>
              <w:tab/>
            </w:r>
            <w:r w:rsidRPr="00114C1D">
              <w:rPr>
                <w:sz w:val="20"/>
                <w:szCs w:val="20"/>
                <w:lang w:val="en-US"/>
              </w:rPr>
              <w:t>Nikiforos Iatrou</w:t>
            </w:r>
          </w:p>
          <w:p w:rsidR="00CB50A8" w:rsidRPr="00114C1D" w:rsidRDefault="00CB50A8" w:rsidP="00CB50A8">
            <w:pPr>
              <w:tabs>
                <w:tab w:val="left" w:pos="-1440"/>
                <w:tab w:val="left" w:pos="-720"/>
              </w:tabs>
              <w:rPr>
                <w:sz w:val="20"/>
                <w:szCs w:val="20"/>
                <w:lang w:val="en-US"/>
              </w:rPr>
            </w:pPr>
            <w:r w:rsidRPr="00114C1D">
              <w:rPr>
                <w:sz w:val="20"/>
                <w:szCs w:val="20"/>
                <w:lang w:val="en-US"/>
              </w:rPr>
              <w:tab/>
              <w:t>Weirfoulds LLP</w:t>
            </w:r>
          </w:p>
          <w:p w:rsidR="00CB50A8" w:rsidRPr="00114C1D" w:rsidRDefault="00CB50A8" w:rsidP="00CB50A8">
            <w:pPr>
              <w:tabs>
                <w:tab w:val="left" w:pos="-1440"/>
                <w:tab w:val="left" w:pos="-720"/>
              </w:tabs>
              <w:rPr>
                <w:sz w:val="20"/>
                <w:szCs w:val="20"/>
                <w:lang w:val="en-US"/>
              </w:rPr>
            </w:pPr>
          </w:p>
          <w:p w:rsidR="00CB50A8" w:rsidRPr="00A935AA" w:rsidRDefault="00CB50A8" w:rsidP="00CB50A8">
            <w:pPr>
              <w:tabs>
                <w:tab w:val="left" w:pos="-1440"/>
                <w:tab w:val="left" w:pos="-720"/>
              </w:tabs>
              <w:rPr>
                <w:sz w:val="20"/>
                <w:szCs w:val="20"/>
              </w:rPr>
            </w:pPr>
            <w:r w:rsidRPr="00114C1D">
              <w:rPr>
                <w:sz w:val="20"/>
                <w:szCs w:val="20"/>
                <w:lang w:val="en-US"/>
              </w:rPr>
              <w:tab/>
            </w:r>
            <w:r w:rsidRPr="00A935AA">
              <w:rPr>
                <w:sz w:val="20"/>
                <w:szCs w:val="20"/>
              </w:rPr>
              <w:t>v. (3</w:t>
            </w:r>
            <w:r>
              <w:rPr>
                <w:sz w:val="20"/>
                <w:szCs w:val="20"/>
              </w:rPr>
              <w:t>6554</w:t>
            </w:r>
            <w:r w:rsidRPr="00A935AA">
              <w:rPr>
                <w:sz w:val="20"/>
                <w:szCs w:val="20"/>
              </w:rPr>
              <w:t>)</w:t>
            </w:r>
          </w:p>
          <w:p w:rsidR="00CB50A8" w:rsidRPr="00A935AA" w:rsidRDefault="00CB50A8" w:rsidP="00CB50A8">
            <w:pPr>
              <w:tabs>
                <w:tab w:val="left" w:pos="-1440"/>
                <w:tab w:val="left" w:pos="-720"/>
              </w:tabs>
              <w:rPr>
                <w:sz w:val="20"/>
                <w:szCs w:val="20"/>
              </w:rPr>
            </w:pPr>
          </w:p>
          <w:p w:rsidR="00CB50A8" w:rsidRPr="00A935AA" w:rsidRDefault="00CB50A8" w:rsidP="00CB50A8">
            <w:pPr>
              <w:tabs>
                <w:tab w:val="left" w:pos="-1440"/>
                <w:tab w:val="left" w:pos="-720"/>
              </w:tabs>
              <w:rPr>
                <w:b/>
                <w:sz w:val="20"/>
                <w:szCs w:val="20"/>
              </w:rPr>
            </w:pPr>
            <w:r>
              <w:rPr>
                <w:b/>
                <w:sz w:val="20"/>
                <w:szCs w:val="20"/>
              </w:rPr>
              <w:t xml:space="preserve">Commissioner of Competition et al. </w:t>
            </w:r>
            <w:r w:rsidRPr="00A935AA">
              <w:rPr>
                <w:b/>
                <w:sz w:val="20"/>
                <w:szCs w:val="20"/>
              </w:rPr>
              <w:t>(</w:t>
            </w:r>
            <w:r>
              <w:rPr>
                <w:b/>
                <w:sz w:val="20"/>
                <w:szCs w:val="20"/>
              </w:rPr>
              <w:t>F.C</w:t>
            </w:r>
            <w:r w:rsidRPr="00A935AA">
              <w:rPr>
                <w:b/>
                <w:sz w:val="20"/>
                <w:szCs w:val="20"/>
              </w:rPr>
              <w:t>.)</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John Syme</w:t>
            </w:r>
          </w:p>
          <w:p w:rsidR="00CB50A8" w:rsidRPr="00A935AA" w:rsidRDefault="00CB50A8" w:rsidP="00CB50A8">
            <w:pPr>
              <w:tabs>
                <w:tab w:val="left" w:pos="-1440"/>
                <w:tab w:val="left" w:pos="-720"/>
              </w:tabs>
              <w:rPr>
                <w:sz w:val="20"/>
                <w:szCs w:val="20"/>
              </w:rPr>
            </w:pPr>
            <w:r w:rsidRPr="00A935AA">
              <w:rPr>
                <w:sz w:val="20"/>
                <w:szCs w:val="20"/>
              </w:rPr>
              <w:tab/>
            </w:r>
            <w:r>
              <w:rPr>
                <w:sz w:val="20"/>
                <w:szCs w:val="20"/>
              </w:rPr>
              <w:t>Competition Bureau Legal Services</w:t>
            </w:r>
          </w:p>
          <w:p w:rsidR="00CB50A8" w:rsidRPr="00A935AA" w:rsidRDefault="00CB50A8" w:rsidP="00CB50A8">
            <w:pPr>
              <w:tabs>
                <w:tab w:val="left" w:pos="-1440"/>
                <w:tab w:val="left" w:pos="-720"/>
              </w:tabs>
              <w:rPr>
                <w:sz w:val="20"/>
                <w:szCs w:val="20"/>
              </w:rPr>
            </w:pPr>
          </w:p>
          <w:p w:rsidR="00CB50A8" w:rsidRPr="001456B8" w:rsidRDefault="00CB50A8" w:rsidP="00CB50A8">
            <w:pPr>
              <w:rPr>
                <w:sz w:val="20"/>
                <w:szCs w:val="20"/>
                <w:lang w:val="en-US"/>
              </w:rPr>
            </w:pPr>
            <w:r w:rsidRPr="00A935AA">
              <w:rPr>
                <w:sz w:val="20"/>
                <w:szCs w:val="20"/>
              </w:rPr>
              <w:t xml:space="preserve">FILING DATE: </w:t>
            </w:r>
            <w:r>
              <w:rPr>
                <w:sz w:val="20"/>
                <w:szCs w:val="20"/>
              </w:rPr>
              <w:t>13</w:t>
            </w:r>
            <w:r w:rsidRPr="00A935AA">
              <w:rPr>
                <w:sz w:val="20"/>
                <w:szCs w:val="20"/>
              </w:rPr>
              <w:t>.0</w:t>
            </w:r>
            <w:r>
              <w:rPr>
                <w:sz w:val="20"/>
                <w:szCs w:val="20"/>
              </w:rPr>
              <w:t>8</w:t>
            </w:r>
            <w:r w:rsidRPr="00A935AA">
              <w:rPr>
                <w:sz w:val="20"/>
                <w:szCs w:val="20"/>
              </w:rPr>
              <w:t>.201</w:t>
            </w:r>
            <w:r>
              <w:rPr>
                <w:sz w:val="20"/>
                <w:szCs w:val="20"/>
              </w:rPr>
              <w:t>5</w:t>
            </w:r>
            <w:r w:rsidR="005C6187">
              <w:rPr>
                <w:sz w:val="20"/>
                <w:szCs w:val="20"/>
                <w:lang w:val="fr-CA"/>
              </w:rPr>
              <w:pict w14:anchorId="693DCD93">
                <v:rect id="_x0000_i1034" style="width:108pt;height:1pt" o:hrpct="0" o:hralign="center" o:hrstd="t" o:hrnoshade="t" o:hr="t" fillcolor="black [3213]" stroked="f"/>
              </w:pict>
            </w:r>
          </w:p>
        </w:tc>
      </w:tr>
      <w:tr w:rsidR="00CB50A8" w:rsidRPr="00114C1D" w:rsidTr="003B3977">
        <w:trPr>
          <w:cantSplit/>
        </w:trPr>
        <w:tc>
          <w:tcPr>
            <w:tcW w:w="4320" w:type="dxa"/>
            <w:shd w:val="clear" w:color="auto" w:fill="auto"/>
          </w:tcPr>
          <w:p w:rsidR="00CB50A8" w:rsidRPr="00114C1D" w:rsidRDefault="00CB50A8" w:rsidP="00CB50A8">
            <w:pPr>
              <w:rPr>
                <w:b/>
                <w:sz w:val="20"/>
                <w:szCs w:val="20"/>
                <w:lang w:val="fr-CA"/>
              </w:rPr>
            </w:pPr>
            <w:r w:rsidRPr="00114C1D">
              <w:rPr>
                <w:b/>
                <w:sz w:val="20"/>
                <w:szCs w:val="20"/>
                <w:lang w:val="fr-CA"/>
              </w:rPr>
              <w:t>Michael Amar et al.</w:t>
            </w:r>
          </w:p>
          <w:p w:rsidR="00CB50A8" w:rsidRPr="00114C1D" w:rsidRDefault="00CB50A8" w:rsidP="00CB50A8">
            <w:pPr>
              <w:tabs>
                <w:tab w:val="left" w:pos="-1440"/>
                <w:tab w:val="left" w:pos="-720"/>
              </w:tabs>
              <w:rPr>
                <w:sz w:val="20"/>
                <w:szCs w:val="20"/>
                <w:lang w:val="fr-CA"/>
              </w:rPr>
            </w:pPr>
            <w:r w:rsidRPr="00114C1D">
              <w:rPr>
                <w:sz w:val="20"/>
                <w:szCs w:val="20"/>
                <w:lang w:val="fr-CA"/>
              </w:rPr>
              <w:tab/>
              <w:t>Michael Amar</w:t>
            </w:r>
          </w:p>
          <w:p w:rsidR="00CB50A8" w:rsidRPr="00114C1D" w:rsidRDefault="00CB50A8" w:rsidP="00CB50A8">
            <w:pPr>
              <w:tabs>
                <w:tab w:val="left" w:pos="-1440"/>
                <w:tab w:val="left" w:pos="-720"/>
              </w:tabs>
              <w:rPr>
                <w:sz w:val="20"/>
                <w:szCs w:val="20"/>
                <w:lang w:val="fr-CA"/>
              </w:rPr>
            </w:pPr>
          </w:p>
          <w:p w:rsidR="00CB50A8" w:rsidRPr="00114C1D" w:rsidRDefault="00CB50A8" w:rsidP="00CB50A8">
            <w:pPr>
              <w:tabs>
                <w:tab w:val="left" w:pos="-1440"/>
                <w:tab w:val="left" w:pos="-720"/>
              </w:tabs>
              <w:rPr>
                <w:sz w:val="20"/>
                <w:szCs w:val="20"/>
                <w:lang w:val="fr-CA"/>
              </w:rPr>
            </w:pPr>
            <w:r w:rsidRPr="00114C1D">
              <w:rPr>
                <w:sz w:val="20"/>
                <w:szCs w:val="20"/>
                <w:lang w:val="fr-CA"/>
              </w:rPr>
              <w:tab/>
              <w:t>v. (36556)</w:t>
            </w:r>
          </w:p>
          <w:p w:rsidR="00CB50A8" w:rsidRPr="00114C1D" w:rsidRDefault="00CB50A8" w:rsidP="00CB50A8">
            <w:pPr>
              <w:tabs>
                <w:tab w:val="left" w:pos="-1440"/>
                <w:tab w:val="left" w:pos="-720"/>
              </w:tabs>
              <w:rPr>
                <w:sz w:val="20"/>
                <w:szCs w:val="20"/>
                <w:lang w:val="fr-CA"/>
              </w:rPr>
            </w:pPr>
          </w:p>
          <w:p w:rsidR="00CB50A8" w:rsidRPr="00114C1D" w:rsidRDefault="00CB50A8" w:rsidP="00CB50A8">
            <w:pPr>
              <w:tabs>
                <w:tab w:val="left" w:pos="-1440"/>
                <w:tab w:val="left" w:pos="-720"/>
              </w:tabs>
              <w:rPr>
                <w:b/>
                <w:sz w:val="20"/>
                <w:szCs w:val="20"/>
                <w:lang w:val="fr-CA"/>
              </w:rPr>
            </w:pPr>
            <w:r w:rsidRPr="00114C1D">
              <w:rPr>
                <w:b/>
                <w:sz w:val="20"/>
                <w:szCs w:val="20"/>
                <w:lang w:val="fr-CA"/>
              </w:rPr>
              <w:t>Société des loteries du Québec (Q</w:t>
            </w:r>
            <w:r>
              <w:rPr>
                <w:b/>
                <w:sz w:val="20"/>
                <w:szCs w:val="20"/>
                <w:lang w:val="fr-CA"/>
              </w:rPr>
              <w:t>ue.</w:t>
            </w:r>
            <w:r w:rsidRPr="00114C1D">
              <w:rPr>
                <w:b/>
                <w:sz w:val="20"/>
                <w:szCs w:val="20"/>
                <w:lang w:val="fr-CA"/>
              </w:rPr>
              <w:t>)</w:t>
            </w:r>
          </w:p>
          <w:p w:rsidR="00CB50A8" w:rsidRPr="00114C1D" w:rsidRDefault="00CB50A8" w:rsidP="00CB50A8">
            <w:pPr>
              <w:tabs>
                <w:tab w:val="left" w:pos="-1440"/>
                <w:tab w:val="left" w:pos="-720"/>
              </w:tabs>
              <w:rPr>
                <w:sz w:val="20"/>
                <w:szCs w:val="20"/>
                <w:lang w:val="en-US"/>
              </w:rPr>
            </w:pPr>
            <w:r w:rsidRPr="00114C1D">
              <w:rPr>
                <w:sz w:val="20"/>
                <w:szCs w:val="20"/>
                <w:lang w:val="fr-CA"/>
              </w:rPr>
              <w:tab/>
            </w:r>
            <w:r w:rsidRPr="00114C1D">
              <w:rPr>
                <w:sz w:val="20"/>
                <w:szCs w:val="20"/>
                <w:lang w:val="en-US"/>
              </w:rPr>
              <w:t>Oliver F. Kott</w:t>
            </w:r>
          </w:p>
          <w:p w:rsidR="00CB50A8" w:rsidRPr="00114C1D" w:rsidRDefault="00CB50A8" w:rsidP="00CB50A8">
            <w:pPr>
              <w:tabs>
                <w:tab w:val="left" w:pos="-1440"/>
                <w:tab w:val="left" w:pos="-720"/>
              </w:tabs>
              <w:rPr>
                <w:sz w:val="20"/>
                <w:szCs w:val="20"/>
                <w:lang w:val="en-US"/>
              </w:rPr>
            </w:pPr>
            <w:r w:rsidRPr="00114C1D">
              <w:rPr>
                <w:sz w:val="20"/>
                <w:szCs w:val="20"/>
                <w:lang w:val="en-US"/>
              </w:rPr>
              <w:tab/>
              <w:t>Norton Rose Fulbright Canada LLP</w:t>
            </w:r>
          </w:p>
          <w:p w:rsidR="00CB50A8" w:rsidRPr="00CB50A8" w:rsidRDefault="00CB50A8" w:rsidP="00CB50A8">
            <w:pPr>
              <w:tabs>
                <w:tab w:val="left" w:pos="-1440"/>
                <w:tab w:val="left" w:pos="-720"/>
              </w:tabs>
              <w:rPr>
                <w:sz w:val="20"/>
                <w:szCs w:val="20"/>
                <w:lang w:val="en-US"/>
              </w:rPr>
            </w:pPr>
          </w:p>
          <w:p w:rsidR="00CB50A8" w:rsidRPr="00A935AA" w:rsidRDefault="00CB50A8" w:rsidP="00CB50A8">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8</w:t>
            </w:r>
            <w:r w:rsidRPr="00A935AA">
              <w:rPr>
                <w:sz w:val="20"/>
                <w:szCs w:val="20"/>
              </w:rPr>
              <w:t>.201</w:t>
            </w:r>
            <w:r>
              <w:rPr>
                <w:sz w:val="20"/>
                <w:szCs w:val="20"/>
              </w:rPr>
              <w:t>5</w:t>
            </w:r>
            <w:r w:rsidR="005C6187">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p w:rsidR="00CB50A8" w:rsidRPr="00A935AA" w:rsidRDefault="00CB50A8" w:rsidP="00CB50A8">
            <w:pPr>
              <w:jc w:val="center"/>
              <w:rPr>
                <w:sz w:val="20"/>
                <w:szCs w:val="20"/>
              </w:rPr>
            </w:pPr>
          </w:p>
        </w:tc>
        <w:tc>
          <w:tcPr>
            <w:tcW w:w="4320" w:type="dxa"/>
            <w:shd w:val="clear" w:color="auto" w:fill="auto"/>
          </w:tcPr>
          <w:p w:rsidR="00CB50A8" w:rsidRPr="00114C1D" w:rsidRDefault="00CB50A8" w:rsidP="00CB50A8">
            <w:pPr>
              <w:rPr>
                <w:sz w:val="20"/>
                <w:szCs w:val="20"/>
                <w:lang w:val="fr-CA"/>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A5FE9">
          <w:headerReference w:type="default" r:id="rId16"/>
          <w:footerReference w:type="default" r:id="rId17"/>
          <w:headerReference w:type="first" r:id="rId18"/>
          <w:footerReference w:type="first" r:id="rId19"/>
          <w:pgSz w:w="12240" w:h="15840"/>
          <w:pgMar w:top="720" w:right="965" w:bottom="1080" w:left="1656" w:header="706" w:footer="706" w:gutter="0"/>
          <w:pgNumType w:start="127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C618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A236F" w:rsidP="00CB3520">
      <w:pPr>
        <w:widowControl w:val="0"/>
        <w:rPr>
          <w:b/>
          <w:sz w:val="20"/>
          <w:szCs w:val="20"/>
        </w:rPr>
      </w:pPr>
      <w:r>
        <w:rPr>
          <w:b/>
          <w:sz w:val="20"/>
          <w:szCs w:val="20"/>
        </w:rPr>
        <w:t>SEPTEMBER 2</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2 SEP</w:t>
      </w:r>
      <w:r w:rsidR="00183C0E">
        <w:rPr>
          <w:b/>
          <w:sz w:val="20"/>
          <w:szCs w:val="20"/>
        </w:rPr>
        <w:t>T</w:t>
      </w:r>
      <w:r>
        <w:rPr>
          <w:b/>
          <w:sz w:val="20"/>
          <w:szCs w:val="20"/>
        </w:rPr>
        <w:t>EMBRE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280961">
        <w:rPr>
          <w:b/>
          <w:sz w:val="20"/>
          <w:szCs w:val="20"/>
        </w:rPr>
        <w:t>Mold</w:t>
      </w:r>
      <w:r w:rsidR="00FA3373">
        <w:rPr>
          <w:b/>
          <w:sz w:val="20"/>
          <w:szCs w:val="20"/>
        </w:rPr>
        <w:t>a</w:t>
      </w:r>
      <w:r w:rsidR="00280961">
        <w:rPr>
          <w:b/>
          <w:sz w:val="20"/>
          <w:szCs w:val="20"/>
        </w:rPr>
        <w:t>v</w:t>
      </w:r>
      <w:r w:rsidR="00FA3373">
        <w:rPr>
          <w:b/>
          <w:sz w:val="20"/>
          <w:szCs w:val="20"/>
        </w:rPr>
        <w:t>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280961">
        <w:rPr>
          <w:b/>
          <w:sz w:val="20"/>
          <w:szCs w:val="20"/>
          <w:lang w:val="fr-CA"/>
        </w:rPr>
        <w:t>Mold</w:t>
      </w:r>
      <w:r w:rsidR="00FA3373">
        <w:rPr>
          <w:b/>
          <w:sz w:val="20"/>
          <w:szCs w:val="20"/>
          <w:lang w:val="fr-CA"/>
        </w:rPr>
        <w:t>a</w:t>
      </w:r>
      <w:r w:rsidR="00280961">
        <w:rPr>
          <w:b/>
          <w:sz w:val="20"/>
          <w:szCs w:val="20"/>
          <w:lang w:val="fr-CA"/>
        </w:rPr>
        <w:t>v</w:t>
      </w:r>
      <w:r w:rsidR="00FA3373">
        <w:rPr>
          <w:b/>
          <w:sz w:val="20"/>
          <w:szCs w:val="20"/>
          <w:lang w:val="fr-CA"/>
        </w:rPr>
        <w:t>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280961" w:rsidP="00CB3520">
      <w:pPr>
        <w:pStyle w:val="ListParagraph"/>
        <w:widowControl w:val="0"/>
        <w:numPr>
          <w:ilvl w:val="0"/>
          <w:numId w:val="1"/>
        </w:numPr>
        <w:ind w:hanging="720"/>
        <w:jc w:val="both"/>
        <w:rPr>
          <w:sz w:val="20"/>
          <w:szCs w:val="20"/>
        </w:rPr>
      </w:pPr>
      <w:r w:rsidRPr="00280961">
        <w:rPr>
          <w:i/>
          <w:sz w:val="20"/>
          <w:szCs w:val="20"/>
        </w:rPr>
        <w:t>David Carl Sunshine v. Her Majesty the Queen</w:t>
      </w:r>
      <w:r w:rsidRPr="00280961">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430</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280961" w:rsidP="00CB3520">
      <w:pPr>
        <w:pStyle w:val="ListParagraph"/>
        <w:widowControl w:val="0"/>
        <w:numPr>
          <w:ilvl w:val="0"/>
          <w:numId w:val="1"/>
        </w:numPr>
        <w:ind w:hanging="720"/>
        <w:jc w:val="both"/>
        <w:rPr>
          <w:sz w:val="20"/>
          <w:szCs w:val="20"/>
        </w:rPr>
      </w:pPr>
      <w:r w:rsidRPr="00280961">
        <w:rPr>
          <w:i/>
          <w:sz w:val="20"/>
          <w:szCs w:val="20"/>
        </w:rPr>
        <w:t>Mary Ellen Rose v. Her Majesty the Queen in right of the Province of New Brunswick et al.</w:t>
      </w:r>
      <w:r w:rsidRPr="00280961">
        <w:rPr>
          <w:sz w:val="20"/>
          <w:szCs w:val="20"/>
        </w:rPr>
        <w:t xml:space="preserve"> (N.B.) (Civil) (By</w:t>
      </w:r>
      <w:r>
        <w:rPr>
          <w:sz w:val="20"/>
          <w:szCs w:val="20"/>
        </w:rPr>
        <w:t> </w:t>
      </w:r>
      <w:r w:rsidRPr="00280961">
        <w:rPr>
          <w:sz w:val="20"/>
          <w:szCs w:val="20"/>
        </w:rPr>
        <w:t>Leave)</w:t>
      </w:r>
      <w:r w:rsidRPr="00C612D0">
        <w:rPr>
          <w:sz w:val="20"/>
          <w:szCs w:val="20"/>
        </w:rPr>
        <w:t xml:space="preserve"> </w:t>
      </w:r>
      <w:r w:rsidR="00CB3520" w:rsidRPr="00C612D0">
        <w:rPr>
          <w:sz w:val="20"/>
          <w:szCs w:val="20"/>
        </w:rPr>
        <w:t>(3</w:t>
      </w:r>
      <w:r w:rsidR="00CB3520">
        <w:rPr>
          <w:sz w:val="20"/>
          <w:szCs w:val="20"/>
        </w:rPr>
        <w:t>6</w:t>
      </w:r>
      <w:r>
        <w:rPr>
          <w:sz w:val="20"/>
          <w:szCs w:val="20"/>
        </w:rPr>
        <w:t>4</w:t>
      </w:r>
      <w:r w:rsidR="00CB3520">
        <w:rPr>
          <w:sz w:val="20"/>
          <w:szCs w:val="20"/>
        </w:rPr>
        <w:t>8</w:t>
      </w:r>
      <w:r>
        <w:rPr>
          <w:sz w:val="20"/>
          <w:szCs w:val="20"/>
        </w:rPr>
        <w:t>6</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280961" w:rsidP="00CB3520">
      <w:pPr>
        <w:pStyle w:val="ListParagraph"/>
        <w:widowControl w:val="0"/>
        <w:numPr>
          <w:ilvl w:val="0"/>
          <w:numId w:val="1"/>
        </w:numPr>
        <w:ind w:hanging="720"/>
        <w:jc w:val="both"/>
        <w:rPr>
          <w:sz w:val="20"/>
          <w:szCs w:val="20"/>
        </w:rPr>
      </w:pPr>
      <w:r w:rsidRPr="00280961">
        <w:rPr>
          <w:i/>
          <w:sz w:val="20"/>
          <w:szCs w:val="20"/>
        </w:rPr>
        <w:t>Blair Coady v. Quadrangle Holdings Limited</w:t>
      </w:r>
      <w:r w:rsidRPr="00280961">
        <w:rPr>
          <w:sz w:val="20"/>
          <w:szCs w:val="20"/>
        </w:rPr>
        <w:t xml:space="preserve"> (N.S.) (Civil) (By Leave)</w:t>
      </w:r>
      <w:r w:rsidRPr="00940CAD">
        <w:rPr>
          <w:sz w:val="20"/>
          <w:szCs w:val="20"/>
        </w:rPr>
        <w:t xml:space="preserve"> </w:t>
      </w:r>
      <w:r w:rsidR="00CB3520" w:rsidRPr="00940CAD">
        <w:rPr>
          <w:sz w:val="20"/>
          <w:szCs w:val="20"/>
        </w:rPr>
        <w:t>(3</w:t>
      </w:r>
      <w:r>
        <w:rPr>
          <w:sz w:val="20"/>
          <w:szCs w:val="20"/>
        </w:rPr>
        <w:t>6378</w:t>
      </w:r>
      <w:r w:rsidR="00CB3520" w:rsidRPr="00940CAD">
        <w:rPr>
          <w:sz w:val="20"/>
          <w:szCs w:val="20"/>
        </w:rPr>
        <w:t>)</w:t>
      </w:r>
    </w:p>
    <w:p w:rsidR="00CB3520" w:rsidRPr="00C50A5C" w:rsidRDefault="00CB3520" w:rsidP="00CB3520">
      <w:pPr>
        <w:widowControl w:val="0"/>
        <w:rPr>
          <w:sz w:val="20"/>
          <w:szCs w:val="20"/>
        </w:rPr>
      </w:pPr>
    </w:p>
    <w:p w:rsidR="00CB3520" w:rsidRPr="00C50A5C" w:rsidRDefault="00280961" w:rsidP="00CB3520">
      <w:pPr>
        <w:pStyle w:val="ListParagraph"/>
        <w:widowControl w:val="0"/>
        <w:numPr>
          <w:ilvl w:val="0"/>
          <w:numId w:val="1"/>
        </w:numPr>
        <w:ind w:hanging="720"/>
        <w:jc w:val="both"/>
        <w:rPr>
          <w:sz w:val="20"/>
          <w:szCs w:val="20"/>
        </w:rPr>
      </w:pPr>
      <w:r w:rsidRPr="00280961">
        <w:rPr>
          <w:i/>
          <w:sz w:val="20"/>
          <w:szCs w:val="20"/>
        </w:rPr>
        <w:t>Reza Chowdhury v. Tina Argenti et al.</w:t>
      </w:r>
      <w:r w:rsidRPr="00280961">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6</w:t>
      </w:r>
      <w:r>
        <w:rPr>
          <w:sz w:val="20"/>
          <w:szCs w:val="20"/>
        </w:rPr>
        <w:t>5</w:t>
      </w:r>
      <w:r w:rsidR="00CB3520">
        <w:rPr>
          <w:sz w:val="20"/>
          <w:szCs w:val="20"/>
        </w:rPr>
        <w:t>0</w:t>
      </w:r>
      <w:r>
        <w:rPr>
          <w:sz w:val="20"/>
          <w:szCs w:val="20"/>
        </w:rPr>
        <w:t>7</w:t>
      </w:r>
      <w:r w:rsidR="00CB3520" w:rsidRPr="00C50A5C">
        <w:rPr>
          <w:sz w:val="20"/>
          <w:szCs w:val="20"/>
        </w:rPr>
        <w:t>)</w:t>
      </w:r>
    </w:p>
    <w:p w:rsidR="00CB3520" w:rsidRDefault="00CB3520" w:rsidP="00CB3520">
      <w:pPr>
        <w:widowControl w:val="0"/>
        <w:jc w:val="both"/>
        <w:rPr>
          <w:sz w:val="20"/>
          <w:szCs w:val="20"/>
        </w:rPr>
      </w:pPr>
    </w:p>
    <w:p w:rsidR="00280961" w:rsidRDefault="00280961" w:rsidP="00CB3520">
      <w:pPr>
        <w:widowControl w:val="0"/>
        <w:jc w:val="both"/>
        <w:rPr>
          <w:sz w:val="20"/>
          <w:szCs w:val="20"/>
        </w:rPr>
      </w:pPr>
    </w:p>
    <w:p w:rsidR="00280961" w:rsidRPr="00280961" w:rsidRDefault="00280961" w:rsidP="00280961">
      <w:pPr>
        <w:widowControl w:val="0"/>
        <w:jc w:val="center"/>
        <w:rPr>
          <w:b/>
          <w:sz w:val="20"/>
          <w:szCs w:val="20"/>
          <w:lang w:val="en-US"/>
        </w:rPr>
      </w:pPr>
      <w:r w:rsidRPr="00280961">
        <w:rPr>
          <w:b/>
          <w:sz w:val="20"/>
          <w:szCs w:val="20"/>
          <w:lang w:val="en-US"/>
        </w:rPr>
        <w:t>CORAM: Abella, Karakatsanis and Brown JJ.</w:t>
      </w:r>
    </w:p>
    <w:p w:rsidR="00280961" w:rsidRPr="00C50A5C" w:rsidRDefault="00280961" w:rsidP="00280961">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Brown</w:t>
      </w:r>
    </w:p>
    <w:p w:rsidR="00280961" w:rsidRPr="00280961" w:rsidRDefault="00280961" w:rsidP="00CB3520">
      <w:pPr>
        <w:widowControl w:val="0"/>
        <w:jc w:val="both"/>
        <w:rPr>
          <w:sz w:val="20"/>
          <w:szCs w:val="20"/>
          <w:lang w:val="fr-CA"/>
        </w:rPr>
      </w:pPr>
    </w:p>
    <w:p w:rsidR="00CB3520" w:rsidRPr="00280961" w:rsidRDefault="00280961" w:rsidP="00CB3520">
      <w:pPr>
        <w:pStyle w:val="ListParagraph"/>
        <w:widowControl w:val="0"/>
        <w:numPr>
          <w:ilvl w:val="0"/>
          <w:numId w:val="1"/>
        </w:numPr>
        <w:ind w:hanging="720"/>
        <w:jc w:val="both"/>
        <w:rPr>
          <w:sz w:val="20"/>
          <w:szCs w:val="20"/>
          <w:lang w:val="fr-CA"/>
        </w:rPr>
      </w:pPr>
      <w:r w:rsidRPr="00280961">
        <w:rPr>
          <w:i/>
          <w:sz w:val="20"/>
          <w:szCs w:val="20"/>
          <w:lang w:val="fr-CA"/>
        </w:rPr>
        <w:t>Procureure générale du Québec et autre c. Syndicat des enseignants du CÉGEP de Shawinigan (FNEEQ-CSN) et autre</w:t>
      </w:r>
      <w:r w:rsidRPr="00280961">
        <w:rPr>
          <w:sz w:val="20"/>
          <w:szCs w:val="20"/>
          <w:lang w:val="fr-CA"/>
        </w:rPr>
        <w:t xml:space="preserve"> (Qc) (Civile) (Autorisation) </w:t>
      </w:r>
      <w:r w:rsidR="00CB3520" w:rsidRPr="00280961">
        <w:rPr>
          <w:sz w:val="20"/>
          <w:szCs w:val="20"/>
          <w:lang w:val="fr-CA"/>
        </w:rPr>
        <w:t>(3</w:t>
      </w:r>
      <w:r w:rsidRPr="00280961">
        <w:rPr>
          <w:sz w:val="20"/>
          <w:szCs w:val="20"/>
          <w:lang w:val="fr-CA"/>
        </w:rPr>
        <w:t>6409</w:t>
      </w:r>
      <w:r w:rsidR="00CB3520" w:rsidRPr="00280961">
        <w:rPr>
          <w:sz w:val="20"/>
          <w:szCs w:val="20"/>
          <w:lang w:val="fr-CA"/>
        </w:rPr>
        <w:t>)</w:t>
      </w:r>
    </w:p>
    <w:p w:rsidR="00CB3520" w:rsidRPr="00C16CB3" w:rsidRDefault="00CB3520" w:rsidP="00CB3520">
      <w:pPr>
        <w:widowControl w:val="0"/>
        <w:jc w:val="both"/>
        <w:rPr>
          <w:sz w:val="20"/>
          <w:szCs w:val="20"/>
          <w:lang w:val="fr-CA"/>
        </w:rPr>
      </w:pPr>
    </w:p>
    <w:p w:rsidR="00CB3520" w:rsidRPr="00280961" w:rsidRDefault="00280961" w:rsidP="00CB3520">
      <w:pPr>
        <w:pStyle w:val="ListParagraph"/>
        <w:widowControl w:val="0"/>
        <w:numPr>
          <w:ilvl w:val="0"/>
          <w:numId w:val="1"/>
        </w:numPr>
        <w:ind w:hanging="720"/>
        <w:jc w:val="both"/>
        <w:rPr>
          <w:sz w:val="20"/>
          <w:szCs w:val="20"/>
          <w:lang w:val="en-US"/>
        </w:rPr>
      </w:pPr>
      <w:r w:rsidRPr="00280961">
        <w:rPr>
          <w:i/>
          <w:sz w:val="20"/>
          <w:szCs w:val="20"/>
        </w:rPr>
        <w:t>Garth Mann et al. v. Bennett Jones LLP</w:t>
      </w:r>
      <w:r w:rsidRPr="00280961">
        <w:rPr>
          <w:sz w:val="20"/>
          <w:szCs w:val="20"/>
        </w:rPr>
        <w:t xml:space="preserve"> (Alta.) (Civil) (By Leave)</w:t>
      </w:r>
      <w:r w:rsidRPr="00280961">
        <w:rPr>
          <w:sz w:val="20"/>
          <w:szCs w:val="20"/>
          <w:lang w:val="en-US"/>
        </w:rPr>
        <w:t xml:space="preserve"> </w:t>
      </w:r>
      <w:r w:rsidR="00CB3520" w:rsidRPr="00280961">
        <w:rPr>
          <w:sz w:val="20"/>
          <w:szCs w:val="20"/>
          <w:lang w:val="en-US"/>
        </w:rPr>
        <w:t>(36</w:t>
      </w:r>
      <w:r w:rsidRPr="00280961">
        <w:rPr>
          <w:sz w:val="20"/>
          <w:szCs w:val="20"/>
          <w:lang w:val="en-US"/>
        </w:rPr>
        <w:t>49</w:t>
      </w:r>
      <w:r w:rsidR="00CB3520" w:rsidRPr="00280961">
        <w:rPr>
          <w:sz w:val="20"/>
          <w:szCs w:val="20"/>
          <w:lang w:val="en-US"/>
        </w:rPr>
        <w:t>3)</w:t>
      </w:r>
    </w:p>
    <w:p w:rsidR="00CB3520" w:rsidRPr="00280961" w:rsidRDefault="00CB3520" w:rsidP="00CB3520">
      <w:pPr>
        <w:widowControl w:val="0"/>
        <w:jc w:val="both"/>
        <w:rPr>
          <w:sz w:val="20"/>
          <w:szCs w:val="20"/>
          <w:lang w:val="en-US"/>
        </w:rPr>
      </w:pPr>
    </w:p>
    <w:p w:rsidR="00CB3520" w:rsidRPr="009C5D38" w:rsidRDefault="00280961" w:rsidP="00CB3520">
      <w:pPr>
        <w:pStyle w:val="ListParagraph"/>
        <w:widowControl w:val="0"/>
        <w:numPr>
          <w:ilvl w:val="0"/>
          <w:numId w:val="1"/>
        </w:numPr>
        <w:ind w:hanging="720"/>
        <w:jc w:val="both"/>
        <w:rPr>
          <w:sz w:val="20"/>
          <w:szCs w:val="20"/>
        </w:rPr>
      </w:pPr>
      <w:r w:rsidRPr="00280961">
        <w:rPr>
          <w:i/>
          <w:sz w:val="20"/>
          <w:szCs w:val="20"/>
        </w:rPr>
        <w:t>Denise Garneau v. Industrial Alliance Insurance and Financial Services Inc.</w:t>
      </w:r>
      <w:r w:rsidRPr="00280961">
        <w:rPr>
          <w:sz w:val="20"/>
          <w:szCs w:val="20"/>
        </w:rPr>
        <w:t xml:space="preserve"> (Ont.) (Civil) (By Leave)</w:t>
      </w:r>
      <w:r w:rsidRPr="009C5D38">
        <w:rPr>
          <w:sz w:val="20"/>
          <w:szCs w:val="20"/>
        </w:rPr>
        <w:t xml:space="preserve"> </w:t>
      </w:r>
      <w:r w:rsidR="00CB3520" w:rsidRPr="009C5D38">
        <w:rPr>
          <w:sz w:val="20"/>
          <w:szCs w:val="20"/>
        </w:rPr>
        <w:t>(36</w:t>
      </w:r>
      <w:r>
        <w:rPr>
          <w:sz w:val="20"/>
          <w:szCs w:val="20"/>
        </w:rPr>
        <w:t>474</w:t>
      </w:r>
      <w:r w:rsidR="00CB3520" w:rsidRPr="009C5D38">
        <w:rPr>
          <w:sz w:val="20"/>
          <w:szCs w:val="20"/>
        </w:rPr>
        <w:t>)</w:t>
      </w:r>
    </w:p>
    <w:p w:rsidR="00CB3520" w:rsidRDefault="00CB3520" w:rsidP="00CB3520">
      <w:pPr>
        <w:widowControl w:val="0"/>
        <w:jc w:val="both"/>
        <w:rPr>
          <w:sz w:val="20"/>
          <w:szCs w:val="20"/>
        </w:rPr>
      </w:pPr>
    </w:p>
    <w:p w:rsidR="00280961" w:rsidRDefault="00280961" w:rsidP="00CB3520">
      <w:pPr>
        <w:widowControl w:val="0"/>
        <w:jc w:val="both"/>
        <w:rPr>
          <w:sz w:val="20"/>
          <w:szCs w:val="20"/>
        </w:rPr>
      </w:pPr>
    </w:p>
    <w:p w:rsidR="00280961" w:rsidRPr="00C50A5C" w:rsidRDefault="00280961" w:rsidP="00280961">
      <w:pPr>
        <w:widowControl w:val="0"/>
        <w:jc w:val="center"/>
        <w:rPr>
          <w:b/>
          <w:sz w:val="20"/>
          <w:szCs w:val="20"/>
        </w:rPr>
      </w:pPr>
      <w:r w:rsidRPr="00C50A5C">
        <w:rPr>
          <w:b/>
          <w:sz w:val="20"/>
          <w:szCs w:val="20"/>
        </w:rPr>
        <w:t xml:space="preserve">CORAM: </w:t>
      </w:r>
      <w:r>
        <w:rPr>
          <w:b/>
          <w:sz w:val="20"/>
          <w:szCs w:val="20"/>
        </w:rPr>
        <w:t xml:space="preserve">Cromwell, Wagner </w:t>
      </w:r>
      <w:r w:rsidRPr="00C50A5C">
        <w:rPr>
          <w:b/>
          <w:sz w:val="20"/>
          <w:szCs w:val="20"/>
        </w:rPr>
        <w:t xml:space="preserve">and </w:t>
      </w:r>
      <w:r>
        <w:rPr>
          <w:b/>
          <w:sz w:val="20"/>
          <w:szCs w:val="20"/>
        </w:rPr>
        <w:t>Côté</w:t>
      </w:r>
      <w:r w:rsidRPr="00C50A5C">
        <w:rPr>
          <w:b/>
          <w:sz w:val="20"/>
          <w:szCs w:val="20"/>
        </w:rPr>
        <w:t xml:space="preserve"> JJ.</w:t>
      </w:r>
    </w:p>
    <w:p w:rsidR="00280961" w:rsidRPr="00C50A5C" w:rsidRDefault="00280961" w:rsidP="00280961">
      <w:pPr>
        <w:widowControl w:val="0"/>
        <w:jc w:val="center"/>
        <w:rPr>
          <w:b/>
          <w:sz w:val="20"/>
          <w:szCs w:val="20"/>
          <w:lang w:val="fr-CA"/>
        </w:rPr>
      </w:pPr>
      <w:r w:rsidRPr="00C50A5C">
        <w:rPr>
          <w:b/>
          <w:sz w:val="20"/>
          <w:szCs w:val="20"/>
          <w:lang w:val="fr-CA"/>
        </w:rPr>
        <w:t xml:space="preserve">Les juges </w:t>
      </w:r>
      <w:r>
        <w:rPr>
          <w:b/>
          <w:sz w:val="20"/>
          <w:szCs w:val="20"/>
          <w:lang w:val="fr-CA"/>
        </w:rPr>
        <w:t>Cromwell, Wagner et Côté</w:t>
      </w:r>
    </w:p>
    <w:p w:rsidR="00280961" w:rsidRPr="00280961" w:rsidRDefault="00280961" w:rsidP="00CB3520">
      <w:pPr>
        <w:widowControl w:val="0"/>
        <w:jc w:val="both"/>
        <w:rPr>
          <w:sz w:val="20"/>
          <w:szCs w:val="20"/>
          <w:lang w:val="fr-CA"/>
        </w:rPr>
      </w:pPr>
    </w:p>
    <w:p w:rsidR="00CB3520" w:rsidRPr="00280961" w:rsidRDefault="00280961" w:rsidP="00CB3520">
      <w:pPr>
        <w:pStyle w:val="ListParagraph"/>
        <w:widowControl w:val="0"/>
        <w:numPr>
          <w:ilvl w:val="0"/>
          <w:numId w:val="1"/>
        </w:numPr>
        <w:ind w:hanging="720"/>
        <w:jc w:val="both"/>
        <w:rPr>
          <w:sz w:val="20"/>
          <w:szCs w:val="20"/>
          <w:lang w:val="en-US"/>
        </w:rPr>
      </w:pPr>
      <w:r w:rsidRPr="00280961">
        <w:rPr>
          <w:i/>
          <w:sz w:val="20"/>
          <w:szCs w:val="20"/>
        </w:rPr>
        <w:t>Kai Guo Huang a.k.a. Yu Chen v. Attorney General of Canada on behalf of the United States of America</w:t>
      </w:r>
      <w:r w:rsidRPr="00280961">
        <w:rPr>
          <w:sz w:val="20"/>
          <w:szCs w:val="20"/>
        </w:rPr>
        <w:t xml:space="preserve"> (Ont.) (Crim</w:t>
      </w:r>
      <w:r w:rsidR="00B36DD1">
        <w:rPr>
          <w:sz w:val="20"/>
          <w:szCs w:val="20"/>
        </w:rPr>
        <w:t>.</w:t>
      </w:r>
      <w:r w:rsidRPr="00280961">
        <w:rPr>
          <w:sz w:val="20"/>
          <w:szCs w:val="20"/>
        </w:rPr>
        <w:t>) (By Leave)</w:t>
      </w:r>
      <w:r w:rsidRPr="00280961">
        <w:rPr>
          <w:sz w:val="20"/>
          <w:szCs w:val="20"/>
          <w:lang w:val="en-US"/>
        </w:rPr>
        <w:t xml:space="preserve"> </w:t>
      </w:r>
      <w:r w:rsidR="00CB3520" w:rsidRPr="00280961">
        <w:rPr>
          <w:sz w:val="20"/>
          <w:szCs w:val="20"/>
          <w:lang w:val="en-US"/>
        </w:rPr>
        <w:t>(36</w:t>
      </w:r>
      <w:r w:rsidRPr="00280961">
        <w:rPr>
          <w:sz w:val="20"/>
          <w:szCs w:val="20"/>
          <w:lang w:val="en-US"/>
        </w:rPr>
        <w:t>433</w:t>
      </w:r>
      <w:r w:rsidR="00CB3520" w:rsidRPr="00280961">
        <w:rPr>
          <w:sz w:val="20"/>
          <w:szCs w:val="20"/>
          <w:lang w:val="en-US"/>
        </w:rPr>
        <w:t>)</w:t>
      </w:r>
    </w:p>
    <w:p w:rsidR="00CB3520" w:rsidRPr="00280961" w:rsidRDefault="00CB3520" w:rsidP="00CB3520">
      <w:pPr>
        <w:widowControl w:val="0"/>
        <w:rPr>
          <w:sz w:val="20"/>
          <w:szCs w:val="20"/>
          <w:lang w:val="en-US"/>
        </w:rPr>
      </w:pPr>
    </w:p>
    <w:p w:rsidR="00CB3520" w:rsidRPr="00280961" w:rsidRDefault="00280961" w:rsidP="00CB3520">
      <w:pPr>
        <w:pStyle w:val="ListParagraph"/>
        <w:widowControl w:val="0"/>
        <w:numPr>
          <w:ilvl w:val="0"/>
          <w:numId w:val="1"/>
        </w:numPr>
        <w:ind w:hanging="720"/>
        <w:jc w:val="both"/>
        <w:rPr>
          <w:sz w:val="20"/>
          <w:szCs w:val="20"/>
          <w:lang w:val="en-US"/>
        </w:rPr>
      </w:pPr>
      <w:r w:rsidRPr="00280961">
        <w:rPr>
          <w:i/>
          <w:sz w:val="20"/>
          <w:szCs w:val="20"/>
        </w:rPr>
        <w:t>Jacqueline Reid v. Paul Gillingham</w:t>
      </w:r>
      <w:r w:rsidRPr="00280961">
        <w:rPr>
          <w:sz w:val="20"/>
          <w:szCs w:val="20"/>
        </w:rPr>
        <w:t xml:space="preserve"> (N.B.) (Civil) (By Leave)</w:t>
      </w:r>
      <w:r w:rsidRPr="00280961">
        <w:rPr>
          <w:sz w:val="20"/>
          <w:szCs w:val="20"/>
          <w:lang w:val="en-US"/>
        </w:rPr>
        <w:t xml:space="preserve"> </w:t>
      </w:r>
      <w:r w:rsidR="00CB3520" w:rsidRPr="00280961">
        <w:rPr>
          <w:sz w:val="20"/>
          <w:szCs w:val="20"/>
          <w:lang w:val="en-US"/>
        </w:rPr>
        <w:t>(36</w:t>
      </w:r>
      <w:r w:rsidRPr="00280961">
        <w:rPr>
          <w:sz w:val="20"/>
          <w:szCs w:val="20"/>
          <w:lang w:val="en-US"/>
        </w:rPr>
        <w:t>485)</w:t>
      </w:r>
    </w:p>
    <w:p w:rsidR="00CB3520" w:rsidRPr="00280961" w:rsidRDefault="00CB3520" w:rsidP="00CB3520">
      <w:pPr>
        <w:widowControl w:val="0"/>
        <w:jc w:val="both"/>
        <w:rPr>
          <w:sz w:val="20"/>
          <w:szCs w:val="20"/>
          <w:lang w:val="en-US"/>
        </w:rPr>
      </w:pPr>
    </w:p>
    <w:p w:rsidR="00CB3520" w:rsidRPr="00115C9E" w:rsidRDefault="00280961" w:rsidP="00CB3520">
      <w:pPr>
        <w:pStyle w:val="ListParagraph"/>
        <w:widowControl w:val="0"/>
        <w:numPr>
          <w:ilvl w:val="0"/>
          <w:numId w:val="1"/>
        </w:numPr>
        <w:ind w:hanging="720"/>
        <w:jc w:val="both"/>
        <w:rPr>
          <w:sz w:val="20"/>
          <w:szCs w:val="20"/>
        </w:rPr>
      </w:pPr>
      <w:r w:rsidRPr="00280961">
        <w:rPr>
          <w:i/>
          <w:sz w:val="20"/>
          <w:szCs w:val="20"/>
        </w:rPr>
        <w:t>Katherine Lin v. William Rock et al.</w:t>
      </w:r>
      <w:r w:rsidRPr="00280961">
        <w:rPr>
          <w:sz w:val="20"/>
          <w:szCs w:val="20"/>
        </w:rPr>
        <w:t xml:space="preserve"> (Ont.) (Civil) (By Leave)</w:t>
      </w:r>
      <w:r w:rsidRPr="00115C9E">
        <w:rPr>
          <w:sz w:val="20"/>
          <w:szCs w:val="20"/>
        </w:rPr>
        <w:t xml:space="preserve"> </w:t>
      </w:r>
      <w:r w:rsidR="00CB3520" w:rsidRPr="00115C9E">
        <w:rPr>
          <w:sz w:val="20"/>
          <w:szCs w:val="20"/>
        </w:rPr>
        <w:t>(3</w:t>
      </w:r>
      <w:r>
        <w:rPr>
          <w:sz w:val="20"/>
          <w:szCs w:val="20"/>
        </w:rPr>
        <w:t>6</w:t>
      </w:r>
      <w:r w:rsidR="00CB3520">
        <w:rPr>
          <w:sz w:val="20"/>
          <w:szCs w:val="20"/>
        </w:rPr>
        <w:t>5</w:t>
      </w:r>
      <w:r w:rsidR="00CB3520" w:rsidRPr="00115C9E">
        <w:rPr>
          <w:sz w:val="20"/>
          <w:szCs w:val="20"/>
        </w:rPr>
        <w:t>4</w:t>
      </w:r>
      <w:r>
        <w:rPr>
          <w:sz w:val="20"/>
          <w:szCs w:val="20"/>
        </w:rPr>
        <w:t>3</w:t>
      </w:r>
      <w:r w:rsidR="00CB3520" w:rsidRPr="00115C9E">
        <w:rPr>
          <w:sz w:val="20"/>
          <w:szCs w:val="20"/>
        </w:rPr>
        <w:t>)</w:t>
      </w:r>
    </w:p>
    <w:p w:rsidR="00CB3520" w:rsidRPr="00280961" w:rsidRDefault="00CB3520" w:rsidP="00CB3520">
      <w:pPr>
        <w:widowControl w:val="0"/>
        <w:jc w:val="both"/>
        <w:rPr>
          <w:sz w:val="20"/>
          <w:szCs w:val="20"/>
          <w:lang w:val="en-US"/>
        </w:rPr>
      </w:pPr>
    </w:p>
    <w:p w:rsidR="00CB3520" w:rsidRPr="00115C9E" w:rsidRDefault="00280961" w:rsidP="00CB3520">
      <w:pPr>
        <w:pStyle w:val="ListParagraph"/>
        <w:widowControl w:val="0"/>
        <w:numPr>
          <w:ilvl w:val="0"/>
          <w:numId w:val="1"/>
        </w:numPr>
        <w:ind w:hanging="720"/>
        <w:jc w:val="both"/>
        <w:rPr>
          <w:sz w:val="20"/>
          <w:szCs w:val="20"/>
        </w:rPr>
      </w:pPr>
      <w:r w:rsidRPr="00280961">
        <w:rPr>
          <w:i/>
          <w:sz w:val="20"/>
          <w:szCs w:val="20"/>
        </w:rPr>
        <w:t>Best Theratronics Ltd. v. Clifford Douglas Beatty</w:t>
      </w:r>
      <w:r w:rsidRPr="00280961">
        <w:rPr>
          <w:sz w:val="20"/>
          <w:szCs w:val="20"/>
        </w:rPr>
        <w:t xml:space="preserve"> (Ont.) (Civil) (By Leave)</w:t>
      </w:r>
      <w:r w:rsidRPr="00115C9E">
        <w:rPr>
          <w:sz w:val="20"/>
          <w:szCs w:val="20"/>
        </w:rPr>
        <w:t xml:space="preserve"> </w:t>
      </w:r>
      <w:r w:rsidR="00CB3520" w:rsidRPr="00115C9E">
        <w:rPr>
          <w:sz w:val="20"/>
          <w:szCs w:val="20"/>
        </w:rPr>
        <w:t>(3</w:t>
      </w:r>
      <w:r w:rsidR="00CB3520">
        <w:rPr>
          <w:sz w:val="20"/>
          <w:szCs w:val="20"/>
        </w:rPr>
        <w:t>6</w:t>
      </w:r>
      <w:r>
        <w:rPr>
          <w:sz w:val="20"/>
          <w:szCs w:val="20"/>
        </w:rPr>
        <w:t>476</w:t>
      </w:r>
      <w:r w:rsidR="00CB3520" w:rsidRPr="00115C9E">
        <w:rPr>
          <w:sz w:val="20"/>
          <w:szCs w:val="20"/>
        </w:rPr>
        <w:t>)</w:t>
      </w:r>
    </w:p>
    <w:p w:rsidR="002E2327" w:rsidRPr="00CB3520" w:rsidRDefault="002E2327" w:rsidP="002E2327">
      <w:pPr>
        <w:widowControl w:val="0"/>
        <w:rPr>
          <w:sz w:val="20"/>
          <w:szCs w:val="20"/>
        </w:rPr>
      </w:pPr>
    </w:p>
    <w:p w:rsidR="002E2327" w:rsidRDefault="005C6187"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C6187"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F975D0" w:rsidP="000E2959">
      <w:pPr>
        <w:rPr>
          <w:b/>
          <w:sz w:val="20"/>
          <w:szCs w:val="20"/>
        </w:rPr>
      </w:pPr>
      <w:r>
        <w:rPr>
          <w:b/>
          <w:sz w:val="20"/>
          <w:szCs w:val="20"/>
        </w:rPr>
        <w:t>SEPTEMBER 3</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3 SEPTEMBRE</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B29E7" w:rsidRPr="009B29E7" w:rsidTr="009C04F5">
        <w:trPr>
          <w:cantSplit/>
        </w:trPr>
        <w:tc>
          <w:tcPr>
            <w:tcW w:w="1458" w:type="dxa"/>
          </w:tcPr>
          <w:p w:rsidR="009B29E7" w:rsidRPr="009B29E7" w:rsidRDefault="009B29E7" w:rsidP="009B29E7">
            <w:pPr>
              <w:rPr>
                <w:sz w:val="20"/>
              </w:rPr>
            </w:pPr>
            <w:r w:rsidRPr="009B29E7">
              <w:rPr>
                <w:b/>
                <w:sz w:val="20"/>
                <w:lang w:val="fr-CA"/>
              </w:rPr>
              <w:t>36365</w:t>
            </w:r>
          </w:p>
          <w:p w:rsidR="009B29E7" w:rsidRPr="009B29E7" w:rsidRDefault="009B29E7" w:rsidP="009B29E7">
            <w:pPr>
              <w:rPr>
                <w:b/>
                <w:sz w:val="20"/>
                <w:lang w:val="fr-CA"/>
              </w:rPr>
            </w:pPr>
          </w:p>
        </w:tc>
        <w:tc>
          <w:tcPr>
            <w:tcW w:w="8118" w:type="dxa"/>
          </w:tcPr>
          <w:p w:rsidR="009B29E7" w:rsidRPr="009B29E7" w:rsidRDefault="009B29E7" w:rsidP="009B29E7">
            <w:pPr>
              <w:jc w:val="both"/>
              <w:rPr>
                <w:sz w:val="20"/>
              </w:rPr>
            </w:pPr>
            <w:r w:rsidRPr="009B29E7">
              <w:rPr>
                <w:b/>
                <w:sz w:val="20"/>
                <w:u w:val="single"/>
                <w:lang w:val="en-US"/>
              </w:rPr>
              <w:t>Hakima Bakiri v. Commission of Occupational Injuries</w:t>
            </w:r>
            <w:r w:rsidR="0019573C">
              <w:rPr>
                <w:b/>
                <w:sz w:val="20"/>
                <w:u w:val="single"/>
                <w:lang w:val="en-US"/>
              </w:rPr>
              <w:t xml:space="preserve"> and</w:t>
            </w:r>
            <w:r w:rsidRPr="009B29E7">
              <w:rPr>
                <w:b/>
                <w:sz w:val="20"/>
                <w:u w:val="single"/>
                <w:lang w:val="en-US"/>
              </w:rPr>
              <w:t xml:space="preserve"> Committee of Health and Safety</w:t>
            </w:r>
            <w:r w:rsidRPr="009B29E7">
              <w:rPr>
                <w:sz w:val="20"/>
              </w:rPr>
              <w:t xml:space="preserve"> (Que.) (Civil) (By Leave)</w:t>
            </w:r>
          </w:p>
          <w:p w:rsidR="009B29E7" w:rsidRPr="009B29E7" w:rsidRDefault="009B29E7" w:rsidP="009B29E7">
            <w:pPr>
              <w:jc w:val="both"/>
              <w:rPr>
                <w:sz w:val="20"/>
              </w:rPr>
            </w:pPr>
          </w:p>
        </w:tc>
      </w:tr>
      <w:tr w:rsidR="009B29E7" w:rsidRPr="009B29E7" w:rsidTr="009C04F5">
        <w:trPr>
          <w:cantSplit/>
        </w:trPr>
        <w:tc>
          <w:tcPr>
            <w:tcW w:w="1458" w:type="dxa"/>
          </w:tcPr>
          <w:p w:rsidR="009B29E7" w:rsidRPr="009B29E7" w:rsidRDefault="009B29E7" w:rsidP="009B29E7">
            <w:pPr>
              <w:rPr>
                <w:sz w:val="20"/>
              </w:rPr>
            </w:pPr>
            <w:r w:rsidRPr="009B29E7">
              <w:rPr>
                <w:sz w:val="20"/>
              </w:rPr>
              <w:t>Coram :</w:t>
            </w:r>
          </w:p>
        </w:tc>
        <w:tc>
          <w:tcPr>
            <w:tcW w:w="8118" w:type="dxa"/>
          </w:tcPr>
          <w:p w:rsidR="009B29E7" w:rsidRPr="009B29E7" w:rsidRDefault="009B29E7" w:rsidP="009B29E7">
            <w:pPr>
              <w:rPr>
                <w:sz w:val="20"/>
              </w:rPr>
            </w:pPr>
            <w:r w:rsidRPr="009B29E7">
              <w:rPr>
                <w:sz w:val="20"/>
                <w:u w:val="single"/>
                <w:lang w:val="en-US"/>
              </w:rPr>
              <w:t>Rothstein, Cromwell and Moldaver JJ.</w:t>
            </w:r>
          </w:p>
          <w:p w:rsidR="009B29E7" w:rsidRPr="009B29E7" w:rsidRDefault="009B29E7" w:rsidP="009B29E7">
            <w:pPr>
              <w:rPr>
                <w:sz w:val="20"/>
                <w:u w:val="single"/>
              </w:rPr>
            </w:pPr>
          </w:p>
        </w:tc>
      </w:tr>
      <w:tr w:rsidR="009B29E7" w:rsidRPr="005C6187" w:rsidTr="009C04F5">
        <w:trPr>
          <w:cantSplit/>
        </w:trPr>
        <w:tc>
          <w:tcPr>
            <w:tcW w:w="9576" w:type="dxa"/>
            <w:gridSpan w:val="2"/>
          </w:tcPr>
          <w:p w:rsidR="009B29E7" w:rsidRPr="009B29E7" w:rsidRDefault="009B29E7" w:rsidP="009B29E7">
            <w:pPr>
              <w:ind w:firstLine="720"/>
              <w:jc w:val="both"/>
              <w:rPr>
                <w:sz w:val="20"/>
              </w:rPr>
            </w:pPr>
            <w:r w:rsidRPr="009B29E7">
              <w:rPr>
                <w:sz w:val="20"/>
              </w:rPr>
              <w:t>The applicant’s miscellaneous motion is dismissed. The motion for an order to seal the applicant’s medical records is dismissed. The Registry shall return the medical reports and records (Exhibit D) to the applicant and the Court will not keep a copy of these documents in its records. The application for leave to appeal from the judgment of the Court of Appeal of Quebec (Montréal), Number 500-09-024943-144, 2015 QCCA 186, dated January 26, 2015, is dismissed without costs.</w:t>
            </w:r>
          </w:p>
          <w:p w:rsidR="009B29E7" w:rsidRPr="009B29E7" w:rsidRDefault="009B29E7" w:rsidP="009B29E7">
            <w:pPr>
              <w:jc w:val="both"/>
              <w:rPr>
                <w:sz w:val="20"/>
              </w:rPr>
            </w:pPr>
          </w:p>
          <w:p w:rsidR="009B29E7" w:rsidRPr="009B29E7" w:rsidRDefault="009B29E7" w:rsidP="009B29E7">
            <w:pPr>
              <w:ind w:firstLine="720"/>
              <w:jc w:val="both"/>
              <w:rPr>
                <w:sz w:val="20"/>
                <w:lang w:val="fr-CA"/>
              </w:rPr>
            </w:pPr>
            <w:r w:rsidRPr="009B29E7">
              <w:rPr>
                <w:sz w:val="20"/>
                <w:lang w:val="fr-CA"/>
              </w:rPr>
              <w:t>La requête diverse de la demanderesse est rejetée. La requête pour une ordonnance de mise sous scellés des dossiers médicaux de la demanderesse est rejetée. Le Greffe doit retourner à la demanderesse les rapports et dossiers médicaux (pièce D) et la Cour ne conservera aucune copie de ces documents dans ses archives. La demande d’autorisation d’appel de l’arrêt de la Cour d’appel du Québec (Montréal), numéro 500-09-024943-144, 2015 QCCA 186, daté du 26 janvier 2015, est rejetée sans dépens.</w:t>
            </w:r>
          </w:p>
        </w:tc>
      </w:tr>
    </w:tbl>
    <w:p w:rsidR="00F975D0" w:rsidRPr="009B29E7" w:rsidRDefault="00F975D0" w:rsidP="000E2959">
      <w:pPr>
        <w:rPr>
          <w:sz w:val="20"/>
          <w:szCs w:val="20"/>
          <w:lang w:val="fr-CA"/>
        </w:rPr>
      </w:pPr>
    </w:p>
    <w:p w:rsidR="00F975D0" w:rsidRPr="001B157C" w:rsidRDefault="00F975D0" w:rsidP="00F975D0">
      <w:pPr>
        <w:rPr>
          <w:sz w:val="20"/>
          <w:szCs w:val="20"/>
          <w:u w:val="single"/>
        </w:rPr>
      </w:pPr>
      <w:r w:rsidRPr="001B157C">
        <w:rPr>
          <w:sz w:val="20"/>
          <w:szCs w:val="20"/>
          <w:u w:val="single"/>
        </w:rPr>
        <w:t>CASE SUMMARY</w:t>
      </w:r>
    </w:p>
    <w:p w:rsidR="00F975D0" w:rsidRDefault="00F975D0" w:rsidP="00F975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329E" w:rsidRPr="00E27991" w:rsidTr="00F106BA">
        <w:tc>
          <w:tcPr>
            <w:tcW w:w="5000" w:type="pct"/>
            <w:gridSpan w:val="3"/>
          </w:tcPr>
          <w:p w:rsidR="00B7329E" w:rsidRPr="00E27991" w:rsidRDefault="00B7329E" w:rsidP="00F106BA">
            <w:pPr>
              <w:jc w:val="both"/>
              <w:rPr>
                <w:smallCaps/>
                <w:sz w:val="20"/>
                <w:szCs w:val="20"/>
              </w:rPr>
            </w:pPr>
            <w:r w:rsidRPr="00E27991">
              <w:rPr>
                <w:smallCaps/>
                <w:sz w:val="20"/>
                <w:szCs w:val="20"/>
              </w:rPr>
              <w:t xml:space="preserve">(Court </w:t>
            </w:r>
            <w:r>
              <w:rPr>
                <w:smallCaps/>
                <w:sz w:val="20"/>
              </w:rPr>
              <w:t>F</w:t>
            </w:r>
            <w:r w:rsidRPr="00E27991">
              <w:rPr>
                <w:smallCaps/>
                <w:sz w:val="20"/>
                <w:szCs w:val="20"/>
              </w:rPr>
              <w:t xml:space="preserve">ile </w:t>
            </w:r>
            <w:r>
              <w:rPr>
                <w:smallCaps/>
                <w:sz w:val="20"/>
              </w:rPr>
              <w:t>C</w:t>
            </w:r>
            <w:r w:rsidRPr="00E27991">
              <w:rPr>
                <w:smallCaps/>
                <w:sz w:val="20"/>
                <w:szCs w:val="20"/>
              </w:rPr>
              <w:t xml:space="preserve">ontains </w:t>
            </w:r>
            <w:r>
              <w:rPr>
                <w:smallCaps/>
                <w:sz w:val="20"/>
              </w:rPr>
              <w:t>I</w:t>
            </w:r>
            <w:r w:rsidRPr="00E27991">
              <w:rPr>
                <w:smallCaps/>
                <w:sz w:val="20"/>
                <w:szCs w:val="20"/>
              </w:rPr>
              <w:t xml:space="preserve">nformation that is not </w:t>
            </w:r>
            <w:r>
              <w:rPr>
                <w:smallCaps/>
                <w:sz w:val="20"/>
              </w:rPr>
              <w:t>A</w:t>
            </w:r>
            <w:r w:rsidRPr="00E27991">
              <w:rPr>
                <w:smallCaps/>
                <w:sz w:val="20"/>
                <w:szCs w:val="20"/>
              </w:rPr>
              <w:t xml:space="preserve">vailable for </w:t>
            </w:r>
            <w:r>
              <w:rPr>
                <w:smallCaps/>
                <w:sz w:val="20"/>
              </w:rPr>
              <w:t>I</w:t>
            </w:r>
            <w:r w:rsidRPr="00E27991">
              <w:rPr>
                <w:smallCaps/>
                <w:sz w:val="20"/>
                <w:szCs w:val="20"/>
              </w:rPr>
              <w:t xml:space="preserve">nspection by the </w:t>
            </w:r>
            <w:r>
              <w:rPr>
                <w:smallCaps/>
                <w:sz w:val="20"/>
              </w:rPr>
              <w:t>P</w:t>
            </w:r>
            <w:r w:rsidRPr="00E27991">
              <w:rPr>
                <w:smallCaps/>
                <w:sz w:val="20"/>
                <w:szCs w:val="20"/>
              </w:rPr>
              <w:t>ublic)</w:t>
            </w:r>
          </w:p>
          <w:p w:rsidR="00B7329E" w:rsidRPr="00E27991" w:rsidRDefault="00B7329E" w:rsidP="00F106BA">
            <w:pPr>
              <w:jc w:val="both"/>
              <w:rPr>
                <w:sz w:val="20"/>
                <w:szCs w:val="20"/>
              </w:rPr>
            </w:pPr>
          </w:p>
        </w:tc>
      </w:tr>
      <w:tr w:rsidR="00B7329E" w:rsidRPr="00E27991" w:rsidTr="00F106BA">
        <w:tc>
          <w:tcPr>
            <w:tcW w:w="5000" w:type="pct"/>
            <w:gridSpan w:val="3"/>
          </w:tcPr>
          <w:p w:rsidR="00B7329E" w:rsidRPr="00E27991" w:rsidRDefault="00B7329E" w:rsidP="00F106BA">
            <w:pPr>
              <w:jc w:val="both"/>
              <w:rPr>
                <w:bCs/>
                <w:sz w:val="20"/>
                <w:szCs w:val="20"/>
              </w:rPr>
            </w:pPr>
            <w:r w:rsidRPr="00E27991">
              <w:rPr>
                <w:sz w:val="20"/>
                <w:szCs w:val="20"/>
              </w:rPr>
              <w:t xml:space="preserve">Workers’ compensation – Administrative law – Commission des lésions professionnelles – Right to be heard – Application to revoke decision where a party, owing to reasons considered sufficient, could not be heard – </w:t>
            </w:r>
            <w:r w:rsidRPr="00E27991">
              <w:rPr>
                <w:bCs/>
                <w:i/>
                <w:sz w:val="20"/>
                <w:szCs w:val="20"/>
              </w:rPr>
              <w:t>An Act Respecting Industrial Accidents and Occupational Diseases</w:t>
            </w:r>
            <w:r w:rsidRPr="00E27991">
              <w:rPr>
                <w:bCs/>
                <w:sz w:val="20"/>
                <w:szCs w:val="20"/>
              </w:rPr>
              <w:t xml:space="preserve">, CQLR c A-3.001, s. 429.56(2) – Whether the Superior Court erred in dismissing applicant’s application for judicial review – Whether Court of Appeal erred in denying leave to appeal. </w:t>
            </w:r>
          </w:p>
          <w:p w:rsidR="00B7329E" w:rsidRPr="00E27991" w:rsidRDefault="00B7329E" w:rsidP="00F106BA">
            <w:pPr>
              <w:jc w:val="both"/>
              <w:rPr>
                <w:sz w:val="20"/>
                <w:szCs w:val="20"/>
              </w:rPr>
            </w:pPr>
          </w:p>
        </w:tc>
      </w:tr>
      <w:tr w:rsidR="00B7329E" w:rsidRPr="00E27991" w:rsidTr="00F106BA">
        <w:tc>
          <w:tcPr>
            <w:tcW w:w="5000" w:type="pct"/>
            <w:gridSpan w:val="3"/>
          </w:tcPr>
          <w:p w:rsidR="00B7329E" w:rsidRPr="00E27991" w:rsidRDefault="00B7329E" w:rsidP="00F106BA">
            <w:pPr>
              <w:jc w:val="both"/>
              <w:rPr>
                <w:sz w:val="20"/>
                <w:szCs w:val="20"/>
              </w:rPr>
            </w:pPr>
            <w:r w:rsidRPr="00E27991">
              <w:rPr>
                <w:sz w:val="20"/>
                <w:szCs w:val="20"/>
              </w:rPr>
              <w:t xml:space="preserve">In 2004, Ms. Bakiri, applicant, suffered a workplace injury for which she ultimately received an income replacement indemnity. In 2009, she moved to Florida. In 2014, Ms. Bakiri sought judicial review of two decisions rendered by the Commission des lésions professionnelles (“CLP”). The first decision dismissed four of her motions relating to decisions made by the Commission de la santé et de la sécurité du travail (“CSST”) suspending her income replacement indemnity and claiming reimbursement of certain funds paid in error. Among other things, the CSST found that Ms. Bakiri had misrepresented her level of impairment and had been employed while receiving benefits. Ms. Bakiri was not present at the hearing before the CLP. In the second decision the CLP dismissed Ms. Bakiri’s application pursuant to s. 429.59 of the </w:t>
            </w:r>
            <w:r w:rsidRPr="00E27991">
              <w:rPr>
                <w:i/>
                <w:sz w:val="20"/>
                <w:szCs w:val="20"/>
              </w:rPr>
              <w:t>Act Respecting Industrial Accidents and Occupational Diseases</w:t>
            </w:r>
            <w:r w:rsidRPr="00E27991">
              <w:rPr>
                <w:sz w:val="20"/>
                <w:szCs w:val="20"/>
              </w:rPr>
              <w:t xml:space="preserve">, </w:t>
            </w:r>
            <w:r w:rsidRPr="00E27991">
              <w:rPr>
                <w:bCs/>
                <w:sz w:val="20"/>
                <w:szCs w:val="20"/>
              </w:rPr>
              <w:t>CQLR c A-3.001</w:t>
            </w:r>
            <w:r w:rsidRPr="00E27991">
              <w:rPr>
                <w:sz w:val="20"/>
                <w:szCs w:val="20"/>
              </w:rPr>
              <w:t>, to have the first CLP decision revoked because she had not been present at the hearing. Ms. Bakiri’s application for judicial review was dismissed on the basis that the CLP’s decision not to revoke the CSST’s first decision was reasonable. The Court of Appeal denied leave to appeal.</w:t>
            </w:r>
          </w:p>
          <w:p w:rsidR="00B7329E" w:rsidRPr="00E27991" w:rsidRDefault="00B7329E" w:rsidP="00F106BA">
            <w:pPr>
              <w:jc w:val="both"/>
              <w:rPr>
                <w:sz w:val="20"/>
                <w:szCs w:val="20"/>
              </w:rPr>
            </w:pPr>
          </w:p>
        </w:tc>
      </w:tr>
      <w:tr w:rsidR="00B7329E" w:rsidRPr="00E27991" w:rsidTr="00F106BA">
        <w:tc>
          <w:tcPr>
            <w:tcW w:w="2427" w:type="pct"/>
          </w:tcPr>
          <w:p w:rsidR="00B7329E" w:rsidRPr="00E27991" w:rsidRDefault="00B7329E" w:rsidP="00F106BA">
            <w:pPr>
              <w:jc w:val="both"/>
              <w:rPr>
                <w:sz w:val="20"/>
                <w:szCs w:val="20"/>
              </w:rPr>
            </w:pPr>
            <w:r w:rsidRPr="00E27991">
              <w:rPr>
                <w:sz w:val="20"/>
                <w:szCs w:val="20"/>
              </w:rPr>
              <w:t>November 7, 2014</w:t>
            </w:r>
          </w:p>
          <w:p w:rsidR="00B7329E" w:rsidRPr="00E27991" w:rsidRDefault="00B7329E" w:rsidP="00F106BA">
            <w:pPr>
              <w:jc w:val="both"/>
              <w:rPr>
                <w:sz w:val="20"/>
                <w:szCs w:val="20"/>
              </w:rPr>
            </w:pPr>
            <w:r w:rsidRPr="00E27991">
              <w:rPr>
                <w:sz w:val="20"/>
                <w:szCs w:val="20"/>
              </w:rPr>
              <w:t>Superior Court of Quebec</w:t>
            </w:r>
          </w:p>
          <w:p w:rsidR="00B7329E" w:rsidRPr="00E27991" w:rsidRDefault="00B7329E" w:rsidP="00F106BA">
            <w:pPr>
              <w:jc w:val="both"/>
              <w:rPr>
                <w:sz w:val="20"/>
                <w:szCs w:val="20"/>
              </w:rPr>
            </w:pPr>
            <w:r w:rsidRPr="00E27991">
              <w:rPr>
                <w:sz w:val="20"/>
                <w:szCs w:val="20"/>
              </w:rPr>
              <w:t>(Mainville J.)</w:t>
            </w:r>
          </w:p>
          <w:p w:rsidR="00B7329E" w:rsidRPr="00E27991" w:rsidRDefault="00B7329E" w:rsidP="00F106BA">
            <w:pPr>
              <w:jc w:val="both"/>
              <w:rPr>
                <w:sz w:val="20"/>
                <w:szCs w:val="20"/>
              </w:rPr>
            </w:pPr>
          </w:p>
        </w:tc>
        <w:tc>
          <w:tcPr>
            <w:tcW w:w="243" w:type="pct"/>
          </w:tcPr>
          <w:p w:rsidR="00B7329E" w:rsidRPr="00E27991" w:rsidRDefault="00B7329E" w:rsidP="00F106BA">
            <w:pPr>
              <w:jc w:val="both"/>
              <w:rPr>
                <w:sz w:val="20"/>
                <w:szCs w:val="20"/>
              </w:rPr>
            </w:pPr>
          </w:p>
        </w:tc>
        <w:tc>
          <w:tcPr>
            <w:tcW w:w="2330" w:type="pct"/>
          </w:tcPr>
          <w:p w:rsidR="00B7329E" w:rsidRPr="00E27991" w:rsidRDefault="00B7329E" w:rsidP="00F106BA">
            <w:pPr>
              <w:jc w:val="both"/>
              <w:rPr>
                <w:sz w:val="20"/>
                <w:szCs w:val="20"/>
              </w:rPr>
            </w:pPr>
            <w:r w:rsidRPr="00E27991">
              <w:rPr>
                <w:sz w:val="20"/>
                <w:szCs w:val="20"/>
              </w:rPr>
              <w:t>Motion for judicial review dismissed</w:t>
            </w:r>
          </w:p>
          <w:p w:rsidR="00B7329E" w:rsidRPr="00E27991" w:rsidRDefault="00B7329E" w:rsidP="00F106BA">
            <w:pPr>
              <w:jc w:val="both"/>
              <w:rPr>
                <w:sz w:val="20"/>
                <w:szCs w:val="20"/>
              </w:rPr>
            </w:pPr>
          </w:p>
        </w:tc>
      </w:tr>
      <w:tr w:rsidR="00B7329E" w:rsidRPr="00E27991" w:rsidTr="00F106BA">
        <w:tc>
          <w:tcPr>
            <w:tcW w:w="2427" w:type="pct"/>
          </w:tcPr>
          <w:p w:rsidR="00B7329E" w:rsidRPr="00E27991" w:rsidRDefault="00B7329E" w:rsidP="00F106BA">
            <w:pPr>
              <w:jc w:val="both"/>
              <w:rPr>
                <w:sz w:val="20"/>
                <w:szCs w:val="20"/>
              </w:rPr>
            </w:pPr>
            <w:r w:rsidRPr="00E27991">
              <w:rPr>
                <w:sz w:val="20"/>
                <w:szCs w:val="20"/>
              </w:rPr>
              <w:t>January 26, 2015</w:t>
            </w:r>
          </w:p>
          <w:p w:rsidR="00B7329E" w:rsidRPr="00E27991" w:rsidRDefault="00B7329E" w:rsidP="00F106BA">
            <w:pPr>
              <w:jc w:val="both"/>
              <w:rPr>
                <w:sz w:val="20"/>
                <w:szCs w:val="20"/>
              </w:rPr>
            </w:pPr>
            <w:r w:rsidRPr="00E27991">
              <w:rPr>
                <w:sz w:val="20"/>
                <w:szCs w:val="20"/>
              </w:rPr>
              <w:t>Court of Appeal of Quebec (Montréal)</w:t>
            </w:r>
          </w:p>
          <w:p w:rsidR="00B7329E" w:rsidRPr="00E27991" w:rsidRDefault="00B7329E" w:rsidP="00F106BA">
            <w:pPr>
              <w:jc w:val="both"/>
              <w:rPr>
                <w:sz w:val="20"/>
                <w:szCs w:val="20"/>
              </w:rPr>
            </w:pPr>
            <w:r w:rsidRPr="00E27991">
              <w:rPr>
                <w:sz w:val="20"/>
                <w:szCs w:val="20"/>
              </w:rPr>
              <w:t>(Duval Hesler C.J. and Gagnon and Marcotte JJ.A.)</w:t>
            </w:r>
          </w:p>
          <w:p w:rsidR="00B7329E" w:rsidRPr="00E27991" w:rsidRDefault="005C6187" w:rsidP="00F106BA">
            <w:pPr>
              <w:jc w:val="both"/>
              <w:rPr>
                <w:sz w:val="20"/>
                <w:szCs w:val="20"/>
              </w:rPr>
            </w:pPr>
            <w:hyperlink r:id="rId24" w:history="1">
              <w:r w:rsidR="00B7329E" w:rsidRPr="00E27991">
                <w:rPr>
                  <w:color w:val="0000FF" w:themeColor="hyperlink"/>
                  <w:sz w:val="20"/>
                  <w:szCs w:val="20"/>
                  <w:u w:val="single"/>
                </w:rPr>
                <w:t>2015 QCCA 186</w:t>
              </w:r>
            </w:hyperlink>
          </w:p>
          <w:p w:rsidR="00B7329E" w:rsidRPr="00E27991" w:rsidRDefault="00B7329E" w:rsidP="00F106BA">
            <w:pPr>
              <w:jc w:val="both"/>
              <w:rPr>
                <w:sz w:val="20"/>
                <w:szCs w:val="20"/>
                <w:lang w:val="fr-CA"/>
              </w:rPr>
            </w:pPr>
          </w:p>
        </w:tc>
        <w:tc>
          <w:tcPr>
            <w:tcW w:w="243" w:type="pct"/>
          </w:tcPr>
          <w:p w:rsidR="00B7329E" w:rsidRPr="00E27991" w:rsidRDefault="00B7329E" w:rsidP="00F106BA">
            <w:pPr>
              <w:jc w:val="both"/>
              <w:rPr>
                <w:sz w:val="20"/>
                <w:szCs w:val="20"/>
                <w:lang w:val="fr-CA"/>
              </w:rPr>
            </w:pPr>
          </w:p>
        </w:tc>
        <w:tc>
          <w:tcPr>
            <w:tcW w:w="2330" w:type="pct"/>
          </w:tcPr>
          <w:p w:rsidR="00B7329E" w:rsidRPr="00E27991" w:rsidRDefault="00B7329E" w:rsidP="00F106BA">
            <w:pPr>
              <w:jc w:val="both"/>
              <w:rPr>
                <w:sz w:val="20"/>
                <w:szCs w:val="20"/>
              </w:rPr>
            </w:pPr>
            <w:r w:rsidRPr="00E27991">
              <w:rPr>
                <w:sz w:val="20"/>
                <w:szCs w:val="20"/>
              </w:rPr>
              <w:t>Motion for leave to appeal dismissed</w:t>
            </w:r>
          </w:p>
          <w:p w:rsidR="00B7329E" w:rsidRPr="00E27991" w:rsidRDefault="00B7329E" w:rsidP="00F106BA">
            <w:pPr>
              <w:jc w:val="both"/>
              <w:rPr>
                <w:sz w:val="20"/>
                <w:szCs w:val="20"/>
              </w:rPr>
            </w:pPr>
          </w:p>
        </w:tc>
      </w:tr>
      <w:tr w:rsidR="00B7329E" w:rsidRPr="00E27991" w:rsidTr="00F106BA">
        <w:tc>
          <w:tcPr>
            <w:tcW w:w="2427" w:type="pct"/>
          </w:tcPr>
          <w:p w:rsidR="00B7329E" w:rsidRPr="00E27991" w:rsidRDefault="00B7329E" w:rsidP="00F106BA">
            <w:pPr>
              <w:jc w:val="both"/>
              <w:rPr>
                <w:sz w:val="20"/>
                <w:szCs w:val="20"/>
              </w:rPr>
            </w:pPr>
            <w:r w:rsidRPr="00E27991">
              <w:rPr>
                <w:sz w:val="20"/>
                <w:szCs w:val="20"/>
              </w:rPr>
              <w:lastRenderedPageBreak/>
              <w:t>March 24, 2015</w:t>
            </w:r>
          </w:p>
          <w:p w:rsidR="00B7329E" w:rsidRPr="00E27991" w:rsidRDefault="00B7329E" w:rsidP="00F106BA">
            <w:pPr>
              <w:jc w:val="both"/>
              <w:rPr>
                <w:sz w:val="20"/>
                <w:szCs w:val="20"/>
              </w:rPr>
            </w:pPr>
            <w:r w:rsidRPr="00E27991">
              <w:rPr>
                <w:sz w:val="20"/>
                <w:szCs w:val="20"/>
              </w:rPr>
              <w:t>Supreme Court of Canada</w:t>
            </w:r>
          </w:p>
          <w:p w:rsidR="00B7329E" w:rsidRPr="00E27991" w:rsidRDefault="00B7329E" w:rsidP="00F106BA">
            <w:pPr>
              <w:jc w:val="both"/>
              <w:rPr>
                <w:sz w:val="20"/>
                <w:szCs w:val="20"/>
              </w:rPr>
            </w:pPr>
          </w:p>
        </w:tc>
        <w:tc>
          <w:tcPr>
            <w:tcW w:w="243" w:type="pct"/>
          </w:tcPr>
          <w:p w:rsidR="00B7329E" w:rsidRPr="00E27991" w:rsidRDefault="00B7329E" w:rsidP="00F106BA">
            <w:pPr>
              <w:jc w:val="both"/>
              <w:rPr>
                <w:sz w:val="20"/>
                <w:szCs w:val="20"/>
              </w:rPr>
            </w:pPr>
          </w:p>
        </w:tc>
        <w:tc>
          <w:tcPr>
            <w:tcW w:w="2330" w:type="pct"/>
          </w:tcPr>
          <w:p w:rsidR="00B7329E" w:rsidRPr="00E27991" w:rsidRDefault="00B7329E" w:rsidP="00F106BA">
            <w:pPr>
              <w:jc w:val="both"/>
              <w:rPr>
                <w:sz w:val="20"/>
                <w:szCs w:val="20"/>
              </w:rPr>
            </w:pPr>
            <w:r w:rsidRPr="00E27991">
              <w:rPr>
                <w:sz w:val="20"/>
                <w:szCs w:val="20"/>
              </w:rPr>
              <w:t>Motion to seal and application for leave to appeal filed</w:t>
            </w:r>
          </w:p>
          <w:p w:rsidR="00B7329E" w:rsidRPr="00E27991" w:rsidRDefault="00B7329E" w:rsidP="00F106BA">
            <w:pPr>
              <w:jc w:val="both"/>
              <w:rPr>
                <w:sz w:val="20"/>
                <w:szCs w:val="20"/>
              </w:rPr>
            </w:pPr>
          </w:p>
          <w:p w:rsidR="00B7329E" w:rsidRPr="00E27991" w:rsidRDefault="00B7329E" w:rsidP="00F106BA">
            <w:pPr>
              <w:jc w:val="both"/>
              <w:rPr>
                <w:sz w:val="20"/>
                <w:szCs w:val="20"/>
              </w:rPr>
            </w:pPr>
          </w:p>
        </w:tc>
      </w:tr>
      <w:tr w:rsidR="00B7329E" w:rsidRPr="00E27991" w:rsidTr="00F106BA">
        <w:tc>
          <w:tcPr>
            <w:tcW w:w="2427" w:type="pct"/>
          </w:tcPr>
          <w:p w:rsidR="00B7329E" w:rsidRPr="00E27991" w:rsidRDefault="00B7329E" w:rsidP="00B7329E">
            <w:pPr>
              <w:jc w:val="both"/>
              <w:rPr>
                <w:sz w:val="20"/>
                <w:szCs w:val="20"/>
              </w:rPr>
            </w:pPr>
            <w:r w:rsidRPr="00E27991">
              <w:rPr>
                <w:sz w:val="20"/>
                <w:szCs w:val="20"/>
              </w:rPr>
              <w:t>May 6, 2015</w:t>
            </w:r>
          </w:p>
          <w:p w:rsidR="00B7329E" w:rsidRPr="00E27991" w:rsidRDefault="00B7329E" w:rsidP="00B7329E">
            <w:pPr>
              <w:jc w:val="both"/>
              <w:rPr>
                <w:sz w:val="20"/>
                <w:szCs w:val="20"/>
              </w:rPr>
            </w:pPr>
            <w:r w:rsidRPr="00E27991">
              <w:rPr>
                <w:sz w:val="20"/>
                <w:szCs w:val="20"/>
              </w:rPr>
              <w:t>Supreme Court of Canada</w:t>
            </w:r>
          </w:p>
        </w:tc>
        <w:tc>
          <w:tcPr>
            <w:tcW w:w="243" w:type="pct"/>
          </w:tcPr>
          <w:p w:rsidR="00B7329E" w:rsidRPr="00E27991" w:rsidRDefault="00B7329E" w:rsidP="00F106BA">
            <w:pPr>
              <w:jc w:val="both"/>
              <w:rPr>
                <w:sz w:val="20"/>
                <w:szCs w:val="20"/>
              </w:rPr>
            </w:pPr>
          </w:p>
        </w:tc>
        <w:tc>
          <w:tcPr>
            <w:tcW w:w="2330" w:type="pct"/>
          </w:tcPr>
          <w:p w:rsidR="00B7329E" w:rsidRPr="00E27991" w:rsidRDefault="00B7329E" w:rsidP="00F106BA">
            <w:pPr>
              <w:jc w:val="both"/>
              <w:rPr>
                <w:sz w:val="20"/>
                <w:szCs w:val="20"/>
              </w:rPr>
            </w:pPr>
            <w:r w:rsidRPr="00E27991">
              <w:rPr>
                <w:sz w:val="20"/>
                <w:szCs w:val="20"/>
              </w:rPr>
              <w:t>Miscellaneous motion filed</w:t>
            </w:r>
          </w:p>
        </w:tc>
      </w:tr>
    </w:tbl>
    <w:p w:rsidR="00F975D0" w:rsidRDefault="00F975D0" w:rsidP="00F975D0">
      <w:pPr>
        <w:rPr>
          <w:sz w:val="20"/>
          <w:szCs w:val="20"/>
        </w:rPr>
      </w:pPr>
    </w:p>
    <w:p w:rsidR="00F975D0" w:rsidRPr="00C50A5C" w:rsidRDefault="005C6187" w:rsidP="00F975D0">
      <w:pPr>
        <w:rPr>
          <w:sz w:val="20"/>
          <w:szCs w:val="20"/>
        </w:rPr>
      </w:pPr>
      <w:r>
        <w:rPr>
          <w:sz w:val="20"/>
          <w:szCs w:val="20"/>
          <w:lang w:val="fr-CA"/>
        </w:rPr>
        <w:pict>
          <v:rect id="_x0000_i1041" style="width:2in;height:1pt" o:hrpct="0" o:hralign="center" o:hrstd="t" o:hrnoshade="t" o:hr="t" fillcolor="black [3213]" stroked="f"/>
        </w:pict>
      </w:r>
    </w:p>
    <w:p w:rsidR="00F975D0" w:rsidRDefault="00F975D0" w:rsidP="00F975D0">
      <w:pPr>
        <w:rPr>
          <w:sz w:val="20"/>
          <w:szCs w:val="20"/>
        </w:rPr>
      </w:pPr>
    </w:p>
    <w:p w:rsidR="00F975D0" w:rsidRPr="001B157C" w:rsidRDefault="00F975D0" w:rsidP="00F975D0">
      <w:pPr>
        <w:rPr>
          <w:sz w:val="20"/>
          <w:szCs w:val="20"/>
          <w:u w:val="single"/>
          <w:lang w:val="fr-CA"/>
        </w:rPr>
      </w:pPr>
      <w:r w:rsidRPr="001B157C">
        <w:rPr>
          <w:sz w:val="20"/>
          <w:szCs w:val="20"/>
          <w:u w:val="single"/>
          <w:lang w:val="fr-CA"/>
        </w:rPr>
        <w:t>RÉSUMÉ DE L’AFFAIRE</w:t>
      </w:r>
    </w:p>
    <w:p w:rsidR="00F975D0" w:rsidRDefault="00F975D0" w:rsidP="00F975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329E" w:rsidRPr="005C6187" w:rsidTr="00F106BA">
        <w:tc>
          <w:tcPr>
            <w:tcW w:w="5000" w:type="pct"/>
            <w:gridSpan w:val="3"/>
          </w:tcPr>
          <w:p w:rsidR="00B7329E" w:rsidRPr="00E27991" w:rsidRDefault="00B7329E" w:rsidP="00F106BA">
            <w:pPr>
              <w:jc w:val="both"/>
              <w:rPr>
                <w:smallCaps/>
                <w:sz w:val="20"/>
                <w:szCs w:val="20"/>
                <w:lang w:val="fr-CA"/>
              </w:rPr>
            </w:pPr>
            <w:r w:rsidRPr="00E27991">
              <w:rPr>
                <w:smallCaps/>
                <w:sz w:val="20"/>
                <w:szCs w:val="20"/>
                <w:lang w:val="fr-CA"/>
              </w:rPr>
              <w:t>(Le dossier de la Cour renferme des données que le public n’est pas autorisé à consulter)</w:t>
            </w:r>
          </w:p>
          <w:p w:rsidR="00B7329E" w:rsidRPr="00E27991" w:rsidRDefault="00B7329E" w:rsidP="00F106BA">
            <w:pPr>
              <w:jc w:val="both"/>
              <w:rPr>
                <w:sz w:val="20"/>
                <w:szCs w:val="20"/>
                <w:lang w:val="fr-CA"/>
              </w:rPr>
            </w:pPr>
          </w:p>
        </w:tc>
      </w:tr>
      <w:tr w:rsidR="00B7329E" w:rsidRPr="005C6187" w:rsidTr="00F106BA">
        <w:tc>
          <w:tcPr>
            <w:tcW w:w="5000" w:type="pct"/>
            <w:gridSpan w:val="3"/>
          </w:tcPr>
          <w:p w:rsidR="00B7329E" w:rsidRPr="00E27991" w:rsidRDefault="00B7329E" w:rsidP="00F106BA">
            <w:pPr>
              <w:jc w:val="both"/>
              <w:rPr>
                <w:bCs/>
                <w:sz w:val="20"/>
                <w:szCs w:val="20"/>
                <w:lang w:val="fr-CA"/>
              </w:rPr>
            </w:pPr>
            <w:r w:rsidRPr="00E27991">
              <w:rPr>
                <w:sz w:val="20"/>
                <w:szCs w:val="20"/>
                <w:lang w:val="fr-CA"/>
              </w:rPr>
              <w:t xml:space="preserve">Accidents du travail – Droit administratif – Commission des lésions professionnelles – Droit d’être entendu – Demande de révocation d’une décision où une partie, pour des raisons jugées suffisantes, ne pouvait être entendue – </w:t>
            </w:r>
            <w:r w:rsidRPr="00E27991">
              <w:rPr>
                <w:bCs/>
                <w:i/>
                <w:sz w:val="20"/>
                <w:szCs w:val="20"/>
                <w:lang w:val="fr-CA"/>
              </w:rPr>
              <w:t>Loi sur les accidents du travail et les maladies professionnelles</w:t>
            </w:r>
            <w:r w:rsidRPr="00E27991">
              <w:rPr>
                <w:bCs/>
                <w:sz w:val="20"/>
                <w:szCs w:val="20"/>
                <w:lang w:val="fr-CA"/>
              </w:rPr>
              <w:t xml:space="preserve">, RLRQ ch. A-3.001, par. 429.56(2) – La Cour supérieure a-t-elle eu tort de rejeter la demande de contrôle judiciaire présentée par la demanderesse? – La Cour d’appel a-t-elle eu tort de refuser l’autorisation d’appel? </w:t>
            </w:r>
          </w:p>
          <w:p w:rsidR="00B7329E" w:rsidRPr="00E27991" w:rsidRDefault="00B7329E" w:rsidP="00F106BA">
            <w:pPr>
              <w:jc w:val="both"/>
              <w:rPr>
                <w:sz w:val="20"/>
                <w:szCs w:val="20"/>
                <w:lang w:val="fr-CA"/>
              </w:rPr>
            </w:pPr>
          </w:p>
        </w:tc>
      </w:tr>
      <w:tr w:rsidR="00B7329E" w:rsidRPr="00E27991" w:rsidTr="00F106BA">
        <w:tc>
          <w:tcPr>
            <w:tcW w:w="5000" w:type="pct"/>
            <w:gridSpan w:val="3"/>
          </w:tcPr>
          <w:p w:rsidR="00B7329E" w:rsidRPr="00E27991" w:rsidRDefault="00B7329E" w:rsidP="00F106BA">
            <w:pPr>
              <w:jc w:val="both"/>
              <w:rPr>
                <w:sz w:val="20"/>
                <w:szCs w:val="20"/>
                <w:lang w:val="fr-CA"/>
              </w:rPr>
            </w:pPr>
            <w:r w:rsidRPr="00E27991">
              <w:rPr>
                <w:sz w:val="20"/>
                <w:szCs w:val="20"/>
                <w:lang w:val="fr-CA"/>
              </w:rPr>
              <w:t xml:space="preserve">En 2004, Mme Bakiri, la demanderesse, a subi un accident du travail pour lequel elle a fini par recevoir une indemnité de remplacement du revenu. En 2009, elle a déménagé en Floride. En 2014, Mme Bakiri a sollicité le contrôle judiciaire de deux décisions rendues par la Commission des lésions professionnelles (« CLP »). La première décision rejetait quatre requêtes qu’elle avait présentées relativement à des décisions prises par la Commission de la santé et de la sécurité du travail (« CSST »), décisions qui avaient eu pour effet de suspendre son indemnité de remplacement du revenu et de réclamer le remboursement de certaines sommes payées par erreur. La CSST avait notamment conclu que Mme Bakiri avait fait des déclarations trompeuses relativement à son niveau d’incapacité et qu’elle avait occupé un emploi pendant qu’elle recevait des prestations. Madame Bakiri n’était pas présente à l’audience devant la CLP. Dans la deuxième décision, la CLP a rejeté la demande de Mme Bakiri fondée sur l’art. 429.59 de la </w:t>
            </w:r>
            <w:r w:rsidRPr="00E27991">
              <w:rPr>
                <w:i/>
                <w:sz w:val="20"/>
                <w:szCs w:val="20"/>
                <w:lang w:val="fr-CA"/>
              </w:rPr>
              <w:t>Loi sur les accidents du travail et les maladies professionnelles</w:t>
            </w:r>
            <w:r w:rsidRPr="00E27991">
              <w:rPr>
                <w:sz w:val="20"/>
                <w:szCs w:val="20"/>
                <w:lang w:val="fr-CA"/>
              </w:rPr>
              <w:t xml:space="preserve">, </w:t>
            </w:r>
            <w:r w:rsidRPr="00E27991">
              <w:rPr>
                <w:bCs/>
                <w:sz w:val="20"/>
                <w:szCs w:val="20"/>
                <w:lang w:val="fr-CA"/>
              </w:rPr>
              <w:t>RLRQ ch. A-3.001</w:t>
            </w:r>
            <w:r w:rsidRPr="00E27991">
              <w:rPr>
                <w:sz w:val="20"/>
                <w:szCs w:val="20"/>
                <w:lang w:val="fr-CA"/>
              </w:rPr>
              <w:t>, pour faire révoquer la première décision de la CLP parce que Mme Bakiri n’avait pas été présente à l’audience. La demande de contrôle judiciaire présentée par Mme Bakiri a été rejetée au motif que la décision de la CLP de ne pas révoquer la première décision de la CSST était raisonnable.  La Cour d’appel a refusé l’autorisation d’appel.</w:t>
            </w:r>
          </w:p>
          <w:p w:rsidR="00B7329E" w:rsidRPr="00E27991" w:rsidRDefault="00B7329E" w:rsidP="00F106BA">
            <w:pPr>
              <w:jc w:val="both"/>
              <w:rPr>
                <w:sz w:val="20"/>
                <w:szCs w:val="20"/>
                <w:lang w:val="fr-CA"/>
              </w:rPr>
            </w:pPr>
          </w:p>
        </w:tc>
      </w:tr>
      <w:tr w:rsidR="00B7329E" w:rsidRPr="005C6187" w:rsidTr="00F106BA">
        <w:tc>
          <w:tcPr>
            <w:tcW w:w="2427" w:type="pct"/>
          </w:tcPr>
          <w:p w:rsidR="00B7329E" w:rsidRPr="00E27991" w:rsidRDefault="00B7329E" w:rsidP="00F106BA">
            <w:pPr>
              <w:jc w:val="both"/>
              <w:rPr>
                <w:sz w:val="20"/>
                <w:szCs w:val="20"/>
                <w:lang w:val="fr-CA"/>
              </w:rPr>
            </w:pPr>
            <w:r w:rsidRPr="00E27991">
              <w:rPr>
                <w:sz w:val="20"/>
                <w:szCs w:val="20"/>
                <w:lang w:val="fr-CA"/>
              </w:rPr>
              <w:t>7 novembre 2014</w:t>
            </w:r>
          </w:p>
          <w:p w:rsidR="00B7329E" w:rsidRPr="00E27991" w:rsidRDefault="00B7329E" w:rsidP="00F106BA">
            <w:pPr>
              <w:jc w:val="both"/>
              <w:rPr>
                <w:sz w:val="20"/>
                <w:szCs w:val="20"/>
                <w:lang w:val="fr-CA"/>
              </w:rPr>
            </w:pPr>
            <w:r w:rsidRPr="00E27991">
              <w:rPr>
                <w:sz w:val="20"/>
                <w:szCs w:val="20"/>
                <w:lang w:val="fr-CA"/>
              </w:rPr>
              <w:t>Cour supérieure du Québec</w:t>
            </w:r>
          </w:p>
          <w:p w:rsidR="00B7329E" w:rsidRPr="00E27991" w:rsidRDefault="00B7329E" w:rsidP="00F106BA">
            <w:pPr>
              <w:jc w:val="both"/>
              <w:rPr>
                <w:sz w:val="20"/>
                <w:szCs w:val="20"/>
                <w:lang w:val="fr-CA"/>
              </w:rPr>
            </w:pPr>
            <w:r w:rsidRPr="00E27991">
              <w:rPr>
                <w:sz w:val="20"/>
                <w:szCs w:val="20"/>
                <w:lang w:val="fr-CA"/>
              </w:rPr>
              <w:t>(Juge Mainville)</w:t>
            </w:r>
          </w:p>
          <w:p w:rsidR="00B7329E" w:rsidRPr="00E27991" w:rsidRDefault="00B7329E" w:rsidP="00F106BA">
            <w:pPr>
              <w:jc w:val="both"/>
              <w:rPr>
                <w:sz w:val="20"/>
                <w:szCs w:val="20"/>
                <w:lang w:val="fr-CA"/>
              </w:rPr>
            </w:pPr>
          </w:p>
        </w:tc>
        <w:tc>
          <w:tcPr>
            <w:tcW w:w="243" w:type="pct"/>
          </w:tcPr>
          <w:p w:rsidR="00B7329E" w:rsidRPr="00E27991" w:rsidRDefault="00B7329E" w:rsidP="00F106BA">
            <w:pPr>
              <w:jc w:val="both"/>
              <w:rPr>
                <w:sz w:val="20"/>
                <w:szCs w:val="20"/>
                <w:lang w:val="fr-CA"/>
              </w:rPr>
            </w:pPr>
          </w:p>
        </w:tc>
        <w:tc>
          <w:tcPr>
            <w:tcW w:w="2330" w:type="pct"/>
          </w:tcPr>
          <w:p w:rsidR="00B7329E" w:rsidRPr="00E27991" w:rsidRDefault="00B7329E" w:rsidP="00F106BA">
            <w:pPr>
              <w:jc w:val="both"/>
              <w:rPr>
                <w:sz w:val="20"/>
                <w:szCs w:val="20"/>
                <w:lang w:val="fr-CA"/>
              </w:rPr>
            </w:pPr>
            <w:r w:rsidRPr="00E27991">
              <w:rPr>
                <w:sz w:val="20"/>
                <w:szCs w:val="20"/>
                <w:lang w:val="fr-CA"/>
              </w:rPr>
              <w:t>Rejet de la requête en contrôle judiciaire</w:t>
            </w:r>
          </w:p>
          <w:p w:rsidR="00B7329E" w:rsidRPr="00E27991" w:rsidRDefault="00B7329E" w:rsidP="00F106BA">
            <w:pPr>
              <w:jc w:val="both"/>
              <w:rPr>
                <w:sz w:val="20"/>
                <w:szCs w:val="20"/>
                <w:lang w:val="fr-CA"/>
              </w:rPr>
            </w:pPr>
          </w:p>
        </w:tc>
      </w:tr>
      <w:tr w:rsidR="00B7329E" w:rsidRPr="005C6187" w:rsidTr="00F106BA">
        <w:tc>
          <w:tcPr>
            <w:tcW w:w="2427" w:type="pct"/>
          </w:tcPr>
          <w:p w:rsidR="00B7329E" w:rsidRPr="00E27991" w:rsidRDefault="00B7329E" w:rsidP="00F106BA">
            <w:pPr>
              <w:jc w:val="both"/>
              <w:rPr>
                <w:sz w:val="20"/>
                <w:szCs w:val="20"/>
                <w:lang w:val="fr-CA"/>
              </w:rPr>
            </w:pPr>
            <w:r w:rsidRPr="00E27991">
              <w:rPr>
                <w:sz w:val="20"/>
                <w:szCs w:val="20"/>
                <w:lang w:val="fr-CA"/>
              </w:rPr>
              <w:t>26 janvier 2015</w:t>
            </w:r>
          </w:p>
          <w:p w:rsidR="00B7329E" w:rsidRPr="00E27991" w:rsidRDefault="00B7329E" w:rsidP="00F106BA">
            <w:pPr>
              <w:jc w:val="both"/>
              <w:rPr>
                <w:sz w:val="20"/>
                <w:szCs w:val="20"/>
                <w:lang w:val="fr-CA"/>
              </w:rPr>
            </w:pPr>
            <w:r w:rsidRPr="00E27991">
              <w:rPr>
                <w:sz w:val="20"/>
                <w:szCs w:val="20"/>
                <w:lang w:val="fr-CA"/>
              </w:rPr>
              <w:t>Cour d’appel du Québec (Montréal)</w:t>
            </w:r>
          </w:p>
          <w:p w:rsidR="00B7329E" w:rsidRPr="00E27991" w:rsidRDefault="00B7329E" w:rsidP="00F106BA">
            <w:pPr>
              <w:jc w:val="both"/>
              <w:rPr>
                <w:sz w:val="20"/>
                <w:szCs w:val="20"/>
                <w:lang w:val="fr-CA"/>
              </w:rPr>
            </w:pPr>
            <w:r w:rsidRPr="00E27991">
              <w:rPr>
                <w:sz w:val="20"/>
                <w:szCs w:val="20"/>
                <w:lang w:val="fr-CA"/>
              </w:rPr>
              <w:t>(Juge en chef Duval Hesler, juges Gagnon et Marcotte)</w:t>
            </w:r>
          </w:p>
          <w:p w:rsidR="00B7329E" w:rsidRPr="00E27991" w:rsidRDefault="005C6187" w:rsidP="00F106BA">
            <w:pPr>
              <w:jc w:val="both"/>
              <w:rPr>
                <w:sz w:val="20"/>
                <w:szCs w:val="20"/>
                <w:lang w:val="fr-CA"/>
              </w:rPr>
            </w:pPr>
            <w:hyperlink r:id="rId25" w:history="1">
              <w:r w:rsidR="00B7329E" w:rsidRPr="00E27991">
                <w:rPr>
                  <w:color w:val="0000FF" w:themeColor="hyperlink"/>
                  <w:sz w:val="20"/>
                  <w:szCs w:val="20"/>
                  <w:u w:val="single"/>
                  <w:lang w:val="fr-CA"/>
                </w:rPr>
                <w:t>2015 QCCA 186</w:t>
              </w:r>
            </w:hyperlink>
          </w:p>
          <w:p w:rsidR="00B7329E" w:rsidRPr="00E27991" w:rsidRDefault="00B7329E" w:rsidP="00F106BA">
            <w:pPr>
              <w:jc w:val="both"/>
              <w:rPr>
                <w:sz w:val="20"/>
                <w:szCs w:val="20"/>
                <w:lang w:val="fr-CA"/>
              </w:rPr>
            </w:pPr>
          </w:p>
        </w:tc>
        <w:tc>
          <w:tcPr>
            <w:tcW w:w="243" w:type="pct"/>
          </w:tcPr>
          <w:p w:rsidR="00B7329E" w:rsidRPr="00E27991" w:rsidRDefault="00B7329E" w:rsidP="00F106BA">
            <w:pPr>
              <w:jc w:val="both"/>
              <w:rPr>
                <w:sz w:val="20"/>
                <w:szCs w:val="20"/>
                <w:lang w:val="fr-CA"/>
              </w:rPr>
            </w:pPr>
          </w:p>
        </w:tc>
        <w:tc>
          <w:tcPr>
            <w:tcW w:w="2330" w:type="pct"/>
          </w:tcPr>
          <w:p w:rsidR="00B7329E" w:rsidRPr="00E27991" w:rsidRDefault="00B7329E" w:rsidP="00F106BA">
            <w:pPr>
              <w:jc w:val="both"/>
              <w:rPr>
                <w:sz w:val="20"/>
                <w:szCs w:val="20"/>
                <w:lang w:val="fr-CA"/>
              </w:rPr>
            </w:pPr>
            <w:r w:rsidRPr="00E27991">
              <w:rPr>
                <w:sz w:val="20"/>
                <w:szCs w:val="20"/>
                <w:lang w:val="fr-CA"/>
              </w:rPr>
              <w:t>Rejet de la requête en autorisation d’appel</w:t>
            </w:r>
          </w:p>
          <w:p w:rsidR="00B7329E" w:rsidRPr="00E27991" w:rsidRDefault="00B7329E" w:rsidP="00F106BA">
            <w:pPr>
              <w:jc w:val="both"/>
              <w:rPr>
                <w:sz w:val="20"/>
                <w:szCs w:val="20"/>
                <w:lang w:val="fr-CA"/>
              </w:rPr>
            </w:pPr>
          </w:p>
        </w:tc>
      </w:tr>
      <w:tr w:rsidR="00B7329E" w:rsidRPr="005C6187" w:rsidTr="00F106BA">
        <w:tc>
          <w:tcPr>
            <w:tcW w:w="2427" w:type="pct"/>
          </w:tcPr>
          <w:p w:rsidR="00B7329E" w:rsidRPr="00E27991" w:rsidRDefault="00B7329E" w:rsidP="00F106BA">
            <w:pPr>
              <w:jc w:val="both"/>
              <w:rPr>
                <w:sz w:val="20"/>
                <w:szCs w:val="20"/>
                <w:lang w:val="fr-CA"/>
              </w:rPr>
            </w:pPr>
            <w:r w:rsidRPr="00E27991">
              <w:rPr>
                <w:sz w:val="20"/>
                <w:szCs w:val="20"/>
                <w:lang w:val="fr-CA"/>
              </w:rPr>
              <w:t>24 mars 2015</w:t>
            </w:r>
          </w:p>
          <w:p w:rsidR="00B7329E" w:rsidRPr="00E27991" w:rsidRDefault="00B7329E" w:rsidP="00F106BA">
            <w:pPr>
              <w:jc w:val="both"/>
              <w:rPr>
                <w:sz w:val="20"/>
                <w:szCs w:val="20"/>
                <w:lang w:val="fr-CA"/>
              </w:rPr>
            </w:pPr>
            <w:r w:rsidRPr="00E27991">
              <w:rPr>
                <w:sz w:val="20"/>
                <w:szCs w:val="20"/>
                <w:lang w:val="fr-CA"/>
              </w:rPr>
              <w:t>Cour suprême du Canada</w:t>
            </w:r>
          </w:p>
          <w:p w:rsidR="00B7329E" w:rsidRPr="00E27991" w:rsidRDefault="00B7329E" w:rsidP="00F106BA">
            <w:pPr>
              <w:jc w:val="both"/>
              <w:rPr>
                <w:sz w:val="20"/>
                <w:szCs w:val="20"/>
                <w:lang w:val="fr-CA"/>
              </w:rPr>
            </w:pPr>
          </w:p>
        </w:tc>
        <w:tc>
          <w:tcPr>
            <w:tcW w:w="243" w:type="pct"/>
          </w:tcPr>
          <w:p w:rsidR="00B7329E" w:rsidRPr="00E27991" w:rsidRDefault="00B7329E" w:rsidP="00F106BA">
            <w:pPr>
              <w:jc w:val="both"/>
              <w:rPr>
                <w:sz w:val="20"/>
                <w:szCs w:val="20"/>
                <w:lang w:val="fr-CA"/>
              </w:rPr>
            </w:pPr>
          </w:p>
        </w:tc>
        <w:tc>
          <w:tcPr>
            <w:tcW w:w="2330" w:type="pct"/>
          </w:tcPr>
          <w:p w:rsidR="00B7329E" w:rsidRPr="00E27991" w:rsidRDefault="00B7329E" w:rsidP="00F106BA">
            <w:pPr>
              <w:jc w:val="both"/>
              <w:rPr>
                <w:sz w:val="20"/>
                <w:szCs w:val="20"/>
                <w:lang w:val="fr-CA"/>
              </w:rPr>
            </w:pPr>
            <w:r w:rsidRPr="00E27991">
              <w:rPr>
                <w:sz w:val="20"/>
                <w:szCs w:val="20"/>
                <w:lang w:val="fr-CA"/>
              </w:rPr>
              <w:t>Dépôt de la requête de mise sous scellés et de la demande d’autorisation d’appel</w:t>
            </w:r>
          </w:p>
          <w:p w:rsidR="00B7329E" w:rsidRPr="00E27991" w:rsidRDefault="00B7329E" w:rsidP="00B7329E">
            <w:pPr>
              <w:jc w:val="both"/>
              <w:rPr>
                <w:sz w:val="20"/>
                <w:szCs w:val="20"/>
                <w:lang w:val="fr-CA"/>
              </w:rPr>
            </w:pPr>
          </w:p>
        </w:tc>
      </w:tr>
      <w:tr w:rsidR="00B7329E" w:rsidRPr="00E27991" w:rsidTr="00F106BA">
        <w:tc>
          <w:tcPr>
            <w:tcW w:w="2427" w:type="pct"/>
          </w:tcPr>
          <w:p w:rsidR="00B7329E" w:rsidRPr="00E27991" w:rsidRDefault="00B7329E" w:rsidP="00B7329E">
            <w:pPr>
              <w:jc w:val="both"/>
              <w:rPr>
                <w:sz w:val="20"/>
                <w:szCs w:val="20"/>
                <w:lang w:val="fr-CA"/>
              </w:rPr>
            </w:pPr>
            <w:r w:rsidRPr="00E27991">
              <w:rPr>
                <w:sz w:val="20"/>
                <w:szCs w:val="20"/>
                <w:lang w:val="fr-CA"/>
              </w:rPr>
              <w:t>6 mai 2015</w:t>
            </w:r>
          </w:p>
          <w:p w:rsidR="00B7329E" w:rsidRPr="00E27991" w:rsidRDefault="00B7329E" w:rsidP="00B7329E">
            <w:pPr>
              <w:jc w:val="both"/>
              <w:rPr>
                <w:sz w:val="20"/>
                <w:szCs w:val="20"/>
                <w:lang w:val="fr-CA"/>
              </w:rPr>
            </w:pPr>
            <w:r w:rsidRPr="00E27991">
              <w:rPr>
                <w:sz w:val="20"/>
                <w:szCs w:val="20"/>
                <w:lang w:val="fr-CA"/>
              </w:rPr>
              <w:t>Cour suprême du Canada</w:t>
            </w:r>
          </w:p>
        </w:tc>
        <w:tc>
          <w:tcPr>
            <w:tcW w:w="243" w:type="pct"/>
          </w:tcPr>
          <w:p w:rsidR="00B7329E" w:rsidRPr="00E27991" w:rsidRDefault="00B7329E" w:rsidP="00F106BA">
            <w:pPr>
              <w:jc w:val="both"/>
              <w:rPr>
                <w:sz w:val="20"/>
                <w:szCs w:val="20"/>
                <w:lang w:val="fr-CA"/>
              </w:rPr>
            </w:pPr>
          </w:p>
        </w:tc>
        <w:tc>
          <w:tcPr>
            <w:tcW w:w="2330" w:type="pct"/>
          </w:tcPr>
          <w:p w:rsidR="00B7329E" w:rsidRPr="00E27991" w:rsidRDefault="00B7329E" w:rsidP="00B7329E">
            <w:pPr>
              <w:jc w:val="both"/>
              <w:rPr>
                <w:sz w:val="20"/>
                <w:szCs w:val="20"/>
                <w:lang w:val="fr-CA"/>
              </w:rPr>
            </w:pPr>
            <w:r w:rsidRPr="00E27991">
              <w:rPr>
                <w:sz w:val="20"/>
                <w:szCs w:val="20"/>
                <w:lang w:val="fr-CA"/>
              </w:rPr>
              <w:t>Dépôt de requête diverse</w:t>
            </w:r>
          </w:p>
          <w:p w:rsidR="00B7329E" w:rsidRPr="00E27991" w:rsidRDefault="00B7329E" w:rsidP="00F106BA">
            <w:pPr>
              <w:jc w:val="both"/>
              <w:rPr>
                <w:sz w:val="20"/>
                <w:szCs w:val="20"/>
                <w:lang w:val="fr-CA"/>
              </w:rPr>
            </w:pPr>
          </w:p>
        </w:tc>
      </w:tr>
    </w:tbl>
    <w:p w:rsidR="00F975D0" w:rsidRDefault="00F975D0" w:rsidP="00F975D0">
      <w:pPr>
        <w:rPr>
          <w:sz w:val="20"/>
          <w:szCs w:val="20"/>
        </w:rPr>
      </w:pPr>
    </w:p>
    <w:p w:rsidR="00F975D0" w:rsidRDefault="005C6187" w:rsidP="00F975D0">
      <w:pPr>
        <w:rPr>
          <w:sz w:val="20"/>
          <w:szCs w:val="20"/>
        </w:rPr>
      </w:pPr>
      <w:r>
        <w:rPr>
          <w:sz w:val="20"/>
          <w:szCs w:val="20"/>
          <w:lang w:val="fr-CA"/>
        </w:rPr>
        <w:pict>
          <v:rect id="_x0000_i1042" style="width:2in;height:1pt" o:hrpct="0" o:hralign="center" o:hrstd="t" o:hrnoshade="t" o:hr="t" fillcolor="black [3213]" stroked="f"/>
        </w:pict>
      </w:r>
    </w:p>
    <w:p w:rsidR="00F975D0" w:rsidRDefault="00F975D0" w:rsidP="00F975D0">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B29E7" w:rsidRPr="009B29E7" w:rsidTr="009C04F5">
        <w:trPr>
          <w:cantSplit/>
        </w:trPr>
        <w:tc>
          <w:tcPr>
            <w:tcW w:w="1458" w:type="dxa"/>
          </w:tcPr>
          <w:p w:rsidR="009B29E7" w:rsidRPr="009B29E7" w:rsidRDefault="009B29E7" w:rsidP="009B29E7">
            <w:pPr>
              <w:rPr>
                <w:sz w:val="20"/>
              </w:rPr>
            </w:pPr>
            <w:r w:rsidRPr="009B29E7">
              <w:rPr>
                <w:b/>
                <w:sz w:val="20"/>
                <w:lang w:val="fr-CA"/>
              </w:rPr>
              <w:lastRenderedPageBreak/>
              <w:t>36403</w:t>
            </w:r>
          </w:p>
          <w:p w:rsidR="009B29E7" w:rsidRPr="009B29E7" w:rsidRDefault="009B29E7" w:rsidP="009B29E7">
            <w:pPr>
              <w:rPr>
                <w:b/>
                <w:sz w:val="20"/>
                <w:lang w:val="fr-CA"/>
              </w:rPr>
            </w:pPr>
          </w:p>
        </w:tc>
        <w:tc>
          <w:tcPr>
            <w:tcW w:w="8118" w:type="dxa"/>
          </w:tcPr>
          <w:p w:rsidR="009B29E7" w:rsidRPr="009B29E7" w:rsidRDefault="009B29E7" w:rsidP="009B29E7">
            <w:pPr>
              <w:jc w:val="both"/>
              <w:rPr>
                <w:sz w:val="20"/>
              </w:rPr>
            </w:pPr>
            <w:r w:rsidRPr="009B29E7">
              <w:rPr>
                <w:b/>
                <w:sz w:val="20"/>
                <w:u w:val="single"/>
                <w:lang w:val="en-US"/>
              </w:rPr>
              <w:t>City of Edmonton v. Edmonton East (Capilano) Shopping Centres Limited (as represented by AEC International Inc.)</w:t>
            </w:r>
            <w:r w:rsidRPr="009B29E7">
              <w:rPr>
                <w:sz w:val="20"/>
              </w:rPr>
              <w:t xml:space="preserve"> (Alta.) (Civil) (By Leave)</w:t>
            </w:r>
          </w:p>
          <w:p w:rsidR="009B29E7" w:rsidRPr="009B29E7" w:rsidRDefault="009B29E7" w:rsidP="009B29E7">
            <w:pPr>
              <w:jc w:val="both"/>
              <w:rPr>
                <w:sz w:val="20"/>
              </w:rPr>
            </w:pPr>
          </w:p>
        </w:tc>
      </w:tr>
      <w:tr w:rsidR="009B29E7" w:rsidRPr="009B29E7" w:rsidTr="009C04F5">
        <w:trPr>
          <w:cantSplit/>
        </w:trPr>
        <w:tc>
          <w:tcPr>
            <w:tcW w:w="1458" w:type="dxa"/>
          </w:tcPr>
          <w:p w:rsidR="009B29E7" w:rsidRPr="009B29E7" w:rsidRDefault="009B29E7" w:rsidP="009B29E7">
            <w:pPr>
              <w:rPr>
                <w:sz w:val="20"/>
              </w:rPr>
            </w:pPr>
            <w:r w:rsidRPr="009B29E7">
              <w:rPr>
                <w:sz w:val="20"/>
              </w:rPr>
              <w:t>Coram :</w:t>
            </w:r>
          </w:p>
        </w:tc>
        <w:tc>
          <w:tcPr>
            <w:tcW w:w="8118" w:type="dxa"/>
          </w:tcPr>
          <w:p w:rsidR="009B29E7" w:rsidRPr="009B29E7" w:rsidRDefault="009B29E7" w:rsidP="009B29E7">
            <w:pPr>
              <w:rPr>
                <w:sz w:val="20"/>
              </w:rPr>
            </w:pPr>
            <w:r w:rsidRPr="009B29E7">
              <w:rPr>
                <w:sz w:val="20"/>
                <w:u w:val="single"/>
                <w:lang w:val="en-US"/>
              </w:rPr>
              <w:t>Rothstein, Cromwell and Moldaver JJ.</w:t>
            </w:r>
          </w:p>
          <w:p w:rsidR="009B29E7" w:rsidRPr="009B29E7" w:rsidRDefault="009B29E7" w:rsidP="009B29E7">
            <w:pPr>
              <w:rPr>
                <w:sz w:val="20"/>
                <w:u w:val="single"/>
              </w:rPr>
            </w:pPr>
          </w:p>
        </w:tc>
      </w:tr>
      <w:tr w:rsidR="009B29E7" w:rsidRPr="005C6187" w:rsidTr="009C04F5">
        <w:trPr>
          <w:cantSplit/>
        </w:trPr>
        <w:tc>
          <w:tcPr>
            <w:tcW w:w="9576" w:type="dxa"/>
            <w:gridSpan w:val="2"/>
          </w:tcPr>
          <w:p w:rsidR="009B29E7" w:rsidRPr="009B29E7" w:rsidRDefault="009B29E7" w:rsidP="009B29E7">
            <w:pPr>
              <w:ind w:firstLine="720"/>
              <w:jc w:val="both"/>
              <w:rPr>
                <w:sz w:val="20"/>
              </w:rPr>
            </w:pPr>
            <w:r w:rsidRPr="009B29E7">
              <w:rPr>
                <w:sz w:val="20"/>
              </w:rPr>
              <w:t>The application for leave to appeal from the judgment of the Court of Appeal of Alberta (Edmonton), Number 1303-0283-AC, 2015 ABCA 85, dated February 27, 2015, is granted with costs in the cause. The Assessment Review Board for the City of Edmonton may participate in the appeal as an intervener and may present arguments limited to the issue of its jurisdiction.</w:t>
            </w:r>
          </w:p>
          <w:p w:rsidR="009B29E7" w:rsidRPr="009B29E7" w:rsidRDefault="009B29E7" w:rsidP="009B29E7">
            <w:pPr>
              <w:jc w:val="both"/>
              <w:rPr>
                <w:sz w:val="20"/>
              </w:rPr>
            </w:pPr>
          </w:p>
          <w:p w:rsidR="009B29E7" w:rsidRPr="009B29E7" w:rsidRDefault="009B29E7" w:rsidP="00DB2223">
            <w:pPr>
              <w:ind w:firstLine="720"/>
              <w:jc w:val="both"/>
              <w:rPr>
                <w:sz w:val="20"/>
                <w:lang w:val="fr-CA"/>
              </w:rPr>
            </w:pPr>
            <w:r w:rsidRPr="009B29E7">
              <w:rPr>
                <w:sz w:val="20"/>
                <w:lang w:val="fr-CA"/>
              </w:rPr>
              <w:t>La demande d’autorisation d’appel de l’arrêt de la Cour d</w:t>
            </w:r>
            <w:r w:rsidR="00DB2223">
              <w:rPr>
                <w:sz w:val="20"/>
                <w:lang w:val="fr-CA"/>
              </w:rPr>
              <w:t>’</w:t>
            </w:r>
            <w:r w:rsidRPr="009B29E7">
              <w:rPr>
                <w:sz w:val="20"/>
                <w:lang w:val="fr-CA"/>
              </w:rPr>
              <w:t>appel de l’Alberta (Edmonton), numéro 1303-0283-AC, 2015 ABCA 85, daté du 27 février 2015, est accueillie avec dépens selon l’issue de la cause. La Commission de révision de l’évaluation foncière de la ville d’Edmonton peut participer à l’appel en qualité d’intervenant et présenter une argumentation portant uniquement sur sa compétence.</w:t>
            </w:r>
          </w:p>
        </w:tc>
      </w:tr>
    </w:tbl>
    <w:p w:rsidR="00B7329E" w:rsidRPr="009B29E7" w:rsidRDefault="00B7329E" w:rsidP="00B7329E">
      <w:pPr>
        <w:rPr>
          <w:sz w:val="20"/>
          <w:szCs w:val="20"/>
          <w:lang w:val="fr-CA"/>
        </w:rPr>
      </w:pPr>
    </w:p>
    <w:p w:rsidR="00B7329E" w:rsidRPr="001B157C" w:rsidRDefault="00B7329E" w:rsidP="00B7329E">
      <w:pPr>
        <w:rPr>
          <w:sz w:val="20"/>
          <w:szCs w:val="20"/>
          <w:u w:val="single"/>
        </w:rPr>
      </w:pPr>
      <w:r w:rsidRPr="001B157C">
        <w:rPr>
          <w:sz w:val="20"/>
          <w:szCs w:val="20"/>
          <w:u w:val="single"/>
        </w:rPr>
        <w:t>CASE SUMMARY</w:t>
      </w:r>
    </w:p>
    <w:p w:rsidR="00B7329E" w:rsidRDefault="00B7329E" w:rsidP="00B7329E">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5F001B" w:rsidRPr="00E27991" w:rsidTr="00F106BA">
        <w:tc>
          <w:tcPr>
            <w:tcW w:w="5000" w:type="pct"/>
            <w:gridSpan w:val="3"/>
          </w:tcPr>
          <w:p w:rsidR="005F001B" w:rsidRPr="00E27991" w:rsidRDefault="005F001B" w:rsidP="00F106BA">
            <w:pPr>
              <w:jc w:val="both"/>
              <w:rPr>
                <w:rFonts w:eastAsia="Calibri"/>
                <w:sz w:val="20"/>
                <w:szCs w:val="20"/>
              </w:rPr>
            </w:pPr>
            <w:r w:rsidRPr="00E27991">
              <w:rPr>
                <w:rFonts w:eastAsia="Calibri"/>
                <w:sz w:val="20"/>
                <w:szCs w:val="20"/>
              </w:rPr>
              <w:t xml:space="preserve">Administrative law — Appeals — Standard of review — Composite Assessment Review Board — Jurisdiction — Appeal of shopping centre tax assessment — City assessor requesting assessment of centre be increased based on different categorization of centre — Board accepting assessor’s argument in part — Assessment increasing by approximately $9.5 million — Lower courts finding City assessor cannot effectively mount a cross-complaint and seek an increase in assessment at this stage — What is proper approach to determination of standard of review when there is a statutory appeal from a tribunal — How should assessment legislation be interpreted with respect to prohibiting a municipality from requesting an assessment tribunal correct an assessment — </w:t>
            </w:r>
            <w:r w:rsidRPr="00E27991">
              <w:rPr>
                <w:rFonts w:eastAsia="Calibri"/>
                <w:i/>
                <w:sz w:val="20"/>
                <w:szCs w:val="20"/>
              </w:rPr>
              <w:t>Municipal Government Act</w:t>
            </w:r>
            <w:r w:rsidRPr="00E27991">
              <w:rPr>
                <w:rFonts w:eastAsia="Calibri"/>
                <w:sz w:val="20"/>
                <w:szCs w:val="20"/>
              </w:rPr>
              <w:t>, R.S.A. 2000, c. M-26.</w:t>
            </w:r>
          </w:p>
        </w:tc>
      </w:tr>
      <w:tr w:rsidR="005F001B" w:rsidRPr="00E27991" w:rsidTr="00F106BA">
        <w:tc>
          <w:tcPr>
            <w:tcW w:w="5000" w:type="pct"/>
            <w:gridSpan w:val="3"/>
          </w:tcPr>
          <w:p w:rsidR="005F001B" w:rsidRPr="00E27991" w:rsidRDefault="005F001B" w:rsidP="00F106BA">
            <w:pPr>
              <w:jc w:val="both"/>
              <w:rPr>
                <w:rFonts w:eastAsia="Calibri"/>
                <w:sz w:val="20"/>
                <w:szCs w:val="20"/>
              </w:rPr>
            </w:pPr>
          </w:p>
        </w:tc>
      </w:tr>
      <w:tr w:rsidR="005F001B" w:rsidRPr="00E27991" w:rsidTr="00F106BA">
        <w:tc>
          <w:tcPr>
            <w:tcW w:w="5000" w:type="pct"/>
            <w:gridSpan w:val="3"/>
          </w:tcPr>
          <w:p w:rsidR="005F001B" w:rsidRPr="00E27991" w:rsidRDefault="005F001B" w:rsidP="00F106BA">
            <w:pPr>
              <w:jc w:val="both"/>
              <w:rPr>
                <w:rFonts w:eastAsia="Calibri"/>
                <w:sz w:val="20"/>
                <w:szCs w:val="20"/>
              </w:rPr>
            </w:pPr>
            <w:r w:rsidRPr="00E27991">
              <w:rPr>
                <w:rFonts w:eastAsia="Calibri"/>
                <w:sz w:val="20"/>
                <w:szCs w:val="20"/>
              </w:rPr>
              <w:t>The respondent shopping centre was assessed for tax purposes at $31,328,500. It brought a complaint against the assessment to the Assessment Review Board for the City of Edmonton. A new city assessor took responsibility for the file and disagreed with the categorization of the mall and applied to the Review board proceeding to have the assessment increased.</w:t>
            </w:r>
          </w:p>
          <w:p w:rsidR="005F001B" w:rsidRPr="00E27991" w:rsidRDefault="005F001B" w:rsidP="00F106BA">
            <w:pPr>
              <w:jc w:val="both"/>
              <w:rPr>
                <w:rFonts w:eastAsia="Calibri"/>
                <w:sz w:val="20"/>
                <w:szCs w:val="20"/>
              </w:rPr>
            </w:pPr>
          </w:p>
          <w:p w:rsidR="005F001B" w:rsidRPr="00E27991" w:rsidRDefault="005F001B" w:rsidP="00F106BA">
            <w:pPr>
              <w:jc w:val="both"/>
              <w:rPr>
                <w:rFonts w:eastAsia="Calibri"/>
                <w:sz w:val="20"/>
                <w:szCs w:val="20"/>
              </w:rPr>
            </w:pPr>
            <w:r w:rsidRPr="00E27991">
              <w:rPr>
                <w:rFonts w:eastAsia="Calibri"/>
                <w:sz w:val="20"/>
                <w:szCs w:val="20"/>
              </w:rPr>
              <w:t>The Review Board accepted the assessor’s argument in part and increased the assessment to $40,795,500. The shopping centre sought leave to appeal this decision and it was granted. The Court of Queen’s Bench allowed the appeal and remitted it back to the Review Board. The Court of Appeal dismissed the appeal.</w:t>
            </w:r>
          </w:p>
          <w:p w:rsidR="005F001B" w:rsidRPr="00E27991" w:rsidRDefault="005F001B" w:rsidP="00F106BA">
            <w:pPr>
              <w:jc w:val="both"/>
              <w:rPr>
                <w:rFonts w:eastAsia="Calibri"/>
                <w:sz w:val="20"/>
                <w:szCs w:val="20"/>
              </w:rPr>
            </w:pP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August 2, 2011</w:t>
            </w:r>
          </w:p>
          <w:p w:rsidR="005F001B" w:rsidRPr="00E27991" w:rsidRDefault="005F001B" w:rsidP="00F106BA">
            <w:pPr>
              <w:jc w:val="both"/>
              <w:rPr>
                <w:rFonts w:eastAsia="Calibri"/>
                <w:sz w:val="20"/>
                <w:szCs w:val="20"/>
              </w:rPr>
            </w:pPr>
            <w:r w:rsidRPr="00E27991">
              <w:rPr>
                <w:rFonts w:eastAsia="Calibri"/>
                <w:sz w:val="20"/>
                <w:szCs w:val="20"/>
              </w:rPr>
              <w:t xml:space="preserve">Assessment Review Board for the City of </w:t>
            </w:r>
          </w:p>
          <w:p w:rsidR="005F001B" w:rsidRPr="00E27991" w:rsidRDefault="005F001B" w:rsidP="00F106BA">
            <w:pPr>
              <w:jc w:val="both"/>
              <w:rPr>
                <w:rFonts w:eastAsia="Calibri"/>
                <w:sz w:val="20"/>
                <w:szCs w:val="20"/>
              </w:rPr>
            </w:pPr>
            <w:r w:rsidRPr="00E27991">
              <w:rPr>
                <w:rFonts w:eastAsia="Calibri"/>
                <w:sz w:val="20"/>
                <w:szCs w:val="20"/>
              </w:rPr>
              <w:t>Edmonton</w:t>
            </w:r>
          </w:p>
          <w:p w:rsidR="005F001B" w:rsidRPr="00E27991" w:rsidRDefault="005F001B" w:rsidP="00F106BA">
            <w:pPr>
              <w:jc w:val="both"/>
              <w:rPr>
                <w:rFonts w:eastAsia="Calibri"/>
                <w:sz w:val="20"/>
                <w:szCs w:val="20"/>
              </w:rPr>
            </w:pPr>
            <w:r w:rsidRPr="00E27991">
              <w:rPr>
                <w:rFonts w:eastAsia="Calibri"/>
                <w:sz w:val="20"/>
                <w:szCs w:val="20"/>
              </w:rPr>
              <w:t>Decision  No. 0098 56/11</w:t>
            </w:r>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hideMark/>
          </w:tcPr>
          <w:p w:rsidR="005F001B" w:rsidRPr="00E27991" w:rsidRDefault="005F001B" w:rsidP="00F106BA">
            <w:pPr>
              <w:jc w:val="both"/>
              <w:rPr>
                <w:rFonts w:eastAsia="Calibri"/>
                <w:sz w:val="20"/>
                <w:szCs w:val="20"/>
              </w:rPr>
            </w:pPr>
            <w:r w:rsidRPr="00E27991">
              <w:rPr>
                <w:rFonts w:eastAsia="Calibri"/>
                <w:sz w:val="20"/>
                <w:szCs w:val="20"/>
              </w:rPr>
              <w:t>Property assessment revised from $31,328,500 to $40,795,500.</w:t>
            </w: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July 20, 2012</w:t>
            </w:r>
          </w:p>
          <w:p w:rsidR="005F001B" w:rsidRPr="00E27991" w:rsidRDefault="005F001B" w:rsidP="00F106BA">
            <w:pPr>
              <w:jc w:val="both"/>
              <w:rPr>
                <w:rFonts w:eastAsia="Calibri"/>
                <w:sz w:val="20"/>
                <w:szCs w:val="20"/>
              </w:rPr>
            </w:pPr>
            <w:r w:rsidRPr="00E27991">
              <w:rPr>
                <w:rFonts w:eastAsia="Calibri"/>
                <w:sz w:val="20"/>
                <w:szCs w:val="20"/>
              </w:rPr>
              <w:t>Court of Queen’s Bench of Alberta</w:t>
            </w:r>
          </w:p>
          <w:p w:rsidR="005F001B" w:rsidRPr="00E27991" w:rsidRDefault="005F001B" w:rsidP="00F106BA">
            <w:pPr>
              <w:jc w:val="both"/>
              <w:rPr>
                <w:rFonts w:eastAsia="Calibri"/>
                <w:sz w:val="20"/>
                <w:szCs w:val="20"/>
              </w:rPr>
            </w:pPr>
            <w:r w:rsidRPr="00E27991">
              <w:rPr>
                <w:rFonts w:eastAsia="Calibri"/>
                <w:sz w:val="20"/>
                <w:szCs w:val="20"/>
              </w:rPr>
              <w:t>(Michalyshyn J.)</w:t>
            </w:r>
          </w:p>
          <w:p w:rsidR="005F001B" w:rsidRPr="00E27991" w:rsidRDefault="005C6187" w:rsidP="00F106BA">
            <w:pPr>
              <w:jc w:val="both"/>
              <w:rPr>
                <w:rFonts w:eastAsia="Calibri"/>
                <w:sz w:val="20"/>
                <w:szCs w:val="20"/>
              </w:rPr>
            </w:pPr>
            <w:hyperlink r:id="rId26" w:history="1">
              <w:r w:rsidR="005F001B" w:rsidRPr="00E27991">
                <w:rPr>
                  <w:rFonts w:eastAsia="Calibri"/>
                  <w:color w:val="0000FF" w:themeColor="hyperlink"/>
                  <w:sz w:val="20"/>
                  <w:szCs w:val="20"/>
                  <w:u w:val="single"/>
                </w:rPr>
                <w:t>2012 ABQB 445</w:t>
              </w:r>
            </w:hyperlink>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rPr>
            </w:pPr>
            <w:r w:rsidRPr="00E27991">
              <w:rPr>
                <w:rFonts w:eastAsia="Calibri"/>
                <w:sz w:val="20"/>
                <w:szCs w:val="20"/>
              </w:rPr>
              <w:t>Application for leave to appeal from decision of Assessment Review Board, granted.</w:t>
            </w:r>
          </w:p>
          <w:p w:rsidR="005F001B" w:rsidRPr="00E27991" w:rsidRDefault="005F001B" w:rsidP="00F106BA">
            <w:pPr>
              <w:jc w:val="both"/>
              <w:rPr>
                <w:rFonts w:eastAsia="Calibri"/>
                <w:sz w:val="20"/>
                <w:szCs w:val="20"/>
              </w:rPr>
            </w:pP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September 13, 2013</w:t>
            </w:r>
          </w:p>
          <w:p w:rsidR="005F001B" w:rsidRPr="00E27991" w:rsidRDefault="005F001B" w:rsidP="00F106BA">
            <w:pPr>
              <w:jc w:val="both"/>
              <w:rPr>
                <w:rFonts w:eastAsia="Calibri"/>
                <w:sz w:val="20"/>
                <w:szCs w:val="20"/>
              </w:rPr>
            </w:pPr>
            <w:r w:rsidRPr="00E27991">
              <w:rPr>
                <w:rFonts w:eastAsia="Calibri"/>
                <w:sz w:val="20"/>
                <w:szCs w:val="20"/>
              </w:rPr>
              <w:t>Court of Queen’s Bench of Alberta</w:t>
            </w:r>
          </w:p>
          <w:p w:rsidR="005F001B" w:rsidRPr="00E27991" w:rsidRDefault="005F001B" w:rsidP="00F106BA">
            <w:pPr>
              <w:jc w:val="both"/>
              <w:rPr>
                <w:rFonts w:eastAsia="Calibri"/>
                <w:sz w:val="20"/>
                <w:szCs w:val="20"/>
              </w:rPr>
            </w:pPr>
            <w:r w:rsidRPr="00E27991">
              <w:rPr>
                <w:rFonts w:eastAsia="Calibri"/>
                <w:sz w:val="20"/>
                <w:szCs w:val="20"/>
              </w:rPr>
              <w:t>(Rooke A.C.J.)</w:t>
            </w:r>
          </w:p>
          <w:p w:rsidR="005F001B" w:rsidRPr="00E27991" w:rsidRDefault="005C6187" w:rsidP="00F106BA">
            <w:pPr>
              <w:jc w:val="both"/>
              <w:rPr>
                <w:rFonts w:eastAsia="Calibri"/>
                <w:sz w:val="20"/>
                <w:szCs w:val="20"/>
              </w:rPr>
            </w:pPr>
            <w:hyperlink r:id="rId27" w:history="1">
              <w:r w:rsidR="005F001B" w:rsidRPr="00E27991">
                <w:rPr>
                  <w:rFonts w:eastAsia="Calibri"/>
                  <w:color w:val="0000FF" w:themeColor="hyperlink"/>
                  <w:sz w:val="20"/>
                  <w:szCs w:val="20"/>
                  <w:u w:val="single"/>
                </w:rPr>
                <w:t>2013 ABQB 526</w:t>
              </w:r>
            </w:hyperlink>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rPr>
            </w:pPr>
            <w:r w:rsidRPr="00E27991">
              <w:rPr>
                <w:rFonts w:eastAsia="Calibri"/>
                <w:sz w:val="20"/>
                <w:szCs w:val="20"/>
              </w:rPr>
              <w:t xml:space="preserve">Appeal allowed; decision of Assessment Review Board cancelled and matter remitted to a new panel of Review Board for a hearing </w:t>
            </w:r>
            <w:r w:rsidRPr="00E27991">
              <w:rPr>
                <w:rFonts w:eastAsia="Calibri"/>
                <w:i/>
                <w:sz w:val="20"/>
                <w:szCs w:val="20"/>
              </w:rPr>
              <w:t>de novo</w:t>
            </w:r>
            <w:r w:rsidRPr="00E27991">
              <w:rPr>
                <w:rFonts w:eastAsia="Calibri"/>
                <w:sz w:val="20"/>
                <w:szCs w:val="20"/>
              </w:rPr>
              <w:t>.</w:t>
            </w:r>
          </w:p>
          <w:p w:rsidR="005F001B" w:rsidRPr="00E27991" w:rsidRDefault="005F001B" w:rsidP="00F106BA">
            <w:pPr>
              <w:jc w:val="both"/>
              <w:rPr>
                <w:rFonts w:eastAsia="Calibri"/>
                <w:sz w:val="20"/>
                <w:szCs w:val="20"/>
              </w:rPr>
            </w:pP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lastRenderedPageBreak/>
              <w:t>February 27, 2015</w:t>
            </w:r>
          </w:p>
          <w:p w:rsidR="005F001B" w:rsidRPr="00E27991" w:rsidRDefault="005F001B" w:rsidP="00F106BA">
            <w:pPr>
              <w:jc w:val="both"/>
              <w:rPr>
                <w:rFonts w:eastAsia="Calibri"/>
                <w:sz w:val="20"/>
                <w:szCs w:val="20"/>
              </w:rPr>
            </w:pPr>
            <w:r w:rsidRPr="00E27991">
              <w:rPr>
                <w:rFonts w:eastAsia="Calibri"/>
                <w:sz w:val="20"/>
                <w:szCs w:val="20"/>
              </w:rPr>
              <w:t>Court of Appeal of Alberta (Edmonton)</w:t>
            </w:r>
          </w:p>
          <w:p w:rsidR="005F001B" w:rsidRPr="00E27991" w:rsidRDefault="005F001B" w:rsidP="00F106BA">
            <w:pPr>
              <w:jc w:val="both"/>
              <w:rPr>
                <w:rFonts w:eastAsia="Calibri"/>
                <w:sz w:val="20"/>
                <w:szCs w:val="20"/>
              </w:rPr>
            </w:pPr>
            <w:r w:rsidRPr="00E27991">
              <w:rPr>
                <w:rFonts w:eastAsia="Calibri"/>
                <w:sz w:val="20"/>
                <w:szCs w:val="20"/>
              </w:rPr>
              <w:t>(Berger, Slatter and Rowbotham JJ.A.)</w:t>
            </w:r>
          </w:p>
          <w:p w:rsidR="005F001B" w:rsidRPr="00E27991" w:rsidRDefault="005C6187" w:rsidP="00F106BA">
            <w:pPr>
              <w:jc w:val="both"/>
              <w:rPr>
                <w:rFonts w:eastAsia="Calibri"/>
                <w:sz w:val="20"/>
                <w:szCs w:val="20"/>
              </w:rPr>
            </w:pPr>
            <w:hyperlink r:id="rId28" w:history="1">
              <w:r w:rsidR="005F001B" w:rsidRPr="00E27991">
                <w:rPr>
                  <w:rFonts w:eastAsia="Calibri"/>
                  <w:color w:val="0000FF" w:themeColor="hyperlink"/>
                  <w:sz w:val="20"/>
                  <w:szCs w:val="20"/>
                  <w:u w:val="single"/>
                </w:rPr>
                <w:t>2015 ABCA 85</w:t>
              </w:r>
            </w:hyperlink>
          </w:p>
          <w:p w:rsidR="005F001B" w:rsidRPr="00E27991" w:rsidRDefault="005F001B" w:rsidP="00F106BA">
            <w:pPr>
              <w:jc w:val="both"/>
              <w:rPr>
                <w:rFonts w:eastAsia="Calibri"/>
                <w:sz w:val="20"/>
                <w:szCs w:val="20"/>
              </w:rPr>
            </w:pPr>
            <w:r w:rsidRPr="00E27991">
              <w:rPr>
                <w:rFonts w:eastAsia="Calibri"/>
                <w:sz w:val="20"/>
                <w:szCs w:val="20"/>
              </w:rPr>
              <w:t>File No.: 1303-0283-AC</w:t>
            </w:r>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rPr>
            </w:pPr>
            <w:r w:rsidRPr="00E27991">
              <w:rPr>
                <w:rFonts w:eastAsia="Calibri"/>
                <w:sz w:val="20"/>
                <w:szCs w:val="20"/>
              </w:rPr>
              <w:t>Appeal dismissed.</w:t>
            </w:r>
          </w:p>
          <w:p w:rsidR="005F001B" w:rsidRPr="00E27991" w:rsidRDefault="005F001B" w:rsidP="00F106BA">
            <w:pPr>
              <w:jc w:val="both"/>
              <w:rPr>
                <w:rFonts w:eastAsia="Calibri"/>
                <w:sz w:val="20"/>
                <w:szCs w:val="20"/>
              </w:rPr>
            </w:pPr>
          </w:p>
        </w:tc>
      </w:tr>
      <w:tr w:rsidR="005F001B" w:rsidRPr="00E27991" w:rsidTr="00F106BA">
        <w:tc>
          <w:tcPr>
            <w:tcW w:w="2427" w:type="pct"/>
            <w:hideMark/>
          </w:tcPr>
          <w:p w:rsidR="005F001B" w:rsidRPr="00E27991" w:rsidRDefault="005F001B" w:rsidP="00F106BA">
            <w:pPr>
              <w:jc w:val="both"/>
              <w:rPr>
                <w:rFonts w:eastAsia="Calibri"/>
                <w:sz w:val="20"/>
                <w:szCs w:val="20"/>
              </w:rPr>
            </w:pPr>
            <w:r w:rsidRPr="00E27991">
              <w:rPr>
                <w:rFonts w:eastAsia="Calibri"/>
                <w:sz w:val="20"/>
                <w:szCs w:val="20"/>
              </w:rPr>
              <w:t>April 27, 2015</w:t>
            </w:r>
          </w:p>
          <w:p w:rsidR="005F001B" w:rsidRPr="00E27991" w:rsidRDefault="005F001B" w:rsidP="00F106BA">
            <w:pPr>
              <w:jc w:val="both"/>
              <w:rPr>
                <w:rFonts w:eastAsia="Calibri"/>
                <w:sz w:val="20"/>
                <w:szCs w:val="20"/>
              </w:rPr>
            </w:pPr>
            <w:r w:rsidRPr="00E27991">
              <w:rPr>
                <w:rFonts w:eastAsia="Calibri"/>
                <w:sz w:val="20"/>
                <w:szCs w:val="20"/>
              </w:rPr>
              <w:t>Supreme Court of Canada</w:t>
            </w:r>
          </w:p>
        </w:tc>
        <w:tc>
          <w:tcPr>
            <w:tcW w:w="243" w:type="pct"/>
          </w:tcPr>
          <w:p w:rsidR="005F001B" w:rsidRPr="00E27991" w:rsidRDefault="005F001B" w:rsidP="00F106BA">
            <w:pPr>
              <w:jc w:val="both"/>
              <w:rPr>
                <w:rFonts w:eastAsia="Calibri"/>
                <w:sz w:val="20"/>
                <w:szCs w:val="20"/>
              </w:rPr>
            </w:pPr>
          </w:p>
        </w:tc>
        <w:tc>
          <w:tcPr>
            <w:tcW w:w="2330" w:type="pct"/>
            <w:hideMark/>
          </w:tcPr>
          <w:p w:rsidR="005F001B" w:rsidRPr="00E27991" w:rsidRDefault="005F001B" w:rsidP="00F106BA">
            <w:pPr>
              <w:jc w:val="both"/>
              <w:rPr>
                <w:rFonts w:eastAsia="Calibri"/>
                <w:sz w:val="20"/>
                <w:szCs w:val="20"/>
              </w:rPr>
            </w:pPr>
            <w:r w:rsidRPr="00E27991">
              <w:rPr>
                <w:rFonts w:eastAsia="Calibri"/>
                <w:sz w:val="20"/>
                <w:szCs w:val="20"/>
              </w:rPr>
              <w:t>Application for leave to appeal filed.</w:t>
            </w:r>
          </w:p>
        </w:tc>
      </w:tr>
    </w:tbl>
    <w:p w:rsidR="00B7329E" w:rsidRDefault="00B7329E" w:rsidP="00B7329E">
      <w:pPr>
        <w:rPr>
          <w:sz w:val="20"/>
          <w:szCs w:val="20"/>
        </w:rPr>
      </w:pPr>
    </w:p>
    <w:p w:rsidR="00B7329E" w:rsidRPr="00C50A5C" w:rsidRDefault="005C6187" w:rsidP="00B7329E">
      <w:pPr>
        <w:rPr>
          <w:sz w:val="20"/>
          <w:szCs w:val="20"/>
        </w:rPr>
      </w:pPr>
      <w:r>
        <w:rPr>
          <w:sz w:val="20"/>
          <w:szCs w:val="20"/>
          <w:lang w:val="fr-CA"/>
        </w:rPr>
        <w:pict>
          <v:rect id="_x0000_i1043" style="width:2in;height:1pt" o:hrpct="0" o:hralign="center" o:hrstd="t" o:hrnoshade="t" o:hr="t" fillcolor="black [3213]" stroked="f"/>
        </w:pict>
      </w:r>
    </w:p>
    <w:p w:rsidR="00B7329E" w:rsidRDefault="00B7329E" w:rsidP="00B7329E">
      <w:pPr>
        <w:rPr>
          <w:sz w:val="20"/>
          <w:szCs w:val="20"/>
        </w:rPr>
      </w:pPr>
    </w:p>
    <w:p w:rsidR="00B7329E" w:rsidRPr="001B157C" w:rsidRDefault="00B7329E" w:rsidP="00B7329E">
      <w:pPr>
        <w:rPr>
          <w:sz w:val="20"/>
          <w:szCs w:val="20"/>
          <w:u w:val="single"/>
          <w:lang w:val="fr-CA"/>
        </w:rPr>
      </w:pPr>
      <w:r w:rsidRPr="001B157C">
        <w:rPr>
          <w:sz w:val="20"/>
          <w:szCs w:val="20"/>
          <w:u w:val="single"/>
          <w:lang w:val="fr-CA"/>
        </w:rPr>
        <w:t>RÉSUMÉ DE L’AFFAIRE</w:t>
      </w:r>
    </w:p>
    <w:p w:rsidR="00B7329E" w:rsidRDefault="00B7329E" w:rsidP="00B7329E">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5F001B" w:rsidRPr="00E27991" w:rsidTr="00F106BA">
        <w:tc>
          <w:tcPr>
            <w:tcW w:w="5000" w:type="pct"/>
            <w:gridSpan w:val="3"/>
          </w:tcPr>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Droit administratif — Appels — Norme de contrôle — Commission mixte de révision de l’évaluation foncière — Compétence — Appel de l’évaluation foncière d’un centre commercial — L’évaluateur municipal a demandé l’augmentation de l’évaluation du centre sur le fondement d’une catégorisation différente du centre — La Commission a accepté en partie l’argument de l’évaluateur — Augmentation de l’évaluation d’environ 9,5 millions de dollars — Les juridictions inférieures ont conclu que l’évaluateur de la Ville ne pouvait pas valablement introduire de demande reconventionnelle et demander une augmentation de l’évaluation à ce stade — Quelle est la bonne façon de déterminer la norme de contrôle lorsque la loi prévoit que la décision d’un tribunal administratif peut être portée en appel? — Comment faut-il interpréter une disposition législative en matière d’évaluation en ce qui concerne l’interdiction imposée à une municipalité de demander à un tribunal d’évaluation de corriger une évaluation? — </w:t>
            </w:r>
            <w:r w:rsidRPr="00E27991">
              <w:rPr>
                <w:rFonts w:eastAsia="Calibri"/>
                <w:i/>
                <w:sz w:val="20"/>
                <w:szCs w:val="20"/>
                <w:lang w:val="fr-CA"/>
              </w:rPr>
              <w:t>Municipal Government Act</w:t>
            </w:r>
            <w:r w:rsidRPr="00E27991">
              <w:rPr>
                <w:rFonts w:eastAsia="Calibri"/>
                <w:sz w:val="20"/>
                <w:szCs w:val="20"/>
                <w:lang w:val="fr-CA"/>
              </w:rPr>
              <w:t>, R.S.A. 2000, ch. M-26.</w:t>
            </w:r>
          </w:p>
        </w:tc>
      </w:tr>
      <w:tr w:rsidR="005F001B" w:rsidRPr="00E27991" w:rsidTr="00F106BA">
        <w:tc>
          <w:tcPr>
            <w:tcW w:w="5000" w:type="pct"/>
            <w:gridSpan w:val="3"/>
          </w:tcPr>
          <w:p w:rsidR="005F001B" w:rsidRPr="00E27991" w:rsidRDefault="005F001B" w:rsidP="00F106BA">
            <w:pPr>
              <w:jc w:val="both"/>
              <w:rPr>
                <w:rFonts w:eastAsia="Calibri"/>
                <w:sz w:val="20"/>
                <w:szCs w:val="20"/>
                <w:lang w:val="fr-CA"/>
              </w:rPr>
            </w:pPr>
          </w:p>
        </w:tc>
      </w:tr>
      <w:tr w:rsidR="005F001B" w:rsidRPr="00E27991" w:rsidTr="00F106BA">
        <w:tc>
          <w:tcPr>
            <w:tcW w:w="5000" w:type="pct"/>
            <w:gridSpan w:val="3"/>
          </w:tcPr>
          <w:p w:rsidR="005F001B" w:rsidRPr="00E27991" w:rsidRDefault="005F001B" w:rsidP="00F106BA">
            <w:pPr>
              <w:jc w:val="both"/>
              <w:rPr>
                <w:rFonts w:eastAsia="Calibri"/>
                <w:sz w:val="20"/>
                <w:szCs w:val="20"/>
                <w:lang w:val="fr-CA"/>
              </w:rPr>
            </w:pPr>
            <w:r w:rsidRPr="00E27991">
              <w:rPr>
                <w:rFonts w:eastAsia="Calibri"/>
                <w:sz w:val="20"/>
                <w:szCs w:val="20"/>
                <w:lang w:val="fr-CA"/>
              </w:rPr>
              <w:t>Le centre commercial intimé a été l’objet d’une évaluation foncière de 31 328 500 $. Il a contesté l’évaluation à la Commission de révision de l’évaluation foncière de la Ville d’Edmonton. Un nouvel évaluateur municipal a pris le dossier en main et il s’est dit en désaccord avec la catégorisation du centre et a demandé à la Commission de révision une augmentation de l’évaluation.</w:t>
            </w:r>
          </w:p>
          <w:p w:rsidR="005F001B" w:rsidRPr="00E27991" w:rsidRDefault="005F001B" w:rsidP="00F106BA">
            <w:pPr>
              <w:jc w:val="both"/>
              <w:rPr>
                <w:rFonts w:eastAsia="Calibri"/>
                <w:sz w:val="20"/>
                <w:szCs w:val="20"/>
                <w:lang w:val="fr-CA"/>
              </w:rPr>
            </w:pPr>
          </w:p>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La Commission de révision a accepté l’argument de l’évaluateur et a augmenté l’évaluation à 40 795 500 $. Le centre commercial a demandé l’autorisation d’appel de cette décision et sa demande a été accueillie. La Cour du Banc de la Reine a accueilli l’appel et a renvoyé l’affaire à la Commission de révision. La Cour d’appel a rejeté l’appel.   </w:t>
            </w:r>
          </w:p>
          <w:p w:rsidR="005F001B" w:rsidRPr="00E27991" w:rsidRDefault="005F001B" w:rsidP="00F106BA">
            <w:pPr>
              <w:jc w:val="both"/>
              <w:rPr>
                <w:rFonts w:eastAsia="Calibri"/>
                <w:sz w:val="20"/>
                <w:szCs w:val="20"/>
                <w:lang w:val="fr-CA"/>
              </w:rPr>
            </w:pPr>
          </w:p>
        </w:tc>
      </w:tr>
      <w:tr w:rsidR="005F001B" w:rsidRPr="005C6187" w:rsidTr="00F106BA">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2 août 2011</w:t>
            </w:r>
          </w:p>
          <w:p w:rsidR="005F001B" w:rsidRPr="00E27991" w:rsidRDefault="005F001B" w:rsidP="00F106BA">
            <w:pPr>
              <w:jc w:val="both"/>
              <w:rPr>
                <w:rFonts w:eastAsia="Calibri"/>
                <w:sz w:val="20"/>
                <w:szCs w:val="20"/>
                <w:lang w:val="fr-CA"/>
              </w:rPr>
            </w:pPr>
            <w:r w:rsidRPr="00E27991">
              <w:rPr>
                <w:rFonts w:eastAsia="Calibri"/>
                <w:sz w:val="20"/>
                <w:szCs w:val="20"/>
                <w:lang w:val="fr-CA"/>
              </w:rPr>
              <w:t>Commission de révision de l’évaluation foncière de la Ville d’Edmonton</w:t>
            </w:r>
          </w:p>
          <w:p w:rsidR="005F001B" w:rsidRPr="00E27991" w:rsidRDefault="005F001B" w:rsidP="00F106BA">
            <w:pPr>
              <w:jc w:val="both"/>
              <w:rPr>
                <w:rFonts w:eastAsia="Calibri"/>
                <w:sz w:val="20"/>
                <w:szCs w:val="20"/>
                <w:lang w:val="fr-CA"/>
              </w:rPr>
            </w:pPr>
            <w:r w:rsidRPr="00E27991">
              <w:rPr>
                <w:rFonts w:eastAsia="Calibri"/>
                <w:sz w:val="20"/>
                <w:szCs w:val="20"/>
                <w:lang w:val="fr-CA"/>
              </w:rPr>
              <w:t>Décision n</w:t>
            </w:r>
            <w:r w:rsidRPr="00E27991">
              <w:rPr>
                <w:rFonts w:eastAsia="Calibri"/>
                <w:sz w:val="20"/>
                <w:szCs w:val="20"/>
                <w:vertAlign w:val="superscript"/>
                <w:lang w:val="fr-CA"/>
              </w:rPr>
              <w:t>o</w:t>
            </w:r>
            <w:r w:rsidRPr="00E27991">
              <w:rPr>
                <w:rFonts w:eastAsia="Calibri"/>
                <w:sz w:val="20"/>
                <w:szCs w:val="20"/>
                <w:lang w:val="fr-CA"/>
              </w:rPr>
              <w:t xml:space="preserve"> 0098 56/11</w:t>
            </w:r>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hideMark/>
          </w:tcPr>
          <w:p w:rsidR="005F001B" w:rsidRPr="00E27991" w:rsidRDefault="005F001B" w:rsidP="00F106BA">
            <w:pPr>
              <w:jc w:val="both"/>
              <w:rPr>
                <w:rFonts w:eastAsia="Calibri"/>
                <w:sz w:val="20"/>
                <w:szCs w:val="20"/>
                <w:lang w:val="fr-CA"/>
              </w:rPr>
            </w:pPr>
            <w:r w:rsidRPr="00E27991">
              <w:rPr>
                <w:rFonts w:eastAsia="Calibri"/>
                <w:sz w:val="20"/>
                <w:szCs w:val="20"/>
                <w:lang w:val="fr-CA"/>
              </w:rPr>
              <w:t>Évaluation foncière augmentée de 31 328 500 $ à 40 795 500 $.</w:t>
            </w:r>
          </w:p>
        </w:tc>
      </w:tr>
      <w:tr w:rsidR="005F001B" w:rsidRPr="005C6187" w:rsidTr="00F106BA">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20 juillet 2012</w:t>
            </w:r>
          </w:p>
          <w:p w:rsidR="005F001B" w:rsidRPr="00E27991" w:rsidRDefault="005F001B" w:rsidP="00F106BA">
            <w:pPr>
              <w:jc w:val="both"/>
              <w:rPr>
                <w:rFonts w:eastAsia="Calibri"/>
                <w:sz w:val="20"/>
                <w:szCs w:val="20"/>
                <w:lang w:val="fr-CA"/>
              </w:rPr>
            </w:pPr>
            <w:r w:rsidRPr="00E27991">
              <w:rPr>
                <w:rFonts w:eastAsia="Calibri"/>
                <w:sz w:val="20"/>
                <w:szCs w:val="20"/>
                <w:lang w:val="fr-CA"/>
              </w:rPr>
              <w:t>Cour du Banc de la Reine de l’Alberta</w:t>
            </w:r>
          </w:p>
          <w:p w:rsidR="005F001B" w:rsidRPr="00E27991" w:rsidRDefault="005F001B" w:rsidP="00F106BA">
            <w:pPr>
              <w:jc w:val="both"/>
              <w:rPr>
                <w:rFonts w:eastAsia="Calibri"/>
                <w:sz w:val="20"/>
                <w:szCs w:val="20"/>
                <w:lang w:val="fr-CA"/>
              </w:rPr>
            </w:pPr>
            <w:r w:rsidRPr="00E27991">
              <w:rPr>
                <w:rFonts w:eastAsia="Calibri"/>
                <w:sz w:val="20"/>
                <w:szCs w:val="20"/>
                <w:lang w:val="fr-CA"/>
              </w:rPr>
              <w:t>(Juge Michalyshyn)</w:t>
            </w:r>
          </w:p>
          <w:p w:rsidR="005F001B" w:rsidRPr="00E27991" w:rsidRDefault="005C6187" w:rsidP="00F106BA">
            <w:pPr>
              <w:jc w:val="both"/>
              <w:rPr>
                <w:rFonts w:eastAsia="Calibri"/>
                <w:sz w:val="20"/>
                <w:szCs w:val="20"/>
                <w:lang w:val="fr-CA"/>
              </w:rPr>
            </w:pPr>
            <w:hyperlink r:id="rId29" w:history="1">
              <w:r w:rsidR="005F001B" w:rsidRPr="00E27991">
                <w:rPr>
                  <w:rFonts w:eastAsia="Calibri"/>
                  <w:color w:val="0000FF" w:themeColor="hyperlink"/>
                  <w:sz w:val="20"/>
                  <w:szCs w:val="20"/>
                  <w:u w:val="single"/>
                  <w:lang w:val="fr-CA"/>
                </w:rPr>
                <w:t>2012 ABQB 445</w:t>
              </w:r>
            </w:hyperlink>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Autorisation d’appel de la décision de la Commission de révision de l’évaluation foncière.</w:t>
            </w:r>
          </w:p>
          <w:p w:rsidR="005F001B" w:rsidRPr="00E27991" w:rsidRDefault="005F001B" w:rsidP="00F106BA">
            <w:pPr>
              <w:jc w:val="both"/>
              <w:rPr>
                <w:rFonts w:eastAsia="Calibri"/>
                <w:sz w:val="20"/>
                <w:szCs w:val="20"/>
                <w:lang w:val="fr-CA"/>
              </w:rPr>
            </w:pPr>
          </w:p>
        </w:tc>
      </w:tr>
      <w:tr w:rsidR="005F001B" w:rsidRPr="005C6187" w:rsidTr="00F106BA">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13 septembre 2013</w:t>
            </w:r>
          </w:p>
          <w:p w:rsidR="005F001B" w:rsidRPr="00E27991" w:rsidRDefault="005F001B" w:rsidP="00F106BA">
            <w:pPr>
              <w:jc w:val="both"/>
              <w:rPr>
                <w:rFonts w:eastAsia="Calibri"/>
                <w:sz w:val="20"/>
                <w:szCs w:val="20"/>
                <w:lang w:val="fr-CA"/>
              </w:rPr>
            </w:pPr>
            <w:r w:rsidRPr="00E27991">
              <w:rPr>
                <w:rFonts w:eastAsia="Calibri"/>
                <w:sz w:val="20"/>
                <w:szCs w:val="20"/>
                <w:lang w:val="fr-CA"/>
              </w:rPr>
              <w:t>Cour du Banc de la Reine de l’Alberta</w:t>
            </w:r>
          </w:p>
          <w:p w:rsidR="005F001B" w:rsidRPr="00E27991" w:rsidRDefault="005F001B" w:rsidP="00F106BA">
            <w:pPr>
              <w:jc w:val="both"/>
              <w:rPr>
                <w:rFonts w:eastAsia="Calibri"/>
                <w:sz w:val="20"/>
                <w:szCs w:val="20"/>
                <w:lang w:val="fr-CA"/>
              </w:rPr>
            </w:pPr>
            <w:r w:rsidRPr="00E27991">
              <w:rPr>
                <w:rFonts w:eastAsia="Calibri"/>
                <w:sz w:val="20"/>
                <w:szCs w:val="20"/>
                <w:lang w:val="fr-CA"/>
              </w:rPr>
              <w:t>(Juge Rooke)</w:t>
            </w:r>
          </w:p>
          <w:p w:rsidR="005F001B" w:rsidRPr="00E27991" w:rsidRDefault="005C6187" w:rsidP="00F106BA">
            <w:pPr>
              <w:jc w:val="both"/>
              <w:rPr>
                <w:rFonts w:eastAsia="Calibri"/>
                <w:sz w:val="20"/>
                <w:szCs w:val="20"/>
                <w:lang w:val="fr-CA"/>
              </w:rPr>
            </w:pPr>
            <w:hyperlink r:id="rId30" w:history="1">
              <w:r w:rsidR="005F001B" w:rsidRPr="00E27991">
                <w:rPr>
                  <w:rFonts w:eastAsia="Calibri"/>
                  <w:color w:val="0000FF" w:themeColor="hyperlink"/>
                  <w:sz w:val="20"/>
                  <w:szCs w:val="20"/>
                  <w:u w:val="single"/>
                  <w:lang w:val="fr-CA"/>
                </w:rPr>
                <w:t>2013 ABQB 526</w:t>
              </w:r>
            </w:hyperlink>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Arrêt accueillant l’appel; annulation de la décision de la Commission de révision de l’évaluation foncière et renvoi de l’affaire à une nouvelle formation de la Commission de révision pour qu’elle l’entende de nouveau.</w:t>
            </w:r>
          </w:p>
          <w:p w:rsidR="005F001B" w:rsidRPr="00E27991" w:rsidRDefault="005F001B" w:rsidP="00F106BA">
            <w:pPr>
              <w:jc w:val="both"/>
              <w:rPr>
                <w:rFonts w:eastAsia="Calibri"/>
                <w:sz w:val="20"/>
                <w:szCs w:val="20"/>
                <w:lang w:val="fr-CA"/>
              </w:rPr>
            </w:pPr>
          </w:p>
        </w:tc>
      </w:tr>
      <w:tr w:rsidR="005F001B" w:rsidRPr="00E27991" w:rsidTr="009B29E7">
        <w:trPr>
          <w:cantSplit/>
        </w:trPr>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lastRenderedPageBreak/>
              <w:t>27 février 2015</w:t>
            </w:r>
          </w:p>
          <w:p w:rsidR="005F001B" w:rsidRPr="00E27991" w:rsidRDefault="005F001B" w:rsidP="00F106BA">
            <w:pPr>
              <w:jc w:val="both"/>
              <w:rPr>
                <w:rFonts w:eastAsia="Calibri"/>
                <w:sz w:val="20"/>
                <w:szCs w:val="20"/>
                <w:lang w:val="fr-CA"/>
              </w:rPr>
            </w:pPr>
            <w:r w:rsidRPr="00E27991">
              <w:rPr>
                <w:rFonts w:eastAsia="Calibri"/>
                <w:sz w:val="20"/>
                <w:szCs w:val="20"/>
                <w:lang w:val="fr-CA"/>
              </w:rPr>
              <w:t>Cour d’appel de l’Alberta (Edmonton)</w:t>
            </w:r>
          </w:p>
          <w:p w:rsidR="005F001B" w:rsidRPr="00E27991" w:rsidRDefault="005F001B" w:rsidP="00F106BA">
            <w:pPr>
              <w:jc w:val="both"/>
              <w:rPr>
                <w:rFonts w:eastAsia="Calibri"/>
                <w:sz w:val="20"/>
                <w:szCs w:val="20"/>
                <w:lang w:val="fr-CA"/>
              </w:rPr>
            </w:pPr>
            <w:r w:rsidRPr="00E27991">
              <w:rPr>
                <w:rFonts w:eastAsia="Calibri"/>
                <w:sz w:val="20"/>
                <w:szCs w:val="20"/>
                <w:lang w:val="fr-CA"/>
              </w:rPr>
              <w:t>(Juges Berger, Slatter et Rowbotham)</w:t>
            </w:r>
          </w:p>
          <w:p w:rsidR="005F001B" w:rsidRPr="00E27991" w:rsidRDefault="005C6187" w:rsidP="00F106BA">
            <w:pPr>
              <w:jc w:val="both"/>
              <w:rPr>
                <w:rFonts w:eastAsia="Calibri"/>
                <w:sz w:val="20"/>
                <w:szCs w:val="20"/>
                <w:lang w:val="fr-CA"/>
              </w:rPr>
            </w:pPr>
            <w:hyperlink r:id="rId31" w:history="1">
              <w:r w:rsidR="005F001B" w:rsidRPr="00E27991">
                <w:rPr>
                  <w:rFonts w:eastAsia="Calibri"/>
                  <w:color w:val="0000FF" w:themeColor="hyperlink"/>
                  <w:sz w:val="20"/>
                  <w:szCs w:val="20"/>
                  <w:u w:val="single"/>
                  <w:lang w:val="fr-CA"/>
                </w:rPr>
                <w:t>2015 ABCA 85</w:t>
              </w:r>
            </w:hyperlink>
          </w:p>
          <w:p w:rsidR="005F001B" w:rsidRPr="00E27991" w:rsidRDefault="005F001B" w:rsidP="00F106BA">
            <w:pPr>
              <w:jc w:val="both"/>
              <w:rPr>
                <w:rFonts w:eastAsia="Calibri"/>
                <w:sz w:val="20"/>
                <w:szCs w:val="20"/>
                <w:lang w:val="fr-CA"/>
              </w:rPr>
            </w:pPr>
            <w:r w:rsidRPr="00E27991">
              <w:rPr>
                <w:rFonts w:eastAsia="Calibri"/>
                <w:sz w:val="20"/>
                <w:szCs w:val="20"/>
                <w:lang w:val="fr-CA"/>
              </w:rPr>
              <w:t>N</w:t>
            </w:r>
            <w:r w:rsidRPr="00E27991">
              <w:rPr>
                <w:rFonts w:eastAsia="Calibri"/>
                <w:sz w:val="20"/>
                <w:szCs w:val="20"/>
                <w:vertAlign w:val="superscript"/>
                <w:lang w:val="fr-CA"/>
              </w:rPr>
              <w:t>o</w:t>
            </w:r>
            <w:r w:rsidRPr="00E27991">
              <w:rPr>
                <w:rFonts w:eastAsia="Calibri"/>
                <w:sz w:val="20"/>
                <w:szCs w:val="20"/>
                <w:lang w:val="fr-CA"/>
              </w:rPr>
              <w:t xml:space="preserve"> du greffe : 1303-0283-AC</w:t>
            </w:r>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Rejet de l’appel.</w:t>
            </w:r>
          </w:p>
          <w:p w:rsidR="005F001B" w:rsidRPr="00E27991" w:rsidRDefault="005F001B" w:rsidP="00F106BA">
            <w:pPr>
              <w:jc w:val="both"/>
              <w:rPr>
                <w:rFonts w:eastAsia="Calibri"/>
                <w:sz w:val="20"/>
                <w:szCs w:val="20"/>
                <w:lang w:val="fr-CA"/>
              </w:rPr>
            </w:pPr>
          </w:p>
        </w:tc>
      </w:tr>
      <w:tr w:rsidR="005F001B" w:rsidRPr="005C6187" w:rsidTr="009B29E7">
        <w:trPr>
          <w:cantSplit/>
        </w:trPr>
        <w:tc>
          <w:tcPr>
            <w:tcW w:w="2427" w:type="pct"/>
            <w:hideMark/>
          </w:tcPr>
          <w:p w:rsidR="005F001B" w:rsidRPr="00E27991" w:rsidRDefault="005F001B" w:rsidP="00F106BA">
            <w:pPr>
              <w:jc w:val="both"/>
              <w:rPr>
                <w:rFonts w:eastAsia="Calibri"/>
                <w:sz w:val="20"/>
                <w:szCs w:val="20"/>
                <w:lang w:val="fr-CA"/>
              </w:rPr>
            </w:pPr>
            <w:r w:rsidRPr="00E27991">
              <w:rPr>
                <w:rFonts w:eastAsia="Calibri"/>
                <w:sz w:val="20"/>
                <w:szCs w:val="20"/>
                <w:lang w:val="fr-CA"/>
              </w:rPr>
              <w:t>27 avril 2015</w:t>
            </w:r>
          </w:p>
          <w:p w:rsidR="005F001B" w:rsidRPr="00E27991" w:rsidRDefault="005F001B" w:rsidP="00F106BA">
            <w:pPr>
              <w:jc w:val="both"/>
              <w:rPr>
                <w:rFonts w:eastAsia="Calibri"/>
                <w:sz w:val="20"/>
                <w:szCs w:val="20"/>
                <w:lang w:val="fr-CA"/>
              </w:rPr>
            </w:pPr>
            <w:r w:rsidRPr="00E27991">
              <w:rPr>
                <w:rFonts w:eastAsia="Calibri"/>
                <w:sz w:val="20"/>
                <w:szCs w:val="20"/>
                <w:lang w:val="fr-CA"/>
              </w:rPr>
              <w:t>Cour suprême du Canada</w:t>
            </w: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Dépôt de la demande d’autorisation d’appel.</w:t>
            </w:r>
          </w:p>
          <w:p w:rsidR="005F001B" w:rsidRPr="00E27991" w:rsidRDefault="005F001B" w:rsidP="00F106BA">
            <w:pPr>
              <w:jc w:val="both"/>
              <w:rPr>
                <w:rFonts w:eastAsia="Calibri"/>
                <w:sz w:val="20"/>
                <w:szCs w:val="20"/>
                <w:lang w:val="fr-CA"/>
              </w:rPr>
            </w:pPr>
          </w:p>
        </w:tc>
      </w:tr>
    </w:tbl>
    <w:p w:rsidR="00B7329E" w:rsidRPr="005F001B" w:rsidRDefault="00B7329E" w:rsidP="00B7329E">
      <w:pPr>
        <w:rPr>
          <w:sz w:val="20"/>
          <w:szCs w:val="20"/>
          <w:lang w:val="fr-CA"/>
        </w:rPr>
      </w:pPr>
    </w:p>
    <w:p w:rsidR="00B7329E" w:rsidRDefault="005C6187" w:rsidP="00B7329E">
      <w:pPr>
        <w:rPr>
          <w:sz w:val="20"/>
          <w:szCs w:val="20"/>
        </w:rPr>
      </w:pPr>
      <w:r>
        <w:rPr>
          <w:sz w:val="20"/>
          <w:szCs w:val="20"/>
          <w:lang w:val="fr-CA"/>
        </w:rPr>
        <w:pict>
          <v:rect id="_x0000_i1044" style="width:2in;height:1pt" o:hrpct="0" o:hralign="center" o:hrstd="t" o:hrnoshade="t" o:hr="t" fillcolor="black [3213]" stroked="f"/>
        </w:pict>
      </w:r>
    </w:p>
    <w:p w:rsidR="00B7329E" w:rsidRDefault="00B7329E" w:rsidP="00B7329E">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B29E7" w:rsidRPr="009B29E7" w:rsidTr="009C04F5">
        <w:trPr>
          <w:cantSplit/>
        </w:trPr>
        <w:tc>
          <w:tcPr>
            <w:tcW w:w="1458" w:type="dxa"/>
          </w:tcPr>
          <w:p w:rsidR="009B29E7" w:rsidRPr="009B29E7" w:rsidRDefault="009B29E7" w:rsidP="009B29E7">
            <w:pPr>
              <w:rPr>
                <w:sz w:val="20"/>
              </w:rPr>
            </w:pPr>
            <w:r w:rsidRPr="009B29E7">
              <w:rPr>
                <w:b/>
                <w:sz w:val="20"/>
                <w:lang w:val="fr-CA"/>
              </w:rPr>
              <w:t>36428</w:t>
            </w:r>
          </w:p>
          <w:p w:rsidR="009B29E7" w:rsidRPr="009B29E7" w:rsidRDefault="009B29E7" w:rsidP="009B29E7">
            <w:pPr>
              <w:rPr>
                <w:b/>
                <w:sz w:val="20"/>
                <w:lang w:val="fr-CA"/>
              </w:rPr>
            </w:pPr>
          </w:p>
        </w:tc>
        <w:tc>
          <w:tcPr>
            <w:tcW w:w="8118" w:type="dxa"/>
          </w:tcPr>
          <w:p w:rsidR="009B29E7" w:rsidRPr="009B29E7" w:rsidRDefault="009B29E7" w:rsidP="009B29E7">
            <w:pPr>
              <w:jc w:val="both"/>
              <w:rPr>
                <w:sz w:val="20"/>
              </w:rPr>
            </w:pPr>
            <w:r w:rsidRPr="009B29E7">
              <w:rPr>
                <w:b/>
                <w:sz w:val="20"/>
                <w:u w:val="single"/>
                <w:lang w:val="en-US"/>
              </w:rPr>
              <w:t>Oluwarotimi Fashoranti v. College of Physicians and Surgeons of Nova Scotia</w:t>
            </w:r>
            <w:r w:rsidR="00DB2223">
              <w:rPr>
                <w:b/>
                <w:sz w:val="20"/>
                <w:u w:val="single"/>
                <w:lang w:val="en-US"/>
              </w:rPr>
              <w:t xml:space="preserve"> and</w:t>
            </w:r>
            <w:r w:rsidRPr="009B29E7">
              <w:rPr>
                <w:b/>
                <w:sz w:val="20"/>
                <w:u w:val="single"/>
                <w:lang w:val="en-US"/>
              </w:rPr>
              <w:t xml:space="preserve"> Attorney General of Nova Scotia</w:t>
            </w:r>
            <w:r w:rsidRPr="009B29E7">
              <w:rPr>
                <w:sz w:val="20"/>
              </w:rPr>
              <w:t xml:space="preserve"> (N.S.) (Civil) (By Leave)</w:t>
            </w:r>
          </w:p>
          <w:p w:rsidR="009B29E7" w:rsidRPr="009B29E7" w:rsidRDefault="009B29E7" w:rsidP="009B29E7">
            <w:pPr>
              <w:jc w:val="both"/>
              <w:rPr>
                <w:sz w:val="20"/>
              </w:rPr>
            </w:pPr>
          </w:p>
        </w:tc>
      </w:tr>
      <w:tr w:rsidR="009B29E7" w:rsidRPr="009B29E7" w:rsidTr="009C04F5">
        <w:trPr>
          <w:cantSplit/>
        </w:trPr>
        <w:tc>
          <w:tcPr>
            <w:tcW w:w="1458" w:type="dxa"/>
          </w:tcPr>
          <w:p w:rsidR="009B29E7" w:rsidRPr="009B29E7" w:rsidRDefault="009B29E7" w:rsidP="009B29E7">
            <w:pPr>
              <w:rPr>
                <w:sz w:val="20"/>
              </w:rPr>
            </w:pPr>
            <w:r w:rsidRPr="009B29E7">
              <w:rPr>
                <w:sz w:val="20"/>
              </w:rPr>
              <w:t>Coram :</w:t>
            </w:r>
          </w:p>
        </w:tc>
        <w:tc>
          <w:tcPr>
            <w:tcW w:w="8118" w:type="dxa"/>
          </w:tcPr>
          <w:p w:rsidR="009B29E7" w:rsidRPr="009B29E7" w:rsidRDefault="009B29E7" w:rsidP="009B29E7">
            <w:pPr>
              <w:rPr>
                <w:sz w:val="20"/>
              </w:rPr>
            </w:pPr>
            <w:r w:rsidRPr="009B29E7">
              <w:rPr>
                <w:sz w:val="20"/>
                <w:u w:val="single"/>
                <w:lang w:val="en-US"/>
              </w:rPr>
              <w:t>Rothstein, Cromwell and Moldaver JJ.</w:t>
            </w:r>
          </w:p>
          <w:p w:rsidR="009B29E7" w:rsidRPr="009B29E7" w:rsidRDefault="009B29E7" w:rsidP="009B29E7">
            <w:pPr>
              <w:rPr>
                <w:sz w:val="20"/>
                <w:u w:val="single"/>
              </w:rPr>
            </w:pPr>
          </w:p>
        </w:tc>
      </w:tr>
      <w:tr w:rsidR="009B29E7" w:rsidRPr="005C6187" w:rsidTr="009C04F5">
        <w:trPr>
          <w:cantSplit/>
        </w:trPr>
        <w:tc>
          <w:tcPr>
            <w:tcW w:w="9576" w:type="dxa"/>
            <w:gridSpan w:val="2"/>
          </w:tcPr>
          <w:p w:rsidR="009B29E7" w:rsidRPr="009B29E7" w:rsidRDefault="009B29E7" w:rsidP="009B29E7">
            <w:pPr>
              <w:ind w:firstLine="720"/>
              <w:jc w:val="both"/>
              <w:rPr>
                <w:sz w:val="20"/>
              </w:rPr>
            </w:pPr>
            <w:r w:rsidRPr="009B29E7">
              <w:rPr>
                <w:sz w:val="20"/>
              </w:rPr>
              <w:t>The application for leave to appeal from the judgment of the Nova Scotia Court of Appeal, Number  CA 428527, 2015 NSCA 25, dated March 11, 2015, is dismissed with costs to the respondent, the College of Physicians and Surgeons of Nova Scotia.</w:t>
            </w:r>
          </w:p>
          <w:p w:rsidR="009B29E7" w:rsidRPr="009B29E7" w:rsidRDefault="009B29E7" w:rsidP="009B29E7">
            <w:pPr>
              <w:jc w:val="both"/>
              <w:rPr>
                <w:sz w:val="20"/>
              </w:rPr>
            </w:pPr>
          </w:p>
          <w:p w:rsidR="009B29E7" w:rsidRPr="009B29E7" w:rsidRDefault="009B29E7" w:rsidP="009B29E7">
            <w:pPr>
              <w:ind w:firstLine="720"/>
              <w:jc w:val="both"/>
              <w:rPr>
                <w:sz w:val="20"/>
                <w:lang w:val="fr-CA"/>
              </w:rPr>
            </w:pPr>
            <w:r w:rsidRPr="009B29E7">
              <w:rPr>
                <w:sz w:val="20"/>
                <w:lang w:val="fr-CA"/>
              </w:rPr>
              <w:t>La demande d’autorisation d’appel de l’arrêt de la Cour d’appel de la Nouvelle-Écosse, numéro CA 428527, 2015 NSCA 25, daté du 11 mars 2015, est rejetée avec dépens en faveur de l’intimé, le College of Physicians and Surgeons of Nova Scotia.</w:t>
            </w:r>
          </w:p>
        </w:tc>
      </w:tr>
    </w:tbl>
    <w:p w:rsidR="00B7329E" w:rsidRPr="009B29E7" w:rsidRDefault="00B7329E" w:rsidP="00B7329E">
      <w:pPr>
        <w:rPr>
          <w:sz w:val="20"/>
          <w:szCs w:val="20"/>
          <w:lang w:val="fr-CA"/>
        </w:rPr>
      </w:pPr>
    </w:p>
    <w:p w:rsidR="00B7329E" w:rsidRPr="001B157C" w:rsidRDefault="00B7329E" w:rsidP="00B7329E">
      <w:pPr>
        <w:rPr>
          <w:sz w:val="20"/>
          <w:szCs w:val="20"/>
          <w:u w:val="single"/>
        </w:rPr>
      </w:pPr>
      <w:r w:rsidRPr="001B157C">
        <w:rPr>
          <w:sz w:val="20"/>
          <w:szCs w:val="20"/>
          <w:u w:val="single"/>
        </w:rPr>
        <w:t>CASE SUMMARY</w:t>
      </w:r>
    </w:p>
    <w:p w:rsidR="00B7329E" w:rsidRDefault="00B7329E" w:rsidP="00B7329E">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5F001B" w:rsidRPr="00E27991" w:rsidTr="00F106BA">
        <w:tc>
          <w:tcPr>
            <w:tcW w:w="5000" w:type="pct"/>
            <w:gridSpan w:val="3"/>
          </w:tcPr>
          <w:p w:rsidR="005F001B" w:rsidRPr="00E27991" w:rsidRDefault="005F001B" w:rsidP="00F106BA">
            <w:pPr>
              <w:jc w:val="both"/>
              <w:rPr>
                <w:rFonts w:eastAsia="Calibri"/>
                <w:smallCaps/>
                <w:sz w:val="20"/>
                <w:szCs w:val="20"/>
              </w:rPr>
            </w:pPr>
            <w:r w:rsidRPr="00E27991">
              <w:rPr>
                <w:rFonts w:eastAsia="Calibri"/>
                <w:smallCaps/>
                <w:sz w:val="20"/>
                <w:szCs w:val="20"/>
              </w:rPr>
              <w:t xml:space="preserve">(Publication </w:t>
            </w:r>
            <w:r>
              <w:rPr>
                <w:rFonts w:eastAsia="Calibri"/>
                <w:smallCaps/>
                <w:sz w:val="20"/>
              </w:rPr>
              <w:t>B</w:t>
            </w:r>
            <w:r w:rsidRPr="00E27991">
              <w:rPr>
                <w:rFonts w:eastAsia="Calibri"/>
                <w:smallCaps/>
                <w:sz w:val="20"/>
                <w:szCs w:val="20"/>
              </w:rPr>
              <w:t xml:space="preserve">an in </w:t>
            </w:r>
            <w:r>
              <w:rPr>
                <w:rFonts w:eastAsia="Calibri"/>
                <w:smallCaps/>
                <w:sz w:val="20"/>
              </w:rPr>
              <w:t>C</w:t>
            </w:r>
            <w:r w:rsidRPr="00E27991">
              <w:rPr>
                <w:rFonts w:eastAsia="Calibri"/>
                <w:smallCaps/>
                <w:sz w:val="20"/>
                <w:szCs w:val="20"/>
              </w:rPr>
              <w:t>ase)</w:t>
            </w:r>
          </w:p>
          <w:p w:rsidR="005F001B" w:rsidRPr="00E27991" w:rsidRDefault="005F001B" w:rsidP="00F106BA">
            <w:pPr>
              <w:jc w:val="both"/>
              <w:rPr>
                <w:rFonts w:eastAsia="Calibri"/>
                <w:sz w:val="20"/>
                <w:szCs w:val="20"/>
              </w:rPr>
            </w:pPr>
          </w:p>
          <w:p w:rsidR="005F001B" w:rsidRPr="00E27991" w:rsidRDefault="005F001B" w:rsidP="00F106BA">
            <w:pPr>
              <w:jc w:val="both"/>
              <w:rPr>
                <w:rFonts w:eastAsia="Calibri"/>
                <w:sz w:val="20"/>
                <w:szCs w:val="20"/>
              </w:rPr>
            </w:pPr>
            <w:r w:rsidRPr="00E27991">
              <w:rPr>
                <w:rFonts w:eastAsia="Calibri"/>
                <w:sz w:val="20"/>
                <w:szCs w:val="20"/>
              </w:rPr>
              <w:t xml:space="preserve">Administrative law – Appeals – Standard of review – Procedural fairness – Sufficiency of reasons – What effect did </w:t>
            </w:r>
            <w:r w:rsidRPr="00E27991">
              <w:rPr>
                <w:rFonts w:eastAsia="Calibri"/>
                <w:i/>
                <w:sz w:val="20"/>
                <w:szCs w:val="20"/>
              </w:rPr>
              <w:t>Newfoundland and Labrador Nurses’ Union v. Newfoundland and Labrador (Treasury Board)</w:t>
            </w:r>
            <w:r w:rsidRPr="00E27991">
              <w:rPr>
                <w:rFonts w:eastAsia="Calibri"/>
                <w:sz w:val="20"/>
                <w:szCs w:val="20"/>
              </w:rPr>
              <w:t xml:space="preserve">, 2011 SCC 62, [2011] 3 S.C.R. 708 have on the obligation to provide reasons as set out in </w:t>
            </w:r>
            <w:r w:rsidRPr="00E27991">
              <w:rPr>
                <w:rFonts w:eastAsia="Calibri"/>
                <w:i/>
                <w:sz w:val="20"/>
                <w:szCs w:val="20"/>
              </w:rPr>
              <w:t>Baker v. Canada (Minister of Citizenship and Immigration)</w:t>
            </w:r>
            <w:r w:rsidRPr="00E27991">
              <w:rPr>
                <w:rFonts w:eastAsia="Calibri"/>
                <w:sz w:val="20"/>
                <w:szCs w:val="20"/>
              </w:rPr>
              <w:t>, [1999] 2 S.C.R. 817 – In professional disciplinary matters and other like proceedings, should bare conclusory reasons, such as a finding that the professional was not credible, be sufficient to make a decision reasonable.</w:t>
            </w:r>
          </w:p>
        </w:tc>
      </w:tr>
      <w:tr w:rsidR="005F001B" w:rsidRPr="00E27991" w:rsidTr="00F106BA">
        <w:tc>
          <w:tcPr>
            <w:tcW w:w="5000" w:type="pct"/>
            <w:gridSpan w:val="3"/>
          </w:tcPr>
          <w:p w:rsidR="005F001B" w:rsidRPr="00E27991" w:rsidRDefault="005F001B" w:rsidP="00F106BA">
            <w:pPr>
              <w:jc w:val="both"/>
              <w:rPr>
                <w:rFonts w:eastAsia="Calibri"/>
                <w:sz w:val="20"/>
                <w:szCs w:val="20"/>
              </w:rPr>
            </w:pPr>
          </w:p>
        </w:tc>
      </w:tr>
      <w:tr w:rsidR="005F001B" w:rsidRPr="00E27991" w:rsidTr="00F106BA">
        <w:tc>
          <w:tcPr>
            <w:tcW w:w="5000" w:type="pct"/>
            <w:gridSpan w:val="3"/>
          </w:tcPr>
          <w:p w:rsidR="005F001B" w:rsidRPr="00E27991" w:rsidRDefault="005F001B" w:rsidP="00F106BA">
            <w:pPr>
              <w:jc w:val="both"/>
              <w:rPr>
                <w:rFonts w:eastAsia="Calibri"/>
                <w:sz w:val="20"/>
                <w:szCs w:val="20"/>
              </w:rPr>
            </w:pPr>
            <w:r w:rsidRPr="00E27991">
              <w:rPr>
                <w:rFonts w:eastAsia="Calibri"/>
                <w:sz w:val="20"/>
                <w:szCs w:val="20"/>
              </w:rPr>
              <w:t>The applicant physician has a sole practice in Pugwash, Nova Scotia. While fulfilling a regular shift at the hospital emergency room he saw Patient A, whom he knew as a patient at the hospital and from her place of work. While reviewing the results of a CT scan ordered by another physician, the applicant conducted a pelvic exam on Patient A. She alleged that he also carried out a breast exam, which he denied. Patient A contacted the police and the applicant was charged with sexual assault. In June, 2011, he was acquitted by a jury. Patient A then filed a complaint with the respondent, who charged the applicant with acting unprofessionally by (1)  having an “inappropriate interaction” with Patient A; and (2) engaging in an “inappropriate examination” of Patient A. The hearing committee dismissed the complaint of “inappropriate interaction” but held that the applicant had committed professional misconduct by carrying out a breast examination which was inappropriate in the circumstances. The applicant’s appeal to the Nova Scotia Court of Appeal was dismissed.</w:t>
            </w:r>
          </w:p>
          <w:p w:rsidR="005F001B" w:rsidRPr="00E27991" w:rsidRDefault="005F001B" w:rsidP="00F106BA">
            <w:pPr>
              <w:jc w:val="both"/>
              <w:rPr>
                <w:rFonts w:eastAsia="Calibri"/>
                <w:sz w:val="20"/>
                <w:szCs w:val="20"/>
              </w:rPr>
            </w:pPr>
          </w:p>
        </w:tc>
      </w:tr>
      <w:tr w:rsidR="005F001B" w:rsidRPr="00E27991" w:rsidTr="00F106BA">
        <w:tc>
          <w:tcPr>
            <w:tcW w:w="2427" w:type="pct"/>
          </w:tcPr>
          <w:p w:rsidR="005F001B" w:rsidRDefault="005F001B" w:rsidP="00F106BA">
            <w:pPr>
              <w:jc w:val="both"/>
              <w:rPr>
                <w:rFonts w:eastAsia="Calibri"/>
                <w:sz w:val="20"/>
                <w:szCs w:val="20"/>
              </w:rPr>
            </w:pPr>
            <w:r w:rsidRPr="00E27991">
              <w:rPr>
                <w:rFonts w:eastAsia="Calibri"/>
                <w:sz w:val="20"/>
                <w:szCs w:val="20"/>
              </w:rPr>
              <w:t>September 21, 2013</w:t>
            </w:r>
          </w:p>
          <w:p w:rsidR="005F001B" w:rsidRPr="00E27991" w:rsidRDefault="005F001B" w:rsidP="00F106BA">
            <w:pPr>
              <w:jc w:val="both"/>
              <w:rPr>
                <w:rFonts w:eastAsia="Calibri"/>
                <w:sz w:val="20"/>
                <w:szCs w:val="20"/>
              </w:rPr>
            </w:pPr>
            <w:r w:rsidRPr="00E27991">
              <w:rPr>
                <w:rFonts w:eastAsia="Calibri"/>
                <w:sz w:val="20"/>
                <w:szCs w:val="20"/>
              </w:rPr>
              <w:t xml:space="preserve">College of Physicians and Surgeons of Nova </w:t>
            </w:r>
          </w:p>
          <w:p w:rsidR="005F001B" w:rsidRPr="00E27991" w:rsidRDefault="005F001B" w:rsidP="00F106BA">
            <w:pPr>
              <w:jc w:val="both"/>
              <w:rPr>
                <w:rFonts w:eastAsia="Calibri"/>
                <w:sz w:val="20"/>
                <w:szCs w:val="20"/>
              </w:rPr>
            </w:pPr>
            <w:r w:rsidRPr="00E27991">
              <w:rPr>
                <w:rFonts w:eastAsia="Calibri"/>
                <w:sz w:val="20"/>
                <w:szCs w:val="20"/>
              </w:rPr>
              <w:t>Scotia</w:t>
            </w:r>
          </w:p>
          <w:p w:rsidR="005F001B" w:rsidRPr="00E27991" w:rsidRDefault="005F001B" w:rsidP="00F106BA">
            <w:pPr>
              <w:jc w:val="both"/>
              <w:rPr>
                <w:rFonts w:eastAsia="Calibri"/>
                <w:sz w:val="20"/>
                <w:szCs w:val="20"/>
              </w:rPr>
            </w:pPr>
            <w:r w:rsidRPr="00E27991">
              <w:rPr>
                <w:rFonts w:eastAsia="Calibri"/>
                <w:sz w:val="20"/>
                <w:szCs w:val="20"/>
              </w:rPr>
              <w:t xml:space="preserve">(Smith, Q.C., Bishop, Hamblin, Forbes and </w:t>
            </w:r>
          </w:p>
          <w:p w:rsidR="005F001B" w:rsidRPr="00E27991" w:rsidRDefault="005F001B" w:rsidP="00F106BA">
            <w:pPr>
              <w:jc w:val="both"/>
              <w:rPr>
                <w:rFonts w:eastAsia="Calibri"/>
                <w:sz w:val="20"/>
                <w:szCs w:val="20"/>
              </w:rPr>
            </w:pPr>
            <w:r w:rsidRPr="00E27991">
              <w:rPr>
                <w:rFonts w:eastAsia="Calibri"/>
                <w:sz w:val="20"/>
                <w:szCs w:val="20"/>
              </w:rPr>
              <w:t>Teehan)</w:t>
            </w:r>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hideMark/>
          </w:tcPr>
          <w:p w:rsidR="005F001B" w:rsidRPr="00E27991" w:rsidRDefault="005F001B" w:rsidP="00F106BA">
            <w:pPr>
              <w:jc w:val="both"/>
              <w:rPr>
                <w:rFonts w:eastAsia="Calibri"/>
                <w:sz w:val="20"/>
                <w:szCs w:val="20"/>
              </w:rPr>
            </w:pPr>
            <w:r w:rsidRPr="00E27991">
              <w:rPr>
                <w:rFonts w:eastAsia="Calibri"/>
                <w:sz w:val="20"/>
                <w:szCs w:val="20"/>
              </w:rPr>
              <w:t xml:space="preserve">Complaint of “inappropriate interaction” dismissed; applicant held to have committed professional misconduct by carrying out a breast examination which was inappropriate in the circumstances </w:t>
            </w: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lastRenderedPageBreak/>
              <w:t>March 11, 2015</w:t>
            </w:r>
          </w:p>
          <w:p w:rsidR="005F001B" w:rsidRPr="00E27991" w:rsidRDefault="005F001B" w:rsidP="00F106BA">
            <w:pPr>
              <w:jc w:val="both"/>
              <w:rPr>
                <w:rFonts w:eastAsia="Calibri"/>
                <w:sz w:val="20"/>
                <w:szCs w:val="20"/>
              </w:rPr>
            </w:pPr>
            <w:r w:rsidRPr="00E27991">
              <w:rPr>
                <w:rFonts w:eastAsia="Calibri"/>
                <w:sz w:val="20"/>
                <w:szCs w:val="20"/>
              </w:rPr>
              <w:t>Nova Scotia Court of Appeal</w:t>
            </w:r>
          </w:p>
          <w:p w:rsidR="005F001B" w:rsidRPr="00E27991" w:rsidRDefault="005F001B" w:rsidP="00F106BA">
            <w:pPr>
              <w:jc w:val="both"/>
              <w:rPr>
                <w:rFonts w:eastAsia="Calibri"/>
                <w:sz w:val="20"/>
                <w:szCs w:val="20"/>
              </w:rPr>
            </w:pPr>
            <w:r w:rsidRPr="00E27991">
              <w:rPr>
                <w:rFonts w:eastAsia="Calibri"/>
                <w:sz w:val="20"/>
                <w:szCs w:val="20"/>
              </w:rPr>
              <w:t xml:space="preserve">(MacDonald, C.J.N.S., Oland and Fichaud </w:t>
            </w:r>
          </w:p>
          <w:p w:rsidR="005F001B" w:rsidRPr="00E27991" w:rsidRDefault="005F001B" w:rsidP="00F106BA">
            <w:pPr>
              <w:jc w:val="both"/>
              <w:rPr>
                <w:rFonts w:eastAsia="Calibri"/>
                <w:sz w:val="20"/>
                <w:szCs w:val="20"/>
              </w:rPr>
            </w:pPr>
            <w:r w:rsidRPr="00E27991">
              <w:rPr>
                <w:rFonts w:eastAsia="Calibri"/>
                <w:sz w:val="20"/>
                <w:szCs w:val="20"/>
              </w:rPr>
              <w:t>JJ.A.)</w:t>
            </w:r>
          </w:p>
          <w:p w:rsidR="005F001B" w:rsidRPr="00E27991" w:rsidRDefault="005C6187" w:rsidP="00F106BA">
            <w:pPr>
              <w:jc w:val="both"/>
              <w:rPr>
                <w:sz w:val="20"/>
                <w:szCs w:val="20"/>
              </w:rPr>
            </w:pPr>
            <w:hyperlink r:id="rId32" w:history="1">
              <w:r w:rsidR="005F001B" w:rsidRPr="00E27991">
                <w:rPr>
                  <w:rFonts w:eastAsia="Calibri"/>
                  <w:color w:val="0000FF" w:themeColor="hyperlink"/>
                  <w:sz w:val="20"/>
                  <w:szCs w:val="20"/>
                  <w:u w:val="single"/>
                </w:rPr>
                <w:t>2015 NSCA 25</w:t>
              </w:r>
            </w:hyperlink>
            <w:r w:rsidR="005F001B" w:rsidRPr="00E27991">
              <w:rPr>
                <w:rFonts w:eastAsia="Calibri"/>
                <w:sz w:val="20"/>
                <w:szCs w:val="20"/>
              </w:rPr>
              <w:t xml:space="preserve">; </w:t>
            </w:r>
            <w:r w:rsidR="005F001B" w:rsidRPr="00E27991">
              <w:rPr>
                <w:sz w:val="20"/>
                <w:szCs w:val="20"/>
              </w:rPr>
              <w:t>CA 428527</w:t>
            </w:r>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rPr>
            </w:pPr>
            <w:r w:rsidRPr="00E27991">
              <w:rPr>
                <w:rFonts w:eastAsia="Calibri"/>
                <w:sz w:val="20"/>
                <w:szCs w:val="20"/>
              </w:rPr>
              <w:t>Appeal dismissed</w:t>
            </w:r>
          </w:p>
          <w:p w:rsidR="005F001B" w:rsidRPr="00E27991" w:rsidRDefault="005F001B" w:rsidP="00F106BA">
            <w:pPr>
              <w:jc w:val="both"/>
              <w:rPr>
                <w:rFonts w:eastAsia="Calibri"/>
                <w:sz w:val="20"/>
                <w:szCs w:val="20"/>
              </w:rPr>
            </w:pPr>
          </w:p>
        </w:tc>
      </w:tr>
      <w:tr w:rsidR="005F001B" w:rsidRPr="00E27991" w:rsidTr="00F106BA">
        <w:tc>
          <w:tcPr>
            <w:tcW w:w="2427" w:type="pct"/>
            <w:hideMark/>
          </w:tcPr>
          <w:p w:rsidR="005F001B" w:rsidRPr="00E27991" w:rsidRDefault="005F001B" w:rsidP="00F106BA">
            <w:pPr>
              <w:jc w:val="both"/>
              <w:rPr>
                <w:rFonts w:eastAsia="Calibri"/>
                <w:sz w:val="20"/>
                <w:szCs w:val="20"/>
              </w:rPr>
            </w:pPr>
            <w:r w:rsidRPr="00E27991">
              <w:rPr>
                <w:rFonts w:eastAsia="Calibri"/>
                <w:sz w:val="20"/>
                <w:szCs w:val="20"/>
              </w:rPr>
              <w:t>May 8, 2015</w:t>
            </w:r>
          </w:p>
          <w:p w:rsidR="005F001B" w:rsidRPr="00E27991" w:rsidRDefault="005F001B" w:rsidP="00F106BA">
            <w:pPr>
              <w:jc w:val="both"/>
              <w:rPr>
                <w:rFonts w:eastAsia="Calibri"/>
                <w:sz w:val="20"/>
                <w:szCs w:val="20"/>
              </w:rPr>
            </w:pPr>
            <w:r w:rsidRPr="00E27991">
              <w:rPr>
                <w:rFonts w:eastAsia="Calibri"/>
                <w:sz w:val="20"/>
                <w:szCs w:val="20"/>
              </w:rPr>
              <w:t>Supreme Court of Canada</w:t>
            </w:r>
          </w:p>
        </w:tc>
        <w:tc>
          <w:tcPr>
            <w:tcW w:w="243" w:type="pct"/>
          </w:tcPr>
          <w:p w:rsidR="005F001B" w:rsidRPr="00E27991" w:rsidRDefault="005F001B" w:rsidP="00F106BA">
            <w:pPr>
              <w:jc w:val="both"/>
              <w:rPr>
                <w:rFonts w:eastAsia="Calibri"/>
                <w:sz w:val="20"/>
                <w:szCs w:val="20"/>
              </w:rPr>
            </w:pPr>
          </w:p>
        </w:tc>
        <w:tc>
          <w:tcPr>
            <w:tcW w:w="2330" w:type="pct"/>
            <w:hideMark/>
          </w:tcPr>
          <w:p w:rsidR="005F001B" w:rsidRPr="00E27991" w:rsidRDefault="005F001B" w:rsidP="00F106BA">
            <w:pPr>
              <w:jc w:val="both"/>
              <w:rPr>
                <w:rFonts w:eastAsia="Calibri"/>
                <w:sz w:val="20"/>
                <w:szCs w:val="20"/>
              </w:rPr>
            </w:pPr>
            <w:r w:rsidRPr="00E27991">
              <w:rPr>
                <w:rFonts w:eastAsia="Calibri"/>
                <w:sz w:val="20"/>
                <w:szCs w:val="20"/>
              </w:rPr>
              <w:t>Application for leave to appeal filed</w:t>
            </w:r>
          </w:p>
        </w:tc>
      </w:tr>
    </w:tbl>
    <w:p w:rsidR="00B7329E" w:rsidRDefault="00B7329E" w:rsidP="00B7329E">
      <w:pPr>
        <w:rPr>
          <w:sz w:val="20"/>
          <w:szCs w:val="20"/>
        </w:rPr>
      </w:pPr>
    </w:p>
    <w:p w:rsidR="00B7329E" w:rsidRPr="00C50A5C" w:rsidRDefault="005C6187" w:rsidP="00B7329E">
      <w:pPr>
        <w:rPr>
          <w:sz w:val="20"/>
          <w:szCs w:val="20"/>
        </w:rPr>
      </w:pPr>
      <w:r>
        <w:rPr>
          <w:sz w:val="20"/>
          <w:szCs w:val="20"/>
          <w:lang w:val="fr-CA"/>
        </w:rPr>
        <w:pict>
          <v:rect id="_x0000_i1045" style="width:2in;height:1pt" o:hrpct="0" o:hralign="center" o:hrstd="t" o:hrnoshade="t" o:hr="t" fillcolor="black [3213]" stroked="f"/>
        </w:pict>
      </w:r>
    </w:p>
    <w:p w:rsidR="00B7329E" w:rsidRDefault="00B7329E" w:rsidP="00B7329E">
      <w:pPr>
        <w:rPr>
          <w:sz w:val="20"/>
          <w:szCs w:val="20"/>
        </w:rPr>
      </w:pPr>
    </w:p>
    <w:p w:rsidR="00B7329E" w:rsidRPr="001B157C" w:rsidRDefault="00B7329E" w:rsidP="00B7329E">
      <w:pPr>
        <w:rPr>
          <w:sz w:val="20"/>
          <w:szCs w:val="20"/>
          <w:u w:val="single"/>
          <w:lang w:val="fr-CA"/>
        </w:rPr>
      </w:pPr>
      <w:r w:rsidRPr="001B157C">
        <w:rPr>
          <w:sz w:val="20"/>
          <w:szCs w:val="20"/>
          <w:u w:val="single"/>
          <w:lang w:val="fr-CA"/>
        </w:rPr>
        <w:t>RÉSUMÉ DE L’AFFAIRE</w:t>
      </w:r>
    </w:p>
    <w:p w:rsidR="00B7329E" w:rsidRDefault="00B7329E" w:rsidP="00B7329E">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5F001B" w:rsidRPr="005C6187" w:rsidTr="00F106BA">
        <w:tc>
          <w:tcPr>
            <w:tcW w:w="5000" w:type="pct"/>
            <w:gridSpan w:val="3"/>
          </w:tcPr>
          <w:p w:rsidR="005F001B" w:rsidRPr="00E27991" w:rsidRDefault="005F001B" w:rsidP="00F106BA">
            <w:pPr>
              <w:jc w:val="both"/>
              <w:rPr>
                <w:rFonts w:eastAsia="Calibri"/>
                <w:smallCaps/>
                <w:sz w:val="20"/>
                <w:szCs w:val="20"/>
                <w:lang w:val="fr-CA"/>
              </w:rPr>
            </w:pPr>
            <w:r w:rsidRPr="00E27991">
              <w:rPr>
                <w:rFonts w:eastAsia="Calibri"/>
                <w:smallCaps/>
                <w:sz w:val="20"/>
                <w:szCs w:val="20"/>
                <w:lang w:val="fr-CA"/>
              </w:rPr>
              <w:t>(Ordonnance de non-publication dans le dossier)</w:t>
            </w:r>
          </w:p>
          <w:p w:rsidR="005F001B" w:rsidRPr="00E27991" w:rsidRDefault="005F001B" w:rsidP="00F106BA">
            <w:pPr>
              <w:jc w:val="both"/>
              <w:rPr>
                <w:rFonts w:eastAsia="Calibri"/>
                <w:sz w:val="20"/>
                <w:szCs w:val="20"/>
                <w:lang w:val="fr-CA"/>
              </w:rPr>
            </w:pPr>
          </w:p>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Droit administratif – Appels – Norme de contrôle – Équité procédurale – Suffisance des motifs – Quel effet l’arrêt </w:t>
            </w:r>
            <w:r w:rsidRPr="00E27991">
              <w:rPr>
                <w:rFonts w:eastAsia="Calibri"/>
                <w:i/>
                <w:sz w:val="20"/>
                <w:szCs w:val="20"/>
                <w:lang w:val="fr-CA"/>
              </w:rPr>
              <w:t>Newfoundland and Labrador Nurses’ Union c. Terre-Neuve-et-Labrador Labrador (Conseil du Trésor)</w:t>
            </w:r>
            <w:r w:rsidRPr="00E27991">
              <w:rPr>
                <w:rFonts w:eastAsia="Calibri"/>
                <w:sz w:val="20"/>
                <w:szCs w:val="20"/>
                <w:lang w:val="fr-CA"/>
              </w:rPr>
              <w:t xml:space="preserve">, 2011 CSC 62, [2011] 3 R.C.S. 708 a-t-il eu sur l’obligation de fournir des motifs énoncée dans l’arrêt </w:t>
            </w:r>
            <w:r w:rsidRPr="00E27991">
              <w:rPr>
                <w:rFonts w:eastAsia="Calibri"/>
                <w:i/>
                <w:sz w:val="20"/>
                <w:szCs w:val="20"/>
                <w:lang w:val="fr-CA"/>
              </w:rPr>
              <w:t>Baker c. Canada (Ministre de la Citoyenneté et de l’Immigration)</w:t>
            </w:r>
            <w:r w:rsidRPr="00E27991">
              <w:rPr>
                <w:rFonts w:eastAsia="Calibri"/>
                <w:sz w:val="20"/>
                <w:szCs w:val="20"/>
                <w:lang w:val="fr-CA"/>
              </w:rPr>
              <w:t>, [1999] 2 S.C.R. 817? – Dans les dossiers de discipline professionnelle et dans d’autres instances semblables, des motifs dont l’énoncé se limite à une conclusion, par exemple la conclusion qu’un professionnel n’était pas crédible, suffisent-ils à rendre la décision raisonnable?</w:t>
            </w:r>
          </w:p>
        </w:tc>
      </w:tr>
      <w:tr w:rsidR="005F001B" w:rsidRPr="005C6187" w:rsidTr="00F106BA">
        <w:tc>
          <w:tcPr>
            <w:tcW w:w="5000" w:type="pct"/>
            <w:gridSpan w:val="3"/>
          </w:tcPr>
          <w:p w:rsidR="005F001B" w:rsidRPr="00E27991" w:rsidRDefault="005F001B" w:rsidP="00F106BA">
            <w:pPr>
              <w:jc w:val="both"/>
              <w:rPr>
                <w:rFonts w:eastAsia="Calibri"/>
                <w:sz w:val="20"/>
                <w:szCs w:val="20"/>
                <w:lang w:val="fr-CA"/>
              </w:rPr>
            </w:pPr>
          </w:p>
        </w:tc>
      </w:tr>
      <w:tr w:rsidR="005F001B" w:rsidRPr="005C6187" w:rsidTr="00F106BA">
        <w:tc>
          <w:tcPr>
            <w:tcW w:w="5000" w:type="pct"/>
            <w:gridSpan w:val="3"/>
          </w:tcPr>
          <w:p w:rsidR="005F001B" w:rsidRPr="00E27991" w:rsidRDefault="005F001B" w:rsidP="00F106BA">
            <w:pPr>
              <w:jc w:val="both"/>
              <w:rPr>
                <w:rFonts w:eastAsia="Calibri"/>
                <w:sz w:val="20"/>
                <w:szCs w:val="20"/>
                <w:lang w:val="fr-CA"/>
              </w:rPr>
            </w:pPr>
            <w:r w:rsidRPr="00E27991">
              <w:rPr>
                <w:rFonts w:eastAsia="Calibri"/>
                <w:sz w:val="20"/>
                <w:szCs w:val="20"/>
                <w:lang w:val="fr-CA"/>
              </w:rPr>
              <w:t>Le médecin demandeur exerce sa profession à titre individuel à Pugwash (Nouvelle-Écosse).  Au cours d’un quart de travail ordinaire à la salle d’urgence de l’hôpital, il a vu la Patiente A, qu’il connaissait comme patiente à l’hôpital et de son lieu de travail. Alors qu’il examinait les résultats d’un tomodensitogramme demandé par un autre médecin, le demandeur a fait un examen pelvien de la Patiente A. Cette dernière a allégué que le demandeur lui aurait également examiné les seins, ce qu’a nié le demandeur. La Patiente A a communiqué avec la police et le demandeur a été accusé d’agression sexuelle. En juin 2011, il a été acquitté par un jury. La Patiente A a alors déposé une plainte à l’intimé, qui a accusé le demandeur de faute professionnelle (1) en ayant eu une [</w:t>
            </w:r>
            <w:r w:rsidRPr="00E27991">
              <w:rPr>
                <w:rFonts w:eastAsia="Calibri"/>
                <w:smallCaps/>
                <w:sz w:val="20"/>
                <w:szCs w:val="20"/>
                <w:lang w:val="fr-CA"/>
              </w:rPr>
              <w:t>traduction</w:t>
            </w:r>
            <w:r w:rsidRPr="00E27991">
              <w:rPr>
                <w:rFonts w:eastAsia="Calibri"/>
                <w:sz w:val="20"/>
                <w:szCs w:val="20"/>
                <w:lang w:val="fr-CA"/>
              </w:rPr>
              <w:t>] « interaction inappropriée » avec la Patiente A et (2) en ayant fait un [</w:t>
            </w:r>
            <w:r w:rsidRPr="00E27991">
              <w:rPr>
                <w:rFonts w:eastAsia="Calibri"/>
                <w:smallCaps/>
                <w:sz w:val="20"/>
                <w:szCs w:val="20"/>
                <w:lang w:val="fr-CA"/>
              </w:rPr>
              <w:t>traduction</w:t>
            </w:r>
            <w:r w:rsidRPr="00E27991">
              <w:rPr>
                <w:rFonts w:eastAsia="Calibri"/>
                <w:sz w:val="20"/>
                <w:szCs w:val="20"/>
                <w:lang w:val="fr-CA"/>
              </w:rPr>
              <w:t>] « examen inapproprié » de la Patiente A. Le comité qui a entendu l’affaire a rejeté la plainte d’« interaction inappropriée », mais a conclu que le demandeur avait commis une faute professionnelle en faisant un examen des seins inapproprié dans les circonstances. La Cour d’appel de la Nouvelle-Écosse a rejeté l’appel du demandeur.</w:t>
            </w:r>
          </w:p>
          <w:p w:rsidR="005F001B" w:rsidRPr="00E27991" w:rsidRDefault="005F001B" w:rsidP="00F106BA">
            <w:pPr>
              <w:jc w:val="both"/>
              <w:rPr>
                <w:rFonts w:eastAsia="Calibri"/>
                <w:sz w:val="20"/>
                <w:szCs w:val="20"/>
                <w:lang w:val="fr-CA"/>
              </w:rPr>
            </w:pPr>
          </w:p>
        </w:tc>
      </w:tr>
      <w:tr w:rsidR="005F001B" w:rsidRPr="005C6187"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21 septembre 2013</w:t>
            </w:r>
          </w:p>
          <w:p w:rsidR="005F001B" w:rsidRPr="00E27991" w:rsidRDefault="005F001B" w:rsidP="00F106BA">
            <w:pPr>
              <w:jc w:val="both"/>
              <w:rPr>
                <w:rFonts w:eastAsia="Calibri"/>
                <w:sz w:val="20"/>
                <w:szCs w:val="20"/>
              </w:rPr>
            </w:pPr>
            <w:r w:rsidRPr="00E27991">
              <w:rPr>
                <w:rFonts w:eastAsia="Calibri"/>
                <w:sz w:val="20"/>
                <w:szCs w:val="20"/>
              </w:rPr>
              <w:t xml:space="preserve">College of Physicians and Surgeons of Nova </w:t>
            </w:r>
          </w:p>
          <w:p w:rsidR="005F001B" w:rsidRPr="00E27991" w:rsidRDefault="005F001B" w:rsidP="00F106BA">
            <w:pPr>
              <w:jc w:val="both"/>
              <w:rPr>
                <w:rFonts w:eastAsia="Calibri"/>
                <w:sz w:val="20"/>
                <w:szCs w:val="20"/>
                <w:lang w:val="fr-CA"/>
              </w:rPr>
            </w:pPr>
            <w:r w:rsidRPr="00E27991">
              <w:rPr>
                <w:rFonts w:eastAsia="Calibri"/>
                <w:sz w:val="20"/>
                <w:szCs w:val="20"/>
                <w:lang w:val="fr-CA"/>
              </w:rPr>
              <w:t>Scotia</w:t>
            </w:r>
          </w:p>
          <w:p w:rsidR="005F001B" w:rsidRPr="00E27991" w:rsidRDefault="005F001B" w:rsidP="00F106BA">
            <w:pPr>
              <w:jc w:val="both"/>
              <w:rPr>
                <w:rFonts w:eastAsia="Calibri"/>
                <w:sz w:val="20"/>
                <w:szCs w:val="20"/>
                <w:lang w:val="fr-CA"/>
              </w:rPr>
            </w:pPr>
            <w:r w:rsidRPr="00E27991">
              <w:rPr>
                <w:rFonts w:eastAsia="Calibri"/>
                <w:sz w:val="20"/>
                <w:szCs w:val="20"/>
                <w:lang w:val="fr-CA"/>
              </w:rPr>
              <w:t>(M</w:t>
            </w:r>
            <w:r w:rsidRPr="00E27991">
              <w:rPr>
                <w:rFonts w:eastAsia="Calibri"/>
                <w:sz w:val="20"/>
                <w:szCs w:val="20"/>
                <w:vertAlign w:val="superscript"/>
                <w:lang w:val="fr-CA"/>
              </w:rPr>
              <w:t>e</w:t>
            </w:r>
            <w:r w:rsidRPr="00E27991">
              <w:rPr>
                <w:rFonts w:eastAsia="Calibri"/>
                <w:sz w:val="20"/>
                <w:szCs w:val="20"/>
                <w:lang w:val="fr-CA"/>
              </w:rPr>
              <w:t xml:space="preserve"> Smith, c.r., docteurs Bishop, Forbes et</w:t>
            </w:r>
          </w:p>
          <w:p w:rsidR="005F001B" w:rsidRPr="00E27991" w:rsidRDefault="005F001B" w:rsidP="00F106BA">
            <w:pPr>
              <w:jc w:val="both"/>
              <w:rPr>
                <w:rFonts w:eastAsia="Calibri"/>
                <w:sz w:val="20"/>
                <w:szCs w:val="20"/>
                <w:lang w:val="fr-CA"/>
              </w:rPr>
            </w:pPr>
            <w:r w:rsidRPr="00E27991">
              <w:rPr>
                <w:rFonts w:eastAsia="Calibri"/>
                <w:sz w:val="20"/>
                <w:szCs w:val="20"/>
                <w:lang w:val="fr-CA"/>
              </w:rPr>
              <w:t>Teehan, Mme Hamblin)</w:t>
            </w:r>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hideMark/>
          </w:tcPr>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Rejet de la plainte d’« interaction inappropriée »; verdict portant que le demandeur a commis une faute professionnelle en faisant un examen des seins inapproprié dans les circonstances </w:t>
            </w:r>
          </w:p>
        </w:tc>
      </w:tr>
      <w:tr w:rsidR="005F001B" w:rsidRPr="00E27991" w:rsidTr="00F106BA">
        <w:tc>
          <w:tcPr>
            <w:tcW w:w="2427" w:type="pct"/>
            <w:hideMark/>
          </w:tcPr>
          <w:p w:rsidR="005F001B" w:rsidRPr="00E27991" w:rsidRDefault="005F001B" w:rsidP="00F106BA">
            <w:pPr>
              <w:jc w:val="both"/>
              <w:rPr>
                <w:rFonts w:eastAsia="Calibri"/>
                <w:sz w:val="20"/>
                <w:szCs w:val="20"/>
                <w:lang w:val="fr-CA"/>
              </w:rPr>
            </w:pPr>
            <w:r w:rsidRPr="00E27991">
              <w:rPr>
                <w:rFonts w:eastAsia="Calibri"/>
                <w:sz w:val="20"/>
                <w:szCs w:val="20"/>
                <w:lang w:val="fr-CA"/>
              </w:rPr>
              <w:t>11 mars 2015</w:t>
            </w:r>
          </w:p>
          <w:p w:rsidR="005F001B" w:rsidRPr="00E27991" w:rsidRDefault="005F001B" w:rsidP="00F106BA">
            <w:pPr>
              <w:jc w:val="both"/>
              <w:rPr>
                <w:rFonts w:eastAsia="Calibri"/>
                <w:sz w:val="20"/>
                <w:szCs w:val="20"/>
                <w:lang w:val="fr-CA"/>
              </w:rPr>
            </w:pPr>
            <w:r w:rsidRPr="00E27991">
              <w:rPr>
                <w:rFonts w:eastAsia="Calibri"/>
                <w:sz w:val="20"/>
                <w:szCs w:val="20"/>
                <w:lang w:val="fr-CA"/>
              </w:rPr>
              <w:t>Cour d’appel de la Nouvelle-Écosse</w:t>
            </w:r>
          </w:p>
          <w:p w:rsidR="005F001B" w:rsidRPr="00E27991" w:rsidRDefault="005F001B" w:rsidP="00F106BA">
            <w:pPr>
              <w:jc w:val="both"/>
              <w:rPr>
                <w:rFonts w:eastAsia="Calibri"/>
                <w:sz w:val="20"/>
                <w:szCs w:val="20"/>
                <w:lang w:val="fr-CA"/>
              </w:rPr>
            </w:pPr>
            <w:r w:rsidRPr="00E27991">
              <w:rPr>
                <w:rFonts w:eastAsia="Calibri"/>
                <w:sz w:val="20"/>
                <w:szCs w:val="20"/>
                <w:lang w:val="fr-CA"/>
              </w:rPr>
              <w:t>(Juge en chef MacDonald, juges Oland et Fichaud)</w:t>
            </w:r>
          </w:p>
          <w:p w:rsidR="005F001B" w:rsidRPr="00E27991" w:rsidRDefault="005C6187" w:rsidP="00F106BA">
            <w:pPr>
              <w:jc w:val="both"/>
              <w:rPr>
                <w:rFonts w:eastAsia="Calibri"/>
                <w:sz w:val="20"/>
                <w:szCs w:val="20"/>
                <w:lang w:val="fr-CA"/>
              </w:rPr>
            </w:pPr>
            <w:hyperlink r:id="rId33" w:history="1">
              <w:r w:rsidR="005F001B" w:rsidRPr="00E27991">
                <w:rPr>
                  <w:rFonts w:eastAsia="Calibri"/>
                  <w:color w:val="0000FF" w:themeColor="hyperlink"/>
                  <w:sz w:val="20"/>
                  <w:szCs w:val="20"/>
                  <w:u w:val="single"/>
                  <w:lang w:val="fr-CA"/>
                </w:rPr>
                <w:t>2015 NSCA 25</w:t>
              </w:r>
            </w:hyperlink>
            <w:r w:rsidR="005F001B" w:rsidRPr="00E27991">
              <w:rPr>
                <w:rFonts w:eastAsia="Calibri"/>
                <w:sz w:val="20"/>
                <w:szCs w:val="20"/>
                <w:lang w:val="fr-CA"/>
              </w:rPr>
              <w:t xml:space="preserve">; </w:t>
            </w:r>
            <w:r w:rsidR="005F001B" w:rsidRPr="00E27991">
              <w:rPr>
                <w:sz w:val="20"/>
                <w:szCs w:val="20"/>
                <w:lang w:val="fr-CA"/>
              </w:rPr>
              <w:t>CA 428527</w:t>
            </w: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Rejet de l’appel</w:t>
            </w:r>
          </w:p>
          <w:p w:rsidR="005F001B" w:rsidRPr="00E27991" w:rsidRDefault="005F001B" w:rsidP="00F106BA">
            <w:pPr>
              <w:jc w:val="both"/>
              <w:rPr>
                <w:rFonts w:eastAsia="Calibri"/>
                <w:sz w:val="20"/>
                <w:szCs w:val="20"/>
                <w:lang w:val="fr-CA"/>
              </w:rPr>
            </w:pPr>
          </w:p>
        </w:tc>
      </w:tr>
      <w:tr w:rsidR="005F001B" w:rsidRPr="005C6187" w:rsidTr="00F106BA">
        <w:tc>
          <w:tcPr>
            <w:tcW w:w="2427" w:type="pct"/>
          </w:tcPr>
          <w:p w:rsidR="005F001B" w:rsidRPr="00E27991" w:rsidRDefault="005F001B" w:rsidP="00F106BA">
            <w:pPr>
              <w:jc w:val="both"/>
              <w:rPr>
                <w:rFonts w:eastAsia="Calibri"/>
                <w:sz w:val="20"/>
                <w:szCs w:val="20"/>
                <w:lang w:val="fr-CA"/>
              </w:rPr>
            </w:pPr>
          </w:p>
          <w:p w:rsidR="005F001B" w:rsidRPr="00E27991" w:rsidRDefault="005F001B" w:rsidP="00F106BA">
            <w:pPr>
              <w:jc w:val="both"/>
              <w:rPr>
                <w:rFonts w:eastAsia="Calibri"/>
                <w:sz w:val="20"/>
                <w:szCs w:val="20"/>
                <w:lang w:val="fr-CA"/>
              </w:rPr>
            </w:pPr>
            <w:r w:rsidRPr="00E27991">
              <w:rPr>
                <w:rFonts w:eastAsia="Calibri"/>
                <w:sz w:val="20"/>
                <w:szCs w:val="20"/>
                <w:lang w:val="fr-CA"/>
              </w:rPr>
              <w:t>8 mai 2015</w:t>
            </w:r>
          </w:p>
          <w:p w:rsidR="005F001B" w:rsidRPr="00E27991" w:rsidRDefault="005F001B" w:rsidP="00F106BA">
            <w:pPr>
              <w:jc w:val="both"/>
              <w:rPr>
                <w:rFonts w:eastAsia="Calibri"/>
                <w:sz w:val="20"/>
                <w:szCs w:val="20"/>
                <w:lang w:val="fr-CA"/>
              </w:rPr>
            </w:pPr>
            <w:r w:rsidRPr="00E27991">
              <w:rPr>
                <w:rFonts w:eastAsia="Calibri"/>
                <w:sz w:val="20"/>
                <w:szCs w:val="20"/>
                <w:lang w:val="fr-CA"/>
              </w:rPr>
              <w:t>Cour suprême du Canada</w:t>
            </w: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p>
          <w:p w:rsidR="005F001B" w:rsidRPr="00E27991" w:rsidRDefault="005F001B" w:rsidP="00F106BA">
            <w:pPr>
              <w:jc w:val="both"/>
              <w:rPr>
                <w:rFonts w:eastAsia="Calibri"/>
                <w:sz w:val="20"/>
                <w:szCs w:val="20"/>
                <w:lang w:val="fr-CA"/>
              </w:rPr>
            </w:pPr>
            <w:r w:rsidRPr="00E27991">
              <w:rPr>
                <w:rFonts w:eastAsia="Calibri"/>
                <w:sz w:val="20"/>
                <w:szCs w:val="20"/>
                <w:lang w:val="fr-CA"/>
              </w:rPr>
              <w:t>Dépôt de la demande d’autorisation d’appel</w:t>
            </w:r>
          </w:p>
        </w:tc>
      </w:tr>
    </w:tbl>
    <w:p w:rsidR="00B7329E" w:rsidRPr="005F001B" w:rsidRDefault="00B7329E" w:rsidP="00B7329E">
      <w:pPr>
        <w:rPr>
          <w:sz w:val="20"/>
          <w:szCs w:val="20"/>
          <w:lang w:val="fr-CA"/>
        </w:rPr>
      </w:pPr>
    </w:p>
    <w:p w:rsidR="00B7329E" w:rsidRDefault="005C6187" w:rsidP="00B7329E">
      <w:pPr>
        <w:rPr>
          <w:sz w:val="20"/>
          <w:szCs w:val="20"/>
        </w:rPr>
      </w:pPr>
      <w:r>
        <w:rPr>
          <w:sz w:val="20"/>
          <w:szCs w:val="20"/>
          <w:lang w:val="fr-CA"/>
        </w:rPr>
        <w:pict>
          <v:rect id="_x0000_i1046" style="width:2in;height:1pt" o:hrpct="0" o:hralign="center" o:hrstd="t" o:hrnoshade="t" o:hr="t" fillcolor="black [3213]" stroked="f"/>
        </w:pict>
      </w:r>
    </w:p>
    <w:p w:rsidR="00B7329E" w:rsidRDefault="00B7329E" w:rsidP="00B7329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90E7C" w:rsidRPr="00E10A66" w:rsidTr="009C04F5">
        <w:trPr>
          <w:cantSplit/>
        </w:trPr>
        <w:tc>
          <w:tcPr>
            <w:tcW w:w="1458" w:type="dxa"/>
          </w:tcPr>
          <w:p w:rsidR="00B90E7C" w:rsidRPr="00E10A66" w:rsidRDefault="00B90E7C" w:rsidP="009C04F5">
            <w:pPr>
              <w:rPr>
                <w:sz w:val="20"/>
                <w:szCs w:val="20"/>
              </w:rPr>
            </w:pPr>
            <w:r w:rsidRPr="00E10A66">
              <w:rPr>
                <w:rStyle w:val="SCCFileNumberChar"/>
                <w:sz w:val="20"/>
                <w:szCs w:val="20"/>
              </w:rPr>
              <w:t>36435</w:t>
            </w:r>
          </w:p>
          <w:p w:rsidR="00B90E7C" w:rsidRPr="00E10A66" w:rsidRDefault="00B90E7C" w:rsidP="009C04F5">
            <w:pPr>
              <w:rPr>
                <w:b/>
                <w:sz w:val="20"/>
                <w:szCs w:val="20"/>
                <w:lang w:val="fr-CA"/>
              </w:rPr>
            </w:pPr>
          </w:p>
        </w:tc>
        <w:tc>
          <w:tcPr>
            <w:tcW w:w="8118" w:type="dxa"/>
          </w:tcPr>
          <w:p w:rsidR="00B90E7C" w:rsidRPr="00E10A66" w:rsidRDefault="00B90E7C" w:rsidP="009C04F5">
            <w:pPr>
              <w:rPr>
                <w:sz w:val="20"/>
                <w:szCs w:val="20"/>
              </w:rPr>
            </w:pPr>
            <w:r w:rsidRPr="00E10A66">
              <w:rPr>
                <w:rStyle w:val="SCCLsocChar"/>
                <w:sz w:val="20"/>
                <w:szCs w:val="20"/>
                <w:lang w:val="en-US"/>
              </w:rPr>
              <w:t>Her Majesty the Queen v. Oswald Oliver Villaroman</w:t>
            </w:r>
            <w:r w:rsidRPr="00E10A66">
              <w:rPr>
                <w:sz w:val="20"/>
                <w:szCs w:val="20"/>
              </w:rPr>
              <w:t xml:space="preserve"> (Alta.) (Criminal) (By Leave)</w:t>
            </w:r>
          </w:p>
          <w:p w:rsidR="00B90E7C" w:rsidRPr="00E10A66" w:rsidRDefault="00B90E7C" w:rsidP="009C04F5">
            <w:pPr>
              <w:rPr>
                <w:sz w:val="20"/>
                <w:szCs w:val="20"/>
              </w:rPr>
            </w:pPr>
          </w:p>
        </w:tc>
      </w:tr>
      <w:tr w:rsidR="00B90E7C" w:rsidRPr="00E10A66" w:rsidTr="009C04F5">
        <w:trPr>
          <w:cantSplit/>
        </w:trPr>
        <w:tc>
          <w:tcPr>
            <w:tcW w:w="1458" w:type="dxa"/>
          </w:tcPr>
          <w:p w:rsidR="00B90E7C" w:rsidRPr="00E10A66" w:rsidRDefault="00B90E7C" w:rsidP="009C04F5">
            <w:pPr>
              <w:rPr>
                <w:sz w:val="20"/>
                <w:szCs w:val="20"/>
              </w:rPr>
            </w:pPr>
            <w:r w:rsidRPr="00E10A66">
              <w:rPr>
                <w:sz w:val="20"/>
                <w:szCs w:val="20"/>
              </w:rPr>
              <w:t>Coram :</w:t>
            </w:r>
          </w:p>
        </w:tc>
        <w:tc>
          <w:tcPr>
            <w:tcW w:w="8118" w:type="dxa"/>
          </w:tcPr>
          <w:p w:rsidR="00B90E7C" w:rsidRPr="00E10A66" w:rsidRDefault="00B90E7C" w:rsidP="009C04F5">
            <w:pPr>
              <w:rPr>
                <w:sz w:val="20"/>
                <w:szCs w:val="20"/>
              </w:rPr>
            </w:pPr>
            <w:r w:rsidRPr="00E10A66">
              <w:rPr>
                <w:rStyle w:val="SCCCoramChar"/>
                <w:sz w:val="20"/>
                <w:szCs w:val="20"/>
                <w:lang w:val="en-US"/>
              </w:rPr>
              <w:t>Rothstein, Cromwell and Moldaver JJ.</w:t>
            </w:r>
          </w:p>
          <w:p w:rsidR="00B90E7C" w:rsidRPr="00E10A66" w:rsidRDefault="00B90E7C" w:rsidP="009C04F5">
            <w:pPr>
              <w:rPr>
                <w:sz w:val="20"/>
                <w:szCs w:val="20"/>
                <w:u w:val="single"/>
              </w:rPr>
            </w:pPr>
          </w:p>
        </w:tc>
      </w:tr>
      <w:tr w:rsidR="00B90E7C" w:rsidRPr="005C6187" w:rsidTr="009C04F5">
        <w:trPr>
          <w:cantSplit/>
        </w:trPr>
        <w:tc>
          <w:tcPr>
            <w:tcW w:w="9576" w:type="dxa"/>
            <w:gridSpan w:val="2"/>
          </w:tcPr>
          <w:p w:rsidR="00B90E7C" w:rsidRPr="00E10A66" w:rsidRDefault="00B90E7C" w:rsidP="009C04F5">
            <w:pPr>
              <w:pStyle w:val="SCCShortJudgment"/>
              <w:rPr>
                <w:szCs w:val="20"/>
              </w:rPr>
            </w:pPr>
            <w:r w:rsidRPr="00E10A66">
              <w:rPr>
                <w:szCs w:val="20"/>
              </w:rPr>
              <w:t>The application for leave to appeal from the judgment of the Court of Appeal of Alberta (Calgary), Number 1301-0329-A, 2015 ABCA 104, dated March 18, 2015, is granted.</w:t>
            </w:r>
          </w:p>
          <w:p w:rsidR="00B90E7C" w:rsidRPr="00E10A66" w:rsidRDefault="00B90E7C" w:rsidP="009C04F5">
            <w:pPr>
              <w:pStyle w:val="SCCShortJudgment"/>
              <w:ind w:firstLine="0"/>
              <w:rPr>
                <w:szCs w:val="20"/>
              </w:rPr>
            </w:pPr>
          </w:p>
          <w:p w:rsidR="00B90E7C" w:rsidRPr="00E10A66" w:rsidRDefault="00B90E7C" w:rsidP="009C04F5">
            <w:pPr>
              <w:pStyle w:val="SCCShortJudgment"/>
              <w:rPr>
                <w:szCs w:val="20"/>
                <w:lang w:val="fr-CA"/>
              </w:rPr>
            </w:pPr>
            <w:r w:rsidRPr="00E10A66">
              <w:rPr>
                <w:szCs w:val="20"/>
                <w:lang w:val="fr-CA"/>
              </w:rPr>
              <w:t>La demande d’autorisation d’appel de l’arrêt de la Cour d'appel de l’Alberta (Calgary), numéro 1301-0329-A, 2015 ABCA 104, daté du 18 mars 2015, est accueillie.</w:t>
            </w:r>
          </w:p>
        </w:tc>
      </w:tr>
    </w:tbl>
    <w:p w:rsidR="00B7329E" w:rsidRPr="00B90E7C" w:rsidRDefault="00B7329E" w:rsidP="00B7329E">
      <w:pPr>
        <w:rPr>
          <w:sz w:val="20"/>
          <w:szCs w:val="20"/>
          <w:lang w:val="fr-CA"/>
        </w:rPr>
      </w:pPr>
    </w:p>
    <w:p w:rsidR="00B7329E" w:rsidRPr="001B157C" w:rsidRDefault="00B7329E" w:rsidP="00B7329E">
      <w:pPr>
        <w:rPr>
          <w:sz w:val="20"/>
          <w:szCs w:val="20"/>
          <w:u w:val="single"/>
        </w:rPr>
      </w:pPr>
      <w:r w:rsidRPr="001B157C">
        <w:rPr>
          <w:sz w:val="20"/>
          <w:szCs w:val="20"/>
          <w:u w:val="single"/>
        </w:rPr>
        <w:t>CASE SUMMARY</w:t>
      </w:r>
    </w:p>
    <w:p w:rsidR="00B7329E" w:rsidRDefault="00B7329E" w:rsidP="00B7329E">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5F001B" w:rsidRPr="00E27991" w:rsidTr="00F106BA">
        <w:tc>
          <w:tcPr>
            <w:tcW w:w="5000" w:type="pct"/>
            <w:gridSpan w:val="3"/>
          </w:tcPr>
          <w:p w:rsidR="005F001B" w:rsidRPr="00E27991" w:rsidRDefault="005F001B" w:rsidP="00F106BA">
            <w:pPr>
              <w:jc w:val="both"/>
              <w:rPr>
                <w:rFonts w:eastAsia="Calibri"/>
                <w:sz w:val="20"/>
                <w:szCs w:val="20"/>
              </w:rPr>
            </w:pPr>
            <w:r w:rsidRPr="00E27991">
              <w:rPr>
                <w:rFonts w:eastAsia="Calibri"/>
                <w:sz w:val="20"/>
                <w:szCs w:val="20"/>
              </w:rPr>
              <w:t>Criminal law – Evidence – Circumstantial evidence – Offence – Elements of Offence – Possession of child pornography – Whether the Court of Appeal’s decision creates a checklist for proving digital child pornography possession that is unique to Alberta, creating inconsistency in the law across the country – Whether this checklist places a standard of proof on the Crown that is literally unattainable – Whether there is a conflict in the case law regarding when guilt may be found in a circumstantial case – According to the court below, the jurisprudence can be interpreted as holding that an unreasonable verdict must result where a circumstantial case permits any innocent explanation, even one with no foundation in the evidence – Whether there are unresolved grounds of appeal.</w:t>
            </w:r>
          </w:p>
        </w:tc>
      </w:tr>
      <w:tr w:rsidR="005F001B" w:rsidRPr="00E27991" w:rsidTr="00F106BA">
        <w:tc>
          <w:tcPr>
            <w:tcW w:w="5000" w:type="pct"/>
            <w:gridSpan w:val="3"/>
          </w:tcPr>
          <w:p w:rsidR="005F001B" w:rsidRPr="00E27991" w:rsidRDefault="005F001B" w:rsidP="00F106BA">
            <w:pPr>
              <w:jc w:val="both"/>
              <w:rPr>
                <w:rFonts w:eastAsia="Calibri"/>
                <w:sz w:val="20"/>
                <w:szCs w:val="20"/>
              </w:rPr>
            </w:pPr>
          </w:p>
        </w:tc>
      </w:tr>
      <w:tr w:rsidR="005F001B" w:rsidRPr="00E27991" w:rsidTr="00F106BA">
        <w:tc>
          <w:tcPr>
            <w:tcW w:w="5000" w:type="pct"/>
            <w:gridSpan w:val="3"/>
          </w:tcPr>
          <w:p w:rsidR="005F001B" w:rsidRPr="00E27991" w:rsidRDefault="005F001B" w:rsidP="00F106BA">
            <w:pPr>
              <w:jc w:val="both"/>
              <w:rPr>
                <w:rFonts w:eastAsia="Calibri"/>
                <w:sz w:val="20"/>
                <w:szCs w:val="20"/>
              </w:rPr>
            </w:pPr>
            <w:r w:rsidRPr="00E27991">
              <w:rPr>
                <w:rFonts w:eastAsia="Calibri"/>
                <w:sz w:val="20"/>
                <w:szCs w:val="20"/>
              </w:rPr>
              <w:t xml:space="preserve">The respondent, Mr. Villaroman, was having mechanical problems with his laptop computer, so he took it to a repair shop. The computer was not password-protected. The repair technician found some child pornography on the laptop computer in a music-sharing folder. He called the police, who got a search warrant and used it to find the child pornography. On the </w:t>
            </w:r>
            <w:r w:rsidRPr="00E27991">
              <w:rPr>
                <w:rFonts w:eastAsia="Calibri"/>
                <w:i/>
                <w:sz w:val="20"/>
                <w:szCs w:val="20"/>
              </w:rPr>
              <w:t>voir dire</w:t>
            </w:r>
            <w:r w:rsidRPr="00E27991">
              <w:rPr>
                <w:rFonts w:eastAsia="Calibri"/>
                <w:sz w:val="20"/>
                <w:szCs w:val="20"/>
              </w:rPr>
              <w:t xml:space="preserve">, the judge concluded that the respondent’s s. 8 </w:t>
            </w:r>
            <w:r w:rsidRPr="00E27991">
              <w:rPr>
                <w:rFonts w:eastAsia="Calibri"/>
                <w:i/>
                <w:sz w:val="20"/>
                <w:szCs w:val="20"/>
              </w:rPr>
              <w:t xml:space="preserve">Charter </w:t>
            </w:r>
            <w:r w:rsidRPr="00E27991">
              <w:rPr>
                <w:rFonts w:eastAsia="Calibri"/>
                <w:sz w:val="20"/>
                <w:szCs w:val="20"/>
              </w:rPr>
              <w:t>rights were not infringed. The trial judge convicted the respondent of possession of child pornography. The Court of Appeal allowed the appeal against conviction. The conviction was quashed, and an acquittal was entered.</w:t>
            </w:r>
          </w:p>
          <w:p w:rsidR="005F001B" w:rsidRPr="00E27991" w:rsidRDefault="005F001B" w:rsidP="00F106BA">
            <w:pPr>
              <w:jc w:val="both"/>
              <w:rPr>
                <w:rFonts w:eastAsia="Calibri"/>
                <w:sz w:val="20"/>
                <w:szCs w:val="20"/>
              </w:rPr>
            </w:pP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October 16, 2012</w:t>
            </w:r>
          </w:p>
          <w:p w:rsidR="005F001B" w:rsidRPr="00E27991" w:rsidRDefault="005F001B" w:rsidP="00F106BA">
            <w:pPr>
              <w:jc w:val="both"/>
              <w:rPr>
                <w:rFonts w:eastAsia="Calibri"/>
                <w:sz w:val="20"/>
                <w:szCs w:val="20"/>
              </w:rPr>
            </w:pPr>
            <w:r w:rsidRPr="00E27991">
              <w:rPr>
                <w:rFonts w:eastAsia="Calibri"/>
                <w:sz w:val="20"/>
                <w:szCs w:val="20"/>
              </w:rPr>
              <w:t>Court of Queen’s Bench of Alberta</w:t>
            </w:r>
          </w:p>
          <w:p w:rsidR="005F001B" w:rsidRPr="00E27991" w:rsidRDefault="005F001B" w:rsidP="00F106BA">
            <w:pPr>
              <w:jc w:val="both"/>
              <w:rPr>
                <w:rFonts w:eastAsia="Calibri"/>
                <w:sz w:val="20"/>
                <w:szCs w:val="20"/>
                <w:lang w:val="fr-FR"/>
              </w:rPr>
            </w:pPr>
            <w:r w:rsidRPr="00E27991">
              <w:rPr>
                <w:rFonts w:eastAsia="Calibri"/>
                <w:sz w:val="20"/>
                <w:szCs w:val="20"/>
                <w:lang w:val="fr-FR"/>
              </w:rPr>
              <w:t>(Yamauchi J.)</w:t>
            </w:r>
          </w:p>
          <w:p w:rsidR="005F001B" w:rsidRPr="00E27991" w:rsidRDefault="005F001B" w:rsidP="00F106BA">
            <w:pPr>
              <w:jc w:val="both"/>
              <w:rPr>
                <w:rFonts w:eastAsia="Calibri"/>
                <w:sz w:val="20"/>
                <w:szCs w:val="20"/>
                <w:lang w:val="fr-FR"/>
              </w:rPr>
            </w:pPr>
            <w:r w:rsidRPr="00E27991">
              <w:rPr>
                <w:rFonts w:eastAsia="Calibri"/>
                <w:sz w:val="20"/>
                <w:szCs w:val="20"/>
                <w:lang w:val="fr-FR"/>
              </w:rPr>
              <w:t>2010 ABQB 360</w:t>
            </w:r>
          </w:p>
          <w:p w:rsidR="005F001B" w:rsidRPr="00E27991" w:rsidRDefault="005C6187" w:rsidP="00F106BA">
            <w:pPr>
              <w:jc w:val="both"/>
              <w:rPr>
                <w:rFonts w:eastAsia="Calibri"/>
                <w:sz w:val="20"/>
                <w:szCs w:val="20"/>
                <w:lang w:val="fr-CA"/>
              </w:rPr>
            </w:pPr>
            <w:hyperlink r:id="rId34" w:history="1">
              <w:r w:rsidR="005F001B" w:rsidRPr="00E27991">
                <w:rPr>
                  <w:rFonts w:eastAsia="Calibri"/>
                  <w:color w:val="0000FF" w:themeColor="hyperlink"/>
                  <w:sz w:val="20"/>
                  <w:szCs w:val="20"/>
                  <w:u w:val="single"/>
                  <w:lang w:val="fr-FR"/>
                </w:rPr>
                <w:t>http://canlii.ca/t/fx9ch</w:t>
              </w:r>
            </w:hyperlink>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FR"/>
              </w:rPr>
            </w:pPr>
          </w:p>
        </w:tc>
        <w:tc>
          <w:tcPr>
            <w:tcW w:w="2330" w:type="pct"/>
          </w:tcPr>
          <w:p w:rsidR="005F001B" w:rsidRPr="00E27991" w:rsidRDefault="005F001B" w:rsidP="00F106BA">
            <w:pPr>
              <w:jc w:val="both"/>
              <w:rPr>
                <w:rFonts w:eastAsia="Calibri"/>
                <w:sz w:val="20"/>
                <w:szCs w:val="20"/>
              </w:rPr>
            </w:pPr>
            <w:r w:rsidRPr="00E27991">
              <w:rPr>
                <w:rFonts w:eastAsia="Calibri"/>
                <w:i/>
                <w:sz w:val="20"/>
                <w:szCs w:val="20"/>
              </w:rPr>
              <w:t>Voir dire</w:t>
            </w:r>
            <w:r w:rsidRPr="00E27991">
              <w:rPr>
                <w:rFonts w:eastAsia="Calibri"/>
                <w:sz w:val="20"/>
                <w:szCs w:val="20"/>
              </w:rPr>
              <w:t xml:space="preserve">: respondent’s </w:t>
            </w:r>
            <w:r w:rsidRPr="00E27991">
              <w:rPr>
                <w:rFonts w:eastAsia="Calibri"/>
                <w:i/>
                <w:sz w:val="20"/>
                <w:szCs w:val="20"/>
              </w:rPr>
              <w:t>Charter</w:t>
            </w:r>
            <w:r w:rsidRPr="00E27991">
              <w:rPr>
                <w:rFonts w:eastAsia="Calibri"/>
                <w:sz w:val="20"/>
                <w:szCs w:val="20"/>
              </w:rPr>
              <w:t xml:space="preserve"> rights not infringed</w:t>
            </w:r>
          </w:p>
          <w:p w:rsidR="005F001B" w:rsidRPr="00E27991" w:rsidRDefault="005F001B" w:rsidP="00F106BA">
            <w:pPr>
              <w:jc w:val="both"/>
              <w:rPr>
                <w:rFonts w:eastAsia="Calibri"/>
                <w:sz w:val="20"/>
                <w:szCs w:val="20"/>
              </w:rPr>
            </w:pP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May 7, 2013</w:t>
            </w:r>
          </w:p>
          <w:p w:rsidR="005F001B" w:rsidRPr="00E27991" w:rsidRDefault="005F001B" w:rsidP="00F106BA">
            <w:pPr>
              <w:jc w:val="both"/>
              <w:rPr>
                <w:rFonts w:eastAsia="Calibri"/>
                <w:sz w:val="20"/>
                <w:szCs w:val="20"/>
              </w:rPr>
            </w:pPr>
            <w:r w:rsidRPr="00E27991">
              <w:rPr>
                <w:rFonts w:eastAsia="Calibri"/>
                <w:sz w:val="20"/>
                <w:szCs w:val="20"/>
              </w:rPr>
              <w:t xml:space="preserve">Court of Queen’s Bench of Alberta </w:t>
            </w:r>
          </w:p>
          <w:p w:rsidR="005F001B" w:rsidRPr="00E27991" w:rsidRDefault="005F001B" w:rsidP="00F106BA">
            <w:pPr>
              <w:jc w:val="both"/>
              <w:rPr>
                <w:rFonts w:eastAsia="Calibri"/>
                <w:sz w:val="20"/>
                <w:szCs w:val="20"/>
                <w:lang w:val="fr-FR"/>
              </w:rPr>
            </w:pPr>
            <w:r w:rsidRPr="00E27991">
              <w:rPr>
                <w:rFonts w:eastAsia="Calibri"/>
                <w:sz w:val="20"/>
                <w:szCs w:val="20"/>
                <w:lang w:val="fr-FR"/>
              </w:rPr>
              <w:t>(Yamauchi J.)</w:t>
            </w:r>
          </w:p>
          <w:p w:rsidR="005F001B" w:rsidRPr="00E27991" w:rsidRDefault="005F001B" w:rsidP="00F106BA">
            <w:pPr>
              <w:jc w:val="both"/>
              <w:rPr>
                <w:rFonts w:eastAsia="Calibri"/>
                <w:sz w:val="20"/>
                <w:szCs w:val="20"/>
                <w:lang w:val="fr-FR"/>
              </w:rPr>
            </w:pPr>
            <w:r w:rsidRPr="00E27991">
              <w:rPr>
                <w:rFonts w:eastAsia="Calibri"/>
                <w:sz w:val="20"/>
                <w:szCs w:val="20"/>
                <w:lang w:val="fr-FR"/>
              </w:rPr>
              <w:t>2013 ABQB 279</w:t>
            </w:r>
          </w:p>
          <w:p w:rsidR="005F001B" w:rsidRPr="00E27991" w:rsidRDefault="005C6187" w:rsidP="00F106BA">
            <w:pPr>
              <w:jc w:val="both"/>
              <w:rPr>
                <w:rFonts w:eastAsia="Calibri"/>
                <w:sz w:val="20"/>
                <w:szCs w:val="20"/>
                <w:lang w:val="fr-CA"/>
              </w:rPr>
            </w:pPr>
            <w:hyperlink r:id="rId35" w:history="1">
              <w:r w:rsidR="005F001B" w:rsidRPr="00E27991">
                <w:rPr>
                  <w:rFonts w:eastAsia="Calibri"/>
                  <w:color w:val="0000FF" w:themeColor="hyperlink"/>
                  <w:sz w:val="20"/>
                  <w:szCs w:val="20"/>
                  <w:u w:val="single"/>
                  <w:lang w:val="fr-FR"/>
                </w:rPr>
                <w:t>http://canlii.ca/t/fxm86</w:t>
              </w:r>
            </w:hyperlink>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FR"/>
              </w:rPr>
            </w:pPr>
          </w:p>
        </w:tc>
        <w:tc>
          <w:tcPr>
            <w:tcW w:w="2330" w:type="pct"/>
            <w:hideMark/>
          </w:tcPr>
          <w:p w:rsidR="005F001B" w:rsidRPr="00E27991" w:rsidRDefault="005F001B" w:rsidP="00F106BA">
            <w:pPr>
              <w:jc w:val="both"/>
              <w:rPr>
                <w:rFonts w:eastAsia="Calibri"/>
                <w:sz w:val="20"/>
                <w:szCs w:val="20"/>
              </w:rPr>
            </w:pPr>
            <w:r w:rsidRPr="00E27991">
              <w:rPr>
                <w:rFonts w:eastAsia="Calibri"/>
                <w:sz w:val="20"/>
                <w:szCs w:val="20"/>
              </w:rPr>
              <w:t>Conviction: possession of child pornography</w:t>
            </w:r>
          </w:p>
        </w:tc>
      </w:tr>
      <w:tr w:rsidR="005F001B" w:rsidRPr="00E27991" w:rsidTr="00F106BA">
        <w:tc>
          <w:tcPr>
            <w:tcW w:w="2427" w:type="pct"/>
          </w:tcPr>
          <w:p w:rsidR="005F001B" w:rsidRPr="00E27991" w:rsidRDefault="005F001B" w:rsidP="00F106BA">
            <w:pPr>
              <w:jc w:val="both"/>
              <w:rPr>
                <w:rFonts w:eastAsia="Calibri"/>
                <w:sz w:val="20"/>
                <w:szCs w:val="20"/>
              </w:rPr>
            </w:pPr>
            <w:r w:rsidRPr="00E27991">
              <w:rPr>
                <w:rFonts w:eastAsia="Calibri"/>
                <w:sz w:val="20"/>
                <w:szCs w:val="20"/>
              </w:rPr>
              <w:t>March 18, 2015</w:t>
            </w:r>
          </w:p>
          <w:p w:rsidR="005F001B" w:rsidRPr="00E27991" w:rsidRDefault="005F001B" w:rsidP="00F106BA">
            <w:pPr>
              <w:jc w:val="both"/>
              <w:rPr>
                <w:rFonts w:eastAsia="Calibri"/>
                <w:sz w:val="20"/>
                <w:szCs w:val="20"/>
              </w:rPr>
            </w:pPr>
            <w:r w:rsidRPr="00E27991">
              <w:rPr>
                <w:rFonts w:eastAsia="Calibri"/>
                <w:sz w:val="20"/>
                <w:szCs w:val="20"/>
              </w:rPr>
              <w:t>Court of Appeal of Alberta (Calgary)</w:t>
            </w:r>
          </w:p>
          <w:p w:rsidR="005F001B" w:rsidRPr="00E27991" w:rsidRDefault="005F001B" w:rsidP="00F106BA">
            <w:pPr>
              <w:jc w:val="both"/>
              <w:rPr>
                <w:rFonts w:eastAsia="Calibri"/>
                <w:sz w:val="20"/>
                <w:szCs w:val="20"/>
                <w:lang w:val="fr-CA"/>
              </w:rPr>
            </w:pPr>
            <w:r w:rsidRPr="00E27991">
              <w:rPr>
                <w:rFonts w:eastAsia="Calibri"/>
                <w:sz w:val="20"/>
                <w:szCs w:val="20"/>
                <w:lang w:val="fr-CA"/>
              </w:rPr>
              <w:t>(Côté, O'Ferrall, Macleod JJ.A.)</w:t>
            </w:r>
          </w:p>
          <w:p w:rsidR="005F001B" w:rsidRPr="00E27991" w:rsidRDefault="005F001B" w:rsidP="00F106BA">
            <w:pPr>
              <w:jc w:val="both"/>
              <w:rPr>
                <w:rFonts w:eastAsia="Calibri"/>
                <w:sz w:val="20"/>
                <w:szCs w:val="20"/>
              </w:rPr>
            </w:pPr>
            <w:r w:rsidRPr="00E27991">
              <w:rPr>
                <w:rFonts w:eastAsia="Calibri"/>
                <w:sz w:val="20"/>
                <w:szCs w:val="20"/>
              </w:rPr>
              <w:t>2015 ABCA 104, 1301-0329-A</w:t>
            </w:r>
          </w:p>
          <w:p w:rsidR="005F001B" w:rsidRPr="00E27991" w:rsidRDefault="005C6187" w:rsidP="00F106BA">
            <w:pPr>
              <w:jc w:val="both"/>
              <w:rPr>
                <w:rFonts w:eastAsia="Calibri"/>
                <w:sz w:val="20"/>
                <w:szCs w:val="20"/>
              </w:rPr>
            </w:pPr>
            <w:hyperlink r:id="rId36" w:history="1">
              <w:r w:rsidR="005F001B" w:rsidRPr="00E27991">
                <w:rPr>
                  <w:rFonts w:eastAsia="Calibri"/>
                  <w:color w:val="0000FF" w:themeColor="hyperlink"/>
                  <w:sz w:val="20"/>
                  <w:szCs w:val="20"/>
                  <w:u w:val="single"/>
                </w:rPr>
                <w:t>http://canlii.ca/t/ggqrx</w:t>
              </w:r>
            </w:hyperlink>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rPr>
            </w:pPr>
            <w:r w:rsidRPr="00E27991">
              <w:rPr>
                <w:rFonts w:eastAsia="Calibri"/>
                <w:sz w:val="20"/>
                <w:szCs w:val="20"/>
              </w:rPr>
              <w:t>Appeal against conviction allowed: conviction quashed, acquittal entered</w:t>
            </w:r>
          </w:p>
          <w:p w:rsidR="005F001B" w:rsidRPr="00E27991" w:rsidRDefault="005F001B" w:rsidP="00F106BA">
            <w:pPr>
              <w:jc w:val="both"/>
              <w:rPr>
                <w:rFonts w:eastAsia="Calibri"/>
                <w:sz w:val="20"/>
                <w:szCs w:val="20"/>
              </w:rPr>
            </w:pPr>
          </w:p>
          <w:p w:rsidR="005F001B" w:rsidRPr="00E27991" w:rsidRDefault="005F001B" w:rsidP="00F106BA">
            <w:pPr>
              <w:jc w:val="both"/>
              <w:rPr>
                <w:rFonts w:eastAsia="Calibri"/>
                <w:sz w:val="20"/>
                <w:szCs w:val="20"/>
              </w:rPr>
            </w:pPr>
          </w:p>
        </w:tc>
      </w:tr>
      <w:tr w:rsidR="005F001B" w:rsidRPr="00E27991" w:rsidTr="00F106BA">
        <w:tc>
          <w:tcPr>
            <w:tcW w:w="2427" w:type="pct"/>
            <w:hideMark/>
          </w:tcPr>
          <w:p w:rsidR="005F001B" w:rsidRPr="00E27991" w:rsidRDefault="005F001B" w:rsidP="00F106BA">
            <w:pPr>
              <w:jc w:val="both"/>
              <w:rPr>
                <w:rFonts w:eastAsia="Calibri"/>
                <w:sz w:val="20"/>
                <w:szCs w:val="20"/>
              </w:rPr>
            </w:pPr>
            <w:r w:rsidRPr="00E27991">
              <w:rPr>
                <w:rFonts w:eastAsia="Calibri"/>
                <w:sz w:val="20"/>
                <w:szCs w:val="20"/>
              </w:rPr>
              <w:t>May 15, 2015</w:t>
            </w:r>
          </w:p>
          <w:p w:rsidR="005F001B" w:rsidRPr="00E27991" w:rsidRDefault="005F001B" w:rsidP="00F106BA">
            <w:pPr>
              <w:jc w:val="both"/>
              <w:rPr>
                <w:rFonts w:eastAsia="Calibri"/>
                <w:sz w:val="20"/>
                <w:szCs w:val="20"/>
              </w:rPr>
            </w:pPr>
            <w:r w:rsidRPr="00E27991">
              <w:rPr>
                <w:rFonts w:eastAsia="Calibri"/>
                <w:sz w:val="20"/>
                <w:szCs w:val="20"/>
              </w:rPr>
              <w:t>Supreme Court of Canada</w:t>
            </w: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rPr>
            </w:pPr>
            <w:r w:rsidRPr="00E27991">
              <w:rPr>
                <w:rFonts w:eastAsia="Calibri"/>
                <w:sz w:val="20"/>
                <w:szCs w:val="20"/>
              </w:rPr>
              <w:t>Application for leave to appeal filed</w:t>
            </w:r>
          </w:p>
          <w:p w:rsidR="005F001B" w:rsidRPr="00E27991" w:rsidRDefault="005F001B" w:rsidP="00F106BA">
            <w:pPr>
              <w:jc w:val="both"/>
              <w:rPr>
                <w:rFonts w:eastAsia="Calibri"/>
                <w:sz w:val="20"/>
                <w:szCs w:val="20"/>
              </w:rPr>
            </w:pPr>
          </w:p>
        </w:tc>
      </w:tr>
    </w:tbl>
    <w:p w:rsidR="00B7329E" w:rsidRDefault="00B7329E" w:rsidP="00B7329E">
      <w:pPr>
        <w:rPr>
          <w:sz w:val="20"/>
          <w:szCs w:val="20"/>
        </w:rPr>
      </w:pPr>
    </w:p>
    <w:p w:rsidR="00B7329E" w:rsidRPr="00C50A5C" w:rsidRDefault="005C6187" w:rsidP="00B7329E">
      <w:pPr>
        <w:rPr>
          <w:sz w:val="20"/>
          <w:szCs w:val="20"/>
        </w:rPr>
      </w:pPr>
      <w:r>
        <w:rPr>
          <w:sz w:val="20"/>
          <w:szCs w:val="20"/>
          <w:lang w:val="fr-CA"/>
        </w:rPr>
        <w:pict>
          <v:rect id="_x0000_i1047" style="width:2in;height:1pt" o:hrpct="0" o:hralign="center" o:hrstd="t" o:hrnoshade="t" o:hr="t" fillcolor="black [3213]" stroked="f"/>
        </w:pict>
      </w:r>
    </w:p>
    <w:p w:rsidR="00B7329E" w:rsidRDefault="00B7329E" w:rsidP="00B7329E">
      <w:pPr>
        <w:rPr>
          <w:sz w:val="20"/>
          <w:szCs w:val="20"/>
        </w:rPr>
      </w:pPr>
    </w:p>
    <w:p w:rsidR="00B7329E" w:rsidRPr="001B157C" w:rsidRDefault="00B7329E" w:rsidP="00B7329E">
      <w:pPr>
        <w:rPr>
          <w:sz w:val="20"/>
          <w:szCs w:val="20"/>
          <w:u w:val="single"/>
          <w:lang w:val="fr-CA"/>
        </w:rPr>
      </w:pPr>
      <w:r w:rsidRPr="001B157C">
        <w:rPr>
          <w:sz w:val="20"/>
          <w:szCs w:val="20"/>
          <w:u w:val="single"/>
          <w:lang w:val="fr-CA"/>
        </w:rPr>
        <w:t>RÉSUMÉ DE L’AFFAIRE</w:t>
      </w:r>
    </w:p>
    <w:p w:rsidR="00B7329E" w:rsidRDefault="00B7329E" w:rsidP="00B7329E">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5F001B" w:rsidRPr="005C6187" w:rsidTr="00F106BA">
        <w:tc>
          <w:tcPr>
            <w:tcW w:w="5000" w:type="pct"/>
            <w:gridSpan w:val="3"/>
          </w:tcPr>
          <w:p w:rsidR="005F001B" w:rsidRPr="00E27991" w:rsidRDefault="005F001B" w:rsidP="00F106BA">
            <w:pPr>
              <w:jc w:val="both"/>
              <w:rPr>
                <w:rFonts w:eastAsia="Calibri"/>
                <w:sz w:val="20"/>
                <w:szCs w:val="20"/>
                <w:lang w:val="fr-CA"/>
              </w:rPr>
            </w:pPr>
            <w:r w:rsidRPr="00E27991">
              <w:rPr>
                <w:rFonts w:eastAsia="Calibri"/>
                <w:sz w:val="20"/>
                <w:szCs w:val="20"/>
                <w:lang w:val="fr-CA"/>
              </w:rPr>
              <w:t>Droit criminel – Preuve – Preuve circonstancielle – Infraction – Éléments de l’infraction – Possession de pornographie juvénile – L’arrêt de la Cour d’appel a-t-il pour effet de créer une liste de contrôle des éléments de preuve de la pornographie juvénile qui est unique à l’Alberta, créant une incohérence dans les règles de droit à l’échelle du pays? – Cette liste de contrôle impose-t-elle au ministère public une norme de preuve qui est littéralement impossible à satisfaire? – La jurisprudence est-elle contradictoire en ce qui concerne les situations où il peut y avoir un verdict de culpabilité dans un cas où la preuve est circonstancielle? – Selon la juridiction inférieure, la jurisprudence permet de conclure que dans un cas où la preuve est circonstancielle, lorsqu’il est permis de donner n’importe quelle explication qui innocenterait l’accusé, même si elle n’est pas appuyée par la preuve, le verdict est forcément déraisonnable. – Subsiste-t-il des motifs d’appel non tranchés?</w:t>
            </w:r>
          </w:p>
        </w:tc>
      </w:tr>
      <w:tr w:rsidR="005F001B" w:rsidRPr="005C6187" w:rsidTr="00F106BA">
        <w:tc>
          <w:tcPr>
            <w:tcW w:w="5000" w:type="pct"/>
            <w:gridSpan w:val="3"/>
          </w:tcPr>
          <w:p w:rsidR="005F001B" w:rsidRPr="00E27991" w:rsidRDefault="005F001B" w:rsidP="00F106BA">
            <w:pPr>
              <w:jc w:val="both"/>
              <w:rPr>
                <w:rFonts w:eastAsia="Calibri"/>
                <w:sz w:val="20"/>
                <w:szCs w:val="20"/>
                <w:lang w:val="fr-CA"/>
              </w:rPr>
            </w:pPr>
          </w:p>
        </w:tc>
      </w:tr>
      <w:tr w:rsidR="005F001B" w:rsidRPr="005C6187" w:rsidTr="00F106BA">
        <w:tc>
          <w:tcPr>
            <w:tcW w:w="5000" w:type="pct"/>
            <w:gridSpan w:val="3"/>
          </w:tcPr>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L’intimé, M. Villaroman, avait des ennuis mécaniques avec son ordinateur portable, ce pourquoi il l’a apporté à un atelier de réparation. L’ordinateur n’était pas protégé par mot de passe. Le technicien a trouvé de la pornographie juvénile dans l’ordinateur portable, dans un dossier de partage de musique. Il a appelé la police qui a obtenu un mandat de perquisition et s’en est servi pour trouver la pornographie juvénile. À l’issue d’un voir-dire, le juge a conclu que les droits que l’art. 8 de la </w:t>
            </w:r>
            <w:r w:rsidRPr="00E27991">
              <w:rPr>
                <w:rFonts w:eastAsia="Calibri"/>
                <w:i/>
                <w:sz w:val="20"/>
                <w:szCs w:val="20"/>
                <w:lang w:val="fr-CA"/>
              </w:rPr>
              <w:t xml:space="preserve">Charte </w:t>
            </w:r>
            <w:r w:rsidRPr="00E27991">
              <w:rPr>
                <w:rFonts w:eastAsia="Calibri"/>
                <w:sz w:val="20"/>
                <w:szCs w:val="20"/>
                <w:lang w:val="fr-CA"/>
              </w:rPr>
              <w:t>garantit à l’intimé n’avaient pas été violés. Le juge du procès a déclaré l’intimé coupable de possession de pornographie juvénile. La Cour d’appel a accueilli l’appel de la déclaration de culpabilité. La déclaration de culpabilité a été annulée et un verdict d’acquittement a été prononcé.</w:t>
            </w:r>
          </w:p>
          <w:p w:rsidR="005F001B" w:rsidRPr="00E27991" w:rsidRDefault="005F001B" w:rsidP="00F106BA">
            <w:pPr>
              <w:jc w:val="both"/>
              <w:rPr>
                <w:rFonts w:eastAsia="Calibri"/>
                <w:sz w:val="20"/>
                <w:szCs w:val="20"/>
                <w:lang w:val="fr-CA"/>
              </w:rPr>
            </w:pPr>
          </w:p>
        </w:tc>
      </w:tr>
      <w:tr w:rsidR="005F001B" w:rsidRPr="005C6187" w:rsidTr="00F106BA">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16 octobre 2012</w:t>
            </w:r>
          </w:p>
          <w:p w:rsidR="005F001B" w:rsidRPr="00E27991" w:rsidRDefault="005F001B" w:rsidP="00F106BA">
            <w:pPr>
              <w:jc w:val="both"/>
              <w:rPr>
                <w:rFonts w:eastAsia="Calibri"/>
                <w:sz w:val="20"/>
                <w:szCs w:val="20"/>
                <w:lang w:val="fr-CA"/>
              </w:rPr>
            </w:pPr>
            <w:r w:rsidRPr="00E27991">
              <w:rPr>
                <w:rFonts w:eastAsia="Calibri"/>
                <w:sz w:val="20"/>
                <w:szCs w:val="20"/>
                <w:lang w:val="fr-CA"/>
              </w:rPr>
              <w:t>Cour du Banc de la Reine de l’Alberta</w:t>
            </w:r>
          </w:p>
          <w:p w:rsidR="005F001B" w:rsidRPr="00E27991" w:rsidRDefault="005F001B" w:rsidP="00F106BA">
            <w:pPr>
              <w:jc w:val="both"/>
              <w:rPr>
                <w:rFonts w:eastAsia="Calibri"/>
                <w:sz w:val="20"/>
                <w:szCs w:val="20"/>
                <w:lang w:val="fr-CA"/>
              </w:rPr>
            </w:pPr>
            <w:r w:rsidRPr="00E27991">
              <w:rPr>
                <w:rFonts w:eastAsia="Calibri"/>
                <w:sz w:val="20"/>
                <w:szCs w:val="20"/>
                <w:lang w:val="fr-CA"/>
              </w:rPr>
              <w:t>(Juge Yamauchi)</w:t>
            </w:r>
          </w:p>
          <w:p w:rsidR="005F001B" w:rsidRPr="00E27991" w:rsidRDefault="005F001B" w:rsidP="00F106BA">
            <w:pPr>
              <w:jc w:val="both"/>
              <w:rPr>
                <w:rFonts w:eastAsia="Calibri"/>
                <w:sz w:val="20"/>
                <w:szCs w:val="20"/>
                <w:lang w:val="fr-CA"/>
              </w:rPr>
            </w:pPr>
            <w:r w:rsidRPr="00E27991">
              <w:rPr>
                <w:rFonts w:eastAsia="Calibri"/>
                <w:sz w:val="20"/>
                <w:szCs w:val="20"/>
                <w:lang w:val="fr-CA"/>
              </w:rPr>
              <w:t>2010 ABQB 360</w:t>
            </w:r>
          </w:p>
          <w:p w:rsidR="005F001B" w:rsidRPr="00E27991" w:rsidRDefault="005C6187" w:rsidP="00F106BA">
            <w:pPr>
              <w:jc w:val="both"/>
              <w:rPr>
                <w:rFonts w:eastAsia="Calibri"/>
                <w:sz w:val="20"/>
                <w:szCs w:val="20"/>
                <w:lang w:val="fr-CA"/>
              </w:rPr>
            </w:pPr>
            <w:hyperlink r:id="rId37" w:history="1">
              <w:r w:rsidR="005F001B" w:rsidRPr="00E27991">
                <w:rPr>
                  <w:rFonts w:eastAsia="Calibri"/>
                  <w:color w:val="0000FF" w:themeColor="hyperlink"/>
                  <w:sz w:val="20"/>
                  <w:szCs w:val="20"/>
                  <w:u w:val="single"/>
                  <w:lang w:val="fr-CA"/>
                </w:rPr>
                <w:t>http://canlii.ca/t/fx9ch</w:t>
              </w:r>
            </w:hyperlink>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Décision à l’issue d’un voir-dire selon laquelle les droits que la </w:t>
            </w:r>
            <w:r w:rsidRPr="00E27991">
              <w:rPr>
                <w:rFonts w:eastAsia="Calibri"/>
                <w:i/>
                <w:sz w:val="20"/>
                <w:szCs w:val="20"/>
                <w:lang w:val="fr-CA"/>
              </w:rPr>
              <w:t>Charte</w:t>
            </w:r>
            <w:r w:rsidRPr="00E27991">
              <w:rPr>
                <w:rFonts w:eastAsia="Calibri"/>
                <w:sz w:val="20"/>
                <w:szCs w:val="20"/>
                <w:lang w:val="fr-CA"/>
              </w:rPr>
              <w:t xml:space="preserve"> garantit à l’intimé n’avaient pas été violés</w:t>
            </w:r>
          </w:p>
          <w:p w:rsidR="005F001B" w:rsidRPr="00E27991" w:rsidRDefault="005F001B" w:rsidP="00F106BA">
            <w:pPr>
              <w:jc w:val="both"/>
              <w:rPr>
                <w:rFonts w:eastAsia="Calibri"/>
                <w:sz w:val="20"/>
                <w:szCs w:val="20"/>
                <w:lang w:val="fr-CA"/>
              </w:rPr>
            </w:pPr>
          </w:p>
        </w:tc>
      </w:tr>
      <w:tr w:rsidR="005F001B" w:rsidRPr="005C6187" w:rsidTr="00F106BA">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7 mai 2013</w:t>
            </w:r>
          </w:p>
          <w:p w:rsidR="005F001B" w:rsidRPr="00E27991" w:rsidRDefault="005F001B" w:rsidP="00F106BA">
            <w:pPr>
              <w:jc w:val="both"/>
              <w:rPr>
                <w:rFonts w:eastAsia="Calibri"/>
                <w:sz w:val="20"/>
                <w:szCs w:val="20"/>
                <w:lang w:val="fr-CA"/>
              </w:rPr>
            </w:pPr>
            <w:r w:rsidRPr="00E27991">
              <w:rPr>
                <w:rFonts w:eastAsia="Calibri"/>
                <w:sz w:val="20"/>
                <w:szCs w:val="20"/>
                <w:lang w:val="fr-CA"/>
              </w:rPr>
              <w:t xml:space="preserve">Cour du Banc de la Reine de l’Alberta </w:t>
            </w:r>
          </w:p>
          <w:p w:rsidR="005F001B" w:rsidRPr="00E27991" w:rsidRDefault="005F001B" w:rsidP="00F106BA">
            <w:pPr>
              <w:jc w:val="both"/>
              <w:rPr>
                <w:rFonts w:eastAsia="Calibri"/>
                <w:sz w:val="20"/>
                <w:szCs w:val="20"/>
                <w:lang w:val="fr-CA"/>
              </w:rPr>
            </w:pPr>
            <w:r w:rsidRPr="00E27991">
              <w:rPr>
                <w:rFonts w:eastAsia="Calibri"/>
                <w:sz w:val="20"/>
                <w:szCs w:val="20"/>
                <w:lang w:val="fr-CA"/>
              </w:rPr>
              <w:t>(Juge Yamauchi)</w:t>
            </w:r>
          </w:p>
          <w:p w:rsidR="005F001B" w:rsidRPr="00E27991" w:rsidRDefault="005F001B" w:rsidP="00F106BA">
            <w:pPr>
              <w:jc w:val="both"/>
              <w:rPr>
                <w:rFonts w:eastAsia="Calibri"/>
                <w:sz w:val="20"/>
                <w:szCs w:val="20"/>
                <w:lang w:val="fr-CA"/>
              </w:rPr>
            </w:pPr>
            <w:r w:rsidRPr="00E27991">
              <w:rPr>
                <w:rFonts w:eastAsia="Calibri"/>
                <w:sz w:val="20"/>
                <w:szCs w:val="20"/>
                <w:lang w:val="fr-CA"/>
              </w:rPr>
              <w:t>2013 ABQB 279</w:t>
            </w:r>
          </w:p>
          <w:p w:rsidR="005F001B" w:rsidRPr="00E27991" w:rsidRDefault="005C6187" w:rsidP="00F106BA">
            <w:pPr>
              <w:jc w:val="both"/>
              <w:rPr>
                <w:rFonts w:eastAsia="Calibri"/>
                <w:sz w:val="20"/>
                <w:szCs w:val="20"/>
                <w:lang w:val="fr-CA"/>
              </w:rPr>
            </w:pPr>
            <w:hyperlink r:id="rId38" w:history="1">
              <w:r w:rsidR="005F001B" w:rsidRPr="00E27991">
                <w:rPr>
                  <w:rFonts w:eastAsia="Calibri"/>
                  <w:color w:val="0000FF" w:themeColor="hyperlink"/>
                  <w:sz w:val="20"/>
                  <w:szCs w:val="20"/>
                  <w:u w:val="single"/>
                  <w:lang w:val="fr-CA"/>
                </w:rPr>
                <w:t>http://canlii.ca/t/fxm86</w:t>
              </w:r>
            </w:hyperlink>
          </w:p>
          <w:p w:rsidR="005F001B" w:rsidRPr="00E27991" w:rsidRDefault="005F001B" w:rsidP="00F106BA">
            <w:pPr>
              <w:jc w:val="both"/>
              <w:rPr>
                <w:rFonts w:eastAsia="Calibri"/>
                <w:sz w:val="20"/>
                <w:szCs w:val="20"/>
                <w:lang w:val="fr-CA"/>
              </w:rPr>
            </w:pPr>
          </w:p>
        </w:tc>
        <w:tc>
          <w:tcPr>
            <w:tcW w:w="243" w:type="pct"/>
          </w:tcPr>
          <w:p w:rsidR="005F001B" w:rsidRPr="00E27991" w:rsidRDefault="005F001B" w:rsidP="00F106BA">
            <w:pPr>
              <w:jc w:val="both"/>
              <w:rPr>
                <w:rFonts w:eastAsia="Calibri"/>
                <w:sz w:val="20"/>
                <w:szCs w:val="20"/>
                <w:lang w:val="fr-CA"/>
              </w:rPr>
            </w:pPr>
          </w:p>
        </w:tc>
        <w:tc>
          <w:tcPr>
            <w:tcW w:w="2330" w:type="pct"/>
            <w:hideMark/>
          </w:tcPr>
          <w:p w:rsidR="005F001B" w:rsidRPr="00E27991" w:rsidRDefault="005F001B" w:rsidP="00F106BA">
            <w:pPr>
              <w:jc w:val="both"/>
              <w:rPr>
                <w:rFonts w:eastAsia="Calibri"/>
                <w:sz w:val="20"/>
                <w:szCs w:val="20"/>
                <w:lang w:val="fr-CA"/>
              </w:rPr>
            </w:pPr>
            <w:r w:rsidRPr="00E27991">
              <w:rPr>
                <w:rFonts w:eastAsia="Calibri"/>
                <w:sz w:val="20"/>
                <w:szCs w:val="20"/>
                <w:lang w:val="fr-CA"/>
              </w:rPr>
              <w:t>Déclaration de culpabilité de possession de pornographie juvénile</w:t>
            </w:r>
          </w:p>
        </w:tc>
      </w:tr>
      <w:tr w:rsidR="005F001B" w:rsidRPr="005C6187" w:rsidTr="00F106BA">
        <w:tc>
          <w:tcPr>
            <w:tcW w:w="2427"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18 mars 2015</w:t>
            </w:r>
          </w:p>
          <w:p w:rsidR="005F001B" w:rsidRPr="00E27991" w:rsidRDefault="005F001B" w:rsidP="00F106BA">
            <w:pPr>
              <w:jc w:val="both"/>
              <w:rPr>
                <w:rFonts w:eastAsia="Calibri"/>
                <w:sz w:val="20"/>
                <w:szCs w:val="20"/>
                <w:lang w:val="fr-CA"/>
              </w:rPr>
            </w:pPr>
            <w:r w:rsidRPr="00E27991">
              <w:rPr>
                <w:rFonts w:eastAsia="Calibri"/>
                <w:sz w:val="20"/>
                <w:szCs w:val="20"/>
                <w:lang w:val="fr-CA"/>
              </w:rPr>
              <w:t>Cour d’appel de l’Alberta (Calgary)</w:t>
            </w:r>
          </w:p>
          <w:p w:rsidR="005F001B" w:rsidRPr="00E27991" w:rsidRDefault="005F001B" w:rsidP="00F106BA">
            <w:pPr>
              <w:jc w:val="both"/>
              <w:rPr>
                <w:rFonts w:eastAsia="Calibri"/>
                <w:sz w:val="20"/>
                <w:szCs w:val="20"/>
                <w:lang w:val="fr-CA"/>
              </w:rPr>
            </w:pPr>
            <w:r w:rsidRPr="00E27991">
              <w:rPr>
                <w:rFonts w:eastAsia="Calibri"/>
                <w:sz w:val="20"/>
                <w:szCs w:val="20"/>
                <w:lang w:val="fr-CA"/>
              </w:rPr>
              <w:t>(Juges Côté, O'Ferrall et Macleod)</w:t>
            </w:r>
          </w:p>
          <w:p w:rsidR="005F001B" w:rsidRPr="00E27991" w:rsidRDefault="005F001B" w:rsidP="00F106BA">
            <w:pPr>
              <w:jc w:val="both"/>
              <w:rPr>
                <w:rFonts w:eastAsia="Calibri"/>
                <w:sz w:val="20"/>
                <w:szCs w:val="20"/>
              </w:rPr>
            </w:pPr>
            <w:r w:rsidRPr="00E27991">
              <w:rPr>
                <w:rFonts w:eastAsia="Calibri"/>
                <w:sz w:val="20"/>
                <w:szCs w:val="20"/>
              </w:rPr>
              <w:t>2015 ABCA 104, 1301-0329-A</w:t>
            </w:r>
          </w:p>
          <w:p w:rsidR="005F001B" w:rsidRPr="00E27991" w:rsidRDefault="005C6187" w:rsidP="00F106BA">
            <w:pPr>
              <w:jc w:val="both"/>
              <w:rPr>
                <w:rFonts w:eastAsia="Calibri"/>
                <w:sz w:val="20"/>
                <w:szCs w:val="20"/>
              </w:rPr>
            </w:pPr>
            <w:hyperlink r:id="rId39" w:history="1">
              <w:r w:rsidR="005F001B" w:rsidRPr="00E27991">
                <w:rPr>
                  <w:rFonts w:eastAsia="Calibri"/>
                  <w:color w:val="0000FF" w:themeColor="hyperlink"/>
                  <w:sz w:val="20"/>
                  <w:szCs w:val="20"/>
                  <w:u w:val="single"/>
                </w:rPr>
                <w:t>http://canlii.ca/t/ggqrx</w:t>
              </w:r>
            </w:hyperlink>
          </w:p>
          <w:p w:rsidR="005F001B" w:rsidRPr="00E27991" w:rsidRDefault="005F001B" w:rsidP="00F106BA">
            <w:pPr>
              <w:jc w:val="both"/>
              <w:rPr>
                <w:rFonts w:eastAsia="Calibri"/>
                <w:sz w:val="20"/>
                <w:szCs w:val="20"/>
              </w:rPr>
            </w:pPr>
          </w:p>
        </w:tc>
        <w:tc>
          <w:tcPr>
            <w:tcW w:w="243" w:type="pct"/>
          </w:tcPr>
          <w:p w:rsidR="005F001B" w:rsidRPr="00E27991" w:rsidRDefault="005F001B" w:rsidP="00F106BA">
            <w:pPr>
              <w:jc w:val="both"/>
              <w:rPr>
                <w:rFonts w:eastAsia="Calibri"/>
                <w:sz w:val="20"/>
                <w:szCs w:val="20"/>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Arrêt accueillant l’appel de la déclaration de culpabilité; annulation de la déclaration de culpabilité; verdict d’acquittement</w:t>
            </w:r>
          </w:p>
          <w:p w:rsidR="005F001B" w:rsidRPr="00E27991" w:rsidRDefault="005F001B" w:rsidP="00F106BA">
            <w:pPr>
              <w:jc w:val="both"/>
              <w:rPr>
                <w:rFonts w:eastAsia="Calibri"/>
                <w:sz w:val="20"/>
                <w:szCs w:val="20"/>
                <w:lang w:val="fr-CA"/>
              </w:rPr>
            </w:pPr>
          </w:p>
          <w:p w:rsidR="005F001B" w:rsidRPr="00E27991" w:rsidRDefault="005F001B" w:rsidP="00F106BA">
            <w:pPr>
              <w:jc w:val="both"/>
              <w:rPr>
                <w:rFonts w:eastAsia="Calibri"/>
                <w:sz w:val="20"/>
                <w:szCs w:val="20"/>
                <w:lang w:val="fr-CA"/>
              </w:rPr>
            </w:pPr>
          </w:p>
        </w:tc>
      </w:tr>
      <w:tr w:rsidR="005F001B" w:rsidRPr="005C6187" w:rsidTr="00F106BA">
        <w:tc>
          <w:tcPr>
            <w:tcW w:w="2427" w:type="pct"/>
            <w:hideMark/>
          </w:tcPr>
          <w:p w:rsidR="005F001B" w:rsidRPr="00E27991" w:rsidRDefault="005F001B" w:rsidP="00F106BA">
            <w:pPr>
              <w:jc w:val="both"/>
              <w:rPr>
                <w:rFonts w:eastAsia="Calibri"/>
                <w:sz w:val="20"/>
                <w:szCs w:val="20"/>
                <w:lang w:val="fr-CA"/>
              </w:rPr>
            </w:pPr>
            <w:r w:rsidRPr="00E27991">
              <w:rPr>
                <w:rFonts w:eastAsia="Calibri"/>
                <w:sz w:val="20"/>
                <w:szCs w:val="20"/>
                <w:lang w:val="fr-CA"/>
              </w:rPr>
              <w:t>15 mai 2015</w:t>
            </w:r>
          </w:p>
          <w:p w:rsidR="005F001B" w:rsidRPr="00E27991" w:rsidRDefault="005F001B" w:rsidP="00F106BA">
            <w:pPr>
              <w:jc w:val="both"/>
              <w:rPr>
                <w:rFonts w:eastAsia="Calibri"/>
                <w:sz w:val="20"/>
                <w:szCs w:val="20"/>
                <w:lang w:val="fr-CA"/>
              </w:rPr>
            </w:pPr>
            <w:r w:rsidRPr="00E27991">
              <w:rPr>
                <w:rFonts w:eastAsia="Calibri"/>
                <w:sz w:val="20"/>
                <w:szCs w:val="20"/>
                <w:lang w:val="fr-CA"/>
              </w:rPr>
              <w:t>Cour suprême du Canada</w:t>
            </w:r>
          </w:p>
        </w:tc>
        <w:tc>
          <w:tcPr>
            <w:tcW w:w="243" w:type="pct"/>
          </w:tcPr>
          <w:p w:rsidR="005F001B" w:rsidRPr="00E27991" w:rsidRDefault="005F001B" w:rsidP="00F106BA">
            <w:pPr>
              <w:jc w:val="both"/>
              <w:rPr>
                <w:rFonts w:eastAsia="Calibri"/>
                <w:sz w:val="20"/>
                <w:szCs w:val="20"/>
                <w:lang w:val="fr-CA"/>
              </w:rPr>
            </w:pPr>
          </w:p>
        </w:tc>
        <w:tc>
          <w:tcPr>
            <w:tcW w:w="2330" w:type="pct"/>
          </w:tcPr>
          <w:p w:rsidR="005F001B" w:rsidRPr="00E27991" w:rsidRDefault="005F001B" w:rsidP="00F106BA">
            <w:pPr>
              <w:jc w:val="both"/>
              <w:rPr>
                <w:rFonts w:eastAsia="Calibri"/>
                <w:sz w:val="20"/>
                <w:szCs w:val="20"/>
                <w:lang w:val="fr-CA"/>
              </w:rPr>
            </w:pPr>
            <w:r w:rsidRPr="00E27991">
              <w:rPr>
                <w:rFonts w:eastAsia="Calibri"/>
                <w:sz w:val="20"/>
                <w:szCs w:val="20"/>
                <w:lang w:val="fr-CA"/>
              </w:rPr>
              <w:t>Dépôt de la demande d’autorisation d’appel</w:t>
            </w:r>
          </w:p>
          <w:p w:rsidR="005F001B" w:rsidRPr="00E27991" w:rsidRDefault="005F001B" w:rsidP="00F106BA">
            <w:pPr>
              <w:jc w:val="both"/>
              <w:rPr>
                <w:rFonts w:eastAsia="Calibri"/>
                <w:sz w:val="20"/>
                <w:szCs w:val="20"/>
                <w:lang w:val="fr-CA"/>
              </w:rPr>
            </w:pPr>
          </w:p>
        </w:tc>
      </w:tr>
    </w:tbl>
    <w:p w:rsidR="00B7329E" w:rsidRPr="005F001B" w:rsidRDefault="00B7329E" w:rsidP="00B7329E">
      <w:pPr>
        <w:rPr>
          <w:sz w:val="20"/>
          <w:szCs w:val="20"/>
          <w:lang w:val="fr-CA"/>
        </w:rPr>
      </w:pPr>
    </w:p>
    <w:p w:rsidR="00B7329E" w:rsidRDefault="005C6187" w:rsidP="00B7329E">
      <w:pPr>
        <w:rPr>
          <w:sz w:val="20"/>
          <w:szCs w:val="20"/>
        </w:rPr>
      </w:pPr>
      <w:r>
        <w:rPr>
          <w:sz w:val="20"/>
          <w:szCs w:val="20"/>
          <w:lang w:val="fr-CA"/>
        </w:rPr>
        <w:pict>
          <v:rect id="_x0000_i1048" style="width:2in;height:1pt" o:hrpct="0" o:hralign="center" o:hrstd="t" o:hrnoshade="t" o:hr="t" fillcolor="black [3213]" stroked="f"/>
        </w:pict>
      </w:r>
    </w:p>
    <w:p w:rsidR="00B7329E" w:rsidRDefault="00B7329E" w:rsidP="00B7329E">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F5562" w:rsidRPr="006F5562" w:rsidRDefault="006F5562" w:rsidP="006F5562">
      <w:pPr>
        <w:tabs>
          <w:tab w:val="left" w:pos="-1440"/>
          <w:tab w:val="left" w:pos="-720"/>
        </w:tabs>
        <w:jc w:val="both"/>
        <w:rPr>
          <w:rFonts w:eastAsia="Times New Roman" w:cs="Times New Roman"/>
          <w:sz w:val="20"/>
          <w:szCs w:val="20"/>
          <w:lang w:eastAsia="en-CA"/>
        </w:rPr>
      </w:pPr>
      <w:r w:rsidRPr="006F5562">
        <w:rPr>
          <w:rFonts w:eastAsia="Times New Roman" w:cs="Times New Roman"/>
          <w:sz w:val="20"/>
          <w:szCs w:val="20"/>
          <w:lang w:eastAsia="en-CA"/>
        </w:rPr>
        <w:t>14.08.2015</w:t>
      </w:r>
    </w:p>
    <w:p w:rsidR="006F5562" w:rsidRPr="006F5562" w:rsidRDefault="006F5562" w:rsidP="006F5562">
      <w:pPr>
        <w:tabs>
          <w:tab w:val="left" w:pos="-1440"/>
          <w:tab w:val="left" w:pos="-720"/>
        </w:tabs>
        <w:jc w:val="both"/>
        <w:rPr>
          <w:rFonts w:eastAsia="Times New Roman" w:cs="Times New Roman"/>
          <w:sz w:val="20"/>
          <w:szCs w:val="20"/>
          <w:lang w:eastAsia="en-CA"/>
        </w:rPr>
      </w:pPr>
    </w:p>
    <w:p w:rsidR="006F5562" w:rsidRPr="006F5562" w:rsidRDefault="006F5562" w:rsidP="006F5562">
      <w:pPr>
        <w:tabs>
          <w:tab w:val="left" w:pos="-1440"/>
          <w:tab w:val="left" w:pos="-720"/>
        </w:tabs>
        <w:jc w:val="both"/>
        <w:rPr>
          <w:rFonts w:eastAsia="Times New Roman" w:cs="Times New Roman"/>
          <w:sz w:val="20"/>
          <w:szCs w:val="20"/>
          <w:lang w:eastAsia="en-CA"/>
        </w:rPr>
      </w:pPr>
      <w:r w:rsidRPr="006F5562">
        <w:rPr>
          <w:rFonts w:eastAsia="Times New Roman" w:cs="Times New Roman"/>
          <w:sz w:val="20"/>
          <w:szCs w:val="20"/>
          <w:lang w:val="fr-CA" w:eastAsia="en-CA"/>
        </w:rPr>
        <w:t xml:space="preserve">Before / Devant:   </w:t>
      </w:r>
      <w:r w:rsidRPr="006F5562">
        <w:rPr>
          <w:rFonts w:eastAsia="Times New Roman" w:cs="Times New Roman"/>
          <w:sz w:val="20"/>
          <w:szCs w:val="20"/>
          <w:lang w:eastAsia="en-CA"/>
        </w:rPr>
        <w:t>THE REGISTRAR / LE REGISTRAIRE</w:t>
      </w:r>
    </w:p>
    <w:p w:rsidR="006F5562" w:rsidRPr="006F5562" w:rsidRDefault="006F5562" w:rsidP="006F5562">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6F5562" w:rsidRPr="005C6187" w:rsidTr="009C04F5">
        <w:tc>
          <w:tcPr>
            <w:tcW w:w="4338" w:type="dxa"/>
          </w:tcPr>
          <w:p w:rsidR="006F5562" w:rsidRPr="006F5562" w:rsidRDefault="006F5562" w:rsidP="006F5562">
            <w:pPr>
              <w:tabs>
                <w:tab w:val="left" w:pos="-1440"/>
                <w:tab w:val="left" w:pos="-720"/>
              </w:tabs>
              <w:jc w:val="both"/>
              <w:rPr>
                <w:b/>
              </w:rPr>
            </w:pPr>
            <w:r w:rsidRPr="006F5562">
              <w:rPr>
                <w:szCs w:val="24"/>
                <w:lang w:val="en-US"/>
              </w:rPr>
              <w:fldChar w:fldCharType="begin"/>
            </w:r>
            <w:r w:rsidRPr="006F5562">
              <w:rPr>
                <w:szCs w:val="24"/>
                <w:lang w:val="en-US"/>
              </w:rPr>
              <w:instrText xml:space="preserve"> SEQ CHAPTER \h \r 1</w:instrText>
            </w:r>
            <w:r w:rsidRPr="006F5562">
              <w:rPr>
                <w:szCs w:val="24"/>
                <w:lang w:val="en-US"/>
              </w:rPr>
              <w:fldChar w:fldCharType="end"/>
            </w:r>
            <w:r w:rsidRPr="006F5562">
              <w:rPr>
                <w:b/>
                <w:bCs/>
                <w:lang w:val="en-US"/>
              </w:rPr>
              <w:t>Motion to extend time</w:t>
            </w:r>
          </w:p>
        </w:tc>
        <w:tc>
          <w:tcPr>
            <w:tcW w:w="1170" w:type="dxa"/>
          </w:tcPr>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p>
        </w:tc>
        <w:tc>
          <w:tcPr>
            <w:tcW w:w="4327" w:type="dxa"/>
          </w:tcPr>
          <w:p w:rsidR="006F5562" w:rsidRPr="006F5562" w:rsidRDefault="006F5562" w:rsidP="006F5562">
            <w:pPr>
              <w:tabs>
                <w:tab w:val="left" w:pos="-1440"/>
                <w:tab w:val="left" w:pos="-720"/>
              </w:tabs>
              <w:jc w:val="both"/>
              <w:rPr>
                <w:lang w:val="fr-CA"/>
              </w:rPr>
            </w:pPr>
            <w:r w:rsidRPr="006F5562">
              <w:rPr>
                <w:b/>
                <w:bCs/>
                <w:color w:val="000000"/>
                <w:lang w:val="fr-CA"/>
              </w:rPr>
              <w:t>Requête en prorogation de délai</w:t>
            </w:r>
            <w:r w:rsidRPr="006F5562">
              <w:rPr>
                <w:szCs w:val="24"/>
                <w:lang w:val="fr-CA"/>
              </w:rPr>
              <w:t xml:space="preserve"> </w:t>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p>
        </w:tc>
      </w:tr>
      <w:tr w:rsidR="006F5562" w:rsidRPr="006F5562" w:rsidTr="009C04F5">
        <w:tc>
          <w:tcPr>
            <w:tcW w:w="4338" w:type="dxa"/>
          </w:tcPr>
          <w:p w:rsidR="006F5562" w:rsidRPr="006F5562" w:rsidRDefault="006F5562" w:rsidP="006F5562">
            <w:pPr>
              <w:tabs>
                <w:tab w:val="left" w:pos="-1440"/>
                <w:tab w:val="left" w:pos="-720"/>
              </w:tabs>
              <w:jc w:val="both"/>
              <w:rPr>
                <w:lang w:val="fr-CA"/>
              </w:rPr>
            </w:pPr>
            <w:r w:rsidRPr="006F5562">
              <w:rPr>
                <w:lang w:val="fr-CA"/>
              </w:rPr>
              <w:t>Lapointe Rosenstein Marchand Melançon S.E.N.C.R.L. et autres</w:t>
            </w:r>
          </w:p>
          <w:p w:rsidR="006F5562" w:rsidRPr="006F5562" w:rsidRDefault="006F5562" w:rsidP="006F5562">
            <w:pPr>
              <w:tabs>
                <w:tab w:val="left" w:pos="-1440"/>
                <w:tab w:val="left" w:pos="-720"/>
              </w:tabs>
              <w:jc w:val="both"/>
              <w:rPr>
                <w:lang w:val="fr-CA"/>
              </w:rPr>
            </w:pPr>
          </w:p>
          <w:p w:rsidR="006F5562" w:rsidRPr="006F5562" w:rsidRDefault="006F5562" w:rsidP="006F5562">
            <w:pPr>
              <w:tabs>
                <w:tab w:val="left" w:pos="-1440"/>
                <w:tab w:val="left" w:pos="-720"/>
              </w:tabs>
              <w:jc w:val="both"/>
            </w:pPr>
            <w:r w:rsidRPr="006F5562">
              <w:rPr>
                <w:lang w:val="fr-CA"/>
              </w:rPr>
              <w:tab/>
            </w:r>
            <w:r w:rsidRPr="006F5562">
              <w:t>c. (36087)</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rPr>
                <w:lang w:val="en-US"/>
              </w:rPr>
            </w:pPr>
            <w:r w:rsidRPr="006F5562">
              <w:t>Cassels Brock &amp; Blackwell LLP (Ont</w:t>
            </w:r>
            <w:r w:rsidRPr="006F5562">
              <w:rPr>
                <w:lang w:val="en-US"/>
              </w:rPr>
              <w:t>.)</w:t>
            </w:r>
          </w:p>
        </w:tc>
        <w:tc>
          <w:tcPr>
            <w:tcW w:w="1170" w:type="dxa"/>
          </w:tcPr>
          <w:p w:rsidR="006F5562" w:rsidRPr="006F5562" w:rsidRDefault="006F5562" w:rsidP="006F5562">
            <w:pPr>
              <w:tabs>
                <w:tab w:val="left" w:pos="-1440"/>
                <w:tab w:val="left" w:pos="-720"/>
              </w:tabs>
              <w:jc w:val="both"/>
              <w:rPr>
                <w:lang w:val="en-US"/>
              </w:rPr>
            </w:pPr>
          </w:p>
        </w:tc>
        <w:tc>
          <w:tcPr>
            <w:tcW w:w="4327" w:type="dxa"/>
          </w:tcPr>
          <w:p w:rsidR="006F5562" w:rsidRPr="006F5562" w:rsidRDefault="006F5562" w:rsidP="006F5562">
            <w:pPr>
              <w:tabs>
                <w:tab w:val="left" w:pos="-1440"/>
                <w:tab w:val="left" w:pos="-720"/>
              </w:tabs>
              <w:jc w:val="both"/>
              <w:rPr>
                <w:lang w:val="en-US"/>
              </w:rPr>
            </w:pPr>
          </w:p>
        </w:tc>
      </w:tr>
    </w:tbl>
    <w:p w:rsidR="006F5562" w:rsidRPr="006F5562" w:rsidRDefault="006F5562" w:rsidP="006F5562">
      <w:pPr>
        <w:tabs>
          <w:tab w:val="left" w:pos="-1440"/>
          <w:tab w:val="left" w:pos="-720"/>
        </w:tabs>
        <w:jc w:val="both"/>
        <w:rPr>
          <w:rFonts w:eastAsia="Times New Roman" w:cs="Times New Roman"/>
          <w:sz w:val="20"/>
          <w:szCs w:val="20"/>
          <w:lang w:eastAsia="en-CA"/>
        </w:rPr>
      </w:pPr>
    </w:p>
    <w:p w:rsidR="006F5562" w:rsidRPr="006F5562" w:rsidRDefault="006F5562" w:rsidP="006F5562">
      <w:pPr>
        <w:tabs>
          <w:tab w:val="left" w:pos="-1440"/>
          <w:tab w:val="left" w:pos="-720"/>
        </w:tabs>
        <w:jc w:val="both"/>
        <w:rPr>
          <w:rFonts w:eastAsia="Times New Roman" w:cs="Times New Roman"/>
          <w:b/>
          <w:sz w:val="20"/>
          <w:szCs w:val="20"/>
          <w:lang w:val="fr-CA" w:eastAsia="en-CA"/>
        </w:rPr>
      </w:pPr>
      <w:r w:rsidRPr="006F5562">
        <w:rPr>
          <w:rFonts w:eastAsia="Times New Roman" w:cs="Times New Roman"/>
          <w:b/>
          <w:sz w:val="20"/>
          <w:szCs w:val="20"/>
          <w:lang w:val="fr-CA" w:eastAsia="en-CA"/>
        </w:rPr>
        <w:t>GRANTED / ACCORDÉE</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b/>
          <w:bCs/>
          <w:sz w:val="20"/>
          <w:szCs w:val="20"/>
          <w:lang w:val="fr-CA" w:eastAsia="en-CA"/>
        </w:rPr>
      </w:pPr>
      <w:r w:rsidRPr="006F5562">
        <w:rPr>
          <w:rFonts w:eastAsia="Times New Roman" w:cs="Times New Roman"/>
          <w:b/>
          <w:sz w:val="20"/>
          <w:szCs w:val="20"/>
          <w:lang w:val="fr-CA" w:eastAsia="en-CA"/>
        </w:rPr>
        <w:t xml:space="preserve">À LA SUITE DE LA DEMANDE </w:t>
      </w:r>
      <w:r w:rsidRPr="006F5562">
        <w:rPr>
          <w:rFonts w:eastAsia="Times New Roman" w:cs="Times New Roman"/>
          <w:sz w:val="20"/>
          <w:szCs w:val="20"/>
          <w:lang w:val="fr-CA" w:eastAsia="en-CA"/>
        </w:rPr>
        <w:t>présentée par les appelants en prorogation du délai pour signifier et déposer leurs mémoire, dossier et recueil de sources au 14 août 2015;</w:t>
      </w:r>
    </w:p>
    <w:p w:rsidR="006F5562" w:rsidRPr="006F5562" w:rsidRDefault="006F5562" w:rsidP="006F5562">
      <w:pPr>
        <w:spacing w:line="233" w:lineRule="auto"/>
        <w:jc w:val="both"/>
        <w:rPr>
          <w:rFonts w:eastAsia="Times New Roman" w:cs="Times New Roman"/>
          <w:b/>
          <w:bCs/>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bCs/>
          <w:sz w:val="20"/>
          <w:szCs w:val="20"/>
          <w:lang w:val="fr-CA" w:eastAsia="en-CA"/>
        </w:rPr>
        <w:t xml:space="preserve">ET APRÈS EXAMEN </w:t>
      </w:r>
      <w:r w:rsidRPr="006F5562">
        <w:rPr>
          <w:rFonts w:eastAsia="Times New Roman" w:cs="Times New Roman"/>
          <w:sz w:val="20"/>
          <w:szCs w:val="20"/>
          <w:lang w:val="fr-CA" w:eastAsia="en-CA"/>
        </w:rPr>
        <w:t xml:space="preserve">des documents déposés; </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 xml:space="preserve">ET APRÈS AVOIR NOTÉ </w:t>
      </w:r>
      <w:r w:rsidRPr="006F5562">
        <w:rPr>
          <w:rFonts w:eastAsia="Times New Roman" w:cs="Times New Roman"/>
          <w:sz w:val="20"/>
          <w:szCs w:val="20"/>
          <w:lang w:val="fr-CA" w:eastAsia="en-CA"/>
        </w:rPr>
        <w:t>le consentement de l’intimée;</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0" w:lineRule="auto"/>
        <w:jc w:val="both"/>
        <w:rPr>
          <w:rFonts w:eastAsia="Times New Roman" w:cs="Times New Roman"/>
          <w:b/>
          <w:bCs/>
          <w:sz w:val="20"/>
          <w:szCs w:val="20"/>
          <w:lang w:val="fr-CA" w:eastAsia="en-CA"/>
        </w:rPr>
      </w:pPr>
      <w:r w:rsidRPr="006F5562">
        <w:rPr>
          <w:rFonts w:eastAsia="Times New Roman" w:cs="Times New Roman"/>
          <w:b/>
          <w:bCs/>
          <w:sz w:val="20"/>
          <w:szCs w:val="20"/>
          <w:lang w:val="fr-CA" w:eastAsia="en-CA"/>
        </w:rPr>
        <w:t>IL EST ORDONNÉ QUE:</w:t>
      </w:r>
    </w:p>
    <w:p w:rsidR="006F5562" w:rsidRPr="006F5562" w:rsidRDefault="006F5562" w:rsidP="006F5562">
      <w:pPr>
        <w:spacing w:line="230" w:lineRule="auto"/>
        <w:ind w:left="-23"/>
        <w:jc w:val="both"/>
        <w:rPr>
          <w:rFonts w:eastAsia="Times New Roman" w:cs="Times New Roman"/>
          <w:b/>
          <w:bCs/>
          <w:sz w:val="20"/>
          <w:szCs w:val="20"/>
          <w:lang w:val="fr-CA" w:eastAsia="en-CA"/>
        </w:rPr>
      </w:pPr>
    </w:p>
    <w:p w:rsidR="006F5562" w:rsidRPr="006F5562" w:rsidRDefault="006F5562" w:rsidP="006F5562">
      <w:pPr>
        <w:jc w:val="both"/>
        <w:rPr>
          <w:rFonts w:eastAsia="Times New Roman" w:cs="Times New Roman"/>
          <w:sz w:val="20"/>
          <w:szCs w:val="20"/>
          <w:lang w:val="fr-CA" w:eastAsia="en-CA"/>
        </w:rPr>
      </w:pPr>
      <w:r w:rsidRPr="006F5562">
        <w:rPr>
          <w:rFonts w:eastAsia="Times New Roman" w:cs="Times New Roman"/>
          <w:bCs/>
          <w:sz w:val="20"/>
          <w:szCs w:val="20"/>
          <w:lang w:val="fr-CA" w:eastAsia="en-CA"/>
        </w:rPr>
        <w:t>La requête est accueillie</w:t>
      </w:r>
      <w:r w:rsidRPr="006F5562">
        <w:rPr>
          <w:rFonts w:eastAsia="Times New Roman" w:cs="Times New Roman"/>
          <w:sz w:val="20"/>
          <w:szCs w:val="20"/>
          <w:lang w:val="fr-CA" w:eastAsia="en-CA"/>
        </w:rPr>
        <w:t>.</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b/>
          <w:bCs/>
          <w:sz w:val="20"/>
          <w:szCs w:val="20"/>
          <w:lang w:eastAsia="en-CA"/>
        </w:rPr>
      </w:pPr>
      <w:r w:rsidRPr="006F5562">
        <w:rPr>
          <w:rFonts w:eastAsia="Times New Roman" w:cs="Times New Roman"/>
          <w:b/>
          <w:sz w:val="20"/>
          <w:szCs w:val="20"/>
          <w:lang w:eastAsia="en-CA"/>
        </w:rPr>
        <w:t xml:space="preserve">UPON APPLICATION </w:t>
      </w:r>
      <w:r w:rsidRPr="006F5562">
        <w:rPr>
          <w:rFonts w:eastAsia="Times New Roman" w:cs="Times New Roman"/>
          <w:sz w:val="20"/>
          <w:szCs w:val="20"/>
          <w:lang w:eastAsia="en-CA"/>
        </w:rPr>
        <w:t>by the appellants for an order extending the time within which they may serve and file their factum, record and book of authorities to August 14, 2015;</w:t>
      </w:r>
    </w:p>
    <w:p w:rsidR="006F5562" w:rsidRPr="006F5562" w:rsidRDefault="006F5562" w:rsidP="006F5562">
      <w:pPr>
        <w:spacing w:line="233" w:lineRule="auto"/>
        <w:jc w:val="both"/>
        <w:rPr>
          <w:rFonts w:eastAsia="Times New Roman" w:cs="Times New Roman"/>
          <w:b/>
          <w:bCs/>
          <w:sz w:val="20"/>
          <w:szCs w:val="20"/>
          <w:lang w:eastAsia="en-CA"/>
        </w:rPr>
      </w:pPr>
    </w:p>
    <w:p w:rsidR="006F5562" w:rsidRPr="006F5562" w:rsidRDefault="006F5562" w:rsidP="006F5562">
      <w:pPr>
        <w:spacing w:line="233" w:lineRule="auto"/>
        <w:jc w:val="both"/>
        <w:rPr>
          <w:rFonts w:eastAsia="Times New Roman" w:cs="Times New Roman"/>
          <w:sz w:val="20"/>
          <w:szCs w:val="20"/>
          <w:lang w:eastAsia="en-CA"/>
        </w:rPr>
      </w:pPr>
      <w:r w:rsidRPr="006F5562">
        <w:rPr>
          <w:rFonts w:eastAsia="Times New Roman" w:cs="Times New Roman"/>
          <w:b/>
          <w:bCs/>
          <w:sz w:val="20"/>
          <w:szCs w:val="20"/>
          <w:lang w:eastAsia="en-CA"/>
        </w:rPr>
        <w:t xml:space="preserve">AND THE MATERIAL FILED </w:t>
      </w:r>
      <w:r w:rsidRPr="006F5562">
        <w:rPr>
          <w:rFonts w:eastAsia="Times New Roman" w:cs="Times New Roman"/>
          <w:sz w:val="20"/>
          <w:szCs w:val="20"/>
          <w:lang w:eastAsia="en-CA"/>
        </w:rPr>
        <w:t xml:space="preserve">having been read; </w:t>
      </w:r>
    </w:p>
    <w:p w:rsidR="006F5562" w:rsidRPr="006F5562" w:rsidRDefault="006F5562" w:rsidP="006F5562">
      <w:pPr>
        <w:spacing w:line="233" w:lineRule="auto"/>
        <w:jc w:val="both"/>
        <w:rPr>
          <w:rFonts w:eastAsia="Times New Roman" w:cs="Times New Roman"/>
          <w:sz w:val="20"/>
          <w:szCs w:val="20"/>
          <w:lang w:eastAsia="en-CA"/>
        </w:rPr>
      </w:pPr>
    </w:p>
    <w:p w:rsidR="006F5562" w:rsidRPr="006F5562" w:rsidRDefault="006F5562" w:rsidP="006F5562">
      <w:pPr>
        <w:spacing w:line="233" w:lineRule="auto"/>
        <w:jc w:val="both"/>
        <w:rPr>
          <w:rFonts w:eastAsia="Times New Roman" w:cs="Times New Roman"/>
          <w:sz w:val="20"/>
          <w:szCs w:val="20"/>
          <w:lang w:eastAsia="en-CA"/>
        </w:rPr>
      </w:pPr>
      <w:r w:rsidRPr="006F5562">
        <w:rPr>
          <w:rFonts w:eastAsia="Times New Roman" w:cs="Times New Roman"/>
          <w:b/>
          <w:sz w:val="20"/>
          <w:szCs w:val="20"/>
          <w:lang w:eastAsia="en-CA"/>
        </w:rPr>
        <w:t xml:space="preserve">AND IT BEING NOTED THAT </w:t>
      </w:r>
      <w:r w:rsidRPr="006F5562">
        <w:rPr>
          <w:rFonts w:eastAsia="Times New Roman" w:cs="Times New Roman"/>
          <w:sz w:val="20"/>
          <w:szCs w:val="20"/>
          <w:lang w:eastAsia="en-CA"/>
        </w:rPr>
        <w:t>the respondent has given its consent;</w:t>
      </w:r>
    </w:p>
    <w:p w:rsidR="006F5562" w:rsidRPr="006F5562" w:rsidRDefault="006F5562" w:rsidP="006F5562">
      <w:pPr>
        <w:spacing w:line="233" w:lineRule="auto"/>
        <w:jc w:val="both"/>
        <w:rPr>
          <w:rFonts w:eastAsia="Times New Roman" w:cs="Times New Roman"/>
          <w:sz w:val="20"/>
          <w:szCs w:val="20"/>
          <w:lang w:eastAsia="en-CA"/>
        </w:rPr>
      </w:pPr>
    </w:p>
    <w:p w:rsidR="006F5562" w:rsidRPr="006F5562" w:rsidRDefault="006F5562" w:rsidP="006F5562">
      <w:pPr>
        <w:spacing w:line="230" w:lineRule="auto"/>
        <w:jc w:val="both"/>
        <w:rPr>
          <w:rFonts w:eastAsia="Times New Roman" w:cs="Times New Roman"/>
          <w:b/>
          <w:bCs/>
          <w:sz w:val="20"/>
          <w:szCs w:val="20"/>
          <w:lang w:eastAsia="en-CA"/>
        </w:rPr>
      </w:pPr>
      <w:r w:rsidRPr="006F5562">
        <w:rPr>
          <w:rFonts w:eastAsia="Times New Roman" w:cs="Times New Roman"/>
          <w:b/>
          <w:bCs/>
          <w:sz w:val="20"/>
          <w:szCs w:val="20"/>
          <w:lang w:eastAsia="en-CA"/>
        </w:rPr>
        <w:t>IT IS HEREBY ORDERED THAT:</w:t>
      </w:r>
    </w:p>
    <w:p w:rsidR="006F5562" w:rsidRPr="006F5562" w:rsidRDefault="006F5562" w:rsidP="006F5562">
      <w:pPr>
        <w:spacing w:line="230" w:lineRule="auto"/>
        <w:ind w:left="-23"/>
        <w:jc w:val="both"/>
        <w:rPr>
          <w:rFonts w:eastAsia="Times New Roman" w:cs="Times New Roman"/>
          <w:b/>
          <w:bCs/>
          <w:sz w:val="20"/>
          <w:szCs w:val="20"/>
          <w:lang w:eastAsia="en-CA"/>
        </w:rPr>
      </w:pPr>
    </w:p>
    <w:p w:rsidR="006F5562" w:rsidRPr="006F5562" w:rsidRDefault="006F5562" w:rsidP="006F5562">
      <w:pPr>
        <w:jc w:val="both"/>
        <w:rPr>
          <w:rFonts w:eastAsia="Times New Roman" w:cs="Times New Roman"/>
          <w:sz w:val="20"/>
          <w:szCs w:val="20"/>
          <w:lang w:eastAsia="en-CA"/>
        </w:rPr>
      </w:pPr>
      <w:r w:rsidRPr="006F5562">
        <w:rPr>
          <w:rFonts w:eastAsia="Times New Roman" w:cs="Times New Roman"/>
          <w:bCs/>
          <w:sz w:val="20"/>
          <w:szCs w:val="20"/>
          <w:lang w:eastAsia="en-CA"/>
        </w:rPr>
        <w:t>The motion is granted</w:t>
      </w:r>
      <w:r w:rsidRPr="006F5562">
        <w:rPr>
          <w:rFonts w:eastAsia="Times New Roman" w:cs="Times New Roman"/>
          <w:sz w:val="20"/>
          <w:szCs w:val="20"/>
          <w:lang w:eastAsia="en-CA"/>
        </w:rPr>
        <w:t>.</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5C6187" w:rsidP="006F556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25.08.2015</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Before / Devant :   CÔTÉ J. / LA JUGE CÔTÉ</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6F5562" w:rsidRPr="005C6187" w:rsidTr="009C04F5">
        <w:tc>
          <w:tcPr>
            <w:tcW w:w="4338" w:type="dxa"/>
          </w:tcPr>
          <w:p w:rsidR="006F5562" w:rsidRPr="006F5562" w:rsidRDefault="006F5562" w:rsidP="006F5562">
            <w:pPr>
              <w:tabs>
                <w:tab w:val="left" w:pos="-1440"/>
                <w:tab w:val="left" w:pos="-720"/>
              </w:tabs>
              <w:jc w:val="both"/>
              <w:rPr>
                <w:b/>
              </w:rPr>
            </w:pPr>
            <w:r w:rsidRPr="006F5562">
              <w:rPr>
                <w:szCs w:val="24"/>
                <w:lang w:val="en-US"/>
              </w:rPr>
              <w:fldChar w:fldCharType="begin"/>
            </w:r>
            <w:r w:rsidRPr="006F5562">
              <w:rPr>
                <w:szCs w:val="24"/>
                <w:lang w:val="en-US"/>
              </w:rPr>
              <w:instrText xml:space="preserve"> SEQ CHAPTER \h \r 1</w:instrText>
            </w:r>
            <w:r w:rsidRPr="006F5562">
              <w:rPr>
                <w:szCs w:val="24"/>
                <w:lang w:val="en-US"/>
              </w:rPr>
              <w:fldChar w:fldCharType="end"/>
            </w:r>
            <w:r w:rsidRPr="006F5562">
              <w:rPr>
                <w:b/>
                <w:bCs/>
                <w:lang w:val="en-US"/>
              </w:rPr>
              <w:t>Motion to extend time</w:t>
            </w:r>
          </w:p>
        </w:tc>
        <w:tc>
          <w:tcPr>
            <w:tcW w:w="1170" w:type="dxa"/>
          </w:tcPr>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p>
        </w:tc>
        <w:tc>
          <w:tcPr>
            <w:tcW w:w="4327" w:type="dxa"/>
          </w:tcPr>
          <w:p w:rsidR="006F5562" w:rsidRPr="006F5562" w:rsidRDefault="006F5562" w:rsidP="006F5562">
            <w:pPr>
              <w:tabs>
                <w:tab w:val="left" w:pos="-1440"/>
                <w:tab w:val="left" w:pos="-720"/>
              </w:tabs>
              <w:jc w:val="both"/>
              <w:rPr>
                <w:lang w:val="fr-CA"/>
              </w:rPr>
            </w:pPr>
            <w:r w:rsidRPr="006F5562">
              <w:rPr>
                <w:b/>
                <w:bCs/>
                <w:color w:val="000000"/>
                <w:lang w:val="fr-CA"/>
              </w:rPr>
              <w:t>Requête en prorogation de délai</w:t>
            </w:r>
            <w:r w:rsidRPr="006F5562">
              <w:rPr>
                <w:szCs w:val="24"/>
                <w:lang w:val="fr-CA"/>
              </w:rPr>
              <w:t xml:space="preserve"> </w:t>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p>
        </w:tc>
      </w:tr>
      <w:tr w:rsidR="006F5562" w:rsidRPr="006F5562" w:rsidTr="009C04F5">
        <w:tc>
          <w:tcPr>
            <w:tcW w:w="4338" w:type="dxa"/>
          </w:tcPr>
          <w:p w:rsidR="006F5562" w:rsidRPr="006F5562" w:rsidRDefault="006F5562" w:rsidP="006F5562">
            <w:pPr>
              <w:tabs>
                <w:tab w:val="left" w:pos="-1440"/>
                <w:tab w:val="left" w:pos="-720"/>
              </w:tabs>
              <w:jc w:val="both"/>
            </w:pPr>
            <w:r w:rsidRPr="006F5562">
              <w:t>Barrett Richard Jordan</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r w:rsidRPr="006F5562">
              <w:tab/>
              <w:t>v. (36068)</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rPr>
                <w:lang w:val="fr-CA"/>
              </w:rPr>
            </w:pPr>
            <w:r w:rsidRPr="006F5562">
              <w:t xml:space="preserve">Her Majesty the Queen (Crim.) </w:t>
            </w:r>
            <w:r w:rsidRPr="006F5562">
              <w:rPr>
                <w:lang w:val="fr-CA"/>
              </w:rPr>
              <w:t>(B.C.)</w:t>
            </w:r>
          </w:p>
          <w:p w:rsidR="006F5562" w:rsidRPr="006F5562" w:rsidRDefault="006F5562" w:rsidP="006F5562">
            <w:pPr>
              <w:tabs>
                <w:tab w:val="left" w:pos="-1440"/>
                <w:tab w:val="left" w:pos="-720"/>
              </w:tabs>
              <w:jc w:val="both"/>
              <w:rPr>
                <w:lang w:val="fr-CA"/>
              </w:rPr>
            </w:pPr>
          </w:p>
        </w:tc>
        <w:tc>
          <w:tcPr>
            <w:tcW w:w="1170" w:type="dxa"/>
          </w:tcPr>
          <w:p w:rsidR="006F5562" w:rsidRPr="006F5562" w:rsidRDefault="006F5562" w:rsidP="006F5562">
            <w:pPr>
              <w:tabs>
                <w:tab w:val="left" w:pos="-1440"/>
                <w:tab w:val="left" w:pos="-720"/>
              </w:tabs>
              <w:jc w:val="both"/>
              <w:rPr>
                <w:lang w:val="fr-CA"/>
              </w:rPr>
            </w:pPr>
          </w:p>
        </w:tc>
        <w:tc>
          <w:tcPr>
            <w:tcW w:w="4327" w:type="dxa"/>
          </w:tcPr>
          <w:p w:rsidR="006F5562" w:rsidRPr="006F5562" w:rsidRDefault="006F5562" w:rsidP="006F5562">
            <w:pPr>
              <w:tabs>
                <w:tab w:val="left" w:pos="-1440"/>
                <w:tab w:val="left" w:pos="-720"/>
              </w:tabs>
              <w:jc w:val="both"/>
              <w:rPr>
                <w:lang w:val="fr-CA"/>
              </w:rPr>
            </w:pPr>
          </w:p>
        </w:tc>
      </w:tr>
      <w:tr w:rsidR="006F5562" w:rsidRPr="006F5562" w:rsidTr="009C04F5">
        <w:tc>
          <w:tcPr>
            <w:tcW w:w="4338" w:type="dxa"/>
          </w:tcPr>
          <w:p w:rsidR="006F5562" w:rsidRPr="006F5562" w:rsidRDefault="006F5562" w:rsidP="006F5562">
            <w:pPr>
              <w:tabs>
                <w:tab w:val="left" w:pos="-1440"/>
                <w:tab w:val="left" w:pos="-720"/>
              </w:tabs>
              <w:jc w:val="both"/>
            </w:pPr>
            <w:r w:rsidRPr="006F5562">
              <w:t>- and between -</w:t>
            </w:r>
          </w:p>
          <w:p w:rsidR="006F5562" w:rsidRPr="006F5562" w:rsidRDefault="006F5562" w:rsidP="006F5562">
            <w:pPr>
              <w:tabs>
                <w:tab w:val="left" w:pos="-1440"/>
                <w:tab w:val="left" w:pos="-720"/>
              </w:tabs>
              <w:jc w:val="both"/>
            </w:pPr>
          </w:p>
        </w:tc>
        <w:tc>
          <w:tcPr>
            <w:tcW w:w="1170" w:type="dxa"/>
          </w:tcPr>
          <w:p w:rsidR="006F5562" w:rsidRPr="006F5562" w:rsidRDefault="006F5562" w:rsidP="006F5562">
            <w:pPr>
              <w:tabs>
                <w:tab w:val="left" w:pos="-1440"/>
                <w:tab w:val="left" w:pos="-720"/>
              </w:tabs>
              <w:jc w:val="both"/>
              <w:rPr>
                <w:lang w:val="fr-CA"/>
              </w:rPr>
            </w:pPr>
          </w:p>
        </w:tc>
        <w:tc>
          <w:tcPr>
            <w:tcW w:w="4327" w:type="dxa"/>
          </w:tcPr>
          <w:p w:rsidR="006F5562" w:rsidRPr="006F5562" w:rsidRDefault="006F5562" w:rsidP="006F5562">
            <w:pPr>
              <w:tabs>
                <w:tab w:val="left" w:pos="-1440"/>
                <w:tab w:val="left" w:pos="-720"/>
              </w:tabs>
              <w:jc w:val="both"/>
              <w:rPr>
                <w:lang w:val="fr-CA"/>
              </w:rPr>
            </w:pPr>
          </w:p>
        </w:tc>
      </w:tr>
      <w:tr w:rsidR="006F5562" w:rsidRPr="006F5562" w:rsidTr="009C04F5">
        <w:tc>
          <w:tcPr>
            <w:tcW w:w="4338" w:type="dxa"/>
          </w:tcPr>
          <w:p w:rsidR="006F5562" w:rsidRPr="006F5562" w:rsidRDefault="006F5562" w:rsidP="006F5562">
            <w:pPr>
              <w:tabs>
                <w:tab w:val="left" w:pos="-1440"/>
                <w:tab w:val="left" w:pos="-720"/>
              </w:tabs>
              <w:jc w:val="both"/>
            </w:pPr>
            <w:r w:rsidRPr="006F5562">
              <w:lastRenderedPageBreak/>
              <w:t>Her Majesty the Queen</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r w:rsidRPr="006F5562">
              <w:tab/>
              <w:t>v. (36112)</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rPr>
                <w:lang w:val="en-US"/>
              </w:rPr>
            </w:pPr>
            <w:r w:rsidRPr="006F5562">
              <w:t xml:space="preserve">Kenneth Gavin Williamson (Crim.) </w:t>
            </w:r>
            <w:r w:rsidRPr="006F5562">
              <w:rPr>
                <w:lang w:val="en-US"/>
              </w:rPr>
              <w:t>(B.C.)</w:t>
            </w:r>
          </w:p>
        </w:tc>
        <w:tc>
          <w:tcPr>
            <w:tcW w:w="1170" w:type="dxa"/>
          </w:tcPr>
          <w:p w:rsidR="006F5562" w:rsidRPr="006F5562" w:rsidRDefault="006F5562" w:rsidP="006F5562">
            <w:pPr>
              <w:tabs>
                <w:tab w:val="left" w:pos="-1440"/>
                <w:tab w:val="left" w:pos="-720"/>
              </w:tabs>
              <w:jc w:val="both"/>
              <w:rPr>
                <w:lang w:val="en-US"/>
              </w:rPr>
            </w:pPr>
          </w:p>
        </w:tc>
        <w:tc>
          <w:tcPr>
            <w:tcW w:w="4327" w:type="dxa"/>
          </w:tcPr>
          <w:p w:rsidR="006F5562" w:rsidRPr="006F5562" w:rsidRDefault="006F5562" w:rsidP="006F5562">
            <w:pPr>
              <w:tabs>
                <w:tab w:val="left" w:pos="-1440"/>
                <w:tab w:val="left" w:pos="-720"/>
              </w:tabs>
              <w:jc w:val="both"/>
              <w:rPr>
                <w:lang w:val="en-US"/>
              </w:rPr>
            </w:pPr>
          </w:p>
        </w:tc>
      </w:tr>
    </w:tbl>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tabs>
          <w:tab w:val="left" w:pos="-1440"/>
          <w:tab w:val="left" w:pos="-720"/>
        </w:tabs>
        <w:jc w:val="both"/>
        <w:rPr>
          <w:rFonts w:eastAsia="Times New Roman" w:cs="Times New Roman"/>
          <w:b/>
          <w:sz w:val="20"/>
          <w:szCs w:val="20"/>
          <w:lang w:val="en-US" w:eastAsia="en-CA"/>
        </w:rPr>
      </w:pPr>
      <w:r w:rsidRPr="006F5562">
        <w:rPr>
          <w:rFonts w:eastAsia="Times New Roman" w:cs="Times New Roman"/>
          <w:b/>
          <w:sz w:val="20"/>
          <w:szCs w:val="20"/>
          <w:lang w:val="en-US" w:eastAsia="en-CA"/>
        </w:rPr>
        <w:t>GRANTED / ACCORDÉE</w:t>
      </w:r>
    </w:p>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t xml:space="preserve">UPON APPLICATION </w:t>
      </w:r>
      <w:r w:rsidRPr="006F5562">
        <w:rPr>
          <w:rFonts w:eastAsia="Times New Roman" w:cs="Times New Roman"/>
          <w:bCs/>
          <w:sz w:val="20"/>
          <w:szCs w:val="20"/>
          <w:lang w:val="en-US" w:eastAsia="en-CA"/>
        </w:rPr>
        <w:t>by the intervener, the British Columbia Civil Liberties Association, for an order</w:t>
      </w:r>
      <w:r w:rsidRPr="006F5562">
        <w:rPr>
          <w:rFonts w:eastAsia="Times New Roman" w:cs="Times New Roman"/>
          <w:b/>
          <w:bCs/>
          <w:sz w:val="20"/>
          <w:szCs w:val="20"/>
          <w:lang w:val="en-US" w:eastAsia="en-CA"/>
        </w:rPr>
        <w:t xml:space="preserve"> </w:t>
      </w:r>
      <w:r w:rsidRPr="006F5562">
        <w:rPr>
          <w:rFonts w:eastAsia="Times New Roman" w:cs="Times New Roman"/>
          <w:bCs/>
          <w:sz w:val="20"/>
          <w:szCs w:val="20"/>
          <w:lang w:val="en-US" w:eastAsia="en-CA"/>
        </w:rPr>
        <w:t>extending the time to serve and file its factum and book of authorities to August 6, 2015, and for permission to present oral argument at the hearing of the appeal pursuant to Rule 71(3);</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t xml:space="preserve">AND THE MATERIAL FILED </w:t>
      </w:r>
      <w:r w:rsidRPr="006F5562">
        <w:rPr>
          <w:rFonts w:eastAsia="Times New Roman" w:cs="Times New Roman"/>
          <w:bCs/>
          <w:sz w:val="20"/>
          <w:szCs w:val="20"/>
          <w:lang w:val="en-US" w:eastAsia="en-CA"/>
        </w:rPr>
        <w:t>having been read;</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jc w:val="both"/>
        <w:rPr>
          <w:rFonts w:eastAsia="Times New Roman" w:cs="Times New Roman"/>
          <w:sz w:val="20"/>
          <w:szCs w:val="20"/>
          <w:lang w:val="en-US" w:eastAsia="en-CA"/>
        </w:rPr>
      </w:pPr>
      <w:r w:rsidRPr="006F5562">
        <w:rPr>
          <w:rFonts w:eastAsia="Times New Roman" w:cs="Times New Roman"/>
          <w:b/>
          <w:sz w:val="20"/>
          <w:szCs w:val="20"/>
          <w:lang w:val="en-US" w:eastAsia="en-CA"/>
        </w:rPr>
        <w:t>AND NOTING THAT</w:t>
      </w:r>
      <w:r w:rsidRPr="006F5562">
        <w:rPr>
          <w:rFonts w:eastAsia="Times New Roman" w:cs="Times New Roman"/>
          <w:sz w:val="20"/>
          <w:szCs w:val="20"/>
          <w:lang w:val="en-US" w:eastAsia="en-CA"/>
        </w:rPr>
        <w:t xml:space="preserve"> the appellants and the respondents consent to the motion;</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t xml:space="preserve">IT IS HEREBY ORDERED THAT: </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The motion is granted.</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À LA SUITE D’UNE DEMANDE</w:t>
      </w:r>
      <w:r w:rsidRPr="006F5562">
        <w:rPr>
          <w:rFonts w:eastAsia="Times New Roman" w:cs="Times New Roman"/>
          <w:sz w:val="20"/>
          <w:szCs w:val="20"/>
          <w:lang w:val="fr-CA" w:eastAsia="en-CA"/>
        </w:rPr>
        <w:t xml:space="preserve"> de l’intervenante l’Association des libertés civiles de la Colombie-Britannique visant à obtenir une prorogation de délai pour signifier et déposer ses mémoire et recueil de sources au 6 août 2015 ainsi que l’autorisation, en vertu du par. 71(3) des </w:t>
      </w:r>
      <w:r w:rsidRPr="006F5562">
        <w:rPr>
          <w:rFonts w:eastAsia="Times New Roman" w:cs="Times New Roman"/>
          <w:i/>
          <w:sz w:val="20"/>
          <w:szCs w:val="20"/>
          <w:lang w:val="fr-CA" w:eastAsia="en-CA"/>
        </w:rPr>
        <w:t>Règles</w:t>
      </w:r>
      <w:r w:rsidRPr="006F5562">
        <w:rPr>
          <w:rFonts w:eastAsia="Times New Roman" w:cs="Times New Roman"/>
          <w:sz w:val="20"/>
          <w:szCs w:val="20"/>
          <w:lang w:val="fr-CA" w:eastAsia="en-CA"/>
        </w:rPr>
        <w:t>, de présenter une plaidoirie orale lors de l’audience;</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ET APRÈS EXAMEN</w:t>
      </w:r>
      <w:r w:rsidRPr="006F5562">
        <w:rPr>
          <w:rFonts w:eastAsia="Times New Roman" w:cs="Times New Roman"/>
          <w:sz w:val="20"/>
          <w:szCs w:val="20"/>
          <w:lang w:val="fr-CA" w:eastAsia="en-CA"/>
        </w:rPr>
        <w:t xml:space="preserve"> des documents déposés;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ET COMPTE TENU</w:t>
      </w:r>
      <w:r w:rsidRPr="006F5562">
        <w:rPr>
          <w:rFonts w:eastAsia="Times New Roman" w:cs="Times New Roman"/>
          <w:sz w:val="20"/>
          <w:szCs w:val="20"/>
          <w:lang w:val="fr-CA" w:eastAsia="en-CA"/>
        </w:rPr>
        <w:t xml:space="preserve"> du consentement à la requête des appelants et des intimés;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b/>
          <w:sz w:val="20"/>
          <w:szCs w:val="20"/>
          <w:lang w:val="fr-CA" w:eastAsia="en-CA"/>
        </w:rPr>
      </w:pPr>
      <w:r w:rsidRPr="006F5562">
        <w:rPr>
          <w:rFonts w:eastAsia="Times New Roman" w:cs="Times New Roman"/>
          <w:b/>
          <w:sz w:val="20"/>
          <w:szCs w:val="20"/>
          <w:lang w:val="fr-CA" w:eastAsia="en-CA"/>
        </w:rPr>
        <w:t>IL EST ORDONNÉ CE QUI SUIT:</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La requête est accueillie.</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5C6187" w:rsidP="006F556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25.08.2015</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eastAsia="en-CA"/>
        </w:rPr>
      </w:pPr>
      <w:r w:rsidRPr="006F5562">
        <w:rPr>
          <w:rFonts w:eastAsia="Times New Roman" w:cs="Times New Roman"/>
          <w:sz w:val="20"/>
          <w:szCs w:val="20"/>
          <w:lang w:eastAsia="en-CA"/>
        </w:rPr>
        <w:t>Before / Devant:   THE REGISTRAR / LE REGISTRAIRE</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6F5562" w:rsidRPr="005C6187" w:rsidTr="009C04F5">
        <w:tc>
          <w:tcPr>
            <w:tcW w:w="4242" w:type="dxa"/>
          </w:tcPr>
          <w:p w:rsidR="006F5562" w:rsidRPr="006F5562" w:rsidRDefault="006F5562" w:rsidP="006F5562">
            <w:pPr>
              <w:tabs>
                <w:tab w:val="left" w:pos="-1440"/>
                <w:tab w:val="left" w:pos="-720"/>
              </w:tabs>
              <w:jc w:val="both"/>
              <w:rPr>
                <w:b/>
              </w:rPr>
            </w:pPr>
            <w:r w:rsidRPr="006F5562">
              <w:rPr>
                <w:szCs w:val="24"/>
                <w:lang w:val="en-US"/>
              </w:rPr>
              <w:fldChar w:fldCharType="begin"/>
            </w:r>
            <w:r w:rsidRPr="006F5562">
              <w:rPr>
                <w:szCs w:val="24"/>
                <w:lang w:val="en-US"/>
              </w:rPr>
              <w:instrText xml:space="preserve"> SEQ CHAPTER \h \r 1</w:instrText>
            </w:r>
            <w:r w:rsidRPr="006F5562">
              <w:rPr>
                <w:szCs w:val="24"/>
                <w:lang w:val="en-US"/>
              </w:rPr>
              <w:fldChar w:fldCharType="end"/>
            </w:r>
            <w:r w:rsidRPr="006F5562">
              <w:rPr>
                <w:b/>
                <w:bCs/>
                <w:lang w:val="en-US"/>
              </w:rPr>
              <w:t>Motion to extend time</w:t>
            </w:r>
          </w:p>
        </w:tc>
        <w:tc>
          <w:tcPr>
            <w:tcW w:w="1142" w:type="dxa"/>
          </w:tcPr>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p>
        </w:tc>
        <w:tc>
          <w:tcPr>
            <w:tcW w:w="4235" w:type="dxa"/>
          </w:tcPr>
          <w:p w:rsidR="006F5562" w:rsidRPr="006F5562" w:rsidRDefault="006F5562" w:rsidP="006F5562">
            <w:pPr>
              <w:tabs>
                <w:tab w:val="left" w:pos="-1440"/>
                <w:tab w:val="left" w:pos="-720"/>
              </w:tabs>
              <w:jc w:val="both"/>
              <w:rPr>
                <w:lang w:val="fr-CA"/>
              </w:rPr>
            </w:pPr>
            <w:r w:rsidRPr="006F5562">
              <w:rPr>
                <w:b/>
                <w:bCs/>
                <w:color w:val="000000"/>
                <w:lang w:val="fr-CA"/>
              </w:rPr>
              <w:t>Requête en prorogation de délai</w:t>
            </w:r>
            <w:r w:rsidRPr="006F5562">
              <w:rPr>
                <w:szCs w:val="24"/>
                <w:lang w:val="fr-CA"/>
              </w:rPr>
              <w:t xml:space="preserve"> </w:t>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p>
        </w:tc>
      </w:tr>
      <w:tr w:rsidR="006F5562" w:rsidRPr="006F5562" w:rsidTr="009C04F5">
        <w:tc>
          <w:tcPr>
            <w:tcW w:w="4242" w:type="dxa"/>
          </w:tcPr>
          <w:p w:rsidR="006F5562" w:rsidRPr="006F5562" w:rsidRDefault="006F5562" w:rsidP="006F5562">
            <w:pPr>
              <w:tabs>
                <w:tab w:val="left" w:pos="-1440"/>
                <w:tab w:val="left" w:pos="-720"/>
              </w:tabs>
              <w:jc w:val="both"/>
            </w:pPr>
            <w:r w:rsidRPr="006F5562">
              <w:t>Harvey Werner</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r w:rsidRPr="006F5562">
              <w:tab/>
              <w:t>v. (36462)</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rPr>
                <w:lang w:val="en-US"/>
              </w:rPr>
            </w:pPr>
            <w:r w:rsidRPr="006F5562">
              <w:t>Hay River Mobile Home Park (N.W</w:t>
            </w:r>
            <w:r w:rsidRPr="006F5562">
              <w:rPr>
                <w:lang w:val="en-US"/>
              </w:rPr>
              <w:t>.T.)</w:t>
            </w:r>
          </w:p>
        </w:tc>
        <w:tc>
          <w:tcPr>
            <w:tcW w:w="1142" w:type="dxa"/>
          </w:tcPr>
          <w:p w:rsidR="006F5562" w:rsidRPr="006F5562" w:rsidRDefault="006F5562" w:rsidP="006F5562">
            <w:pPr>
              <w:tabs>
                <w:tab w:val="left" w:pos="-1440"/>
                <w:tab w:val="left" w:pos="-720"/>
              </w:tabs>
              <w:jc w:val="both"/>
              <w:rPr>
                <w:lang w:val="en-US"/>
              </w:rPr>
            </w:pPr>
          </w:p>
        </w:tc>
        <w:tc>
          <w:tcPr>
            <w:tcW w:w="4235" w:type="dxa"/>
          </w:tcPr>
          <w:p w:rsidR="006F5562" w:rsidRPr="006F5562" w:rsidRDefault="006F5562" w:rsidP="006F5562">
            <w:pPr>
              <w:tabs>
                <w:tab w:val="left" w:pos="-1440"/>
                <w:tab w:val="left" w:pos="-720"/>
              </w:tabs>
              <w:jc w:val="both"/>
              <w:rPr>
                <w:lang w:val="en-US"/>
              </w:rPr>
            </w:pPr>
          </w:p>
        </w:tc>
      </w:tr>
    </w:tbl>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tabs>
          <w:tab w:val="left" w:pos="-1440"/>
          <w:tab w:val="left" w:pos="-720"/>
        </w:tabs>
        <w:jc w:val="both"/>
        <w:rPr>
          <w:rFonts w:eastAsia="Times New Roman" w:cs="Times New Roman"/>
          <w:b/>
          <w:sz w:val="20"/>
          <w:szCs w:val="20"/>
          <w:lang w:val="en-US" w:eastAsia="en-CA"/>
        </w:rPr>
      </w:pPr>
      <w:r w:rsidRPr="006F5562">
        <w:rPr>
          <w:rFonts w:eastAsia="Times New Roman" w:cs="Times New Roman"/>
          <w:b/>
          <w:sz w:val="20"/>
          <w:szCs w:val="20"/>
          <w:lang w:val="en-US" w:eastAsia="en-CA"/>
        </w:rPr>
        <w:t>GRANTED / ACCORDÉE</w:t>
      </w:r>
    </w:p>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sz w:val="20"/>
          <w:szCs w:val="20"/>
          <w:lang w:val="en-US" w:eastAsia="en-CA"/>
        </w:rPr>
        <w:t>UPON APPLICATION</w:t>
      </w:r>
      <w:r w:rsidRPr="006F5562">
        <w:rPr>
          <w:rFonts w:eastAsia="Times New Roman" w:cs="Times New Roman"/>
          <w:sz w:val="20"/>
          <w:szCs w:val="20"/>
          <w:lang w:val="en-US" w:eastAsia="en-CA"/>
        </w:rPr>
        <w:t xml:space="preserve"> by the applicant for an order extending the time to serve and file his reply to the respondent’s response to August 10, 2015;</w:t>
      </w:r>
    </w:p>
    <w:p w:rsidR="006F5562" w:rsidRDefault="006F5562">
      <w:pPr>
        <w:rPr>
          <w:rFonts w:eastAsia="Times New Roman" w:cs="Times New Roman"/>
          <w:sz w:val="20"/>
          <w:szCs w:val="20"/>
          <w:lang w:val="en-US" w:eastAsia="en-CA"/>
        </w:rPr>
      </w:pPr>
    </w:p>
    <w:p w:rsidR="006F5562" w:rsidRDefault="006F5562">
      <w:pPr>
        <w:rPr>
          <w:rFonts w:eastAsia="Times New Roman" w:cs="Times New Roman"/>
          <w:sz w:val="20"/>
          <w:szCs w:val="20"/>
          <w:lang w:val="en-US" w:eastAsia="en-CA"/>
        </w:rPr>
      </w:pPr>
      <w:r>
        <w:rPr>
          <w:rFonts w:eastAsia="Times New Roman" w:cs="Times New Roman"/>
          <w:sz w:val="20"/>
          <w:szCs w:val="20"/>
          <w:lang w:val="en-US" w:eastAsia="en-CA"/>
        </w:rPr>
        <w:br w:type="page"/>
      </w: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lastRenderedPageBreak/>
        <w:t>AND THE MATERIAL FILED</w:t>
      </w:r>
      <w:r w:rsidRPr="006F5562">
        <w:rPr>
          <w:rFonts w:eastAsia="Times New Roman" w:cs="Times New Roman"/>
          <w:sz w:val="20"/>
          <w:szCs w:val="20"/>
          <w:lang w:val="en-US" w:eastAsia="en-CA"/>
        </w:rPr>
        <w:t xml:space="preserve"> having been read;</w:t>
      </w:r>
    </w:p>
    <w:p w:rsidR="006F5562" w:rsidRDefault="006F5562">
      <w:pPr>
        <w:rPr>
          <w:rFonts w:eastAsia="Times New Roman" w:cs="Times New Roman"/>
          <w:b/>
          <w:bCs/>
          <w:sz w:val="20"/>
          <w:szCs w:val="20"/>
          <w:lang w:val="en-US" w:eastAsia="en-CA"/>
        </w:rPr>
      </w:pPr>
    </w:p>
    <w:p w:rsidR="006F5562" w:rsidRPr="006F5562" w:rsidRDefault="006F5562" w:rsidP="006F5562">
      <w:pPr>
        <w:spacing w:line="233" w:lineRule="auto"/>
        <w:jc w:val="both"/>
        <w:rPr>
          <w:rFonts w:eastAsia="Times New Roman" w:cs="Times New Roman"/>
          <w:b/>
          <w:bCs/>
          <w:sz w:val="20"/>
          <w:szCs w:val="20"/>
          <w:lang w:val="en-US" w:eastAsia="en-CA"/>
        </w:rPr>
      </w:pPr>
      <w:r w:rsidRPr="006F5562">
        <w:rPr>
          <w:rFonts w:eastAsia="Times New Roman" w:cs="Times New Roman"/>
          <w:b/>
          <w:bCs/>
          <w:sz w:val="20"/>
          <w:szCs w:val="20"/>
          <w:lang w:val="en-US" w:eastAsia="en-CA"/>
        </w:rPr>
        <w:t>IT IS HEREBY ORDERED THAT:</w:t>
      </w:r>
    </w:p>
    <w:p w:rsidR="006F5562" w:rsidRPr="006F5562" w:rsidRDefault="006F5562" w:rsidP="006F5562">
      <w:pPr>
        <w:spacing w:line="233" w:lineRule="auto"/>
        <w:jc w:val="both"/>
        <w:rPr>
          <w:rFonts w:eastAsia="Times New Roman" w:cs="Times New Roman"/>
          <w:b/>
          <w:bCs/>
          <w:sz w:val="20"/>
          <w:szCs w:val="20"/>
          <w:lang w:val="en-US" w:eastAsia="en-CA"/>
        </w:rPr>
      </w:pPr>
    </w:p>
    <w:p w:rsidR="006F5562" w:rsidRPr="006F5562" w:rsidRDefault="006F5562" w:rsidP="006F5562">
      <w:pPr>
        <w:jc w:val="both"/>
        <w:rPr>
          <w:rFonts w:eastAsia="Times New Roman" w:cs="Times New Roman"/>
          <w:sz w:val="20"/>
          <w:szCs w:val="20"/>
          <w:lang w:val="fr-CA" w:eastAsia="en-CA"/>
        </w:rPr>
      </w:pPr>
      <w:r w:rsidRPr="006F5562">
        <w:rPr>
          <w:rFonts w:eastAsia="Times New Roman" w:cs="Times New Roman"/>
          <w:sz w:val="20"/>
          <w:szCs w:val="20"/>
          <w:lang w:val="fr-CA" w:eastAsia="en-CA"/>
        </w:rPr>
        <w:t xml:space="preserve">The motion is granted.  </w:t>
      </w:r>
    </w:p>
    <w:p w:rsidR="006F5562" w:rsidRPr="006F5562" w:rsidRDefault="006F5562" w:rsidP="006F5562">
      <w:pPr>
        <w:jc w:val="both"/>
        <w:rPr>
          <w:rFonts w:eastAsia="Times New Roman" w:cs="Times New Roman"/>
          <w:sz w:val="20"/>
          <w:szCs w:val="20"/>
          <w:lang w:val="fr-CA" w:eastAsia="en-CA"/>
        </w:rPr>
      </w:pPr>
    </w:p>
    <w:p w:rsidR="006F5562" w:rsidRPr="006F5562" w:rsidRDefault="006F5562" w:rsidP="006F5562">
      <w:pPr>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À LA SUITE D’UNE DEMANDE</w:t>
      </w:r>
      <w:r w:rsidRPr="006F5562">
        <w:rPr>
          <w:rFonts w:eastAsia="Times New Roman" w:cs="Times New Roman"/>
          <w:sz w:val="20"/>
          <w:szCs w:val="20"/>
          <w:lang w:val="fr-CA" w:eastAsia="en-CA"/>
        </w:rPr>
        <w:t xml:space="preserve"> de l’appelant visant à obtenir une prorogation de délai pour signifier et déposer sa réplique à la réponse de l’intimée au 10 août 2015;</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ET APRÈS EXAMEN</w:t>
      </w:r>
      <w:r w:rsidRPr="006F5562">
        <w:rPr>
          <w:rFonts w:eastAsia="Times New Roman" w:cs="Times New Roman"/>
          <w:sz w:val="20"/>
          <w:szCs w:val="20"/>
          <w:lang w:val="fr-CA" w:eastAsia="en-CA"/>
        </w:rPr>
        <w:t xml:space="preserve"> des documents déposés;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b/>
          <w:sz w:val="20"/>
          <w:szCs w:val="20"/>
          <w:lang w:val="fr-CA" w:eastAsia="en-CA"/>
        </w:rPr>
      </w:pPr>
      <w:r w:rsidRPr="006F5562">
        <w:rPr>
          <w:rFonts w:eastAsia="Times New Roman" w:cs="Times New Roman"/>
          <w:b/>
          <w:sz w:val="20"/>
          <w:szCs w:val="20"/>
          <w:lang w:val="fr-CA" w:eastAsia="en-CA"/>
        </w:rPr>
        <w:t>IL EST ORDONNÉ CE QUI SUIT:</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La requête est accueillie.</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5C6187" w:rsidP="006F556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26.08.2015</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Before / Devant :   MOLDAVER J. / LE JUGE MOLDAVER</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6F5562" w:rsidRPr="005C6187" w:rsidTr="009C04F5">
        <w:tc>
          <w:tcPr>
            <w:tcW w:w="4242" w:type="dxa"/>
          </w:tcPr>
          <w:p w:rsidR="006F5562" w:rsidRPr="006F5562" w:rsidRDefault="006F5562" w:rsidP="006F5562">
            <w:pPr>
              <w:tabs>
                <w:tab w:val="left" w:pos="-1440"/>
                <w:tab w:val="left" w:pos="-720"/>
              </w:tabs>
              <w:jc w:val="both"/>
              <w:rPr>
                <w:b/>
              </w:rPr>
            </w:pPr>
            <w:r w:rsidRPr="006F5562">
              <w:rPr>
                <w:szCs w:val="24"/>
                <w:lang w:val="en-US"/>
              </w:rPr>
              <w:fldChar w:fldCharType="begin"/>
            </w:r>
            <w:r w:rsidRPr="006F5562">
              <w:rPr>
                <w:szCs w:val="24"/>
                <w:lang w:val="en-US"/>
              </w:rPr>
              <w:instrText xml:space="preserve"> SEQ CHAPTER \h \r 1</w:instrText>
            </w:r>
            <w:r w:rsidRPr="006F5562">
              <w:rPr>
                <w:szCs w:val="24"/>
                <w:lang w:val="en-US"/>
              </w:rPr>
              <w:fldChar w:fldCharType="end"/>
            </w:r>
            <w:r w:rsidRPr="006F5562">
              <w:rPr>
                <w:b/>
                <w:bCs/>
                <w:lang w:val="en-US"/>
              </w:rPr>
              <w:t>Motion to extend time</w:t>
            </w:r>
          </w:p>
        </w:tc>
        <w:tc>
          <w:tcPr>
            <w:tcW w:w="1142" w:type="dxa"/>
          </w:tcPr>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p>
        </w:tc>
        <w:tc>
          <w:tcPr>
            <w:tcW w:w="4235" w:type="dxa"/>
          </w:tcPr>
          <w:p w:rsidR="006F5562" w:rsidRPr="006F5562" w:rsidRDefault="006F5562" w:rsidP="006F5562">
            <w:pPr>
              <w:tabs>
                <w:tab w:val="left" w:pos="-1440"/>
                <w:tab w:val="left" w:pos="-720"/>
              </w:tabs>
              <w:jc w:val="both"/>
              <w:rPr>
                <w:lang w:val="fr-CA"/>
              </w:rPr>
            </w:pPr>
            <w:r w:rsidRPr="006F5562">
              <w:rPr>
                <w:b/>
                <w:bCs/>
                <w:color w:val="000000"/>
                <w:lang w:val="fr-CA"/>
              </w:rPr>
              <w:t>Requête en prorogation de délai</w:t>
            </w:r>
            <w:r w:rsidRPr="006F5562">
              <w:rPr>
                <w:szCs w:val="24"/>
                <w:lang w:val="fr-CA"/>
              </w:rPr>
              <w:t xml:space="preserve"> </w:t>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r w:rsidRPr="006F5562">
              <w:rPr>
                <w:szCs w:val="24"/>
                <w:lang w:val="en-US"/>
              </w:rPr>
              <w:fldChar w:fldCharType="begin"/>
            </w:r>
            <w:r w:rsidRPr="006F5562">
              <w:rPr>
                <w:szCs w:val="24"/>
                <w:lang w:val="fr-CA"/>
              </w:rPr>
              <w:instrText xml:space="preserve"> SEQ CHAPTER \h \r 1</w:instrText>
            </w:r>
            <w:r w:rsidRPr="006F5562">
              <w:rPr>
                <w:szCs w:val="24"/>
                <w:lang w:val="en-US"/>
              </w:rPr>
              <w:fldChar w:fldCharType="end"/>
            </w:r>
          </w:p>
        </w:tc>
      </w:tr>
      <w:tr w:rsidR="006F5562" w:rsidRPr="006F5562" w:rsidTr="009C04F5">
        <w:tc>
          <w:tcPr>
            <w:tcW w:w="4242" w:type="dxa"/>
          </w:tcPr>
          <w:p w:rsidR="006F5562" w:rsidRPr="006F5562" w:rsidRDefault="006F5562" w:rsidP="006F5562">
            <w:pPr>
              <w:tabs>
                <w:tab w:val="left" w:pos="-1440"/>
                <w:tab w:val="left" w:pos="-720"/>
              </w:tabs>
              <w:jc w:val="both"/>
            </w:pPr>
            <w:r w:rsidRPr="006F5562">
              <w:t>Her Majesty the Queen</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pPr>
            <w:r w:rsidRPr="006F5562">
              <w:tab/>
              <w:t>v. (36112)</w:t>
            </w:r>
          </w:p>
          <w:p w:rsidR="006F5562" w:rsidRPr="006F5562" w:rsidRDefault="006F5562" w:rsidP="006F5562">
            <w:pPr>
              <w:tabs>
                <w:tab w:val="left" w:pos="-1440"/>
                <w:tab w:val="left" w:pos="-720"/>
              </w:tabs>
              <w:jc w:val="both"/>
            </w:pPr>
          </w:p>
          <w:p w:rsidR="006F5562" w:rsidRPr="006F5562" w:rsidRDefault="006F5562" w:rsidP="006F5562">
            <w:pPr>
              <w:tabs>
                <w:tab w:val="left" w:pos="-1440"/>
                <w:tab w:val="left" w:pos="-720"/>
              </w:tabs>
              <w:jc w:val="both"/>
              <w:rPr>
                <w:lang w:val="en-US"/>
              </w:rPr>
            </w:pPr>
            <w:r w:rsidRPr="006F5562">
              <w:t xml:space="preserve">Kenneth Gavin Williamson (Crim.) </w:t>
            </w:r>
            <w:r w:rsidRPr="006F5562">
              <w:rPr>
                <w:lang w:val="en-US"/>
              </w:rPr>
              <w:t>(B.C.)</w:t>
            </w:r>
          </w:p>
        </w:tc>
        <w:tc>
          <w:tcPr>
            <w:tcW w:w="1142" w:type="dxa"/>
          </w:tcPr>
          <w:p w:rsidR="006F5562" w:rsidRPr="006F5562" w:rsidRDefault="006F5562" w:rsidP="006F5562">
            <w:pPr>
              <w:tabs>
                <w:tab w:val="left" w:pos="-1440"/>
                <w:tab w:val="left" w:pos="-720"/>
              </w:tabs>
              <w:jc w:val="both"/>
              <w:rPr>
                <w:lang w:val="en-US"/>
              </w:rPr>
            </w:pPr>
          </w:p>
        </w:tc>
        <w:tc>
          <w:tcPr>
            <w:tcW w:w="4235" w:type="dxa"/>
          </w:tcPr>
          <w:p w:rsidR="006F5562" w:rsidRPr="006F5562" w:rsidRDefault="006F5562" w:rsidP="006F5562">
            <w:pPr>
              <w:tabs>
                <w:tab w:val="left" w:pos="-1440"/>
                <w:tab w:val="left" w:pos="-720"/>
              </w:tabs>
              <w:jc w:val="both"/>
              <w:rPr>
                <w:lang w:val="en-US"/>
              </w:rPr>
            </w:pPr>
          </w:p>
        </w:tc>
      </w:tr>
    </w:tbl>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tabs>
          <w:tab w:val="left" w:pos="-1440"/>
          <w:tab w:val="left" w:pos="-720"/>
        </w:tabs>
        <w:jc w:val="both"/>
        <w:rPr>
          <w:rFonts w:eastAsia="Times New Roman" w:cs="Times New Roman"/>
          <w:b/>
          <w:sz w:val="20"/>
          <w:szCs w:val="20"/>
          <w:lang w:val="en-US" w:eastAsia="en-CA"/>
        </w:rPr>
      </w:pPr>
      <w:r w:rsidRPr="006F5562">
        <w:rPr>
          <w:rFonts w:eastAsia="Times New Roman" w:cs="Times New Roman"/>
          <w:b/>
          <w:sz w:val="20"/>
          <w:szCs w:val="20"/>
          <w:lang w:val="en-US" w:eastAsia="en-CA"/>
        </w:rPr>
        <w:t>GRANTED / ACCORDÉE</w:t>
      </w:r>
    </w:p>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eastAsia="en-CA"/>
        </w:rPr>
      </w:pPr>
      <w:r w:rsidRPr="006F5562">
        <w:rPr>
          <w:rFonts w:eastAsia="Times New Roman" w:cs="Times New Roman"/>
          <w:b/>
          <w:sz w:val="20"/>
          <w:szCs w:val="20"/>
          <w:lang w:val="en-US" w:eastAsia="en-CA"/>
        </w:rPr>
        <w:t xml:space="preserve">UPON APPLICATION </w:t>
      </w:r>
      <w:r w:rsidRPr="006F5562">
        <w:rPr>
          <w:rFonts w:eastAsia="Times New Roman" w:cs="Times New Roman"/>
          <w:sz w:val="20"/>
          <w:szCs w:val="20"/>
          <w:lang w:val="en-US" w:eastAsia="en-CA"/>
        </w:rPr>
        <w:t>by the respondent for an extension of time to</w:t>
      </w:r>
      <w:r w:rsidRPr="006F5562">
        <w:rPr>
          <w:rFonts w:eastAsia="Times New Roman" w:cs="Times New Roman"/>
          <w:b/>
          <w:sz w:val="20"/>
          <w:szCs w:val="20"/>
          <w:lang w:val="en-US" w:eastAsia="en-CA"/>
        </w:rPr>
        <w:t xml:space="preserve"> </w:t>
      </w:r>
      <w:r w:rsidRPr="006F5562">
        <w:rPr>
          <w:rFonts w:eastAsia="Times New Roman" w:cs="Times New Roman"/>
          <w:sz w:val="20"/>
          <w:szCs w:val="20"/>
          <w:lang w:val="en-US" w:eastAsia="en-CA"/>
        </w:rPr>
        <w:t>serve and file his factum, record and book of authorities to August 17, 2015</w:t>
      </w:r>
      <w:r w:rsidRPr="006F5562">
        <w:rPr>
          <w:rFonts w:eastAsia="Times New Roman" w:cs="Times New Roman"/>
          <w:bCs/>
          <w:sz w:val="20"/>
          <w:szCs w:val="20"/>
          <w:lang w:val="en-US" w:eastAsia="en-CA"/>
        </w:rPr>
        <w:t xml:space="preserve"> and for permission to present oral argument at the hearing of the appeal pursuant to Rule 71(3)</w:t>
      </w:r>
      <w:r w:rsidRPr="006F5562">
        <w:rPr>
          <w:rFonts w:eastAsia="Times New Roman" w:cs="Times New Roman"/>
          <w:sz w:val="20"/>
          <w:szCs w:val="20"/>
          <w:lang w:val="en-US" w:eastAsia="en-CA"/>
        </w:rPr>
        <w:t>;</w:t>
      </w:r>
    </w:p>
    <w:p w:rsidR="006F5562" w:rsidRPr="006F5562" w:rsidRDefault="006F5562" w:rsidP="006F5562">
      <w:pPr>
        <w:spacing w:line="233" w:lineRule="auto"/>
        <w:jc w:val="both"/>
        <w:rPr>
          <w:rFonts w:eastAsia="Times New Roman" w:cs="Times New Roman"/>
          <w:b/>
          <w:sz w:val="20"/>
          <w:szCs w:val="20"/>
          <w:lang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t>AND THE MATERIAL FILED</w:t>
      </w:r>
      <w:r w:rsidRPr="006F5562">
        <w:rPr>
          <w:rFonts w:eastAsia="Times New Roman" w:cs="Times New Roman"/>
          <w:sz w:val="20"/>
          <w:szCs w:val="20"/>
          <w:lang w:val="en-US" w:eastAsia="en-CA"/>
        </w:rPr>
        <w:t xml:space="preserve"> having been read;</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sz w:val="20"/>
          <w:szCs w:val="20"/>
          <w:lang w:val="en-US" w:eastAsia="en-CA"/>
        </w:rPr>
        <w:t>AND NOTING</w:t>
      </w:r>
      <w:r w:rsidRPr="006F5562">
        <w:rPr>
          <w:rFonts w:eastAsia="Times New Roman" w:cs="Times New Roman"/>
          <w:sz w:val="20"/>
          <w:szCs w:val="20"/>
          <w:lang w:val="en-US" w:eastAsia="en-CA"/>
        </w:rPr>
        <w:t xml:space="preserve"> the consent of the appellant;</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b/>
          <w:bCs/>
          <w:sz w:val="20"/>
          <w:szCs w:val="20"/>
          <w:lang w:val="en-US" w:eastAsia="en-CA"/>
        </w:rPr>
      </w:pPr>
      <w:r w:rsidRPr="006F5562">
        <w:rPr>
          <w:rFonts w:eastAsia="Times New Roman" w:cs="Times New Roman"/>
          <w:b/>
          <w:bCs/>
          <w:sz w:val="20"/>
          <w:szCs w:val="20"/>
          <w:lang w:val="en-US" w:eastAsia="en-CA"/>
        </w:rPr>
        <w:t>IT IS HEREBY ORDERED THAT:</w:t>
      </w:r>
    </w:p>
    <w:p w:rsidR="006F5562" w:rsidRPr="006F5562" w:rsidRDefault="006F5562" w:rsidP="006F5562">
      <w:pPr>
        <w:spacing w:line="233" w:lineRule="auto"/>
        <w:jc w:val="both"/>
        <w:rPr>
          <w:rFonts w:eastAsia="Times New Roman" w:cs="Times New Roman"/>
          <w:bCs/>
          <w:sz w:val="20"/>
          <w:szCs w:val="20"/>
          <w:lang w:val="en-US" w:eastAsia="en-CA"/>
        </w:rPr>
      </w:pPr>
    </w:p>
    <w:p w:rsidR="006F5562" w:rsidRPr="006F5562" w:rsidRDefault="006F5562" w:rsidP="006F5562">
      <w:pPr>
        <w:jc w:val="both"/>
        <w:rPr>
          <w:rFonts w:eastAsia="Times New Roman" w:cs="Times New Roman"/>
          <w:sz w:val="20"/>
          <w:szCs w:val="20"/>
          <w:lang w:val="fr-CA" w:eastAsia="en-CA"/>
        </w:rPr>
      </w:pPr>
      <w:r w:rsidRPr="006F5562">
        <w:rPr>
          <w:rFonts w:eastAsia="Times New Roman" w:cs="Times New Roman"/>
          <w:sz w:val="20"/>
          <w:szCs w:val="20"/>
          <w:lang w:val="fr-CA" w:eastAsia="en-CA"/>
        </w:rPr>
        <w:t>The motion is granted. </w:t>
      </w:r>
    </w:p>
    <w:p w:rsidR="006F5562" w:rsidRPr="006F5562" w:rsidRDefault="006F5562" w:rsidP="006F5562">
      <w:pPr>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À LA SUITE D’UNE DEMANDE</w:t>
      </w:r>
      <w:r w:rsidRPr="006F5562">
        <w:rPr>
          <w:rFonts w:eastAsia="Times New Roman" w:cs="Times New Roman"/>
          <w:sz w:val="20"/>
          <w:szCs w:val="20"/>
          <w:lang w:val="fr-CA" w:eastAsia="en-CA"/>
        </w:rPr>
        <w:t xml:space="preserve"> de l’intimé visant à obtenir une prorogation de délai pour signifier et déposer ses mémoire et recueil de sources au 17 août 2015 ainsi que l’autorisation, en vertu du par. 71(3) des </w:t>
      </w:r>
      <w:r w:rsidRPr="006F5562">
        <w:rPr>
          <w:rFonts w:eastAsia="Times New Roman" w:cs="Times New Roman"/>
          <w:i/>
          <w:sz w:val="20"/>
          <w:szCs w:val="20"/>
          <w:lang w:val="fr-CA" w:eastAsia="en-CA"/>
        </w:rPr>
        <w:t>Règles</w:t>
      </w:r>
      <w:r w:rsidRPr="006F5562">
        <w:rPr>
          <w:rFonts w:eastAsia="Times New Roman" w:cs="Times New Roman"/>
          <w:sz w:val="20"/>
          <w:szCs w:val="20"/>
          <w:lang w:val="fr-CA" w:eastAsia="en-CA"/>
        </w:rPr>
        <w:t>, de présenter une plaidoirie orale lors de l’audience;</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ET APRÈS EXAMEN</w:t>
      </w:r>
      <w:r w:rsidRPr="006F5562">
        <w:rPr>
          <w:rFonts w:eastAsia="Times New Roman" w:cs="Times New Roman"/>
          <w:sz w:val="20"/>
          <w:szCs w:val="20"/>
          <w:lang w:val="fr-CA" w:eastAsia="en-CA"/>
        </w:rPr>
        <w:t xml:space="preserve"> des documents déposés;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ET COMPTE TENU</w:t>
      </w:r>
      <w:r w:rsidRPr="006F5562">
        <w:rPr>
          <w:rFonts w:eastAsia="Times New Roman" w:cs="Times New Roman"/>
          <w:sz w:val="20"/>
          <w:szCs w:val="20"/>
          <w:lang w:val="fr-CA" w:eastAsia="en-CA"/>
        </w:rPr>
        <w:t xml:space="preserve"> du consentement à la requête de l’appelante;</w:t>
      </w:r>
    </w:p>
    <w:p w:rsidR="00D74208" w:rsidRDefault="00D74208">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6F5562" w:rsidRPr="006F5562" w:rsidRDefault="006F5562" w:rsidP="006F5562">
      <w:pPr>
        <w:spacing w:line="233" w:lineRule="auto"/>
        <w:jc w:val="both"/>
        <w:rPr>
          <w:rFonts w:eastAsia="Times New Roman" w:cs="Times New Roman"/>
          <w:b/>
          <w:sz w:val="20"/>
          <w:szCs w:val="20"/>
          <w:lang w:val="fr-CA" w:eastAsia="en-CA"/>
        </w:rPr>
      </w:pPr>
    </w:p>
    <w:p w:rsidR="006F5562" w:rsidRPr="006F5562" w:rsidRDefault="006F5562" w:rsidP="006F5562">
      <w:pPr>
        <w:spacing w:line="233" w:lineRule="auto"/>
        <w:jc w:val="both"/>
        <w:rPr>
          <w:rFonts w:eastAsia="Times New Roman" w:cs="Times New Roman"/>
          <w:b/>
          <w:sz w:val="20"/>
          <w:szCs w:val="20"/>
          <w:lang w:val="fr-CA" w:eastAsia="en-CA"/>
        </w:rPr>
      </w:pPr>
      <w:r w:rsidRPr="006F5562">
        <w:rPr>
          <w:rFonts w:eastAsia="Times New Roman" w:cs="Times New Roman"/>
          <w:b/>
          <w:sz w:val="20"/>
          <w:szCs w:val="20"/>
          <w:lang w:val="fr-CA" w:eastAsia="en-CA"/>
        </w:rPr>
        <w:t>IL EST ORDONNÉ CE QUI SUIT:</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La requête est accueillie.</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5C6187" w:rsidP="006F556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26.08.2015</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6F5562" w:rsidRPr="006F5562" w:rsidRDefault="006F5562" w:rsidP="006F5562">
      <w:pPr>
        <w:tabs>
          <w:tab w:val="left" w:pos="-1440"/>
          <w:tab w:val="left" w:pos="-720"/>
        </w:tabs>
        <w:jc w:val="both"/>
        <w:rPr>
          <w:rFonts w:eastAsia="Times New Roman" w:cs="Times New Roman"/>
          <w:sz w:val="20"/>
          <w:szCs w:val="20"/>
          <w:lang w:val="fr-CA" w:eastAsia="en-CA"/>
        </w:rPr>
      </w:pPr>
      <w:r w:rsidRPr="006F5562">
        <w:rPr>
          <w:rFonts w:eastAsia="Times New Roman" w:cs="Times New Roman"/>
          <w:sz w:val="20"/>
          <w:szCs w:val="20"/>
          <w:lang w:val="fr-CA" w:eastAsia="en-CA"/>
        </w:rPr>
        <w:t>Before / Devant :   CÔTÉ J. / LA JUGE CÔTÉ</w:t>
      </w:r>
    </w:p>
    <w:p w:rsidR="006F5562" w:rsidRPr="006F5562" w:rsidRDefault="006F5562" w:rsidP="006F556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6F5562" w:rsidRPr="006F5562" w:rsidTr="009C04F5">
        <w:tc>
          <w:tcPr>
            <w:tcW w:w="4263" w:type="dxa"/>
            <w:gridSpan w:val="2"/>
          </w:tcPr>
          <w:p w:rsidR="006F5562" w:rsidRPr="006F5562" w:rsidRDefault="006F5562" w:rsidP="006F5562">
            <w:pPr>
              <w:rPr>
                <w:b/>
              </w:rPr>
            </w:pPr>
            <w:r w:rsidRPr="006F5562">
              <w:rPr>
                <w:b/>
              </w:rPr>
              <w:t>Motions for leave to intervene</w:t>
            </w:r>
            <w:r w:rsidRPr="006F5562">
              <w:rPr>
                <w:lang w:val="en-US"/>
              </w:rPr>
              <w:t xml:space="preserve"> </w:t>
            </w:r>
            <w:r w:rsidRPr="006F5562">
              <w:rPr>
                <w:lang w:val="en-US"/>
              </w:rPr>
              <w:fldChar w:fldCharType="begin"/>
            </w:r>
            <w:r w:rsidRPr="006F5562">
              <w:instrText xml:space="preserve"> SEQ CHAPTER \h \r 1</w:instrText>
            </w:r>
            <w:r w:rsidRPr="006F5562">
              <w:rPr>
                <w:lang w:val="en-US"/>
              </w:rPr>
              <w:fldChar w:fldCharType="end"/>
            </w:r>
          </w:p>
        </w:tc>
        <w:tc>
          <w:tcPr>
            <w:tcW w:w="1137" w:type="dxa"/>
          </w:tcPr>
          <w:p w:rsidR="006F5562" w:rsidRPr="006F5562" w:rsidRDefault="006F5562" w:rsidP="006F5562"/>
          <w:p w:rsidR="006F5562" w:rsidRPr="006F5562" w:rsidRDefault="006F5562" w:rsidP="006F5562"/>
        </w:tc>
        <w:tc>
          <w:tcPr>
            <w:tcW w:w="4219" w:type="dxa"/>
          </w:tcPr>
          <w:p w:rsidR="006F5562" w:rsidRPr="006F5562" w:rsidRDefault="006F5562" w:rsidP="006F5562">
            <w:pPr>
              <w:rPr>
                <w:b/>
              </w:rPr>
            </w:pPr>
            <w:r w:rsidRPr="006F5562">
              <w:rPr>
                <w:b/>
                <w:bCs/>
                <w:lang w:val="fr-CA"/>
              </w:rPr>
              <w:t>Requêtes en autorisation d’intervenir</w:t>
            </w:r>
            <w:r w:rsidRPr="006F5562">
              <w:rPr>
                <w:lang w:val="en-US"/>
              </w:rPr>
              <w:t xml:space="preserve"> </w:t>
            </w:r>
            <w:r w:rsidRPr="006F5562">
              <w:rPr>
                <w:lang w:val="en-US"/>
              </w:rPr>
              <w:fldChar w:fldCharType="begin"/>
            </w:r>
            <w:r w:rsidRPr="006F5562">
              <w:instrText xml:space="preserve"> SEQ CHAPTER \h \r 1</w:instrText>
            </w:r>
            <w:r w:rsidRPr="006F5562">
              <w:rPr>
                <w:lang w:val="en-US"/>
              </w:rPr>
              <w:fldChar w:fldCharType="end"/>
            </w:r>
          </w:p>
        </w:tc>
      </w:tr>
      <w:tr w:rsidR="006F5562" w:rsidRPr="006F5562" w:rsidTr="009C04F5">
        <w:trPr>
          <w:trHeight w:hRule="exact" w:val="576"/>
        </w:trPr>
        <w:tc>
          <w:tcPr>
            <w:tcW w:w="1346" w:type="dxa"/>
          </w:tcPr>
          <w:p w:rsidR="006F5562" w:rsidRPr="006F5562" w:rsidRDefault="006F5562" w:rsidP="006F5562">
            <w:r w:rsidRPr="006F5562">
              <w:t>BY / PAR</w:t>
            </w:r>
          </w:p>
        </w:tc>
        <w:tc>
          <w:tcPr>
            <w:tcW w:w="2917" w:type="dxa"/>
          </w:tcPr>
          <w:p w:rsidR="006F5562" w:rsidRPr="006F5562" w:rsidRDefault="006F5562" w:rsidP="006F5562">
            <w:r w:rsidRPr="006F5562">
              <w:rPr>
                <w:lang w:val="en-US"/>
              </w:rPr>
              <w:t>British Columbia Civil Liberties Association;</w:t>
            </w:r>
          </w:p>
        </w:tc>
        <w:tc>
          <w:tcPr>
            <w:tcW w:w="1137" w:type="dxa"/>
          </w:tcPr>
          <w:p w:rsidR="006F5562" w:rsidRPr="006F5562" w:rsidRDefault="006F5562" w:rsidP="006F5562"/>
        </w:tc>
        <w:tc>
          <w:tcPr>
            <w:tcW w:w="4219" w:type="dxa"/>
          </w:tcPr>
          <w:p w:rsidR="006F5562" w:rsidRPr="006F5562" w:rsidRDefault="006F5562" w:rsidP="006F5562"/>
        </w:tc>
      </w:tr>
      <w:tr w:rsidR="006F5562" w:rsidRPr="006F5562" w:rsidTr="009C04F5">
        <w:trPr>
          <w:trHeight w:hRule="exact" w:val="576"/>
        </w:trPr>
        <w:tc>
          <w:tcPr>
            <w:tcW w:w="1346" w:type="dxa"/>
          </w:tcPr>
          <w:p w:rsidR="006F5562" w:rsidRPr="006F5562" w:rsidRDefault="006F5562" w:rsidP="006F5562"/>
        </w:tc>
        <w:tc>
          <w:tcPr>
            <w:tcW w:w="2917" w:type="dxa"/>
          </w:tcPr>
          <w:p w:rsidR="006F5562" w:rsidRPr="006F5562" w:rsidRDefault="006F5562" w:rsidP="006F5562">
            <w:pPr>
              <w:rPr>
                <w:lang w:val="en-US"/>
              </w:rPr>
            </w:pPr>
            <w:r w:rsidRPr="006F5562">
              <w:rPr>
                <w:lang w:val="en-US"/>
              </w:rPr>
              <w:t>Criminal Lawyers’ Association of Ontario;</w:t>
            </w:r>
          </w:p>
        </w:tc>
        <w:tc>
          <w:tcPr>
            <w:tcW w:w="1137" w:type="dxa"/>
          </w:tcPr>
          <w:p w:rsidR="006F5562" w:rsidRPr="006F5562" w:rsidRDefault="006F5562" w:rsidP="006F5562"/>
        </w:tc>
        <w:tc>
          <w:tcPr>
            <w:tcW w:w="4219" w:type="dxa"/>
          </w:tcPr>
          <w:p w:rsidR="006F5562" w:rsidRPr="006F5562" w:rsidRDefault="006F5562" w:rsidP="006F5562"/>
        </w:tc>
      </w:tr>
      <w:tr w:rsidR="006F5562" w:rsidRPr="006F5562" w:rsidTr="009C04F5">
        <w:trPr>
          <w:trHeight w:hRule="exact" w:val="576"/>
        </w:trPr>
        <w:tc>
          <w:tcPr>
            <w:tcW w:w="1346" w:type="dxa"/>
          </w:tcPr>
          <w:p w:rsidR="006F5562" w:rsidRPr="006F5562" w:rsidRDefault="006F5562" w:rsidP="006F5562"/>
        </w:tc>
        <w:tc>
          <w:tcPr>
            <w:tcW w:w="2917" w:type="dxa"/>
          </w:tcPr>
          <w:p w:rsidR="006F5562" w:rsidRPr="006F5562" w:rsidRDefault="006F5562" w:rsidP="006F5562">
            <w:pPr>
              <w:rPr>
                <w:lang w:val="en-US"/>
              </w:rPr>
            </w:pPr>
            <w:r w:rsidRPr="006F5562">
              <w:rPr>
                <w:lang w:val="en-US"/>
              </w:rPr>
              <w:t>West Coast Prison Justice Society;</w:t>
            </w:r>
          </w:p>
        </w:tc>
        <w:tc>
          <w:tcPr>
            <w:tcW w:w="1137" w:type="dxa"/>
          </w:tcPr>
          <w:p w:rsidR="006F5562" w:rsidRPr="006F5562" w:rsidRDefault="006F5562" w:rsidP="006F5562"/>
        </w:tc>
        <w:tc>
          <w:tcPr>
            <w:tcW w:w="4219" w:type="dxa"/>
          </w:tcPr>
          <w:p w:rsidR="006F5562" w:rsidRPr="006F5562" w:rsidRDefault="006F5562" w:rsidP="006F5562"/>
        </w:tc>
      </w:tr>
      <w:tr w:rsidR="006F5562" w:rsidRPr="006F5562" w:rsidTr="009C04F5">
        <w:trPr>
          <w:trHeight w:hRule="exact" w:val="360"/>
        </w:trPr>
        <w:tc>
          <w:tcPr>
            <w:tcW w:w="1346" w:type="dxa"/>
          </w:tcPr>
          <w:p w:rsidR="006F5562" w:rsidRPr="006F5562" w:rsidRDefault="006F5562" w:rsidP="006F5562"/>
        </w:tc>
        <w:tc>
          <w:tcPr>
            <w:tcW w:w="2917" w:type="dxa"/>
          </w:tcPr>
          <w:p w:rsidR="006F5562" w:rsidRPr="006F5562" w:rsidRDefault="006F5562" w:rsidP="006F5562">
            <w:pPr>
              <w:rPr>
                <w:lang w:val="en-US"/>
              </w:rPr>
            </w:pPr>
            <w:r w:rsidRPr="006F5562">
              <w:rPr>
                <w:lang w:val="en-US"/>
              </w:rPr>
              <w:t>John Howard Society of Canada:</w:t>
            </w:r>
          </w:p>
        </w:tc>
        <w:tc>
          <w:tcPr>
            <w:tcW w:w="1137" w:type="dxa"/>
          </w:tcPr>
          <w:p w:rsidR="006F5562" w:rsidRPr="006F5562" w:rsidRDefault="006F5562" w:rsidP="006F5562"/>
        </w:tc>
        <w:tc>
          <w:tcPr>
            <w:tcW w:w="4219" w:type="dxa"/>
          </w:tcPr>
          <w:p w:rsidR="006F5562" w:rsidRPr="006F5562" w:rsidRDefault="006F5562" w:rsidP="006F5562"/>
        </w:tc>
      </w:tr>
      <w:tr w:rsidR="006F5562" w:rsidRPr="006F5562" w:rsidTr="009C04F5">
        <w:trPr>
          <w:trHeight w:hRule="exact" w:val="576"/>
        </w:trPr>
        <w:tc>
          <w:tcPr>
            <w:tcW w:w="1346" w:type="dxa"/>
          </w:tcPr>
          <w:p w:rsidR="006F5562" w:rsidRPr="006F5562" w:rsidRDefault="006F5562" w:rsidP="006F5562"/>
        </w:tc>
        <w:tc>
          <w:tcPr>
            <w:tcW w:w="2917" w:type="dxa"/>
          </w:tcPr>
          <w:p w:rsidR="006F5562" w:rsidRPr="006F5562" w:rsidRDefault="006F5562" w:rsidP="006F5562">
            <w:pPr>
              <w:rPr>
                <w:lang w:val="en-US"/>
              </w:rPr>
            </w:pPr>
            <w:r w:rsidRPr="006F5562">
              <w:rPr>
                <w:lang w:val="en-US"/>
              </w:rPr>
              <w:t>Aboriginal Legal Services Toronto Inc.</w:t>
            </w:r>
          </w:p>
        </w:tc>
        <w:tc>
          <w:tcPr>
            <w:tcW w:w="1137" w:type="dxa"/>
          </w:tcPr>
          <w:p w:rsidR="006F5562" w:rsidRPr="006F5562" w:rsidRDefault="006F5562" w:rsidP="006F5562"/>
        </w:tc>
        <w:tc>
          <w:tcPr>
            <w:tcW w:w="4219" w:type="dxa"/>
          </w:tcPr>
          <w:p w:rsidR="006F5562" w:rsidRPr="006F5562" w:rsidRDefault="006F5562" w:rsidP="006F5562"/>
        </w:tc>
      </w:tr>
      <w:tr w:rsidR="006F5562" w:rsidRPr="006F5562" w:rsidTr="009C04F5">
        <w:tc>
          <w:tcPr>
            <w:tcW w:w="1346" w:type="dxa"/>
          </w:tcPr>
          <w:p w:rsidR="006F5562" w:rsidRPr="006F5562" w:rsidRDefault="006F5562" w:rsidP="006F5562"/>
        </w:tc>
        <w:tc>
          <w:tcPr>
            <w:tcW w:w="2917" w:type="dxa"/>
          </w:tcPr>
          <w:p w:rsidR="006F5562" w:rsidRPr="006F5562" w:rsidRDefault="006F5562" w:rsidP="006F5562">
            <w:pPr>
              <w:rPr>
                <w:lang w:val="en-US"/>
              </w:rPr>
            </w:pPr>
          </w:p>
        </w:tc>
        <w:tc>
          <w:tcPr>
            <w:tcW w:w="1137" w:type="dxa"/>
          </w:tcPr>
          <w:p w:rsidR="006F5562" w:rsidRPr="006F5562" w:rsidRDefault="006F5562" w:rsidP="006F5562"/>
        </w:tc>
        <w:tc>
          <w:tcPr>
            <w:tcW w:w="4219" w:type="dxa"/>
          </w:tcPr>
          <w:p w:rsidR="006F5562" w:rsidRPr="006F5562" w:rsidRDefault="006F5562" w:rsidP="006F5562"/>
        </w:tc>
      </w:tr>
      <w:tr w:rsidR="006F5562" w:rsidRPr="006F5562" w:rsidTr="009C04F5">
        <w:tc>
          <w:tcPr>
            <w:tcW w:w="1346" w:type="dxa"/>
          </w:tcPr>
          <w:p w:rsidR="006F5562" w:rsidRPr="006F5562" w:rsidRDefault="006F5562" w:rsidP="006F5562">
            <w:r w:rsidRPr="006F5562">
              <w:t>IN / DANS :</w:t>
            </w:r>
          </w:p>
        </w:tc>
        <w:tc>
          <w:tcPr>
            <w:tcW w:w="2917" w:type="dxa"/>
          </w:tcPr>
          <w:p w:rsidR="006F5562" w:rsidRPr="006F5562" w:rsidRDefault="006F5562" w:rsidP="006F5562">
            <w:r w:rsidRPr="006F5562">
              <w:t>Her Majesty the Queen</w:t>
            </w:r>
          </w:p>
          <w:p w:rsidR="006F5562" w:rsidRPr="006F5562" w:rsidRDefault="006F5562" w:rsidP="006F5562"/>
          <w:p w:rsidR="006F5562" w:rsidRPr="006F5562" w:rsidRDefault="006F5562" w:rsidP="006F5562">
            <w:r w:rsidRPr="006F5562">
              <w:tab/>
              <w:t>v. (36162)</w:t>
            </w:r>
          </w:p>
          <w:p w:rsidR="006F5562" w:rsidRPr="006F5562" w:rsidRDefault="006F5562" w:rsidP="006F5562"/>
          <w:p w:rsidR="006F5562" w:rsidRPr="006F5562" w:rsidRDefault="006F5562" w:rsidP="006F5562">
            <w:r w:rsidRPr="006F5562">
              <w:t>Hamidreza Safarzadeh-Markhali (Crim.) (Ont.)</w:t>
            </w:r>
          </w:p>
        </w:tc>
        <w:tc>
          <w:tcPr>
            <w:tcW w:w="1137" w:type="dxa"/>
          </w:tcPr>
          <w:p w:rsidR="006F5562" w:rsidRPr="006F5562" w:rsidRDefault="006F5562" w:rsidP="006F5562"/>
        </w:tc>
        <w:tc>
          <w:tcPr>
            <w:tcW w:w="4219" w:type="dxa"/>
          </w:tcPr>
          <w:p w:rsidR="006F5562" w:rsidRPr="006F5562" w:rsidRDefault="006F5562" w:rsidP="006F5562"/>
        </w:tc>
      </w:tr>
    </w:tbl>
    <w:p w:rsidR="006F5562" w:rsidRPr="006F5562" w:rsidRDefault="006F5562" w:rsidP="006F5562">
      <w:pPr>
        <w:tabs>
          <w:tab w:val="left" w:pos="-1440"/>
          <w:tab w:val="left" w:pos="-720"/>
        </w:tabs>
        <w:jc w:val="both"/>
        <w:rPr>
          <w:rFonts w:eastAsia="Times New Roman" w:cs="Times New Roman"/>
          <w:sz w:val="20"/>
          <w:szCs w:val="20"/>
          <w:lang w:eastAsia="en-CA"/>
        </w:rPr>
      </w:pPr>
    </w:p>
    <w:p w:rsidR="006F5562" w:rsidRPr="006F5562" w:rsidRDefault="006F5562" w:rsidP="006F5562">
      <w:pPr>
        <w:tabs>
          <w:tab w:val="left" w:pos="-1440"/>
          <w:tab w:val="left" w:pos="-720"/>
        </w:tabs>
        <w:jc w:val="both"/>
        <w:rPr>
          <w:rFonts w:eastAsia="Times New Roman" w:cs="Times New Roman"/>
          <w:sz w:val="20"/>
          <w:szCs w:val="20"/>
          <w:lang w:eastAsia="en-CA"/>
        </w:rPr>
      </w:pPr>
      <w:r w:rsidRPr="006F5562">
        <w:rPr>
          <w:rFonts w:eastAsia="Times New Roman" w:cs="Times New Roman"/>
          <w:b/>
          <w:sz w:val="20"/>
          <w:szCs w:val="20"/>
          <w:lang w:eastAsia="en-CA"/>
        </w:rPr>
        <w:t>GRANTED / ACCORDÉES</w:t>
      </w:r>
    </w:p>
    <w:p w:rsidR="006F5562" w:rsidRPr="006F5562" w:rsidRDefault="006F5562" w:rsidP="006F5562">
      <w:pPr>
        <w:tabs>
          <w:tab w:val="left" w:pos="-1440"/>
          <w:tab w:val="left" w:pos="-720"/>
        </w:tabs>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eastAsia="en-CA"/>
        </w:rPr>
      </w:pPr>
      <w:r w:rsidRPr="006F5562">
        <w:rPr>
          <w:rFonts w:eastAsia="Times New Roman" w:cs="Times New Roman"/>
          <w:b/>
          <w:bCs/>
          <w:sz w:val="20"/>
          <w:szCs w:val="20"/>
          <w:lang w:val="en-US" w:eastAsia="en-CA"/>
        </w:rPr>
        <w:t xml:space="preserve">UPON APPLICATIONS </w:t>
      </w:r>
      <w:r w:rsidRPr="006F5562">
        <w:rPr>
          <w:rFonts w:eastAsia="Times New Roman" w:cs="Times New Roman"/>
          <w:sz w:val="20"/>
          <w:szCs w:val="20"/>
          <w:lang w:val="en-US" w:eastAsia="en-CA"/>
        </w:rPr>
        <w:t>by the British Columbia Civil Liberties Association, the Criminal Lawyers’ Association of Ontario, the West Coast Prison Justice Society, the John Howard Society of Canada and Aboriginal Legal Services Toronto Inc. for leave to intervene in the above appeal;</w:t>
      </w:r>
    </w:p>
    <w:p w:rsidR="006F5562" w:rsidRPr="006F5562" w:rsidRDefault="006F5562" w:rsidP="006F5562">
      <w:pPr>
        <w:spacing w:line="233" w:lineRule="auto"/>
        <w:jc w:val="both"/>
        <w:rPr>
          <w:rFonts w:eastAsia="Times New Roman" w:cs="Times New Roman"/>
          <w:sz w:val="20"/>
          <w:szCs w:val="20"/>
          <w:lang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t>AND THE MATERIAL FILED</w:t>
      </w:r>
      <w:r w:rsidRPr="006F5562">
        <w:rPr>
          <w:rFonts w:eastAsia="Times New Roman" w:cs="Times New Roman"/>
          <w:sz w:val="20"/>
          <w:szCs w:val="20"/>
          <w:lang w:val="en-US" w:eastAsia="en-CA"/>
        </w:rPr>
        <w:t xml:space="preserve"> having been read;</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b/>
          <w:bCs/>
          <w:sz w:val="20"/>
          <w:szCs w:val="20"/>
          <w:lang w:val="en-US" w:eastAsia="en-CA"/>
        </w:rPr>
        <w:t>IT IS HEREBY ORDERED THAT:</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sz w:val="20"/>
          <w:szCs w:val="20"/>
          <w:lang w:val="en-US" w:eastAsia="en-CA"/>
        </w:rPr>
        <w:t>The motions for leave to intervene are granted and the said interveners shall be entitled to each serve and file a factum not exceeding ten (10) pages in length on or before October 21, 2015.</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r w:rsidRPr="006F5562">
        <w:rPr>
          <w:rFonts w:eastAsia="Times New Roman" w:cs="Times New Roman"/>
          <w:sz w:val="20"/>
          <w:szCs w:val="20"/>
          <w:lang w:val="en-US" w:eastAsia="en-CA"/>
        </w:rPr>
        <w:t>Pursuant to Rule 59(1)(</w:t>
      </w:r>
      <w:r w:rsidRPr="006F5562">
        <w:rPr>
          <w:rFonts w:eastAsia="Times New Roman" w:cs="Times New Roman"/>
          <w:i/>
          <w:iCs/>
          <w:sz w:val="20"/>
          <w:szCs w:val="20"/>
          <w:lang w:val="en-US" w:eastAsia="en-CA"/>
        </w:rPr>
        <w:t>a</w:t>
      </w:r>
      <w:r w:rsidRPr="006F5562">
        <w:rPr>
          <w:rFonts w:eastAsia="Times New Roman" w:cs="Times New Roman"/>
          <w:sz w:val="20"/>
          <w:szCs w:val="20"/>
          <w:lang w:val="en-US" w:eastAsia="en-CA"/>
        </w:rPr>
        <w:t xml:space="preserve">) of the </w:t>
      </w:r>
      <w:r w:rsidRPr="006F5562">
        <w:rPr>
          <w:rFonts w:eastAsia="Times New Roman" w:cs="Times New Roman"/>
          <w:i/>
          <w:iCs/>
          <w:sz w:val="20"/>
          <w:szCs w:val="20"/>
          <w:lang w:val="en-US" w:eastAsia="en-CA"/>
        </w:rPr>
        <w:t>Rules of the Supreme Court of Canada</w:t>
      </w:r>
      <w:r w:rsidRPr="006F5562">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en-US"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lastRenderedPageBreak/>
        <w:t>À LA SUITE DES REQUÊTES</w:t>
      </w:r>
      <w:r w:rsidRPr="006F5562">
        <w:rPr>
          <w:rFonts w:eastAsia="Times New Roman" w:cs="Times New Roman"/>
          <w:sz w:val="20"/>
          <w:szCs w:val="20"/>
          <w:lang w:val="fr-CA" w:eastAsia="en-CA"/>
        </w:rPr>
        <w:t xml:space="preserve"> présentées par l’Association des libertés civiles de la Colombie-Britannique, la Criminal Lawyers’ Association of Ontario, la West Coast Prison Justice Society, la Société John Howard du Canada et les Aboriginal Legal Services Toronto Inc. pour obtenir l’autorisation d’intervenir dans le présent appel;</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b/>
          <w:sz w:val="20"/>
          <w:szCs w:val="20"/>
          <w:lang w:val="fr-CA" w:eastAsia="en-CA"/>
        </w:rPr>
        <w:t>ET APRÈS EXAMEN</w:t>
      </w:r>
      <w:r w:rsidRPr="006F5562">
        <w:rPr>
          <w:rFonts w:eastAsia="Times New Roman" w:cs="Times New Roman"/>
          <w:sz w:val="20"/>
          <w:szCs w:val="20"/>
          <w:lang w:val="fr-CA" w:eastAsia="en-CA"/>
        </w:rPr>
        <w:t xml:space="preserve"> des documents déposés;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b/>
          <w:sz w:val="20"/>
          <w:szCs w:val="20"/>
          <w:lang w:val="fr-CA" w:eastAsia="en-CA"/>
        </w:rPr>
      </w:pPr>
      <w:r w:rsidRPr="006F5562">
        <w:rPr>
          <w:rFonts w:eastAsia="Times New Roman" w:cs="Times New Roman"/>
          <w:b/>
          <w:sz w:val="20"/>
          <w:szCs w:val="20"/>
          <w:lang w:val="fr-CA" w:eastAsia="en-CA"/>
        </w:rPr>
        <w:t>IL EST ORDONNÉ CE QUI SUIT :</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Les requêtes en autorisation d’intervenir sont acc</w:t>
      </w:r>
      <w:r w:rsidR="005A6BE2">
        <w:rPr>
          <w:rFonts w:eastAsia="Times New Roman" w:cs="Times New Roman"/>
          <w:sz w:val="20"/>
          <w:szCs w:val="20"/>
          <w:lang w:val="fr-CA" w:eastAsia="en-CA"/>
        </w:rPr>
        <w:t>u</w:t>
      </w:r>
      <w:r w:rsidRPr="006F5562">
        <w:rPr>
          <w:rFonts w:eastAsia="Times New Roman" w:cs="Times New Roman"/>
          <w:sz w:val="20"/>
          <w:szCs w:val="20"/>
          <w:lang w:val="fr-CA" w:eastAsia="en-CA"/>
        </w:rPr>
        <w:t>eillies et les intervenants sont chacun autorisés à signifier et à déposer un mémoire d’au plus 10 pages au plus tard le 21 octobre 2015.</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6F5562" w:rsidRPr="006F5562" w:rsidRDefault="006F5562" w:rsidP="006F5562">
      <w:pPr>
        <w:spacing w:line="233" w:lineRule="auto"/>
        <w:jc w:val="both"/>
        <w:rPr>
          <w:rFonts w:eastAsia="Times New Roman" w:cs="Times New Roman"/>
          <w:sz w:val="20"/>
          <w:szCs w:val="20"/>
          <w:lang w:val="fr-CA" w:eastAsia="en-CA"/>
        </w:rPr>
      </w:pPr>
    </w:p>
    <w:p w:rsidR="006F5562" w:rsidRPr="006F5562" w:rsidRDefault="006F5562" w:rsidP="006F5562">
      <w:pPr>
        <w:spacing w:line="233" w:lineRule="auto"/>
        <w:jc w:val="both"/>
        <w:rPr>
          <w:rFonts w:eastAsia="Times New Roman" w:cs="Times New Roman"/>
          <w:sz w:val="20"/>
          <w:szCs w:val="20"/>
          <w:lang w:val="fr-CA" w:eastAsia="en-CA"/>
        </w:rPr>
      </w:pPr>
      <w:r w:rsidRPr="006F5562">
        <w:rPr>
          <w:rFonts w:eastAsia="Times New Roman" w:cs="Times New Roman"/>
          <w:sz w:val="20"/>
          <w:szCs w:val="20"/>
          <w:lang w:val="fr-CA" w:eastAsia="en-CA"/>
        </w:rPr>
        <w:t>Conformément à l’al. 59(1)</w:t>
      </w:r>
      <w:r w:rsidRPr="006F5562">
        <w:rPr>
          <w:rFonts w:eastAsia="Times New Roman" w:cs="Times New Roman"/>
          <w:i/>
          <w:sz w:val="20"/>
          <w:szCs w:val="20"/>
          <w:lang w:val="fr-CA" w:eastAsia="en-CA"/>
        </w:rPr>
        <w:t>a</w:t>
      </w:r>
      <w:r w:rsidRPr="006F5562">
        <w:rPr>
          <w:rFonts w:eastAsia="Times New Roman" w:cs="Times New Roman"/>
          <w:sz w:val="20"/>
          <w:szCs w:val="20"/>
          <w:lang w:val="fr-CA" w:eastAsia="en-CA"/>
        </w:rPr>
        <w:t xml:space="preserve">) des </w:t>
      </w:r>
      <w:r w:rsidRPr="006F5562">
        <w:rPr>
          <w:rFonts w:eastAsia="Times New Roman" w:cs="Times New Roman"/>
          <w:i/>
          <w:sz w:val="20"/>
          <w:szCs w:val="20"/>
          <w:lang w:val="fr-CA" w:eastAsia="en-CA"/>
        </w:rPr>
        <w:t>Règles de la Cour suprême du Canada</w:t>
      </w:r>
      <w:r w:rsidRPr="006F5562">
        <w:rPr>
          <w:rFonts w:eastAsia="Times New Roman" w:cs="Times New Roman"/>
          <w:sz w:val="20"/>
          <w:szCs w:val="20"/>
          <w:lang w:val="fr-CA" w:eastAsia="en-CA"/>
        </w:rPr>
        <w:t>, les intervenants paieront à l’appelante et à l’intimée tous les débours supplémentaires résultant de leur intervention.</w:t>
      </w:r>
    </w:p>
    <w:p w:rsidR="006F5562" w:rsidRPr="006F5562" w:rsidRDefault="006F5562" w:rsidP="006F5562">
      <w:pPr>
        <w:tabs>
          <w:tab w:val="left" w:pos="-1440"/>
          <w:tab w:val="left" w:pos="-720"/>
        </w:tabs>
        <w:rPr>
          <w:rFonts w:eastAsia="Times New Roman" w:cs="Times New Roman"/>
          <w:sz w:val="20"/>
          <w:szCs w:val="20"/>
          <w:lang w:val="fr-CA" w:eastAsia="en-CA"/>
        </w:rPr>
      </w:pPr>
    </w:p>
    <w:p w:rsidR="006F5562" w:rsidRPr="006F5562" w:rsidRDefault="005C6187" w:rsidP="006F556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6F5562" w:rsidRPr="006F5562" w:rsidRDefault="006F5562" w:rsidP="006F5562">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5C6187"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621F74">
        <w:trPr>
          <w:cantSplit/>
        </w:trPr>
        <w:tc>
          <w:tcPr>
            <w:tcW w:w="4251" w:type="dxa"/>
            <w:shd w:val="clear" w:color="auto" w:fill="auto"/>
          </w:tcPr>
          <w:p w:rsidR="00C1697B" w:rsidRPr="00C50A5C" w:rsidRDefault="00374F02" w:rsidP="00C1697B">
            <w:pPr>
              <w:rPr>
                <w:sz w:val="20"/>
                <w:szCs w:val="20"/>
              </w:rPr>
            </w:pPr>
            <w:r>
              <w:rPr>
                <w:sz w:val="20"/>
                <w:szCs w:val="20"/>
              </w:rPr>
              <w:t>28</w:t>
            </w:r>
            <w:r w:rsidR="00C1697B" w:rsidRPr="00C50A5C">
              <w:rPr>
                <w:sz w:val="20"/>
                <w:szCs w:val="20"/>
              </w:rPr>
              <w:t>.0</w:t>
            </w:r>
            <w:r>
              <w:rPr>
                <w:sz w:val="20"/>
                <w:szCs w:val="20"/>
              </w:rPr>
              <w:t>7</w:t>
            </w:r>
            <w:r w:rsidR="00C1697B" w:rsidRPr="00C50A5C">
              <w:rPr>
                <w:sz w:val="20"/>
                <w:szCs w:val="20"/>
              </w:rPr>
              <w:t>.201</w:t>
            </w:r>
            <w:r>
              <w:rPr>
                <w:sz w:val="20"/>
                <w:szCs w:val="20"/>
              </w:rPr>
              <w:t>5</w:t>
            </w:r>
          </w:p>
          <w:p w:rsidR="00C1697B" w:rsidRPr="00C50A5C" w:rsidRDefault="00C1697B" w:rsidP="00C1697B">
            <w:pPr>
              <w:rPr>
                <w:sz w:val="20"/>
                <w:szCs w:val="20"/>
              </w:rPr>
            </w:pPr>
          </w:p>
          <w:p w:rsidR="00C1697B" w:rsidRPr="00C1697B" w:rsidRDefault="00374F02" w:rsidP="00C1697B">
            <w:pPr>
              <w:rPr>
                <w:b/>
                <w:sz w:val="20"/>
                <w:szCs w:val="20"/>
              </w:rPr>
            </w:pPr>
            <w:r>
              <w:rPr>
                <w:b/>
                <w:sz w:val="20"/>
                <w:szCs w:val="20"/>
              </w:rPr>
              <w:t>City of Ca</w:t>
            </w:r>
            <w:r w:rsidR="00C1697B" w:rsidRPr="00C1697B">
              <w:rPr>
                <w:b/>
                <w:sz w:val="20"/>
                <w:szCs w:val="20"/>
              </w:rPr>
              <w:t>l</w:t>
            </w:r>
            <w:r>
              <w:rPr>
                <w:b/>
                <w:sz w:val="20"/>
                <w:szCs w:val="20"/>
              </w:rPr>
              <w:t>gary</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(36</w:t>
            </w:r>
            <w:r w:rsidR="00374F02">
              <w:rPr>
                <w:b/>
                <w:sz w:val="20"/>
                <w:szCs w:val="20"/>
              </w:rPr>
              <w:t>4</w:t>
            </w:r>
            <w:r w:rsidRPr="00C1697B">
              <w:rPr>
                <w:b/>
                <w:sz w:val="20"/>
                <w:szCs w:val="20"/>
              </w:rPr>
              <w:t>0</w:t>
            </w:r>
            <w:r w:rsidR="00374F02">
              <w:rPr>
                <w:b/>
                <w:sz w:val="20"/>
                <w:szCs w:val="20"/>
              </w:rPr>
              <w:t>7</w:t>
            </w:r>
            <w:r w:rsidRPr="00C1697B">
              <w:rPr>
                <w:b/>
                <w:sz w:val="20"/>
                <w:szCs w:val="20"/>
              </w:rPr>
              <w:t>)</w:t>
            </w:r>
          </w:p>
          <w:p w:rsidR="00C1697B" w:rsidRPr="00C1697B" w:rsidRDefault="00C1697B" w:rsidP="00C1697B">
            <w:pPr>
              <w:rPr>
                <w:b/>
                <w:sz w:val="20"/>
                <w:szCs w:val="20"/>
              </w:rPr>
            </w:pPr>
          </w:p>
          <w:p w:rsidR="00C1697B" w:rsidRPr="00C1697B" w:rsidRDefault="00374F02" w:rsidP="00C1697B">
            <w:pPr>
              <w:rPr>
                <w:b/>
                <w:sz w:val="20"/>
                <w:szCs w:val="20"/>
              </w:rPr>
            </w:pPr>
            <w:r>
              <w:rPr>
                <w:b/>
                <w:sz w:val="20"/>
                <w:szCs w:val="20"/>
              </w:rPr>
              <w:t>Altus Group L</w:t>
            </w:r>
            <w:r w:rsidR="00C1697B" w:rsidRPr="00C1697B">
              <w:rPr>
                <w:b/>
                <w:sz w:val="20"/>
                <w:szCs w:val="20"/>
              </w:rPr>
              <w:t>i</w:t>
            </w:r>
            <w:r>
              <w:rPr>
                <w:b/>
                <w:sz w:val="20"/>
                <w:szCs w:val="20"/>
              </w:rPr>
              <w:t>m</w:t>
            </w:r>
            <w:r w:rsidR="00C1697B" w:rsidRPr="00C1697B">
              <w:rPr>
                <w:b/>
                <w:sz w:val="20"/>
                <w:szCs w:val="20"/>
              </w:rPr>
              <w:t>i</w:t>
            </w:r>
            <w:r>
              <w:rPr>
                <w:b/>
                <w:sz w:val="20"/>
                <w:szCs w:val="20"/>
              </w:rPr>
              <w:t>ted on beh</w:t>
            </w:r>
            <w:r w:rsidR="00C1697B" w:rsidRPr="00C1697B">
              <w:rPr>
                <w:b/>
                <w:sz w:val="20"/>
                <w:szCs w:val="20"/>
              </w:rPr>
              <w:t>a</w:t>
            </w:r>
            <w:r>
              <w:rPr>
                <w:b/>
                <w:sz w:val="20"/>
                <w:szCs w:val="20"/>
              </w:rPr>
              <w:t>lf of Var</w:t>
            </w:r>
            <w:r w:rsidR="00C1697B" w:rsidRPr="00C1697B">
              <w:rPr>
                <w:b/>
                <w:sz w:val="20"/>
                <w:szCs w:val="20"/>
              </w:rPr>
              <w:t>i</w:t>
            </w:r>
            <w:r>
              <w:rPr>
                <w:b/>
                <w:sz w:val="20"/>
                <w:szCs w:val="20"/>
              </w:rPr>
              <w:t>ous Owners</w:t>
            </w:r>
            <w:r w:rsidR="00C1697B" w:rsidRPr="00C1697B">
              <w:rPr>
                <w:b/>
                <w:sz w:val="20"/>
                <w:szCs w:val="20"/>
              </w:rPr>
              <w:t xml:space="preserve"> (</w:t>
            </w:r>
            <w:r>
              <w:rPr>
                <w:b/>
                <w:sz w:val="20"/>
                <w:szCs w:val="20"/>
              </w:rPr>
              <w:t>Al</w:t>
            </w:r>
            <w:r w:rsidR="00C1697B" w:rsidRPr="00C1697B">
              <w:rPr>
                <w:b/>
                <w:sz w:val="20"/>
                <w:szCs w:val="20"/>
              </w:rPr>
              <w:t>t</w:t>
            </w:r>
            <w:r>
              <w:rPr>
                <w:b/>
                <w:sz w:val="20"/>
                <w:szCs w:val="20"/>
              </w:rPr>
              <w:t>a</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5C6187" w:rsidP="00697C62">
            <w:pPr>
              <w:rPr>
                <w:sz w:val="20"/>
                <w:szCs w:val="20"/>
                <w:lang w:val="fr-CA"/>
              </w:rPr>
            </w:pPr>
            <w:r>
              <w:rPr>
                <w:sz w:val="20"/>
                <w:szCs w:val="20"/>
                <w:lang w:val="fr-CA"/>
              </w:rPr>
              <w:pict>
                <v:rect id="_x0000_i1058" style="width:108pt;height:1pt" o:hrpct="0" o:hralign="center" o:hrstd="t" o:hrnoshade="t" o:hr="t" fillcolor="black [3213]" stroked="f"/>
              </w:pict>
            </w: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B33F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EB0621" w:rsidP="0052229C">
      <w:pPr>
        <w:rPr>
          <w:b/>
          <w:sz w:val="20"/>
          <w:szCs w:val="20"/>
          <w:lang w:val="fr-CA"/>
        </w:rPr>
      </w:pPr>
      <w:r>
        <w:rPr>
          <w:b/>
          <w:sz w:val="20"/>
          <w:szCs w:val="20"/>
          <w:lang w:val="fr-CA"/>
        </w:rPr>
        <w:t xml:space="preserve">SEPTEMBER </w:t>
      </w:r>
      <w:r w:rsidR="00AA0C6A">
        <w:rPr>
          <w:b/>
          <w:sz w:val="20"/>
          <w:szCs w:val="20"/>
          <w:lang w:val="fr-CA"/>
        </w:rPr>
        <w:t>4</w:t>
      </w:r>
      <w:r w:rsidR="0052229C" w:rsidRPr="00C42C54">
        <w:rPr>
          <w:b/>
          <w:sz w:val="20"/>
          <w:szCs w:val="20"/>
          <w:lang w:val="fr-CA"/>
        </w:rPr>
        <w:t>, 201</w:t>
      </w:r>
      <w:r>
        <w:rPr>
          <w:b/>
          <w:sz w:val="20"/>
          <w:szCs w:val="20"/>
          <w:lang w:val="fr-CA"/>
        </w:rPr>
        <w:t>5</w:t>
      </w:r>
      <w:r w:rsidR="0052229C" w:rsidRPr="00C42C54">
        <w:rPr>
          <w:b/>
          <w:sz w:val="20"/>
          <w:szCs w:val="20"/>
          <w:lang w:val="fr-CA"/>
        </w:rPr>
        <w:t xml:space="preserve"> / LE </w:t>
      </w:r>
      <w:r w:rsidR="00AA0C6A">
        <w:rPr>
          <w:b/>
          <w:sz w:val="20"/>
          <w:szCs w:val="20"/>
          <w:lang w:val="fr-CA"/>
        </w:rPr>
        <w:t>4</w:t>
      </w:r>
      <w:r w:rsidR="0052229C" w:rsidRPr="00C42C54">
        <w:rPr>
          <w:b/>
          <w:sz w:val="20"/>
          <w:szCs w:val="20"/>
          <w:lang w:val="fr-CA"/>
        </w:rPr>
        <w:t xml:space="preserve"> </w:t>
      </w:r>
      <w:r w:rsidR="00AA0C6A">
        <w:rPr>
          <w:b/>
          <w:sz w:val="20"/>
          <w:szCs w:val="20"/>
          <w:lang w:val="fr-CA"/>
        </w:rPr>
        <w:t>SEPTEMBRE</w:t>
      </w:r>
      <w:r w:rsidR="0052229C" w:rsidRPr="00C42C54">
        <w:rPr>
          <w:b/>
          <w:sz w:val="20"/>
          <w:szCs w:val="20"/>
          <w:lang w:val="fr-CA"/>
        </w:rPr>
        <w:t xml:space="preserve"> 201</w:t>
      </w:r>
      <w:r w:rsidR="00AA0C6A">
        <w:rPr>
          <w:b/>
          <w:sz w:val="20"/>
          <w:szCs w:val="20"/>
          <w:lang w:val="fr-CA"/>
        </w:rPr>
        <w:t>5</w:t>
      </w:r>
    </w:p>
    <w:p w:rsidR="0052229C" w:rsidRPr="00C42C54" w:rsidRDefault="0052229C" w:rsidP="0052229C">
      <w:pPr>
        <w:rPr>
          <w:sz w:val="20"/>
          <w:szCs w:val="20"/>
          <w:lang w:val="fr-CA"/>
        </w:rPr>
      </w:pPr>
    </w:p>
    <w:p w:rsidR="004C5B78" w:rsidRPr="00B1531F" w:rsidRDefault="004C5B78" w:rsidP="004C5B78">
      <w:pPr>
        <w:ind w:left="1440" w:hanging="1440"/>
        <w:jc w:val="both"/>
        <w:rPr>
          <w:rFonts w:eastAsia="Calibri"/>
          <w:b/>
          <w:sz w:val="20"/>
          <w:szCs w:val="20"/>
          <w:u w:val="single"/>
          <w:lang w:val="fr-CA"/>
        </w:rPr>
      </w:pPr>
      <w:r w:rsidRPr="00B1531F">
        <w:rPr>
          <w:rFonts w:eastAsia="Calibri"/>
          <w:b/>
          <w:sz w:val="20"/>
          <w:szCs w:val="20"/>
        </w:rPr>
        <w:fldChar w:fldCharType="begin"/>
      </w:r>
      <w:r w:rsidRPr="00B1531F">
        <w:rPr>
          <w:rFonts w:eastAsia="Calibri"/>
          <w:b/>
          <w:sz w:val="20"/>
          <w:szCs w:val="20"/>
          <w:lang w:val="fr-CA"/>
        </w:rPr>
        <w:instrText xml:space="preserve"> SEQ CHAPTER \h \r 1</w:instrText>
      </w:r>
      <w:r w:rsidRPr="00B1531F">
        <w:rPr>
          <w:rFonts w:eastAsia="Calibri"/>
          <w:b/>
          <w:sz w:val="20"/>
          <w:szCs w:val="20"/>
        </w:rPr>
        <w:fldChar w:fldCharType="end"/>
      </w:r>
      <w:r w:rsidRPr="00B1531F">
        <w:rPr>
          <w:rFonts w:eastAsia="Calibri"/>
          <w:b/>
          <w:sz w:val="20"/>
          <w:szCs w:val="20"/>
          <w:lang w:val="fr-CA"/>
        </w:rPr>
        <w:t>35682</w:t>
      </w:r>
      <w:r w:rsidRPr="00B1531F">
        <w:rPr>
          <w:rFonts w:eastAsia="Calibri"/>
          <w:sz w:val="20"/>
          <w:szCs w:val="20"/>
          <w:lang w:val="fr-CA"/>
        </w:rPr>
        <w:tab/>
      </w:r>
      <w:r w:rsidRPr="00B1531F">
        <w:rPr>
          <w:rFonts w:eastAsia="Calibri"/>
          <w:b/>
          <w:sz w:val="20"/>
          <w:szCs w:val="20"/>
          <w:u w:val="single"/>
          <w:lang w:val="fr-CA"/>
        </w:rPr>
        <w:t>Chevron Corporation and Chevron Canada Limited v. Daniel Carlos Lusitande Yaiguaje, Benancio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Grefa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Lusitante, Alfredo Donaldo Payaguaje and Delfin Leonidas Payaguaje – and – International Human Rights Program at the University of Toronto Faculty of Law, MiningWatch Canada, Canadian Centre for International Justice and Justice and Corporate Accountability Project</w:t>
      </w:r>
      <w:r w:rsidRPr="00B1531F">
        <w:rPr>
          <w:rFonts w:eastAsia="Calibri"/>
          <w:b/>
          <w:sz w:val="20"/>
          <w:szCs w:val="20"/>
          <w:lang w:val="fr-CA"/>
        </w:rPr>
        <w:t xml:space="preserve"> </w:t>
      </w:r>
      <w:r w:rsidRPr="00B1531F">
        <w:rPr>
          <w:rFonts w:eastAsia="Calibri"/>
          <w:iCs/>
          <w:sz w:val="20"/>
          <w:szCs w:val="20"/>
          <w:lang w:val="fr-CA"/>
        </w:rPr>
        <w:t>(Ont.)</w:t>
      </w:r>
    </w:p>
    <w:p w:rsidR="004C5B78" w:rsidRPr="00B1531F" w:rsidRDefault="004C5B78" w:rsidP="004C5B78">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B1531F">
        <w:rPr>
          <w:rFonts w:eastAsia="Calibri"/>
          <w:b/>
          <w:sz w:val="20"/>
          <w:szCs w:val="20"/>
        </w:rPr>
        <w:t>2015 SCC 42 / 2015 CSC 42</w:t>
      </w:r>
    </w:p>
    <w:p w:rsidR="004C5B78" w:rsidRPr="00B1531F" w:rsidRDefault="004C5B78" w:rsidP="004C5B7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4C5B78" w:rsidRPr="00B1531F" w:rsidRDefault="004C5B78" w:rsidP="004C5B78">
      <w:pPr>
        <w:ind w:left="1440" w:hanging="1440"/>
        <w:jc w:val="both"/>
        <w:rPr>
          <w:rFonts w:eastAsia="Calibri"/>
          <w:sz w:val="20"/>
          <w:szCs w:val="20"/>
          <w:u w:val="single"/>
        </w:rPr>
      </w:pPr>
      <w:r w:rsidRPr="00B1531F">
        <w:rPr>
          <w:rFonts w:eastAsia="Calibri"/>
          <w:sz w:val="20"/>
          <w:szCs w:val="20"/>
        </w:rPr>
        <w:t>Coram:</w:t>
      </w:r>
      <w:r w:rsidRPr="00B1531F">
        <w:rPr>
          <w:rFonts w:eastAsia="Calibri"/>
          <w:sz w:val="20"/>
          <w:szCs w:val="20"/>
        </w:rPr>
        <w:tab/>
      </w:r>
      <w:r w:rsidRPr="00B1531F">
        <w:rPr>
          <w:rFonts w:eastAsia="Calibri"/>
          <w:sz w:val="20"/>
          <w:szCs w:val="20"/>
          <w:u w:val="single"/>
        </w:rPr>
        <w:t>McLachlin C.J. and Abella, Rothstein, Cromwell, Karakatsanis, Wagner and Gascon JJ.</w:t>
      </w:r>
    </w:p>
    <w:p w:rsidR="004C5B78" w:rsidRPr="00B1531F" w:rsidRDefault="004C5B78" w:rsidP="004C5B78">
      <w:pPr>
        <w:ind w:left="1440" w:hanging="1440"/>
        <w:jc w:val="both"/>
        <w:rPr>
          <w:rFonts w:eastAsia="Calibri"/>
          <w:sz w:val="20"/>
          <w:szCs w:val="20"/>
          <w:u w:val="single"/>
        </w:rPr>
      </w:pPr>
    </w:p>
    <w:p w:rsidR="004C5B78" w:rsidRPr="00B1531F" w:rsidRDefault="004C5B78" w:rsidP="004C5B78">
      <w:pPr>
        <w:jc w:val="both"/>
        <w:rPr>
          <w:sz w:val="20"/>
          <w:szCs w:val="20"/>
        </w:rPr>
      </w:pPr>
      <w:r w:rsidRPr="00B1531F">
        <w:rPr>
          <w:sz w:val="20"/>
          <w:szCs w:val="20"/>
        </w:rPr>
        <w:t xml:space="preserve">The appeal from the judgment </w:t>
      </w:r>
      <w:bookmarkStart w:id="2" w:name="BM_1_"/>
      <w:bookmarkEnd w:id="2"/>
      <w:r w:rsidRPr="00B1531F">
        <w:rPr>
          <w:sz w:val="20"/>
          <w:szCs w:val="20"/>
        </w:rPr>
        <w:t>of the Court of Appeal for Ontario, Number C57019, 2013 ONCA 758, dated December 17, 2013, heard on December 11, 2014, is dismissed with costs.</w:t>
      </w:r>
    </w:p>
    <w:p w:rsidR="004C5B78" w:rsidRPr="00B1531F" w:rsidRDefault="004C5B78" w:rsidP="004C5B78">
      <w:pPr>
        <w:jc w:val="both"/>
        <w:rPr>
          <w:sz w:val="20"/>
          <w:szCs w:val="20"/>
        </w:rPr>
      </w:pPr>
    </w:p>
    <w:p w:rsidR="004C5B78" w:rsidRPr="00B1531F" w:rsidRDefault="004C5B78" w:rsidP="004C5B78">
      <w:pPr>
        <w:jc w:val="both"/>
        <w:rPr>
          <w:sz w:val="20"/>
          <w:szCs w:val="20"/>
          <w:lang w:val="fr-CA"/>
        </w:rPr>
      </w:pPr>
      <w:r w:rsidRPr="00B1531F">
        <w:rPr>
          <w:sz w:val="20"/>
          <w:szCs w:val="20"/>
          <w:lang w:val="fr-CA"/>
        </w:rPr>
        <w:t>L’appel interjeté contre l’arrêt de la Cour d’appel de l’Ontario, numéro C57019, 2013 ONCA 758, en date du 17 décembre 2013, entendu le 11 décembre 2014, est rejeté avec dépens.</w:t>
      </w:r>
    </w:p>
    <w:p w:rsidR="0052229C" w:rsidRPr="004C5B78" w:rsidRDefault="0052229C" w:rsidP="0052229C">
      <w:pPr>
        <w:rPr>
          <w:sz w:val="20"/>
          <w:szCs w:val="20"/>
          <w:lang w:val="fr-CA"/>
        </w:rPr>
      </w:pPr>
    </w:p>
    <w:p w:rsidR="0052229C" w:rsidRPr="003B3977" w:rsidRDefault="005C6187" w:rsidP="0052229C">
      <w:pPr>
        <w:spacing w:line="0" w:lineRule="atLeast"/>
        <w:rPr>
          <w:sz w:val="20"/>
          <w:szCs w:val="20"/>
        </w:rPr>
      </w:pPr>
      <w:r>
        <w:rPr>
          <w:b/>
          <w:sz w:val="20"/>
          <w:szCs w:val="20"/>
        </w:rPr>
        <w:pict>
          <v:rect id="_x0000_i106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52229C" w:rsidRDefault="00D004FC" w:rsidP="00D004FC">
      <w:pPr>
        <w:spacing w:line="0" w:lineRule="atLeast"/>
        <w:rPr>
          <w:rFonts w:cs="Times New Roman"/>
          <w:sz w:val="20"/>
          <w:szCs w:val="20"/>
          <w:lang w:val="fr-CA"/>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80C44" w:rsidRPr="0068730A" w:rsidRDefault="00380C44" w:rsidP="00380C44">
      <w:pPr>
        <w:ind w:left="720" w:hanging="720"/>
        <w:rPr>
          <w:sz w:val="20"/>
          <w:szCs w:val="20"/>
          <w:lang w:val="fr-CA"/>
        </w:rPr>
      </w:pPr>
      <w:r w:rsidRPr="0068730A">
        <w:rPr>
          <w:i/>
          <w:sz w:val="20"/>
          <w:szCs w:val="20"/>
          <w:lang w:val="fr-CA"/>
        </w:rPr>
        <w:t>Chevron Corporation et al. v. Daniel Carlos Lusitande Yaiguaje et al.</w:t>
      </w:r>
      <w:r w:rsidRPr="0068730A">
        <w:rPr>
          <w:sz w:val="20"/>
          <w:szCs w:val="20"/>
          <w:lang w:val="fr-CA"/>
        </w:rPr>
        <w:t xml:space="preserve"> (Ont.) (</w:t>
      </w:r>
      <w:hyperlink r:id="rId64" w:history="1">
        <w:r w:rsidRPr="0068730A">
          <w:rPr>
            <w:rStyle w:val="Hyperlink"/>
            <w:sz w:val="20"/>
            <w:szCs w:val="20"/>
            <w:lang w:val="fr-CA"/>
          </w:rPr>
          <w:t>35682</w:t>
        </w:r>
      </w:hyperlink>
      <w:r w:rsidRPr="0068730A">
        <w:rPr>
          <w:sz w:val="20"/>
          <w:szCs w:val="20"/>
          <w:lang w:val="fr-CA"/>
        </w:rPr>
        <w:t>)</w:t>
      </w:r>
    </w:p>
    <w:p w:rsidR="000D55D8" w:rsidRPr="001F0492" w:rsidRDefault="009C04F5" w:rsidP="000D55D8">
      <w:pPr>
        <w:jc w:val="both"/>
        <w:rPr>
          <w:b/>
          <w:sz w:val="20"/>
          <w:szCs w:val="20"/>
          <w:lang w:val="fr-CA"/>
        </w:rPr>
      </w:pPr>
      <w:r w:rsidRPr="000D55D8">
        <w:rPr>
          <w:b/>
          <w:sz w:val="20"/>
          <w:szCs w:val="20"/>
          <w:lang w:val="fr-CA"/>
        </w:rPr>
        <w:t>Indexed as: Chevron Corp. </w:t>
      </w:r>
      <w:r w:rsidRPr="000D55D8">
        <w:rPr>
          <w:b/>
          <w:i/>
          <w:sz w:val="20"/>
          <w:szCs w:val="20"/>
          <w:lang w:val="fr-CA"/>
        </w:rPr>
        <w:t>v.</w:t>
      </w:r>
      <w:r w:rsidRPr="000D55D8">
        <w:rPr>
          <w:b/>
          <w:sz w:val="20"/>
          <w:szCs w:val="20"/>
          <w:lang w:val="fr-CA"/>
        </w:rPr>
        <w:t xml:space="preserve"> Yaiguaje /</w:t>
      </w:r>
      <w:r w:rsidR="000D55D8" w:rsidRPr="000D55D8">
        <w:rPr>
          <w:b/>
          <w:sz w:val="20"/>
          <w:szCs w:val="20"/>
          <w:lang w:val="fr-CA"/>
        </w:rPr>
        <w:t xml:space="preserve"> </w:t>
      </w:r>
      <w:r w:rsidR="000D55D8" w:rsidRPr="001F0492">
        <w:rPr>
          <w:b/>
          <w:sz w:val="20"/>
          <w:szCs w:val="20"/>
          <w:lang w:val="fr-CA"/>
        </w:rPr>
        <w:t xml:space="preserve">Répertorié : Chevron Corp. </w:t>
      </w:r>
      <w:r w:rsidR="000D55D8" w:rsidRPr="001F0492">
        <w:rPr>
          <w:b/>
          <w:i/>
          <w:sz w:val="20"/>
          <w:szCs w:val="20"/>
          <w:lang w:val="fr-CA"/>
        </w:rPr>
        <w:t>c.</w:t>
      </w:r>
      <w:r w:rsidR="000D55D8" w:rsidRPr="001F0492">
        <w:rPr>
          <w:b/>
          <w:sz w:val="20"/>
          <w:szCs w:val="20"/>
          <w:lang w:val="fr-CA"/>
        </w:rPr>
        <w:t xml:space="preserve"> Yaiguaje</w:t>
      </w:r>
    </w:p>
    <w:p w:rsidR="0052229C" w:rsidRPr="00380C44" w:rsidRDefault="0052229C" w:rsidP="0052229C">
      <w:pPr>
        <w:pStyle w:val="SCCSystemYear"/>
        <w:jc w:val="both"/>
        <w:rPr>
          <w:sz w:val="20"/>
        </w:rPr>
      </w:pPr>
      <w:r w:rsidRPr="00380C44">
        <w:rPr>
          <w:sz w:val="20"/>
        </w:rPr>
        <w:t>Neutral citation:  201</w:t>
      </w:r>
      <w:r w:rsidR="00020DC3" w:rsidRPr="00380C44">
        <w:rPr>
          <w:sz w:val="20"/>
        </w:rPr>
        <w:t>5</w:t>
      </w:r>
      <w:r w:rsidRPr="00380C44">
        <w:rPr>
          <w:sz w:val="20"/>
        </w:rPr>
        <w:t xml:space="preserve"> SCC </w:t>
      </w:r>
      <w:r w:rsidR="00380C44">
        <w:rPr>
          <w:sz w:val="20"/>
        </w:rPr>
        <w:t>42</w:t>
      </w:r>
      <w:r w:rsidRPr="00380C44">
        <w:rPr>
          <w:sz w:val="20"/>
        </w:rPr>
        <w:t xml:space="preserve"> / Référence neutre : 201</w:t>
      </w:r>
      <w:r w:rsidR="00020DC3" w:rsidRPr="00380C44">
        <w:rPr>
          <w:sz w:val="20"/>
        </w:rPr>
        <w:t>5</w:t>
      </w:r>
      <w:r w:rsidRPr="00380C44">
        <w:rPr>
          <w:sz w:val="20"/>
        </w:rPr>
        <w:t xml:space="preserve"> CSC </w:t>
      </w:r>
      <w:r w:rsidR="00380C44" w:rsidRPr="00380C44">
        <w:rPr>
          <w:sz w:val="20"/>
        </w:rPr>
        <w:t>4</w:t>
      </w:r>
      <w:r w:rsidR="00380C44">
        <w:rPr>
          <w:sz w:val="20"/>
        </w:rPr>
        <w:t>2</w:t>
      </w:r>
    </w:p>
    <w:p w:rsidR="0052229C" w:rsidRPr="004C5B78" w:rsidRDefault="0052229C" w:rsidP="0052229C">
      <w:pPr>
        <w:rPr>
          <w:rFonts w:cs="Times New Roman"/>
          <w:sz w:val="20"/>
          <w:szCs w:val="20"/>
          <w:lang w:val="fr-CA"/>
        </w:rPr>
      </w:pPr>
      <w:r w:rsidRPr="004C5B78">
        <w:rPr>
          <w:rFonts w:cs="Times New Roman"/>
          <w:sz w:val="20"/>
          <w:szCs w:val="20"/>
          <w:lang w:val="fr-CA"/>
        </w:rPr>
        <w:t xml:space="preserve">Hearing:  </w:t>
      </w:r>
      <w:r w:rsidR="009C04F5" w:rsidRPr="004C5B78">
        <w:rPr>
          <w:rFonts w:cs="Times New Roman"/>
          <w:sz w:val="20"/>
          <w:szCs w:val="20"/>
          <w:lang w:val="fr-CA"/>
        </w:rPr>
        <w:t>December</w:t>
      </w:r>
      <w:r w:rsidRPr="004C5B78">
        <w:rPr>
          <w:rFonts w:cs="Times New Roman"/>
          <w:sz w:val="20"/>
          <w:szCs w:val="20"/>
          <w:lang w:val="fr-CA"/>
        </w:rPr>
        <w:t xml:space="preserve"> </w:t>
      </w:r>
      <w:r w:rsidR="000D55D8" w:rsidRPr="004C5B78">
        <w:rPr>
          <w:rFonts w:cs="Times New Roman"/>
          <w:sz w:val="20"/>
          <w:szCs w:val="20"/>
          <w:lang w:val="fr-CA"/>
        </w:rPr>
        <w:t xml:space="preserve">11, </w:t>
      </w:r>
      <w:r w:rsidRPr="004C5B78">
        <w:rPr>
          <w:rFonts w:cs="Times New Roman"/>
          <w:sz w:val="20"/>
          <w:szCs w:val="20"/>
          <w:lang w:val="fr-CA"/>
        </w:rPr>
        <w:t>201</w:t>
      </w:r>
      <w:r w:rsidR="00020DC3" w:rsidRPr="004C5B78">
        <w:rPr>
          <w:rFonts w:cs="Times New Roman"/>
          <w:sz w:val="20"/>
          <w:szCs w:val="20"/>
          <w:lang w:val="fr-CA"/>
        </w:rPr>
        <w:t>4</w:t>
      </w:r>
      <w:r w:rsidRPr="004C5B78">
        <w:rPr>
          <w:rFonts w:cs="Times New Roman"/>
          <w:sz w:val="20"/>
          <w:szCs w:val="20"/>
          <w:lang w:val="fr-CA"/>
        </w:rPr>
        <w:t xml:space="preserve"> / Judgment:  </w:t>
      </w:r>
      <w:r w:rsidR="00380C44" w:rsidRPr="004C5B78">
        <w:rPr>
          <w:rFonts w:cs="Times New Roman"/>
          <w:sz w:val="20"/>
          <w:szCs w:val="20"/>
          <w:lang w:val="fr-CA"/>
        </w:rPr>
        <w:t>September 4</w:t>
      </w:r>
      <w:r w:rsidRPr="004C5B78">
        <w:rPr>
          <w:rFonts w:cs="Times New Roman"/>
          <w:sz w:val="20"/>
          <w:szCs w:val="20"/>
          <w:lang w:val="fr-CA"/>
        </w:rPr>
        <w:t>, 201</w:t>
      </w:r>
      <w:r w:rsidR="00020DC3" w:rsidRPr="004C5B78">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C04F5">
        <w:rPr>
          <w:rFonts w:cs="Times New Roman"/>
          <w:sz w:val="20"/>
          <w:szCs w:val="20"/>
          <w:lang w:val="fr-CA"/>
        </w:rPr>
        <w:t>11</w:t>
      </w:r>
      <w:r w:rsidRPr="003B3977">
        <w:rPr>
          <w:rFonts w:cs="Times New Roman"/>
          <w:sz w:val="20"/>
          <w:szCs w:val="20"/>
          <w:lang w:val="fr-CA"/>
        </w:rPr>
        <w:t xml:space="preserve"> </w:t>
      </w:r>
      <w:r w:rsidR="009C04F5">
        <w:rPr>
          <w:rFonts w:cs="Times New Roman"/>
          <w:sz w:val="20"/>
          <w:szCs w:val="20"/>
          <w:lang w:val="fr-CA"/>
        </w:rPr>
        <w:t>décembre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380C44">
        <w:rPr>
          <w:rFonts w:cs="Times New Roman"/>
          <w:sz w:val="20"/>
          <w:szCs w:val="20"/>
          <w:lang w:val="fr-CA"/>
        </w:rPr>
        <w:t>4</w:t>
      </w:r>
      <w:r>
        <w:rPr>
          <w:rFonts w:cs="Times New Roman"/>
          <w:sz w:val="20"/>
          <w:szCs w:val="20"/>
          <w:lang w:val="fr-CA"/>
        </w:rPr>
        <w:t xml:space="preserve"> </w:t>
      </w:r>
      <w:r w:rsidR="00380C44">
        <w:rPr>
          <w:rFonts w:cs="Times New Roman"/>
          <w:sz w:val="20"/>
          <w:szCs w:val="20"/>
          <w:lang w:val="fr-CA"/>
        </w:rPr>
        <w:t>septembre</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5C6187" w:rsidP="005C6840">
      <w:pPr>
        <w:rPr>
          <w:rFonts w:cs="Times New Roman"/>
          <w:sz w:val="20"/>
          <w:szCs w:val="20"/>
          <w:lang w:val="fr-CA"/>
        </w:rPr>
      </w:pPr>
      <w:r>
        <w:rPr>
          <w:rFonts w:cs="Times New Roman"/>
          <w:i/>
          <w:sz w:val="20"/>
          <w:szCs w:val="20"/>
        </w:rPr>
        <w:pict>
          <v:rect id="_x0000_i106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D55D8" w:rsidRPr="001F2C7B" w:rsidRDefault="000D55D8" w:rsidP="000D55D8">
      <w:pPr>
        <w:jc w:val="both"/>
        <w:rPr>
          <w:sz w:val="20"/>
          <w:szCs w:val="20"/>
        </w:rPr>
      </w:pPr>
      <w:r w:rsidRPr="001F2C7B">
        <w:rPr>
          <w:sz w:val="20"/>
          <w:szCs w:val="20"/>
        </w:rPr>
        <w:t>Present: McLachlin C.J. and Abella, Rothstein, Cromwell, Karakatsanis, Wagner and Gascon JJ.</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r>
      <w:r w:rsidRPr="001F2C7B">
        <w:rPr>
          <w:i/>
          <w:sz w:val="20"/>
        </w:rPr>
        <w:t>Private international law — Foreign judgments — Recognition — Enforcement — Foreign judgment creditor sought recognition and enforcement of foreign judgment in Ontario against U.S. foreign judgment debtor’s and Canadian seventh</w:t>
      </w:r>
      <w:r w:rsidRPr="001F2C7B">
        <w:rPr>
          <w:i/>
          <w:sz w:val="20"/>
        </w:rPr>
        <w:noBreakHyphen/>
        <w:t>level indirect subsidiary — Foreign judgment debtor served ex juris at U.S. head office — Subsidiary served in juris at place of business in Ontario — Whether a real and substantial connection must exist between defendant or dispute and Ontario for jurisdiction to be established — Whether Ontario courts have jurisdiction over foreign judgment debtor’s subsidiary when subsidiary is a third party to the judgment for which recognition and enforcement is sought.</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The oil</w:t>
      </w:r>
      <w:r w:rsidRPr="001F2C7B">
        <w:rPr>
          <w:sz w:val="20"/>
        </w:rPr>
        <w:noBreakHyphen/>
        <w:t>rich Lago Agrio region of Ecuador has long attracted the exploration and extraction activities of global oil companies, including Texaco. As a result of those activities, the region is said to have suffered extensive environmental pollution that has disrupted the lives and jeopardized the futures of its residents. For over 20 years, the 47 respondents/plaintiffs, who represent approximately 30,000 indigenous Ecuadorian villagers, have been seeking legal accountability and financial and environmental reparation for harms they allegedly suffered due to Texaco’s former operations in the region. Texaco has since merged with Chevron, a U.S. corporation. The Appellate Division of the Provincial Court of Justice of Sucumbíos affirmed an Ecuadorian trial judge’s award of US$8.6 billion in environmental damages and US$8.6 billion in punitive damages against Chevron. Ecuador’s Court of Cassation upheld the judgment except on the issue of punitive damages. In the end, the total amount owed was reduced to US$9.51 billion.</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Since the initial judgment, Chevron has fought the plaintiffs in the U.S. courts and has refused to acknowledge or pay the debt. As Chevron does not hold any Ecuadorian assets, the plaintiffs commenced an action for recognition and enforcement of the Ecuadorian judgment in the Ontario Superior Court of Justice. It served Chevron at its head office in California, and served Chevron Canada, a seventh</w:t>
      </w:r>
      <w:r w:rsidRPr="001F2C7B">
        <w:rPr>
          <w:sz w:val="20"/>
        </w:rPr>
        <w:noBreakHyphen/>
        <w:t>level indirect subsidiary of Chevron, first at an extra</w:t>
      </w:r>
      <w:r w:rsidRPr="001F2C7B">
        <w:rPr>
          <w:sz w:val="20"/>
        </w:rPr>
        <w:noBreakHyphen/>
        <w:t xml:space="preserve">provincially registered office in British Columbia, and then at its place of business in Ontario. </w:t>
      </w:r>
      <w:r w:rsidRPr="001F2C7B">
        <w:rPr>
          <w:i/>
          <w:sz w:val="20"/>
        </w:rPr>
        <w:t>Inter alia</w:t>
      </w:r>
      <w:r w:rsidRPr="001F2C7B">
        <w:rPr>
          <w:sz w:val="20"/>
        </w:rPr>
        <w:t xml:space="preserve">, the plaintiffs sought the Canadian equivalent of the award resulting from the judgment of the Appellate Division of the Provincial Court of Justice of Sucumbíos. Chevron and Chevron Canada each sought orders setting aside service </w:t>
      </w:r>
      <w:r w:rsidRPr="001F2C7B">
        <w:rPr>
          <w:i/>
          <w:sz w:val="20"/>
        </w:rPr>
        <w:t xml:space="preserve">ex juris </w:t>
      </w:r>
      <w:r w:rsidRPr="001F2C7B">
        <w:rPr>
          <w:sz w:val="20"/>
        </w:rPr>
        <w:t>of the amended statement of claim, declaring that the court had no jurisdiction to hear the action, and dismissing or permanently staying the action.</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 xml:space="preserve">The motion judge ruled in the plaintiffs’ favour with respect to jurisdiction. However, he exercised the court’s power to stay the proceeding on its own initiative pursuant to s. 106 of the Ontario </w:t>
      </w:r>
      <w:r w:rsidRPr="001F2C7B">
        <w:rPr>
          <w:i/>
          <w:sz w:val="20"/>
        </w:rPr>
        <w:t>Courts of Justice Act</w:t>
      </w:r>
      <w:r w:rsidRPr="001F2C7B">
        <w:rPr>
          <w:sz w:val="20"/>
        </w:rPr>
        <w:t>. The Court of Appeal held this was not an appropriate case in which to impose a discretionary stay under s. 106. On the jurisdictional issue, it held that, as the foreign court had a real and substantial connection with the subject matter of the dispute or with the defendant, an Ontario court has jurisdiction to determine whether the foreign judgment should be recognized and enforced in Ontario against Chevron. With respect to Chevron Canada, in view of its bricks</w:t>
      </w:r>
      <w:r w:rsidRPr="001F2C7B">
        <w:rPr>
          <w:sz w:val="20"/>
        </w:rPr>
        <w:noBreakHyphen/>
        <w:t>and</w:t>
      </w:r>
      <w:r w:rsidRPr="001F2C7B">
        <w:rPr>
          <w:sz w:val="20"/>
        </w:rPr>
        <w:noBreakHyphen/>
        <w:t>mortar business in Ontario and its significant relationship with Chevron, the Court of Appeal found that an Ontario court has jurisdiction to adjudicate a recognition and enforcement action that also named it as a defendant.</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r>
      <w:r w:rsidRPr="001F2C7B">
        <w:rPr>
          <w:i/>
          <w:sz w:val="20"/>
        </w:rPr>
        <w:t>Held</w:t>
      </w:r>
      <w:r w:rsidRPr="001F2C7B">
        <w:rPr>
          <w:sz w:val="20"/>
        </w:rPr>
        <w:t>: The appeal should be dismissed.</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 xml:space="preserve">Canadian courts, like many others, have adopted a generous and liberal approach to the recognition and enforcement of foreign judgments. To recognize and enforce such a judgment, the only prerequisite is that the foreign court had a real and substantial connection with the litigants or with the subject matter of the dispute, or that the traditional bases of jurisdiction were satisfied. There is no need to demonstrate a real and substantial connection between the dispute or the defendant and the enforcing forum. In actions to recognize and enforce foreign judgments within the limits of the province, it is the act of service on the basis of a foreign judgment that grants an Ontario court jurisdiction over the defendant. To conclude otherwise would undermine the important values of order and fairness that underlie all conflicts </w:t>
      </w:r>
      <w:r w:rsidRPr="001F2C7B">
        <w:rPr>
          <w:sz w:val="20"/>
        </w:rPr>
        <w:lastRenderedPageBreak/>
        <w:t>rules, and would be inconsistent with this Court’s statement that the doctrine of comity must be permitted to evolve concomitantly with international business relations, cross</w:t>
      </w:r>
      <w:r w:rsidRPr="001F2C7B">
        <w:rPr>
          <w:sz w:val="20"/>
        </w:rPr>
        <w:noBreakHyphen/>
        <w:t>border transactions, and mobility.</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This Court has never required there to be a real and substantial connection between the defendant or the action and the enforcing court for jurisdiction to exist in recognition and enforcement proceedings. An unambiguous statement by this Court that a real and substantial connection is not necessary will have the benefit of providing a fixed, clear and predictable rule, allowing parties to predict with reasonable confidence whether a court will assume jurisdiction in a case with an international or interprovincial aspect and will help to avert needless and wasteful jurisdictional inquiries.</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Two considerations of principle support the view that the real and substantial connection test should not be extended to an enforcing court in an action for recognition and enforcement. First, the crucial difference between an action at first instance and an action for recognition and enforcement is that, in the latter case, the only purpose of the action is to allow a pre</w:t>
      </w:r>
      <w:r w:rsidRPr="001F2C7B">
        <w:rPr>
          <w:sz w:val="20"/>
        </w:rPr>
        <w:noBreakHyphen/>
        <w:t xml:space="preserve">existing obligation to be fulfilled. As the enforcing court is not creating a new substantive obligation, there can be no concern that the parties are situated elsewhere, or that the facts underlying the dispute are properly addressed in another court. The only important element is the foreign judgment and the legal obligation it has created. Furthermore, enforcement is limited to measures that can be taken only within the confines of the jurisdiction and in accordance with its rules, and the enforcing court’s judgment has no coercive force outside its jurisdiction. Similarly, enforcement is limited to seizable assets found within its territory. As a result, any potential constitutional concerns relating to conflict of laws simply do not arise in recognition and enforcement cases: since the obligation created by a foreign judgment is universal, each jurisdiction has an equal interest in the obligation resulting from the foreign judgment, and no concern about territorial overreach could emerge. </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 xml:space="preserve">Beyond this, it must be remembered that the notion of comity has consistently been found to underlie Canadian recognition and enforcement law. The need to acknowledge and show respect for the legal action of other states has consistently remained one of comity’s core components, and militates in favour of recognition and enforcement. Legitimate judicial acts should be respected and enforced, not sidetracked or ignored. The goal of modern conflicts systems rests on the principle of comity, which calls for the promotion of order and fairness, an attitude of respect and deference to other states, and a degree of stability and predictability in order to facilitate reciprocity. This is true of all areas of private international law, including the recognition and enforcement of foreign judgments. In recognition and enforcement proceedings, order and fairness are protected by ensuring that a real and substantial connection existed between the foreign court and the underlying dispute. If such a connection did not exist, or if the defendant was not present in or attorn to the foreign jurisdiction, the resulting judgment will not be recognized and enforced in Canada. No unfairness results to judgment debtors from having to defend against recognition and enforcement proceedings — through their own behaviour and legal noncompliance, they have made themselves the subject of outstanding obligations, so they may be called upon to answer for their debts in various jurisdictions. They are also provided with the opportunity to convince the enforcing court that there is another reason why recognition and enforcement should not be granted. Requiring a defendant to be present or to have assets in the enforcing jurisdiction would only undermine order and fairness: presence will frequently be absent given the very nature of the proceeding at issue, and requiring assets in the enforcing jurisdiction when recognition and enforcement proceedings are instituted would risk depriving creditors of access to funds that might eventually enter the jurisdiction. In today’s globalized world and electronic age, to require that a judgment creditor wait until the foreign debtor is present or has assets in the province before a court can find that it has jurisdiction in recognition and enforcement proceedings would be to turn a blind eye to current economic reality. </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Finding that there is no requirement of a real and substantial connection between the defendant or the action and the enforcing court in an action for recognition and enforcement is also supported by the choices made by the Ontario legislature, all other common law provinces and territories, Quebec, other international common law jurisdictions and most Canadian conflict of laws scholars.</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 xml:space="preserve">In this case, jurisdiction is established with respect to Chevron. It attorned to the jurisdiction of the Ecuadorian courts, it was served </w:t>
      </w:r>
      <w:r w:rsidRPr="001F2C7B">
        <w:rPr>
          <w:i/>
          <w:sz w:val="20"/>
        </w:rPr>
        <w:t>ex juris</w:t>
      </w:r>
      <w:r w:rsidRPr="001F2C7B">
        <w:rPr>
          <w:sz w:val="20"/>
        </w:rPr>
        <w:t xml:space="preserve"> at its head office, and the amended statement of claim alleged that it was a foreign debtor pursuant to a judgment of an Ecuadorian court. While this judgment has since been varied by a higher court, this occurred after the amended statement of claim had been filed; even if the total amount owed was reduced, the judgment remains largely intact. The plaintiffs have sufficiently pleaded the Ontario courts’ jurisdiction over Chevron.</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lastRenderedPageBreak/>
        <w:tab/>
        <w:t>The question of whether jurisdiction exists over Chevron Canada should begin and end with traditional, presence</w:t>
      </w:r>
      <w:r w:rsidRPr="001F2C7B">
        <w:rPr>
          <w:sz w:val="20"/>
        </w:rPr>
        <w:noBreakHyphen/>
        <w:t>based jurisdiction. Where jurisdiction stems from the defendant’s presence in the jurisdiction, there is no need to consider whether a real and substantial connection exists. To establish traditional, presence</w:t>
      </w:r>
      <w:r w:rsidRPr="001F2C7B">
        <w:rPr>
          <w:sz w:val="20"/>
        </w:rPr>
        <w:noBreakHyphen/>
        <w:t>based jurisdiction over an out</w:t>
      </w:r>
      <w:r w:rsidRPr="001F2C7B">
        <w:rPr>
          <w:sz w:val="20"/>
        </w:rPr>
        <w:noBreakHyphen/>
        <w:t>of</w:t>
      </w:r>
      <w:r w:rsidRPr="001F2C7B">
        <w:rPr>
          <w:sz w:val="20"/>
        </w:rPr>
        <w:noBreakHyphen/>
        <w:t>province corporate defendant, it must be shown that the defendant was carrying on business in the forum at the time of the action. This is a question of fact: the court must inquire into whether the company has some direct or indirect presence in the state asserting jurisdiction, accompanied by a degree of business activity which is sustained for a period of time. Here, the motion judge’s factual findings have not been contested. They are sufficient to establish presence</w:t>
      </w:r>
      <w:r w:rsidRPr="001F2C7B">
        <w:rPr>
          <w:sz w:val="20"/>
        </w:rPr>
        <w:noBreakHyphen/>
        <w:t>based jurisdiction. Chevron Canada has a physical office in Ontario, where it was served. Its business activities at this office are sustained; it has representatives who provide services to customers in the province. Canadian courts have found that jurisdiction exists in such circumstances. The motion judge’s analysis was correct, and the Ontario Court of Appeal had no need to go beyond these considerations to find jurisdiction.</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The establishment of jurisdiction does not mean that the plaintiffs will necessarily succeed in having the Ecuadorian judgment recognized and enforced. A finding of jurisdiction does nothing more than afford the plaintiffs the opportunity to seek recognition and enforcement of the Ecuadorian judgment. Once past the jurisdictional stage, Chevron and Chevron Canada can use the available procedural tools to try to dispose of the plaintiffs’ allegations. This possibility is foreign to and remote from the questions that must be resolved on this appeal. Further, the conclusion that the Ontario courts have jurisdiction in this case should not be understood to prejudice future arguments with respect to the distinct corporate personalities of Chevron and Chevron Canada or whether Chevron Canada’s shares or assets will be available to satisfy Chevron’s debt.</w:t>
      </w:r>
    </w:p>
    <w:p w:rsidR="000D55D8" w:rsidRDefault="000D55D8" w:rsidP="000D55D8">
      <w:pPr>
        <w:pStyle w:val="SCCNormalDoubleSpacing"/>
        <w:spacing w:line="240" w:lineRule="auto"/>
        <w:rPr>
          <w:sz w:val="20"/>
        </w:rPr>
      </w:pPr>
    </w:p>
    <w:p w:rsidR="000D55D8" w:rsidRPr="001F2C7B" w:rsidRDefault="000D55D8" w:rsidP="000D55D8">
      <w:pPr>
        <w:pStyle w:val="SCCNormalDoubleSpacing"/>
        <w:spacing w:line="240" w:lineRule="auto"/>
        <w:rPr>
          <w:sz w:val="20"/>
        </w:rPr>
      </w:pPr>
      <w:r w:rsidRPr="001F2C7B">
        <w:rPr>
          <w:sz w:val="20"/>
        </w:rPr>
        <w:tab/>
        <w:t>APPEAL from a judgment of the Ontario Court of Appeal (MacPherson, Gillese and Hourigan JJ.A.), 2013 ONCA 758, 118 O.R. (3d) 1, 313 O.A.C. 285, 370 D.L.R. (4th) 132, 52 C.P.C. (7th) 229, 15 B.L.R. (5th) 285, [2013] O.J. No. 5719 (QL), 2013 CarswellOnt 17574 (WL Can.), setting aside a decision of Brown J., 2013 ONSC 2527, 361 D.L.R. (4th) 489, 15 B.L.R. (5th) 226, [2013] O.J. No. 1955 (QL), 2013 CarswellOnt 5729 (WL Can.). Appeal dismissed.</w:t>
      </w:r>
    </w:p>
    <w:p w:rsidR="000D55D8" w:rsidRDefault="000D55D8" w:rsidP="000D55D8">
      <w:pPr>
        <w:pStyle w:val="SCCNormalDoubleSpacing"/>
        <w:spacing w:line="240" w:lineRule="auto"/>
        <w:rPr>
          <w:i/>
          <w:sz w:val="20"/>
        </w:rPr>
      </w:pPr>
    </w:p>
    <w:p w:rsidR="000D55D8" w:rsidRPr="001F2C7B" w:rsidRDefault="000D55D8" w:rsidP="000D55D8">
      <w:pPr>
        <w:pStyle w:val="SCCNormalDoubleSpacing"/>
        <w:spacing w:line="240" w:lineRule="auto"/>
        <w:rPr>
          <w:sz w:val="20"/>
        </w:rPr>
      </w:pPr>
      <w:r w:rsidRPr="001F2C7B">
        <w:rPr>
          <w:i/>
          <w:sz w:val="20"/>
        </w:rPr>
        <w:tab/>
        <w:t>Clarke Hunter, Q.C.</w:t>
      </w:r>
      <w:r w:rsidRPr="001F2C7B">
        <w:rPr>
          <w:sz w:val="20"/>
        </w:rPr>
        <w:t xml:space="preserve">, </w:t>
      </w:r>
      <w:r w:rsidRPr="001F2C7B">
        <w:rPr>
          <w:i/>
          <w:sz w:val="20"/>
        </w:rPr>
        <w:t xml:space="preserve">Anne Kirker, Q.C., </w:t>
      </w:r>
      <w:r w:rsidRPr="001F2C7B">
        <w:rPr>
          <w:sz w:val="20"/>
        </w:rPr>
        <w:t xml:space="preserve">and </w:t>
      </w:r>
      <w:r w:rsidRPr="001F2C7B">
        <w:rPr>
          <w:i/>
          <w:sz w:val="20"/>
        </w:rPr>
        <w:t>Robert Frank</w:t>
      </w:r>
      <w:r w:rsidRPr="001F2C7B">
        <w:rPr>
          <w:sz w:val="20"/>
        </w:rPr>
        <w:t>, for the appellant Chevron Corporation.</w:t>
      </w:r>
    </w:p>
    <w:p w:rsidR="000D55D8" w:rsidRDefault="000D55D8" w:rsidP="000D55D8">
      <w:pPr>
        <w:pStyle w:val="SCCNormalDoubleSpacing"/>
        <w:spacing w:line="240" w:lineRule="auto"/>
        <w:rPr>
          <w:i/>
          <w:sz w:val="20"/>
        </w:rPr>
      </w:pPr>
    </w:p>
    <w:p w:rsidR="000D55D8" w:rsidRPr="001F2C7B" w:rsidRDefault="000D55D8" w:rsidP="000D55D8">
      <w:pPr>
        <w:pStyle w:val="SCCNormalDoubleSpacing"/>
        <w:spacing w:line="240" w:lineRule="auto"/>
        <w:rPr>
          <w:sz w:val="20"/>
        </w:rPr>
      </w:pPr>
      <w:r w:rsidRPr="001F2C7B">
        <w:rPr>
          <w:i/>
          <w:sz w:val="20"/>
        </w:rPr>
        <w:tab/>
        <w:t>Benjamin Zarnett</w:t>
      </w:r>
      <w:r w:rsidRPr="001F2C7B">
        <w:rPr>
          <w:sz w:val="20"/>
        </w:rPr>
        <w:t xml:space="preserve">, </w:t>
      </w:r>
      <w:r w:rsidRPr="001F2C7B">
        <w:rPr>
          <w:i/>
          <w:sz w:val="20"/>
        </w:rPr>
        <w:t>Suzy Kauffman</w:t>
      </w:r>
      <w:r w:rsidRPr="001F2C7B">
        <w:rPr>
          <w:sz w:val="20"/>
        </w:rPr>
        <w:t xml:space="preserve"> and </w:t>
      </w:r>
      <w:r w:rsidRPr="001F2C7B">
        <w:rPr>
          <w:i/>
          <w:sz w:val="20"/>
        </w:rPr>
        <w:t>Peter Kolla</w:t>
      </w:r>
      <w:r w:rsidRPr="001F2C7B">
        <w:rPr>
          <w:sz w:val="20"/>
        </w:rPr>
        <w:t>, for the appellant Chevron Canada Limited.</w:t>
      </w:r>
    </w:p>
    <w:p w:rsidR="000D55D8" w:rsidRDefault="000D55D8" w:rsidP="000D55D8">
      <w:pPr>
        <w:pStyle w:val="SCCNormalDoubleSpacing"/>
        <w:spacing w:line="240" w:lineRule="auto"/>
        <w:rPr>
          <w:i/>
          <w:sz w:val="20"/>
        </w:rPr>
      </w:pPr>
    </w:p>
    <w:p w:rsidR="000D55D8" w:rsidRPr="001F2C7B" w:rsidRDefault="000D55D8" w:rsidP="000D55D8">
      <w:pPr>
        <w:pStyle w:val="SCCNormalDoubleSpacing"/>
        <w:spacing w:line="240" w:lineRule="auto"/>
        <w:rPr>
          <w:sz w:val="20"/>
        </w:rPr>
      </w:pPr>
      <w:r w:rsidRPr="001F2C7B">
        <w:rPr>
          <w:i/>
          <w:sz w:val="20"/>
        </w:rPr>
        <w:tab/>
        <w:t>Alan J. Lenczner, Q.C.,</w:t>
      </w:r>
      <w:r w:rsidRPr="001F2C7B">
        <w:rPr>
          <w:sz w:val="20"/>
        </w:rPr>
        <w:t xml:space="preserve"> </w:t>
      </w:r>
      <w:r w:rsidRPr="001F2C7B">
        <w:rPr>
          <w:i/>
          <w:sz w:val="20"/>
        </w:rPr>
        <w:t>Brendan F. Morrison</w:t>
      </w:r>
      <w:r w:rsidRPr="001F2C7B">
        <w:rPr>
          <w:sz w:val="20"/>
        </w:rPr>
        <w:t xml:space="preserve"> and </w:t>
      </w:r>
      <w:r w:rsidRPr="001F2C7B">
        <w:rPr>
          <w:i/>
          <w:sz w:val="20"/>
        </w:rPr>
        <w:t>Chris J. Hutchison</w:t>
      </w:r>
      <w:r w:rsidRPr="001F2C7B">
        <w:rPr>
          <w:sz w:val="20"/>
        </w:rPr>
        <w:t>, for the respondents.</w:t>
      </w:r>
    </w:p>
    <w:p w:rsidR="000D55D8" w:rsidRDefault="000D55D8" w:rsidP="000D55D8">
      <w:pPr>
        <w:pStyle w:val="SCCNormalDoubleSpacing"/>
        <w:spacing w:line="240" w:lineRule="auto"/>
        <w:rPr>
          <w:i/>
          <w:sz w:val="20"/>
        </w:rPr>
      </w:pPr>
    </w:p>
    <w:p w:rsidR="000D55D8" w:rsidRPr="001F2C7B" w:rsidRDefault="000D55D8" w:rsidP="000D55D8">
      <w:pPr>
        <w:pStyle w:val="SCCNormalDoubleSpacing"/>
        <w:spacing w:line="240" w:lineRule="auto"/>
        <w:rPr>
          <w:sz w:val="20"/>
        </w:rPr>
      </w:pPr>
      <w:r w:rsidRPr="001F2C7B">
        <w:rPr>
          <w:i/>
          <w:sz w:val="20"/>
        </w:rPr>
        <w:tab/>
        <w:t>Murray Klippenstein</w:t>
      </w:r>
      <w:r w:rsidRPr="001F2C7B">
        <w:rPr>
          <w:sz w:val="20"/>
        </w:rPr>
        <w:t xml:space="preserve">, </w:t>
      </w:r>
      <w:r w:rsidRPr="001F2C7B">
        <w:rPr>
          <w:i/>
          <w:sz w:val="20"/>
        </w:rPr>
        <w:t xml:space="preserve">Renu Mandhane </w:t>
      </w:r>
      <w:r w:rsidRPr="001F2C7B">
        <w:rPr>
          <w:sz w:val="20"/>
        </w:rPr>
        <w:t>and</w:t>
      </w:r>
      <w:r w:rsidRPr="001F2C7B">
        <w:rPr>
          <w:i/>
          <w:sz w:val="20"/>
        </w:rPr>
        <w:t xml:space="preserve"> W. Cory Wanless</w:t>
      </w:r>
      <w:r w:rsidRPr="001F2C7B">
        <w:rPr>
          <w:sz w:val="20"/>
        </w:rPr>
        <w:t>, for the interveners the International Human Rights Program at the University of Toronto Faculty of Law, MiningWatch Canada and the Canadian Centre for International Justice.</w:t>
      </w:r>
    </w:p>
    <w:p w:rsidR="000D55D8" w:rsidRDefault="000D55D8" w:rsidP="000D55D8">
      <w:pPr>
        <w:pStyle w:val="SCCNormalDoubleSpacing"/>
        <w:spacing w:line="240" w:lineRule="auto"/>
        <w:rPr>
          <w:i/>
          <w:sz w:val="20"/>
        </w:rPr>
      </w:pPr>
    </w:p>
    <w:p w:rsidR="000D55D8" w:rsidRPr="001F2C7B" w:rsidRDefault="000D55D8" w:rsidP="000D55D8">
      <w:pPr>
        <w:pStyle w:val="SCCNormalDoubleSpacing"/>
        <w:spacing w:line="240" w:lineRule="auto"/>
        <w:rPr>
          <w:sz w:val="20"/>
        </w:rPr>
      </w:pPr>
      <w:r w:rsidRPr="001F2C7B">
        <w:rPr>
          <w:i/>
          <w:sz w:val="20"/>
        </w:rPr>
        <w:tab/>
        <w:t xml:space="preserve">A. Dimitri Lascaris </w:t>
      </w:r>
      <w:r w:rsidRPr="001F2C7B">
        <w:rPr>
          <w:sz w:val="20"/>
        </w:rPr>
        <w:t>and</w:t>
      </w:r>
      <w:r w:rsidRPr="001F2C7B">
        <w:rPr>
          <w:i/>
          <w:sz w:val="20"/>
        </w:rPr>
        <w:t xml:space="preserve"> James Yap</w:t>
      </w:r>
      <w:r w:rsidRPr="001F2C7B">
        <w:rPr>
          <w:sz w:val="20"/>
        </w:rPr>
        <w:t>, for the intervener the Justice and Corporate Accountability Project.</w:t>
      </w:r>
    </w:p>
    <w:p w:rsidR="000D55D8" w:rsidRDefault="000D55D8" w:rsidP="000D55D8">
      <w:pPr>
        <w:pStyle w:val="SCCLawFirm"/>
        <w:spacing w:line="240" w:lineRule="auto"/>
        <w:rPr>
          <w:sz w:val="20"/>
        </w:rPr>
      </w:pPr>
    </w:p>
    <w:p w:rsidR="000D55D8" w:rsidRPr="001F2C7B" w:rsidRDefault="000D55D8" w:rsidP="000D55D8">
      <w:pPr>
        <w:pStyle w:val="SCCLawFirm"/>
        <w:spacing w:line="240" w:lineRule="auto"/>
        <w:rPr>
          <w:sz w:val="20"/>
        </w:rPr>
      </w:pPr>
      <w:r w:rsidRPr="001F2C7B">
        <w:rPr>
          <w:sz w:val="20"/>
        </w:rPr>
        <w:tab/>
        <w:t>Solicitors for the appellant Chevron Corporation: Norton Rose Fulbright Canada, Calgary and Toronto.</w:t>
      </w:r>
    </w:p>
    <w:p w:rsidR="000D55D8" w:rsidRDefault="000D55D8" w:rsidP="000D55D8">
      <w:pPr>
        <w:pStyle w:val="SCCLawFirm"/>
        <w:spacing w:line="240" w:lineRule="auto"/>
        <w:rPr>
          <w:sz w:val="20"/>
        </w:rPr>
      </w:pPr>
    </w:p>
    <w:p w:rsidR="000D55D8" w:rsidRPr="001F2C7B" w:rsidRDefault="000D55D8" w:rsidP="000D55D8">
      <w:pPr>
        <w:pStyle w:val="SCCLawFirm"/>
        <w:spacing w:line="240" w:lineRule="auto"/>
        <w:rPr>
          <w:sz w:val="20"/>
        </w:rPr>
      </w:pPr>
      <w:r w:rsidRPr="001F2C7B">
        <w:rPr>
          <w:sz w:val="20"/>
        </w:rPr>
        <w:tab/>
        <w:t>Solicitors for the appellant Chevron Canada Limited: Goodmans, Toronto.</w:t>
      </w:r>
    </w:p>
    <w:p w:rsidR="000D55D8" w:rsidRDefault="000D55D8" w:rsidP="000D55D8">
      <w:pPr>
        <w:pStyle w:val="SCCLawFirm"/>
        <w:spacing w:line="240" w:lineRule="auto"/>
        <w:rPr>
          <w:sz w:val="20"/>
        </w:rPr>
      </w:pPr>
    </w:p>
    <w:p w:rsidR="000D55D8" w:rsidRPr="001F2C7B" w:rsidRDefault="000D55D8" w:rsidP="000D55D8">
      <w:pPr>
        <w:pStyle w:val="SCCLawFirm"/>
        <w:spacing w:line="240" w:lineRule="auto"/>
        <w:rPr>
          <w:sz w:val="20"/>
        </w:rPr>
      </w:pPr>
      <w:r w:rsidRPr="001F2C7B">
        <w:rPr>
          <w:sz w:val="20"/>
        </w:rPr>
        <w:tab/>
        <w:t>Solicitors for the respondents: Lenczner Slaght Royce Smith Griffin, Toronto; Conway Baxter Wilson, Ottawa.</w:t>
      </w:r>
    </w:p>
    <w:p w:rsidR="000D55D8" w:rsidRDefault="000D55D8" w:rsidP="000D55D8">
      <w:pPr>
        <w:pStyle w:val="SCCLawFirm"/>
        <w:spacing w:line="240" w:lineRule="auto"/>
        <w:rPr>
          <w:sz w:val="20"/>
        </w:rPr>
      </w:pPr>
    </w:p>
    <w:p w:rsidR="000D55D8" w:rsidRPr="001F2C7B" w:rsidRDefault="000D55D8" w:rsidP="000D55D8">
      <w:pPr>
        <w:pStyle w:val="SCCLawFirm"/>
        <w:spacing w:line="240" w:lineRule="auto"/>
        <w:rPr>
          <w:sz w:val="20"/>
        </w:rPr>
      </w:pPr>
      <w:r w:rsidRPr="001F2C7B">
        <w:rPr>
          <w:sz w:val="20"/>
        </w:rPr>
        <w:tab/>
        <w:t>Solicitors for the interveners the International Human Rights Program at the University of Toronto Faculty of Law, MiningWatch Canada and the Canadian Centre for International Justice: Klippensteins, Toronto; University of Toronto, Toronto.</w:t>
      </w:r>
    </w:p>
    <w:p w:rsidR="000D55D8" w:rsidRDefault="000D55D8" w:rsidP="000D55D8">
      <w:pPr>
        <w:pStyle w:val="SCCLawFirm"/>
        <w:spacing w:line="240" w:lineRule="auto"/>
        <w:rPr>
          <w:sz w:val="20"/>
        </w:rPr>
      </w:pPr>
    </w:p>
    <w:p w:rsidR="000D55D8" w:rsidRDefault="000D55D8" w:rsidP="000D55D8">
      <w:pPr>
        <w:pStyle w:val="SCCLawFirm"/>
        <w:spacing w:line="240" w:lineRule="auto"/>
        <w:rPr>
          <w:sz w:val="20"/>
        </w:rPr>
      </w:pPr>
      <w:r w:rsidRPr="001F2C7B">
        <w:rPr>
          <w:sz w:val="20"/>
        </w:rPr>
        <w:tab/>
        <w:t>Solicitors for the intervener the Justice and Corporate Accountability Project: Siskinds, London.</w:t>
      </w:r>
    </w:p>
    <w:p w:rsidR="0052229C" w:rsidRPr="000D55D8" w:rsidRDefault="0052229C" w:rsidP="0052229C">
      <w:pPr>
        <w:rPr>
          <w:rFonts w:cs="Times New Roman"/>
          <w:sz w:val="20"/>
          <w:szCs w:val="20"/>
          <w:lang w:val="fr-CA"/>
        </w:rPr>
      </w:pPr>
      <w:r w:rsidRPr="000D55D8">
        <w:rPr>
          <w:rFonts w:cs="Times New Roman"/>
          <w:sz w:val="20"/>
          <w:szCs w:val="20"/>
          <w:lang w:val="fr-CA"/>
        </w:rPr>
        <w:t>________________________</w:t>
      </w:r>
    </w:p>
    <w:p w:rsidR="000D55D8" w:rsidRDefault="000D55D8">
      <w:pPr>
        <w:rPr>
          <w:rFonts w:cs="Times New Roman"/>
          <w:sz w:val="20"/>
          <w:szCs w:val="20"/>
          <w:lang w:val="fr-CA"/>
        </w:rPr>
      </w:pPr>
      <w:r>
        <w:rPr>
          <w:rFonts w:cs="Times New Roman"/>
          <w:sz w:val="20"/>
          <w:szCs w:val="20"/>
          <w:lang w:val="fr-CA"/>
        </w:rPr>
        <w:br w:type="page"/>
      </w:r>
    </w:p>
    <w:p w:rsidR="000D55D8" w:rsidRPr="001F0492" w:rsidRDefault="000D55D8" w:rsidP="000D55D8">
      <w:pPr>
        <w:jc w:val="both"/>
        <w:rPr>
          <w:sz w:val="20"/>
          <w:szCs w:val="20"/>
          <w:lang w:val="fr-CA"/>
        </w:rPr>
      </w:pPr>
      <w:r w:rsidRPr="001F0492">
        <w:rPr>
          <w:sz w:val="20"/>
          <w:szCs w:val="20"/>
          <w:lang w:val="fr-CA"/>
        </w:rPr>
        <w:lastRenderedPageBreak/>
        <w:t>Présents : La juge en chef McLachlin et les juges Abella, Rothstein, Cromwell, Karakatsanis, Wagner et Gascon.</w:t>
      </w:r>
    </w:p>
    <w:p w:rsidR="000D55D8" w:rsidRDefault="000D55D8" w:rsidP="000D55D8">
      <w:pPr>
        <w:jc w:val="both"/>
        <w:rPr>
          <w:smallCaps/>
          <w:sz w:val="20"/>
          <w:lang w:val="fr-CA"/>
        </w:rPr>
      </w:pPr>
    </w:p>
    <w:p w:rsidR="000D55D8" w:rsidRPr="001F0492" w:rsidRDefault="000D55D8" w:rsidP="000D55D8">
      <w:pPr>
        <w:pStyle w:val="SCCNormalDoubleSpacing"/>
        <w:spacing w:line="240" w:lineRule="auto"/>
        <w:rPr>
          <w:i/>
          <w:sz w:val="20"/>
          <w:lang w:val="fr-CA"/>
        </w:rPr>
      </w:pPr>
      <w:r w:rsidRPr="001F0492">
        <w:rPr>
          <w:sz w:val="20"/>
          <w:lang w:val="fr-CA"/>
        </w:rPr>
        <w:tab/>
      </w:r>
      <w:r w:rsidRPr="001F0492">
        <w:rPr>
          <w:i/>
          <w:sz w:val="20"/>
          <w:lang w:val="fr-CA"/>
        </w:rPr>
        <w:t>Droit international privé — Jugements étrangers — Reconnaissance — Exécution — Demande de reconnaissance et d’exécution d’un jugement étranger présentée en Ontario par le créancier judiciaire à l’encontre du débiteur judiciaire américain et de sa filiale canadienne indirecte au septième degré — Signification ex juris de la demande au siège social du débiteur judiciaire aux États</w:t>
      </w:r>
      <w:r w:rsidRPr="001F0492">
        <w:rPr>
          <w:i/>
          <w:sz w:val="20"/>
          <w:lang w:val="fr-CA"/>
        </w:rPr>
        <w:noBreakHyphen/>
        <w:t>Unis — Demande signifiée à la filiale à son établissement commercial en Ontario — L’établissement de la compétence du tribunal exige</w:t>
      </w:r>
      <w:r w:rsidRPr="001F0492">
        <w:rPr>
          <w:i/>
          <w:sz w:val="20"/>
          <w:lang w:val="fr-CA"/>
        </w:rPr>
        <w:noBreakHyphen/>
        <w:t>t</w:t>
      </w:r>
      <w:r w:rsidRPr="001F0492">
        <w:rPr>
          <w:i/>
          <w:sz w:val="20"/>
          <w:lang w:val="fr-CA"/>
        </w:rPr>
        <w:noBreakHyphen/>
        <w:t>elle l’existence d’un lien réel et substantiel entre le défendeur ou le litige et l’Ontario? — Les tribunaux ontariens ont</w:t>
      </w:r>
      <w:r w:rsidRPr="001F0492">
        <w:rPr>
          <w:i/>
          <w:sz w:val="20"/>
          <w:lang w:val="fr-CA"/>
        </w:rPr>
        <w:noBreakHyphen/>
        <w:t xml:space="preserve">ils compétence à l’égard de la filiale d’un débiteur en vertu d’un jugement étranger alors que cette filiale est une tierce partie au jugement dont on demande la reconnaissance et l’exécution?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La région riche en pétrole de Lago Agrio, en Équateur, attire depuis longtemps les activités d’exploration et d’extraction de sociétés pétrolières multinationales, y compris Texaco. En raison de ces activités, la région aurait subi une pollution environnementale importante qui a eu pour effet de perturber les vies et de compromettre l’avenir des personnes qui y vivent. Depuis plus de 20 ans, les 47 intimés, les demandeurs, qui représentent environ 30 000 villageois autochtones de l’Équateur, tentent de faire reconnaître la responsabilité juridique et d’obtenir une réparation financière et environnementale pour les préjudices qu’ils auraient subis en raison des activités exercées auparavant par Texaco dans la région. Depuis lors, Texaco a fusionné avec Chevron, une société par actions américaine. La section d’appel de la Cour provinciale de justice de Sucumbíos a confirmé le jugement de première instance rendu en Équateur condamnant Chevron à verser 8,6 milliards de dollars US en dommages</w:t>
      </w:r>
      <w:r w:rsidRPr="001F0492">
        <w:rPr>
          <w:sz w:val="20"/>
          <w:lang w:val="fr-CA"/>
        </w:rPr>
        <w:noBreakHyphen/>
        <w:t>intérêts environnementaux ainsi que 8,6 milliards de dollars US en dommages</w:t>
      </w:r>
      <w:r w:rsidRPr="001F0492">
        <w:rPr>
          <w:sz w:val="20"/>
          <w:lang w:val="fr-CA"/>
        </w:rPr>
        <w:noBreakHyphen/>
        <w:t>intérêts punitifs. La Cour de cassation de l’Équateur a confirmé cette décision, sauf en ce qui concerne les dommages</w:t>
      </w:r>
      <w:r w:rsidRPr="001F0492">
        <w:rPr>
          <w:sz w:val="20"/>
          <w:lang w:val="fr-CA"/>
        </w:rPr>
        <w:noBreakHyphen/>
        <w:t xml:space="preserve">intérêts punitifs. En définitive, le montant total dû a été réduit à 9,51 milliards de dollars US.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Depuis le jugement initial, Chevron a livré bataille aux demandeurs devant les tribunaux américains et a refusé de reconnaître ou d’acquitter la dette. Puisque Chevron ne possède pas de biens en Équateur, les demandeurs ont intenté devant la Cour supérieure de justice de l’Ontario une action en reconnaissance et en exécution du jugement équatorien. L’acte introductif d’instance a été signifié à Chevron à son siège social en Californie, et il a été signifié à Chevron Canada, une filiale indirecte au septième degré de Chevron, d’abord à un bureau situé à l’extérieur de la province, en Colombie</w:t>
      </w:r>
      <w:r w:rsidRPr="001F0492">
        <w:rPr>
          <w:sz w:val="20"/>
          <w:lang w:val="fr-CA"/>
        </w:rPr>
        <w:noBreakHyphen/>
        <w:t xml:space="preserve">Britannique, et ensuite à un établissement commercial qu’elle exploite en Ontario. Les demandeurs ont réclamé notamment l’équivalent canadien du montant que leur accordait la section d’appel de la Cour provinciale de justice de Sucumbíos. Chevron et Chevron Canada ont toutes deux demandé une ordonnance annulant la signification </w:t>
      </w:r>
      <w:r w:rsidRPr="001F0492">
        <w:rPr>
          <w:i/>
          <w:sz w:val="20"/>
          <w:lang w:val="fr-CA"/>
        </w:rPr>
        <w:t>ex juris</w:t>
      </w:r>
      <w:r w:rsidRPr="001F0492">
        <w:rPr>
          <w:sz w:val="20"/>
          <w:lang w:val="fr-CA"/>
        </w:rPr>
        <w:t xml:space="preserve"> de la déclaration amendée, un jugement déclarant que la cour n’a pas compétence pour connaître de l’action et une ordonnance de rejet ou de sursis permanent de l’action.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 xml:space="preserve">Sur la question de la compétence, le juge saisi de la motion a donné gain de cause aux demandeurs. Il a toutefois exercé son pouvoir de surseoir à l’instance de son propre chef, en application de l’art. 106 de la </w:t>
      </w:r>
      <w:r w:rsidRPr="001F0492">
        <w:rPr>
          <w:i/>
          <w:sz w:val="20"/>
          <w:lang w:val="fr-CA"/>
        </w:rPr>
        <w:t>Loi sur les tribunaux judiciaires</w:t>
      </w:r>
      <w:r w:rsidRPr="001F0492">
        <w:rPr>
          <w:sz w:val="20"/>
          <w:lang w:val="fr-CA"/>
        </w:rPr>
        <w:t xml:space="preserve"> de l’Ontario. La Cour d’appel a estimé qu’il ne convenait pas en l’espèce d’imposer un sursis discrétionnaire en application de l’art. 106. Sur la question de la compétence, elle a conclu que, puisque le tribunal étranger avait un lien réel et substantiel avec l’objet du litige ou le défendeur, un tribunal ontarien avait compétence pour déterminer si le jugement étranger devait être reconnu et exécuté en Ontario contre Chevron. En ce qui concerne Chevron Canada, compte tenu de l’établissement physique, en briques et mortier, qu’elle exploitait en Ontario et du lien important qui la rattachait à Chevron, la Cour d’appel a estimé qu’un tribunal ontarien avait compétence pour trancher une action en reconnaissance et en exécution qui la constituait aussi comme défenderesse.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r>
      <w:r w:rsidRPr="001F0492">
        <w:rPr>
          <w:i/>
          <w:sz w:val="20"/>
          <w:lang w:val="fr-CA"/>
        </w:rPr>
        <w:t>Arrêt</w:t>
      </w:r>
      <w:r w:rsidRPr="001F0492">
        <w:rPr>
          <w:sz w:val="20"/>
          <w:lang w:val="fr-CA"/>
        </w:rPr>
        <w:t> </w:t>
      </w:r>
      <w:r w:rsidRPr="001F0492">
        <w:rPr>
          <w:i/>
          <w:sz w:val="20"/>
          <w:lang w:val="fr-CA"/>
        </w:rPr>
        <w:t>:</w:t>
      </w:r>
      <w:r w:rsidRPr="001F0492">
        <w:rPr>
          <w:sz w:val="20"/>
          <w:lang w:val="fr-CA"/>
        </w:rPr>
        <w:t xml:space="preserve"> Le pourvoi est rejeté.</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 xml:space="preserve">Les tribunaux canadiens, à l’instar de bien d’autres tribunaux, ont adopté une approche souple et libérale en ce qui concerne la reconnaissance et l’exécution des jugements étrangers. Pour la reconnaissance et l’exécution de ces jugements, la seule condition préalable est que le tribunal étranger ait eu un lien réel et substantiel avec les parties au litige ou avec l’objet du litige, ou que les fondements traditionnels de la compétence soient respectés. Il n’est pas nécessaire de démontrer l’existence d’un lien réel et substantiel entre le différend ou le défendeur et le ressort d’exécution. Dans les actions en reconnaissance et en exécution de jugements étrangers dans les limites de la province, c’est l’acte de signification fondé sur un jugement étranger qui confère au tribunal ontarien la compétence à l’égard d’un défendeur. Conclure autrement saperait les valeurs importantes d’ordre et d’équité qui servent de fondement à toutes les règles de droit international privé et serait incompatible avec l’affirmation de notre Cour selon laquelle le principe de la courtoisie </w:t>
      </w:r>
      <w:r w:rsidRPr="001F0492">
        <w:rPr>
          <w:sz w:val="20"/>
          <w:lang w:val="fr-CA"/>
        </w:rPr>
        <w:lastRenderedPageBreak/>
        <w:t xml:space="preserve">doit pouvoir évoluer au même rythme que les relations commerciales internationales, les opérations transfrontalières et la libre circulation d’un pays à l’autre.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Notre Cour n’a jamais, dans une demande de reconnaissance et d’exécution, assujetti la déclaration de compétence à l’existence d’un lien réel et substantiel entre le défendeur ou l’action, d’une part, et le ressort d’exécution, d’autre part. Une affirmation non équivoque par notre Cour selon laquelle l’existence d’un lien réel et substantiel n’est pas nécessaire aura l’avantage de fournir une règle fixe, claire et prévisible; elle permettra aux parties de prédire avec une certitude raisonnable si un tribunal saisi d’une situation qui présente un aspect international ou interprovincial se déclarera ou non compétent et aidera à éviter des examens de la compétence inutiles et coûteux.</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Deux considérations de principe permettent de conclure qu’il n’y a pas lieu, pour un tribunal saisi d’une action en reconnaissance et en exécution, d’appliquer le critère du lien réel et substantiel. Premièrement, la différence déterminante entre une action de première instance et une action en reconnaissance et en exécution est que dans le dernier cas, l’action a pour seul but de permettre l’acquittement d’une obligation préexistante. Puisqu’un tribunal d’exécution ne crée pas une nouvelle obligation substantielle, il importe peu que les parties se trouvent ailleurs, ou qu’il soit opportun qu’un autre tribunal traite les faits sous</w:t>
      </w:r>
      <w:r w:rsidRPr="001F0492">
        <w:rPr>
          <w:sz w:val="20"/>
          <w:lang w:val="fr-CA"/>
        </w:rPr>
        <w:noBreakHyphen/>
        <w:t xml:space="preserve">jacents au litige. Le seul élément important est le jugement étranger ainsi que l’obligation juridique qu’il a créée. De plus, l’exécution se limite à des mesures qui ne peuvent être prises que dans les limites du ressort du tribunal d’exécution et conformément à ses règles, et le jugement du tribunal d’exécution n’a aucun effet contraignant en dehors du ressort d’exécution. De même, l’exécution se limite aux biens saisissables qui se trouvent dans la province. Ainsi d’éventuelles questions d’ordre constitutionnel ayant trait au droit international privé ne se posent tout simplement pas dans une demande de reconnaissance et d’exécution : puisque l’obligation créée par le jugement étranger est universelle, chaque ressort a un intérêt égal à l’égard de l’obligation qui résulte du jugement étranger et aucun problème d’excès de compétence territoriale ne pourrait se poser.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Au</w:t>
      </w:r>
      <w:r w:rsidRPr="001F0492">
        <w:rPr>
          <w:sz w:val="20"/>
          <w:lang w:val="fr-CA"/>
        </w:rPr>
        <w:noBreakHyphen/>
        <w:t>delà de ces considérations, il faut se rappeler que la notion de courtoisie sous</w:t>
      </w:r>
      <w:r w:rsidRPr="001F0492">
        <w:rPr>
          <w:sz w:val="20"/>
          <w:lang w:val="fr-CA"/>
        </w:rPr>
        <w:noBreakHyphen/>
        <w:t>tend le droit canadien en matière de reconnaissance et d’exécution. Le besoin de reconnaître et respecter les mesures juridiques prises par d’autres États est invariablement demeuré un des éléments au cœur de ce principe, et la courtoisie milite en faveur de la reconnaissance et de l’exécution. Il convient de respecter et d’exécuter les actes judiciaires légitimes et non pas de les écarter ou d’en faire abstraction. Le système moderne de droit international privé repose sur le principe de la courtoisie, qui appelle à la promotion de l’ordre et de l’équité, une attitude de respect et de déférence envers les autres États, et un degré de stabilité et de prévisibilité pour faciliter la réciprocité. Ce principe s’applique à tous les domaines du droit international privé, y compris celui de la reconnaissance et l’exécution des jugements étrangers. Dans une demande de reconnaissance et d’exécution, la protection de l’ordre et de l’équité est déjà assurée par l’existence d’un lien réel et substantiel entre le tribunal étranger et le litige sous</w:t>
      </w:r>
      <w:r w:rsidRPr="001F0492">
        <w:rPr>
          <w:sz w:val="20"/>
          <w:lang w:val="fr-CA"/>
        </w:rPr>
        <w:noBreakHyphen/>
        <w:t>jacent. Faute d’un tel lien, ou si le défendeur ne se trouvait pas dans le ressort étranger ou n’a pas acquiescé à la compétence de ses tribunaux, le jugement rendu ne sera pas reconnu et exécuté au Canada. Il n’y a rien d’injuste à ce qu’un débiteur judiciaire doive opposer une défense à une demande de reconnaissance et d’exécution — par son propre comportement et le non</w:t>
      </w:r>
      <w:r w:rsidRPr="001F0492">
        <w:rPr>
          <w:sz w:val="20"/>
          <w:lang w:val="fr-CA"/>
        </w:rPr>
        <w:noBreakHyphen/>
        <w:t>respect d’un jugement, il s’est lui</w:t>
      </w:r>
      <w:r w:rsidRPr="001F0492">
        <w:rPr>
          <w:sz w:val="20"/>
          <w:lang w:val="fr-CA"/>
        </w:rPr>
        <w:noBreakHyphen/>
        <w:t xml:space="preserve">même rendu redevable d’une obligation en souffrance et il peut être appelé par divers ressorts à acquitter sa dette. Il a également l’occasion de convaincre le tribunal d’exécution qu’il existe une autre raison de ne pas faire droit à la demande de reconnaissance et d’exécution. Exiger la présence du défendeur ou de ses biens dans la province du tribunal d’exécution ne ferait que miner l’ordre et l’équité : le défendeur y est souvent absent vu la nature même de la demande en cause, et exiger la présence de biens dans le ressort lorsqu’est introduite la demande de reconnaissance et d’exécution risquerait de priver les créanciers de fonds qui pourraient éventuellement se trouver dans le ressort. À l’ère de la mondialisation et des échanges électroniques, obliger un créancier judiciaire à attendre que le débiteur étranger ou ses biens se trouvent dans la province avant qu’un tribunal reconnaisse sa compétence dans une demande de reconnaissance et d’exécution reviendrait à faire abstraction de la réalité économique actuelle.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Les choix qu’ont exercé le législateur ontarien, toutes les provinces de common law et les territoires, le Québec, des ressorts de common law dans d’autres pays ainsi que la plupart des auteurs d’ouvrages canadiens de doctrine en droit international privé viennent également appuyer la conclusion que, dans une action en reconnaissance et en exécution, il n’est pas nécessaire d’exiger l’existence d’un lien réel et substantiel entre le défendeur ou l’action, d’une part, et le ressort d’exécution, d’autre part.</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 xml:space="preserve">En l’espèce, la compétence est établie à l’égard de Chevron. Elle a acquiescé à la compétence des tribunaux équatoriens, la demande lui a été signifiée </w:t>
      </w:r>
      <w:r w:rsidRPr="001F0492">
        <w:rPr>
          <w:i/>
          <w:sz w:val="20"/>
          <w:lang w:val="fr-CA"/>
        </w:rPr>
        <w:t>ex juris</w:t>
      </w:r>
      <w:r w:rsidRPr="001F0492">
        <w:rPr>
          <w:sz w:val="20"/>
          <w:lang w:val="fr-CA"/>
        </w:rPr>
        <w:t xml:space="preserve"> à son siège social, et dans leur déclaration amendée, les demandeurs </w:t>
      </w:r>
      <w:r w:rsidRPr="001F0492">
        <w:rPr>
          <w:sz w:val="20"/>
          <w:lang w:val="fr-CA"/>
        </w:rPr>
        <w:lastRenderedPageBreak/>
        <w:t>ont affirmé qu’elle était un débiteur étranger en vertu d’un jugement d’un tribunal équatorien. Bien que ce jugement ait depuis été modifié par un tribunal d’instance supérieure, la modification est ultérieure au dépôt de la déclaration amendée; même si la somme totale due a été réduite, le jugement initial demeure en grande partie intact. Les demandeurs ont suffisamment fait valoir la compétence des tribunaux de l’Ontario à l’égard de Chevron.</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1F0492">
        <w:rPr>
          <w:sz w:val="20"/>
          <w:lang w:val="fr-CA"/>
        </w:rPr>
        <w:tab/>
        <w:t xml:space="preserve">La question de savoir si les tribunaux ontariens ont compétence à l’égard de Chevron Canada doit commencer et prendre fin avec la compétence traditionnelle fondée sur la présence. Lorsque la compétence découle de la présence du défendeur dans le ressort, point n’est besoin de se demander s’il existe un lien réel et substantiel. Pour prouver la compétence traditionnelle, fondée sur la présence, à l’égard d’une société défenderesse de l’extérieur de la province, il faut démontrer que cette défenderesse exploitait une entreprise dans le ressort au moment de l’action. Il s’agit là d’une question de fait : le tribunal doit se demander si cette société a une présence directe ou indirecte dans l’État du tribunal qui s’attribue compétence, et si elle se livre à des activités commerciales soutenues pendant un certain temps. En l’espèce, les conclusions de fait du juge saisi de la motion n’ont pas été contestées. Elles suffisent à établir la compétence fondée sur la présence. Chevron Canada possède un bureau en Ontario, où elle a reçu signification. Les activités commerciales qu’elle exerce dans ce bureau sont soutenues; ses représentants servent la clientèle dans cette province. Les tribunaux canadiens ont conclu à l’existence de la compétence dans une telle situation. L’analyse du juge saisi de la motion était juste, et la Cour d’appel de l’Ontario n’avait pas à examiner d’autres considérations que celles qui précèdent pour conclure à la compétence des tribunaux ontariens. </w:t>
      </w:r>
    </w:p>
    <w:p w:rsidR="000D55D8" w:rsidRDefault="000D55D8" w:rsidP="000D55D8">
      <w:pPr>
        <w:pStyle w:val="SCCNormalDoubleSpacing"/>
        <w:spacing w:line="240" w:lineRule="auto"/>
        <w:rPr>
          <w:sz w:val="20"/>
          <w:lang w:val="fr-CA"/>
        </w:rPr>
      </w:pPr>
    </w:p>
    <w:p w:rsidR="000D55D8" w:rsidRDefault="000D55D8" w:rsidP="000D55D8">
      <w:pPr>
        <w:pStyle w:val="SCCNormalDoubleSpacing"/>
        <w:spacing w:line="240" w:lineRule="auto"/>
        <w:rPr>
          <w:sz w:val="20"/>
          <w:lang w:val="fr-CA"/>
        </w:rPr>
      </w:pPr>
      <w:r w:rsidRPr="001F0492">
        <w:rPr>
          <w:sz w:val="20"/>
          <w:lang w:val="fr-CA"/>
        </w:rPr>
        <w:tab/>
        <w:t>L’établissement de la compétence ne signifie pas que les demandeurs parviendront nécessairement à faire reconnaître et exécuter le jugement équatorien. Une déclaration de compétence n’a pas d’autre effet que de donner aux demandeurs la possibilité de solliciter la reconnaissance et l’exécution du jugement équatorien. Une fois franchie l’étape de la compétence, Chevron et Chevron Canada peuvent invoquer les moyens procéduraux à leur disposition pour tenter de faire rejeter les allégations des demandeurs. Cette possibilité est étrangère aux questions à trancher en l’espèce et éloignée de celles</w:t>
      </w:r>
      <w:r w:rsidRPr="001F0492">
        <w:rPr>
          <w:sz w:val="20"/>
          <w:lang w:val="fr-CA"/>
        </w:rPr>
        <w:noBreakHyphen/>
        <w:t xml:space="preserve">ci. De plus, il ne faut pas considérer que la conclusion selon laquelle les tribunaux ontariens ont compétence dans la présente affaire porte préjudice aux arguments futurs concernant les personnalités morales distinctes de Chevron et de Chevron Canada, ou que les actions ou les biens de Chevron Canada pourront servir à acquitter la dette de Chevron. </w:t>
      </w:r>
    </w:p>
    <w:p w:rsidR="000D55D8" w:rsidRDefault="000D55D8" w:rsidP="000D55D8">
      <w:pPr>
        <w:pStyle w:val="SCCNormalDoubleSpacing"/>
        <w:spacing w:line="240" w:lineRule="auto"/>
        <w:rPr>
          <w:sz w:val="20"/>
          <w:lang w:val="fr-CA"/>
        </w:rPr>
      </w:pPr>
    </w:p>
    <w:p w:rsidR="000D55D8" w:rsidRPr="001F0492" w:rsidRDefault="000D55D8" w:rsidP="000D55D8">
      <w:pPr>
        <w:pStyle w:val="SCCNormalDoubleSpacing"/>
        <w:spacing w:line="240" w:lineRule="auto"/>
        <w:rPr>
          <w:sz w:val="20"/>
          <w:lang w:val="fr-CA"/>
        </w:rPr>
      </w:pPr>
      <w:r w:rsidRPr="000D55D8">
        <w:rPr>
          <w:sz w:val="20"/>
          <w:lang w:val="fr-CA"/>
        </w:rPr>
        <w:tab/>
      </w:r>
      <w:r w:rsidRPr="004C5B78">
        <w:rPr>
          <w:sz w:val="20"/>
          <w:lang w:val="fr-CA"/>
        </w:rPr>
        <w:t xml:space="preserve">POURVOI contre un arrêt de la Cour d’appel de l’Ontario (les juges MacPherson, Gillese et Hourigan), 2013 ONCA 758, 118 O.R. (3d) 1, 313 O.A.C. 285, 370 D.L.R. (4th) 132, 52 C.P.C. (7th) 229, 15 B.L.R. (5th) 285, [2013] O.J. No. 5719 (QL), 2013 CarswellOnt 17574 (WL Can.), qui a infirmé une décision du juge Brown, 2013 ONSC 2527, 361 D.L.R. (4th) 489, 15 B.L.R. (5th) 226, [2013] O.J. No. 1955 (QL), 2013 CarswellOnt 5729 (WL Can.). </w:t>
      </w:r>
      <w:r w:rsidRPr="001F0492">
        <w:rPr>
          <w:sz w:val="20"/>
          <w:lang w:val="fr-CA"/>
        </w:rPr>
        <w:t>Pourvoi rejeté.</w:t>
      </w:r>
    </w:p>
    <w:p w:rsidR="000D55D8" w:rsidRDefault="000D55D8" w:rsidP="000D55D8">
      <w:pPr>
        <w:pStyle w:val="SCCNormalDoubleSpacing"/>
        <w:spacing w:line="240" w:lineRule="auto"/>
        <w:rPr>
          <w:i/>
          <w:sz w:val="20"/>
          <w:lang w:val="fr-CA"/>
        </w:rPr>
      </w:pPr>
    </w:p>
    <w:p w:rsidR="000D55D8" w:rsidRPr="001F0492" w:rsidRDefault="000D55D8" w:rsidP="000D55D8">
      <w:pPr>
        <w:pStyle w:val="SCCNormalDoubleSpacing"/>
        <w:spacing w:line="240" w:lineRule="auto"/>
        <w:rPr>
          <w:sz w:val="20"/>
          <w:lang w:val="fr-CA"/>
        </w:rPr>
      </w:pPr>
      <w:r w:rsidRPr="001F0492">
        <w:rPr>
          <w:i/>
          <w:sz w:val="20"/>
          <w:lang w:val="fr-CA"/>
        </w:rPr>
        <w:tab/>
        <w:t>Clarke Hunter, c.r.</w:t>
      </w:r>
      <w:r w:rsidRPr="001F0492">
        <w:rPr>
          <w:sz w:val="20"/>
          <w:lang w:val="fr-CA"/>
        </w:rPr>
        <w:t xml:space="preserve">, </w:t>
      </w:r>
      <w:r w:rsidRPr="001F0492">
        <w:rPr>
          <w:i/>
          <w:sz w:val="20"/>
          <w:lang w:val="fr-CA"/>
        </w:rPr>
        <w:t xml:space="preserve">Anne Kirker, c.r., </w:t>
      </w:r>
      <w:r w:rsidRPr="001F0492">
        <w:rPr>
          <w:sz w:val="20"/>
          <w:lang w:val="fr-CA"/>
        </w:rPr>
        <w:t xml:space="preserve">et </w:t>
      </w:r>
      <w:r w:rsidRPr="001F0492">
        <w:rPr>
          <w:i/>
          <w:sz w:val="20"/>
          <w:lang w:val="fr-CA"/>
        </w:rPr>
        <w:t>Robert Frank</w:t>
      </w:r>
      <w:r w:rsidRPr="001F0492">
        <w:rPr>
          <w:sz w:val="20"/>
          <w:lang w:val="fr-CA"/>
        </w:rPr>
        <w:t>, pour l’appelante Chevron Corporation.</w:t>
      </w:r>
    </w:p>
    <w:p w:rsidR="000D55D8" w:rsidRDefault="000D55D8" w:rsidP="000D55D8">
      <w:pPr>
        <w:pStyle w:val="SCCNormalDoubleSpacing"/>
        <w:spacing w:line="240" w:lineRule="auto"/>
        <w:rPr>
          <w:i/>
          <w:sz w:val="20"/>
          <w:lang w:val="fr-CA"/>
        </w:rPr>
      </w:pPr>
    </w:p>
    <w:p w:rsidR="000D55D8" w:rsidRPr="001F0492" w:rsidRDefault="000D55D8" w:rsidP="000D55D8">
      <w:pPr>
        <w:pStyle w:val="SCCNormalDoubleSpacing"/>
        <w:spacing w:line="240" w:lineRule="auto"/>
        <w:rPr>
          <w:sz w:val="20"/>
          <w:lang w:val="fr-CA"/>
        </w:rPr>
      </w:pPr>
      <w:r w:rsidRPr="001F0492">
        <w:rPr>
          <w:i/>
          <w:sz w:val="20"/>
          <w:lang w:val="fr-CA"/>
        </w:rPr>
        <w:tab/>
        <w:t>Benjamin Zarnett</w:t>
      </w:r>
      <w:r w:rsidRPr="001F0492">
        <w:rPr>
          <w:sz w:val="20"/>
          <w:lang w:val="fr-CA"/>
        </w:rPr>
        <w:t xml:space="preserve">, </w:t>
      </w:r>
      <w:r w:rsidRPr="001F0492">
        <w:rPr>
          <w:i/>
          <w:sz w:val="20"/>
          <w:lang w:val="fr-CA"/>
        </w:rPr>
        <w:t>Suzy Kauffman</w:t>
      </w:r>
      <w:r w:rsidRPr="001F0492">
        <w:rPr>
          <w:sz w:val="20"/>
          <w:lang w:val="fr-CA"/>
        </w:rPr>
        <w:t xml:space="preserve"> et </w:t>
      </w:r>
      <w:r w:rsidRPr="001F0492">
        <w:rPr>
          <w:i/>
          <w:sz w:val="20"/>
          <w:lang w:val="fr-CA"/>
        </w:rPr>
        <w:t>Peter Kolla</w:t>
      </w:r>
      <w:r w:rsidRPr="001F0492">
        <w:rPr>
          <w:sz w:val="20"/>
          <w:lang w:val="fr-CA"/>
        </w:rPr>
        <w:t>, pour l’appelante Chevron Canada Limited.</w:t>
      </w:r>
    </w:p>
    <w:p w:rsidR="000D55D8" w:rsidRDefault="000D55D8" w:rsidP="000D55D8">
      <w:pPr>
        <w:pStyle w:val="SCCNormalDoubleSpacing"/>
        <w:spacing w:line="240" w:lineRule="auto"/>
        <w:rPr>
          <w:i/>
          <w:sz w:val="20"/>
          <w:lang w:val="fr-CA"/>
        </w:rPr>
      </w:pPr>
    </w:p>
    <w:p w:rsidR="000D55D8" w:rsidRPr="001F0492" w:rsidRDefault="000D55D8" w:rsidP="000D55D8">
      <w:pPr>
        <w:pStyle w:val="SCCNormalDoubleSpacing"/>
        <w:spacing w:line="240" w:lineRule="auto"/>
        <w:rPr>
          <w:sz w:val="20"/>
          <w:lang w:val="fr-CA"/>
        </w:rPr>
      </w:pPr>
      <w:r w:rsidRPr="001F0492">
        <w:rPr>
          <w:i/>
          <w:sz w:val="20"/>
          <w:lang w:val="fr-CA"/>
        </w:rPr>
        <w:tab/>
        <w:t>Alan J. Lenczner</w:t>
      </w:r>
      <w:r w:rsidRPr="001F0492">
        <w:rPr>
          <w:sz w:val="20"/>
          <w:lang w:val="fr-CA"/>
        </w:rPr>
        <w:t>,</w:t>
      </w:r>
      <w:r w:rsidRPr="001F0492">
        <w:rPr>
          <w:i/>
          <w:sz w:val="20"/>
          <w:lang w:val="fr-CA"/>
        </w:rPr>
        <w:t xml:space="preserve"> c.r.</w:t>
      </w:r>
      <w:r w:rsidRPr="001F0492">
        <w:rPr>
          <w:sz w:val="20"/>
          <w:lang w:val="fr-CA"/>
        </w:rPr>
        <w:t>,</w:t>
      </w:r>
      <w:r w:rsidRPr="001F0492">
        <w:rPr>
          <w:i/>
          <w:sz w:val="20"/>
          <w:lang w:val="fr-CA"/>
        </w:rPr>
        <w:t xml:space="preserve"> Brendan F. Morrison </w:t>
      </w:r>
      <w:r w:rsidRPr="001F0492">
        <w:rPr>
          <w:sz w:val="20"/>
          <w:lang w:val="fr-CA"/>
        </w:rPr>
        <w:t>et</w:t>
      </w:r>
      <w:r w:rsidRPr="001F0492">
        <w:rPr>
          <w:i/>
          <w:sz w:val="20"/>
          <w:lang w:val="fr-CA"/>
        </w:rPr>
        <w:t xml:space="preserve"> Chris J. Hutchison</w:t>
      </w:r>
      <w:r w:rsidRPr="001F0492">
        <w:rPr>
          <w:sz w:val="20"/>
          <w:lang w:val="fr-CA"/>
        </w:rPr>
        <w:t>, pour les intimés.</w:t>
      </w:r>
    </w:p>
    <w:p w:rsidR="000D55D8" w:rsidRDefault="000D55D8" w:rsidP="000D55D8">
      <w:pPr>
        <w:pStyle w:val="SCCNormalDoubleSpacing"/>
        <w:spacing w:line="240" w:lineRule="auto"/>
        <w:rPr>
          <w:i/>
          <w:sz w:val="20"/>
          <w:lang w:val="fr-CA"/>
        </w:rPr>
      </w:pPr>
    </w:p>
    <w:p w:rsidR="000D55D8" w:rsidRPr="001F0492" w:rsidRDefault="000D55D8" w:rsidP="000D55D8">
      <w:pPr>
        <w:pStyle w:val="SCCNormalDoubleSpacing"/>
        <w:spacing w:line="240" w:lineRule="auto"/>
        <w:rPr>
          <w:sz w:val="20"/>
          <w:lang w:val="fr-CA"/>
        </w:rPr>
      </w:pPr>
      <w:r w:rsidRPr="001F0492">
        <w:rPr>
          <w:i/>
          <w:sz w:val="20"/>
          <w:lang w:val="fr-CA"/>
        </w:rPr>
        <w:tab/>
        <w:t>Murray Klippenstein</w:t>
      </w:r>
      <w:r w:rsidRPr="001F0492">
        <w:rPr>
          <w:sz w:val="20"/>
          <w:lang w:val="fr-CA"/>
        </w:rPr>
        <w:t xml:space="preserve">, </w:t>
      </w:r>
      <w:r w:rsidRPr="001F0492">
        <w:rPr>
          <w:i/>
          <w:sz w:val="20"/>
          <w:lang w:val="fr-CA"/>
        </w:rPr>
        <w:t xml:space="preserve">Renu Mandhane </w:t>
      </w:r>
      <w:r w:rsidRPr="001F0492">
        <w:rPr>
          <w:sz w:val="20"/>
          <w:lang w:val="fr-CA"/>
        </w:rPr>
        <w:t>et</w:t>
      </w:r>
      <w:r w:rsidRPr="001F0492">
        <w:rPr>
          <w:i/>
          <w:sz w:val="20"/>
          <w:lang w:val="fr-CA"/>
        </w:rPr>
        <w:t xml:space="preserve"> W. Cory Wanless</w:t>
      </w:r>
      <w:r w:rsidRPr="001F0492">
        <w:rPr>
          <w:sz w:val="20"/>
          <w:lang w:val="fr-CA"/>
        </w:rPr>
        <w:t>, pour les intervenants International Human Rights Program at the University of Toronto Faculty of Law, Mines Alerte Canada et le Centre canadien pour la justice internationale.</w:t>
      </w:r>
    </w:p>
    <w:p w:rsidR="000D55D8" w:rsidRDefault="000D55D8" w:rsidP="000D55D8">
      <w:pPr>
        <w:pStyle w:val="SCCNormalDoubleSpacing"/>
        <w:spacing w:line="240" w:lineRule="auto"/>
        <w:rPr>
          <w:i/>
          <w:sz w:val="20"/>
          <w:lang w:val="fr-CA"/>
        </w:rPr>
      </w:pPr>
    </w:p>
    <w:p w:rsidR="000D55D8" w:rsidRPr="001F0492" w:rsidRDefault="000D55D8" w:rsidP="000D55D8">
      <w:pPr>
        <w:pStyle w:val="SCCNormalDoubleSpacing"/>
        <w:spacing w:line="240" w:lineRule="auto"/>
        <w:rPr>
          <w:sz w:val="20"/>
          <w:lang w:val="fr-CA"/>
        </w:rPr>
      </w:pPr>
      <w:r w:rsidRPr="001F0492">
        <w:rPr>
          <w:i/>
          <w:sz w:val="20"/>
          <w:lang w:val="fr-CA"/>
        </w:rPr>
        <w:tab/>
        <w:t xml:space="preserve">A. Dimitri Lascaris </w:t>
      </w:r>
      <w:r w:rsidRPr="001F0492">
        <w:rPr>
          <w:sz w:val="20"/>
          <w:lang w:val="fr-CA"/>
        </w:rPr>
        <w:t>et</w:t>
      </w:r>
      <w:r w:rsidRPr="001F0492">
        <w:rPr>
          <w:i/>
          <w:sz w:val="20"/>
          <w:lang w:val="fr-CA"/>
        </w:rPr>
        <w:t xml:space="preserve"> James Yap</w:t>
      </w:r>
      <w:r w:rsidRPr="001F0492">
        <w:rPr>
          <w:sz w:val="20"/>
          <w:lang w:val="fr-CA"/>
        </w:rPr>
        <w:t>, pour l’intervenant Justice and Corporate Accountability Project.</w:t>
      </w:r>
    </w:p>
    <w:p w:rsidR="000D55D8" w:rsidRDefault="000D55D8" w:rsidP="000D55D8">
      <w:pPr>
        <w:pStyle w:val="SCCLawFirm"/>
        <w:spacing w:line="240" w:lineRule="auto"/>
        <w:rPr>
          <w:sz w:val="20"/>
          <w:lang w:val="fr-CA"/>
        </w:rPr>
      </w:pPr>
    </w:p>
    <w:p w:rsidR="000D55D8" w:rsidRPr="001F0492" w:rsidRDefault="000D55D8" w:rsidP="000D55D8">
      <w:pPr>
        <w:pStyle w:val="SCCLawFirm"/>
        <w:spacing w:line="240" w:lineRule="auto"/>
        <w:rPr>
          <w:sz w:val="20"/>
          <w:lang w:val="fr-CA"/>
        </w:rPr>
      </w:pPr>
      <w:r w:rsidRPr="001F0492">
        <w:rPr>
          <w:sz w:val="20"/>
          <w:lang w:val="fr-CA"/>
        </w:rPr>
        <w:tab/>
        <w:t>Procureurs de l’appelante Chevron Corporation : Norton Rose Fulbright Canada, Calgary et Toronto.</w:t>
      </w:r>
    </w:p>
    <w:p w:rsidR="000D55D8" w:rsidRDefault="000D55D8" w:rsidP="000D55D8">
      <w:pPr>
        <w:pStyle w:val="SCCLawFirm"/>
        <w:spacing w:line="240" w:lineRule="auto"/>
        <w:rPr>
          <w:sz w:val="20"/>
          <w:lang w:val="fr-CA"/>
        </w:rPr>
      </w:pPr>
    </w:p>
    <w:p w:rsidR="000D55D8" w:rsidRPr="001F0492" w:rsidRDefault="000D55D8" w:rsidP="000D55D8">
      <w:pPr>
        <w:pStyle w:val="SCCLawFirm"/>
        <w:spacing w:line="240" w:lineRule="auto"/>
        <w:rPr>
          <w:sz w:val="20"/>
          <w:lang w:val="fr-CA"/>
        </w:rPr>
      </w:pPr>
      <w:r w:rsidRPr="001F0492">
        <w:rPr>
          <w:sz w:val="20"/>
          <w:lang w:val="fr-CA"/>
        </w:rPr>
        <w:tab/>
        <w:t>Procureurs de l’appelante Chevron Canada Limited : Goodmans, Toronto.</w:t>
      </w:r>
    </w:p>
    <w:p w:rsidR="000D55D8" w:rsidRDefault="000D55D8" w:rsidP="000D55D8">
      <w:pPr>
        <w:pStyle w:val="SCCLawFirm"/>
        <w:spacing w:line="240" w:lineRule="auto"/>
        <w:rPr>
          <w:sz w:val="20"/>
          <w:lang w:val="fr-CA"/>
        </w:rPr>
      </w:pPr>
    </w:p>
    <w:p w:rsidR="000D55D8" w:rsidRPr="001F0492" w:rsidRDefault="000D55D8" w:rsidP="000D55D8">
      <w:pPr>
        <w:pStyle w:val="SCCLawFirm"/>
        <w:spacing w:line="240" w:lineRule="auto"/>
        <w:rPr>
          <w:sz w:val="20"/>
          <w:lang w:val="fr-CA"/>
        </w:rPr>
      </w:pPr>
      <w:r w:rsidRPr="001F0492">
        <w:rPr>
          <w:sz w:val="20"/>
          <w:lang w:val="fr-CA"/>
        </w:rPr>
        <w:tab/>
        <w:t>Procureurs des intimés : Lenczner Slaght Royce Smith Griffin, Toronto; Conway Baxter Wilson, Ottawa.</w:t>
      </w:r>
    </w:p>
    <w:p w:rsidR="000D55D8" w:rsidRDefault="000D55D8" w:rsidP="000D55D8">
      <w:pPr>
        <w:pStyle w:val="SCCLawFirm"/>
        <w:spacing w:line="240" w:lineRule="auto"/>
        <w:rPr>
          <w:sz w:val="20"/>
          <w:lang w:val="fr-CA"/>
        </w:rPr>
      </w:pPr>
    </w:p>
    <w:p w:rsidR="000D55D8" w:rsidRPr="001F0492" w:rsidRDefault="000D55D8" w:rsidP="000D55D8">
      <w:pPr>
        <w:pStyle w:val="SCCLawFirm"/>
        <w:spacing w:line="240" w:lineRule="auto"/>
        <w:rPr>
          <w:sz w:val="20"/>
          <w:lang w:val="fr-CA"/>
        </w:rPr>
      </w:pPr>
      <w:r w:rsidRPr="001F0492">
        <w:rPr>
          <w:sz w:val="20"/>
          <w:lang w:val="fr-CA"/>
        </w:rPr>
        <w:lastRenderedPageBreak/>
        <w:tab/>
        <w:t>Procureurs des intervenants International Human Rights Program at the University of Toronto Faculty of Law, Mines Alerte Canada et le Centre canadien pour la justice internationale : Klippensteins, Toronto; Université de Toronto, Toronto.</w:t>
      </w:r>
    </w:p>
    <w:p w:rsidR="000D55D8" w:rsidRDefault="000D55D8" w:rsidP="000D55D8">
      <w:pPr>
        <w:pStyle w:val="SCCLawFirm"/>
        <w:spacing w:line="240" w:lineRule="auto"/>
        <w:rPr>
          <w:sz w:val="20"/>
          <w:lang w:val="fr-CA"/>
        </w:rPr>
      </w:pPr>
    </w:p>
    <w:p w:rsidR="000D55D8" w:rsidRDefault="000D55D8" w:rsidP="000D55D8">
      <w:pPr>
        <w:pStyle w:val="SCCLawFirm"/>
        <w:spacing w:line="240" w:lineRule="auto"/>
        <w:rPr>
          <w:sz w:val="20"/>
        </w:rPr>
      </w:pPr>
      <w:r w:rsidRPr="001F0492">
        <w:rPr>
          <w:sz w:val="20"/>
          <w:lang w:val="fr-CA"/>
        </w:rPr>
        <w:tab/>
      </w:r>
      <w:r w:rsidRPr="001F0492">
        <w:rPr>
          <w:sz w:val="20"/>
        </w:rPr>
        <w:t>Procureurs de l’intervenant Justice and Corporate Accountability Project : Siskinds, London.</w:t>
      </w:r>
    </w:p>
    <w:p w:rsidR="003B3977" w:rsidRPr="0052229C" w:rsidRDefault="003B3977" w:rsidP="005C6840">
      <w:pPr>
        <w:rPr>
          <w:rFonts w:cs="Times New Roman"/>
          <w:sz w:val="20"/>
          <w:szCs w:val="20"/>
        </w:rPr>
      </w:pPr>
    </w:p>
    <w:p w:rsidR="00902E51" w:rsidRDefault="005C6187" w:rsidP="00902E51">
      <w:pPr>
        <w:rPr>
          <w:rFonts w:cs="Times New Roman"/>
          <w:sz w:val="20"/>
          <w:szCs w:val="20"/>
          <w:lang w:val="fr-CA"/>
        </w:rPr>
      </w:pPr>
      <w:r>
        <w:rPr>
          <w:rFonts w:cs="Times New Roman"/>
          <w:sz w:val="20"/>
          <w:szCs w:val="20"/>
          <w:lang w:val="fr-CA"/>
        </w:rPr>
        <w:pict>
          <v:rect id="_x0000_i1065"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AD51EC" w:rsidRPr="00AA7443" w:rsidRDefault="00AD51EC" w:rsidP="00AD51EC">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Pr="00AA7443">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Pr="00AA7443">
        <w:rPr>
          <w:rFonts w:asciiTheme="minorHAnsi" w:hAnsiTheme="minorHAnsi" w:cstheme="minorHAnsi"/>
          <w:b/>
          <w:szCs w:val="24"/>
          <w:lang w:val="fr-CA"/>
        </w:rPr>
        <w:t>SUPREME COURT OF CANADA SCHEDULE / CALENDRIER DE LA COUR SUPREME</w:t>
      </w:r>
    </w:p>
    <w:p w:rsidR="00AD51EC" w:rsidRPr="00AA7443" w:rsidRDefault="00AD51EC" w:rsidP="00AD51EC">
      <w:pPr>
        <w:widowControl w:val="0"/>
        <w:spacing w:line="180" w:lineRule="auto"/>
        <w:rPr>
          <w:rFonts w:asciiTheme="minorHAnsi" w:hAnsiTheme="minorHAnsi" w:cstheme="minorHAnsi"/>
          <w:szCs w:val="24"/>
          <w:lang w:val="fr-CA"/>
        </w:rPr>
      </w:pPr>
    </w:p>
    <w:p w:rsidR="00AD51EC" w:rsidRPr="00AA7443" w:rsidRDefault="00AD51EC" w:rsidP="00AD51EC">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AD51EC" w:rsidRPr="002E0C7E" w:rsidTr="00EB0621">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EB0621">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EB0621">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DECEMBER - DÉCEMBRE</w:t>
            </w:r>
          </w:p>
        </w:tc>
      </w:tr>
      <w:tr w:rsidR="00AD51EC" w:rsidRPr="002E0C7E" w:rsidTr="00EB062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r>
      <w:tr w:rsidR="00AD51EC" w:rsidRPr="002E0C7E" w:rsidTr="00EB062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M</w:t>
            </w:r>
          </w:p>
          <w:p w:rsidR="00AD51EC" w:rsidRPr="002E0C7E" w:rsidRDefault="00AD51EC" w:rsidP="00EB0621">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C411C2"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r>
      <w:tr w:rsidR="00AD51EC" w:rsidRPr="002E0C7E" w:rsidTr="00EB062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D51EC" w:rsidRPr="000C583B" w:rsidRDefault="00AD51EC" w:rsidP="00EB0621">
            <w:pPr>
              <w:widowControl w:val="0"/>
              <w:jc w:val="center"/>
              <w:rPr>
                <w:rFonts w:ascii="Arial" w:hAnsi="Arial"/>
                <w:b/>
                <w:sz w:val="14"/>
              </w:rPr>
            </w:pPr>
            <w:r>
              <w:rPr>
                <w:rFonts w:ascii="Arial" w:hAnsi="Arial"/>
                <w:b/>
                <w:sz w:val="14"/>
              </w:rPr>
              <w:t>M</w:t>
            </w:r>
          </w:p>
          <w:p w:rsidR="00AD51EC" w:rsidRPr="002E0C7E" w:rsidRDefault="00AD51EC" w:rsidP="00EB0621">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0C583B"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AD51EC" w:rsidRPr="002A4724" w:rsidRDefault="00AD51EC" w:rsidP="00EB0621">
            <w:pPr>
              <w:widowControl w:val="0"/>
              <w:jc w:val="center"/>
              <w:rPr>
                <w:rFonts w:ascii="Arial" w:hAnsi="Arial"/>
                <w:b/>
                <w:sz w:val="14"/>
              </w:rPr>
            </w:pPr>
            <w:r w:rsidRPr="002A4724">
              <w:rPr>
                <w:rFonts w:ascii="Arial" w:hAnsi="Arial"/>
                <w:b/>
                <w:sz w:val="14"/>
              </w:rPr>
              <w:t>H</w:t>
            </w:r>
          </w:p>
          <w:p w:rsidR="00AD51EC" w:rsidRPr="002E0C7E" w:rsidRDefault="00AD51EC" w:rsidP="00EB0621">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12</w:t>
            </w:r>
          </w:p>
        </w:tc>
      </w:tr>
      <w:tr w:rsidR="00AD51EC" w:rsidRPr="002E0C7E" w:rsidTr="00EB062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0C583B" w:rsidRDefault="00AD51EC" w:rsidP="00EB0621">
            <w:pPr>
              <w:widowControl w:val="0"/>
              <w:jc w:val="center"/>
              <w:rPr>
                <w:rFonts w:ascii="Arial" w:hAnsi="Arial"/>
                <w:b/>
                <w:sz w:val="14"/>
              </w:rPr>
            </w:pPr>
            <w:r>
              <w:rPr>
                <w:rFonts w:ascii="Arial" w:hAnsi="Arial"/>
                <w:b/>
                <w:sz w:val="14"/>
              </w:rPr>
              <w:t>H</w:t>
            </w: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0C583B"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AD51EC" w:rsidRPr="004030BA"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4F066E"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19</w:t>
            </w:r>
          </w:p>
        </w:tc>
      </w:tr>
      <w:tr w:rsidR="00AD51EC" w:rsidRPr="002E0C7E" w:rsidTr="00EB062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AD51EC" w:rsidRPr="00D23ECF"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AD51EC" w:rsidRPr="00D23ECF"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D23ECF" w:rsidRDefault="00AD51EC" w:rsidP="00EB0621">
            <w:pPr>
              <w:widowControl w:val="0"/>
              <w:jc w:val="center"/>
              <w:rPr>
                <w:rFonts w:ascii="Arial" w:hAnsi="Arial"/>
                <w:b/>
                <w:sz w:val="14"/>
              </w:rPr>
            </w:pPr>
            <w:r>
              <w:rPr>
                <w:rFonts w:ascii="Arial" w:hAnsi="Arial"/>
                <w:b/>
                <w:sz w:val="14"/>
              </w:rPr>
              <w:t>H</w:t>
            </w:r>
          </w:p>
          <w:p w:rsidR="00AD51EC" w:rsidRPr="002E0C7E" w:rsidRDefault="00AD51EC" w:rsidP="00EB0621">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6</w:t>
            </w:r>
          </w:p>
        </w:tc>
      </w:tr>
      <w:tr w:rsidR="00AD51EC" w:rsidRPr="002E0C7E" w:rsidTr="00EB0621">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D51EC" w:rsidRPr="002A4724" w:rsidRDefault="00AD51EC" w:rsidP="00EB0621">
            <w:pPr>
              <w:widowControl w:val="0"/>
              <w:jc w:val="center"/>
              <w:rPr>
                <w:rFonts w:ascii="Arial" w:hAnsi="Arial"/>
                <w:b/>
                <w:sz w:val="14"/>
              </w:rPr>
            </w:pPr>
            <w:r w:rsidRPr="002A4724">
              <w:rPr>
                <w:rFonts w:ascii="Arial" w:hAnsi="Arial"/>
                <w:b/>
                <w:sz w:val="14"/>
              </w:rPr>
              <w:t>M</w:t>
            </w:r>
          </w:p>
          <w:p w:rsidR="00AD51EC" w:rsidRPr="002E0C7E" w:rsidRDefault="00AD51EC" w:rsidP="00EB0621">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5158BD" w:rsidRDefault="00AD51EC" w:rsidP="00EB0621">
            <w:pPr>
              <w:widowControl w:val="0"/>
              <w:jc w:val="center"/>
              <w:rPr>
                <w:rFonts w:ascii="Arial" w:hAnsi="Arial"/>
                <w:b/>
                <w:sz w:val="14"/>
              </w:rPr>
            </w:pPr>
            <w:r>
              <w:rPr>
                <w:rFonts w:ascii="Arial" w:hAnsi="Arial"/>
                <w:b/>
                <w:sz w:val="14"/>
              </w:rPr>
              <w:t>H</w:t>
            </w:r>
          </w:p>
          <w:p w:rsidR="00AD51EC" w:rsidRPr="002E0C7E" w:rsidRDefault="00AD51EC" w:rsidP="00EB0621">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r>
    </w:tbl>
    <w:p w:rsidR="00AD51EC" w:rsidRPr="002E0C7E" w:rsidRDefault="00AD51EC" w:rsidP="00AD51EC">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AD51EC" w:rsidRPr="002E0C7E" w:rsidTr="00EB0621">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EB062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EB062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MARCH - MARS</w:t>
            </w:r>
          </w:p>
        </w:tc>
      </w:tr>
      <w:tr w:rsidR="00AD51EC" w:rsidRPr="002E0C7E" w:rsidTr="00EB062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317A69"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AD51EC" w:rsidRPr="00D23ECF"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AD51EC" w:rsidRPr="004F066E"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CD2D42" w:rsidRDefault="00AD51EC" w:rsidP="00EB0621">
            <w:pPr>
              <w:widowControl w:val="0"/>
              <w:jc w:val="center"/>
              <w:rPr>
                <w:rFonts w:ascii="Arial" w:hAnsi="Arial"/>
                <w:b/>
                <w:sz w:val="14"/>
              </w:rPr>
            </w:pPr>
            <w:r w:rsidRPr="00CD2D42">
              <w:rPr>
                <w:rFonts w:ascii="Arial" w:hAnsi="Arial"/>
                <w:b/>
                <w:sz w:val="14"/>
              </w:rPr>
              <w:t>H</w:t>
            </w: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12</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7255AD" w:rsidRDefault="00AD51EC" w:rsidP="00EB0621">
            <w:pPr>
              <w:widowControl w:val="0"/>
              <w:jc w:val="center"/>
              <w:rPr>
                <w:rFonts w:ascii="Arial" w:hAnsi="Arial"/>
                <w:b/>
                <w:sz w:val="14"/>
              </w:rPr>
            </w:pPr>
            <w:r>
              <w:rPr>
                <w:rFonts w:ascii="Arial" w:hAnsi="Arial"/>
                <w:b/>
                <w:sz w:val="14"/>
              </w:rPr>
              <w:t>M</w:t>
            </w: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0E2B85" w:rsidRDefault="00AD51EC" w:rsidP="00EB0621">
            <w:pPr>
              <w:widowControl w:val="0"/>
              <w:jc w:val="center"/>
              <w:rPr>
                <w:rFonts w:ascii="Arial" w:hAnsi="Arial"/>
                <w:b/>
                <w:sz w:val="14"/>
              </w:rPr>
            </w:pPr>
            <w:r>
              <w:rPr>
                <w:rFonts w:ascii="Arial" w:hAnsi="Arial"/>
                <w:b/>
                <w:sz w:val="14"/>
              </w:rPr>
              <w:t>M</w:t>
            </w: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7D4CDA"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9</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D34238" w:rsidRDefault="00AD51EC" w:rsidP="00EB0621">
            <w:pPr>
              <w:widowControl w:val="0"/>
              <w:jc w:val="center"/>
              <w:rPr>
                <w:rFonts w:ascii="Arial" w:hAnsi="Arial"/>
                <w:b/>
                <w:sz w:val="14"/>
              </w:rPr>
            </w:pPr>
            <w:r>
              <w:rPr>
                <w:rFonts w:ascii="Arial" w:hAnsi="Arial"/>
                <w:b/>
                <w:sz w:val="14"/>
              </w:rPr>
              <w:t>M</w:t>
            </w:r>
          </w:p>
          <w:p w:rsidR="00AD51EC" w:rsidRPr="002E0C7E" w:rsidRDefault="00AD51EC" w:rsidP="00EB0621">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8670D0" w:rsidRDefault="00AD51EC" w:rsidP="00EB0621">
            <w:pPr>
              <w:widowControl w:val="0"/>
              <w:jc w:val="center"/>
              <w:rPr>
                <w:rFonts w:ascii="Arial" w:hAnsi="Arial"/>
                <w:b/>
                <w:sz w:val="14"/>
              </w:rPr>
            </w:pPr>
            <w:r>
              <w:rPr>
                <w:rFonts w:ascii="Arial" w:hAnsi="Arial"/>
                <w:b/>
                <w:sz w:val="14"/>
              </w:rPr>
              <w:t>H</w:t>
            </w: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6</w:t>
            </w:r>
          </w:p>
        </w:tc>
      </w:tr>
      <w:tr w:rsidR="00AD51EC" w:rsidRPr="002E0C7E" w:rsidTr="00EB062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AD51EC" w:rsidRPr="002E0C7E" w:rsidRDefault="00AD51EC" w:rsidP="00EB0621">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7D4CDA" w:rsidRDefault="00AD51EC" w:rsidP="00EB0621">
            <w:pPr>
              <w:widowControl w:val="0"/>
              <w:jc w:val="center"/>
              <w:rPr>
                <w:rFonts w:ascii="Arial" w:hAnsi="Arial"/>
                <w:b/>
                <w:sz w:val="14"/>
              </w:rPr>
            </w:pPr>
            <w:r>
              <w:rPr>
                <w:rFonts w:ascii="Arial" w:hAnsi="Arial"/>
                <w:b/>
                <w:sz w:val="14"/>
              </w:rPr>
              <w:t>H</w:t>
            </w:r>
          </w:p>
          <w:p w:rsidR="00AD51EC" w:rsidRPr="002E0C7E" w:rsidRDefault="00AD51EC" w:rsidP="00EB0621">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AD51EC" w:rsidRPr="00261B35"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r>
    </w:tbl>
    <w:p w:rsidR="00AD51EC" w:rsidRPr="002E0C7E" w:rsidRDefault="00AD51EC" w:rsidP="00AD51EC">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AD51EC" w:rsidRPr="002E0C7E" w:rsidTr="00EB0621">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EB0621">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EB0621">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EB0621">
            <w:pPr>
              <w:widowControl w:val="0"/>
              <w:jc w:val="center"/>
              <w:rPr>
                <w:rFonts w:ascii="Arial" w:hAnsi="Arial"/>
                <w:sz w:val="14"/>
              </w:rPr>
            </w:pPr>
            <w:r w:rsidRPr="002E0C7E">
              <w:rPr>
                <w:rFonts w:ascii="Arial" w:hAnsi="Arial"/>
                <w:b/>
                <w:sz w:val="14"/>
              </w:rPr>
              <w:t>JUNE - JUIN</w:t>
            </w:r>
          </w:p>
        </w:tc>
      </w:tr>
      <w:tr w:rsidR="00AD51EC" w:rsidRPr="002E0C7E" w:rsidTr="00EB062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S</w:t>
            </w:r>
          </w:p>
          <w:p w:rsidR="00AD51EC" w:rsidRPr="002E0C7E" w:rsidRDefault="00AD51EC" w:rsidP="00EB062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M</w:t>
            </w:r>
          </w:p>
          <w:p w:rsidR="00AD51EC" w:rsidRPr="002E0C7E" w:rsidRDefault="00AD51EC" w:rsidP="00EB062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W</w:t>
            </w:r>
          </w:p>
          <w:p w:rsidR="00AD51EC" w:rsidRPr="002E0C7E" w:rsidRDefault="00AD51EC" w:rsidP="00EB062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T</w:t>
            </w:r>
          </w:p>
          <w:p w:rsidR="00AD51EC" w:rsidRPr="002E0C7E" w:rsidRDefault="00AD51EC" w:rsidP="00EB062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sidRPr="002E0C7E">
              <w:rPr>
                <w:rFonts w:ascii="Arial" w:hAnsi="Arial"/>
                <w:sz w:val="14"/>
              </w:rPr>
              <w:t>F</w:t>
            </w:r>
          </w:p>
          <w:p w:rsidR="00AD51EC" w:rsidRPr="002E0C7E" w:rsidRDefault="00AD51EC" w:rsidP="00EB0621">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r>
              <w:rPr>
                <w:rFonts w:ascii="Arial" w:hAnsi="Arial"/>
                <w:sz w:val="14"/>
              </w:rPr>
              <w:t>S</w:t>
            </w:r>
          </w:p>
          <w:p w:rsidR="00AD51EC" w:rsidRPr="002E0C7E" w:rsidRDefault="00AD51EC" w:rsidP="00EB0621">
            <w:pPr>
              <w:widowControl w:val="0"/>
              <w:jc w:val="center"/>
              <w:rPr>
                <w:rFonts w:ascii="Arial" w:hAnsi="Arial"/>
                <w:sz w:val="14"/>
              </w:rPr>
            </w:pPr>
            <w:r>
              <w:rPr>
                <w:rFonts w:ascii="Arial" w:hAnsi="Arial"/>
                <w:sz w:val="14"/>
              </w:rPr>
              <w:t>S</w:t>
            </w:r>
          </w:p>
        </w:tc>
      </w:tr>
      <w:tr w:rsidR="00AD51EC" w:rsidRPr="002E0C7E" w:rsidTr="00EB062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BC4B65"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BC4B65"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931A11"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11</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AD51EC" w:rsidRPr="00BC4B65"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852172" w:rsidRDefault="00AD51EC" w:rsidP="00EB0621">
            <w:pPr>
              <w:widowControl w:val="0"/>
              <w:jc w:val="center"/>
              <w:rPr>
                <w:rFonts w:ascii="Arial" w:hAnsi="Arial"/>
                <w:b/>
                <w:sz w:val="14"/>
              </w:rPr>
            </w:pPr>
          </w:p>
          <w:p w:rsidR="00AD51EC" w:rsidRPr="002E0C7E" w:rsidRDefault="00AD51EC" w:rsidP="00EB062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2453E3" w:rsidRDefault="00AD51EC" w:rsidP="00EB0621">
            <w:pPr>
              <w:widowControl w:val="0"/>
              <w:jc w:val="center"/>
              <w:rPr>
                <w:rFonts w:ascii="Arial" w:hAnsi="Arial"/>
                <w:b/>
                <w:sz w:val="14"/>
              </w:rPr>
            </w:pPr>
            <w:r w:rsidRPr="002453E3">
              <w:rPr>
                <w:rFonts w:ascii="Arial" w:hAnsi="Arial"/>
                <w:b/>
                <w:sz w:val="14"/>
              </w:rPr>
              <w:t>M</w:t>
            </w: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371D2F" w:rsidRDefault="00AD51EC" w:rsidP="00EB0621">
            <w:pPr>
              <w:widowControl w:val="0"/>
              <w:jc w:val="center"/>
              <w:rPr>
                <w:rFonts w:ascii="Arial" w:hAnsi="Arial"/>
                <w:b/>
                <w:sz w:val="14"/>
              </w:rPr>
            </w:pPr>
            <w:r>
              <w:rPr>
                <w:rFonts w:ascii="Arial" w:hAnsi="Arial"/>
                <w:b/>
                <w:sz w:val="14"/>
              </w:rPr>
              <w:t>M</w:t>
            </w: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18</w:t>
            </w:r>
          </w:p>
        </w:tc>
      </w:tr>
      <w:tr w:rsidR="00AD51EC" w:rsidRPr="002E0C7E" w:rsidTr="00EB062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AD51EC" w:rsidRPr="0049680E" w:rsidRDefault="00AD51EC" w:rsidP="00EB0621">
            <w:pPr>
              <w:widowControl w:val="0"/>
              <w:jc w:val="center"/>
              <w:rPr>
                <w:rFonts w:ascii="Arial" w:hAnsi="Arial"/>
                <w:b/>
                <w:sz w:val="14"/>
              </w:rPr>
            </w:pPr>
            <w:r w:rsidRPr="0049680E">
              <w:rPr>
                <w:rFonts w:ascii="Arial" w:hAnsi="Arial"/>
                <w:b/>
                <w:sz w:val="14"/>
              </w:rPr>
              <w:t>M</w:t>
            </w:r>
          </w:p>
          <w:p w:rsidR="00AD51EC" w:rsidRPr="002E0C7E" w:rsidRDefault="00AD51EC" w:rsidP="00EB0621">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2453E3" w:rsidRDefault="00AD51EC" w:rsidP="00EB0621">
            <w:pPr>
              <w:widowControl w:val="0"/>
              <w:jc w:val="center"/>
              <w:rPr>
                <w:rFonts w:ascii="Arial" w:hAnsi="Arial"/>
                <w:b/>
                <w:sz w:val="14"/>
              </w:rPr>
            </w:pPr>
            <w:r>
              <w:rPr>
                <w:rFonts w:ascii="Arial" w:hAnsi="Arial"/>
                <w:b/>
                <w:sz w:val="14"/>
              </w:rPr>
              <w:t>H</w:t>
            </w:r>
          </w:p>
          <w:p w:rsidR="00AD51EC" w:rsidRPr="002E0C7E" w:rsidRDefault="00AD51EC" w:rsidP="00EB0621">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sidRPr="002E0C7E">
              <w:rPr>
                <w:rFonts w:ascii="Arial" w:hAnsi="Arial"/>
                <w:sz w:val="14"/>
              </w:rPr>
              <w:t>2</w:t>
            </w:r>
            <w:r>
              <w:rPr>
                <w:rFonts w:ascii="Arial" w:hAnsi="Arial"/>
                <w:sz w:val="14"/>
              </w:rPr>
              <w:t>5</w:t>
            </w:r>
          </w:p>
        </w:tc>
      </w:tr>
      <w:tr w:rsidR="00AD51EC" w:rsidRPr="002E0C7E" w:rsidTr="00EB062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EB0621">
            <w:pPr>
              <w:widowControl w:val="0"/>
              <w:jc w:val="center"/>
              <w:rPr>
                <w:rFonts w:ascii="Arial" w:hAnsi="Arial"/>
                <w:sz w:val="14"/>
              </w:rPr>
            </w:pPr>
          </w:p>
          <w:p w:rsidR="00AD51EC" w:rsidRPr="002E0C7E" w:rsidRDefault="00AD51EC" w:rsidP="00EB0621">
            <w:pPr>
              <w:widowControl w:val="0"/>
              <w:jc w:val="center"/>
              <w:rPr>
                <w:rFonts w:ascii="Arial" w:hAnsi="Arial"/>
                <w:sz w:val="14"/>
              </w:rPr>
            </w:pPr>
          </w:p>
        </w:tc>
      </w:tr>
    </w:tbl>
    <w:p w:rsidR="00AD51EC" w:rsidRPr="002E0C7E" w:rsidRDefault="00AD51EC" w:rsidP="00AD51EC">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AD51EC" w:rsidRPr="002E0C7E" w:rsidTr="00EB0621">
        <w:trPr>
          <w:cantSplit/>
        </w:trPr>
        <w:tc>
          <w:tcPr>
            <w:tcW w:w="1710" w:type="dxa"/>
            <w:tcBorders>
              <w:top w:val="nil"/>
              <w:left w:val="nil"/>
              <w:bottom w:val="nil"/>
              <w:right w:val="nil"/>
            </w:tcBorders>
            <w:tcMar>
              <w:top w:w="43" w:type="dxa"/>
              <w:left w:w="120" w:type="dxa"/>
              <w:bottom w:w="29" w:type="dxa"/>
              <w:right w:w="120" w:type="dxa"/>
            </w:tcMar>
          </w:tcPr>
          <w:p w:rsidR="00AD51EC" w:rsidRPr="002E0C7E" w:rsidRDefault="00AD51EC" w:rsidP="00EB0621">
            <w:pPr>
              <w:widowControl w:val="0"/>
              <w:rPr>
                <w:rFonts w:ascii="Arial" w:hAnsi="Arial"/>
                <w:sz w:val="16"/>
              </w:rPr>
            </w:pPr>
            <w:r w:rsidRPr="002E0C7E">
              <w:rPr>
                <w:rFonts w:ascii="Arial" w:hAnsi="Arial"/>
                <w:sz w:val="16"/>
              </w:rPr>
              <w:t>Sittings of the court:</w:t>
            </w:r>
          </w:p>
          <w:p w:rsidR="00AD51EC" w:rsidRPr="002E0C7E" w:rsidRDefault="00AD51EC" w:rsidP="00EB0621">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AD51EC" w:rsidRPr="002E0C7E" w:rsidRDefault="00AD51EC" w:rsidP="00EB0621">
            <w:pPr>
              <w:widowControl w:val="0"/>
              <w:rPr>
                <w:rFonts w:ascii="Arial" w:hAnsi="Arial"/>
                <w:sz w:val="16"/>
              </w:rPr>
            </w:pPr>
          </w:p>
          <w:p w:rsidR="00AD51EC" w:rsidRPr="002E0C7E" w:rsidRDefault="00AD51EC" w:rsidP="00EB062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AD51EC" w:rsidRPr="00B058C3"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AD51EC" w:rsidRPr="00B058C3"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AD51EC" w:rsidRPr="00B058C3"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D51EC" w:rsidRPr="002E0C7E" w:rsidTr="00EB062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D51EC" w:rsidRPr="002E0C7E" w:rsidTr="00EB062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AD51EC" w:rsidRPr="002E0C7E" w:rsidRDefault="00AD51EC" w:rsidP="00EB0621">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AD51EC" w:rsidRPr="002E0C7E" w:rsidRDefault="00AD51EC" w:rsidP="00EB06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AD51EC" w:rsidRPr="002E0C7E" w:rsidRDefault="00AD51EC" w:rsidP="00AD51EC">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1"/>
      <w:footerReference w:type="default" r:id="rId7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F5" w:rsidRDefault="009C04F5" w:rsidP="00A87207">
      <w:r>
        <w:separator/>
      </w:r>
    </w:p>
  </w:endnote>
  <w:endnote w:type="continuationSeparator" w:id="0">
    <w:p w:rsidR="009C04F5" w:rsidRDefault="009C04F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pPr>
      <w:pStyle w:val="Footer"/>
      <w:rPr>
        <w:lang w:val="fr-CA"/>
      </w:rPr>
    </w:pPr>
    <w:r>
      <w:rPr>
        <w:lang w:val="fr-CA"/>
      </w:rPr>
      <w:pict>
        <v:rect id="_x0000_i1050" style="width:480.95pt;height:1pt" o:hralign="center" o:hrstd="t" o:hrnoshade="t" o:hr="t" fillcolor="black [3213]" stroked="f"/>
      </w:pict>
    </w:r>
  </w:p>
  <w:p w:rsidR="009C04F5" w:rsidRDefault="009C04F5" w:rsidP="00245129">
    <w:pPr>
      <w:tabs>
        <w:tab w:val="center" w:pos="4680"/>
      </w:tabs>
    </w:pPr>
    <w:r>
      <w:tab/>
    </w:r>
    <w:r w:rsidRPr="0009648D">
      <w:t xml:space="preserve">- </w:t>
    </w:r>
    <w:r>
      <w:fldChar w:fldCharType="begin"/>
    </w:r>
    <w:r>
      <w:instrText xml:space="preserve"> PAGE   \* MERGEFORMAT </w:instrText>
    </w:r>
    <w:r>
      <w:fldChar w:fldCharType="separate"/>
    </w:r>
    <w:r w:rsidR="005C6187">
      <w:rPr>
        <w:noProof/>
      </w:rPr>
      <w:t>1274</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04F5" w:rsidRDefault="009C04F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755F22">
    <w:pPr>
      <w:tabs>
        <w:tab w:val="left" w:pos="-1440"/>
        <w:tab w:val="left" w:pos="-720"/>
      </w:tabs>
    </w:pPr>
    <w:r>
      <w:pict>
        <v:rect id="_x0000_i1056" style="width:480.95pt;height:1pt" o:hralign="center" o:hrstd="t" o:hrnoshade="t" o:hr="t" fillcolor="black [3213]" stroked="f"/>
      </w:pict>
    </w:r>
  </w:p>
  <w:p w:rsidR="009C04F5" w:rsidRDefault="009C04F5" w:rsidP="00EB2B90">
    <w:pPr>
      <w:tabs>
        <w:tab w:val="center" w:pos="4680"/>
      </w:tabs>
    </w:pPr>
    <w:r>
      <w:tab/>
      <w:t xml:space="preserve">- </w:t>
    </w:r>
    <w:r>
      <w:fldChar w:fldCharType="begin"/>
    </w:r>
    <w:r>
      <w:instrText xml:space="preserve"> PAGE   \* MERGEFORMAT </w:instrText>
    </w:r>
    <w:r>
      <w:fldChar w:fldCharType="separate"/>
    </w:r>
    <w:r w:rsidR="005C6187">
      <w:rPr>
        <w:noProof/>
      </w:rPr>
      <w:t>1286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EB2B90">
    <w:pPr>
      <w:tabs>
        <w:tab w:val="center" w:pos="4680"/>
      </w:tabs>
    </w:pPr>
    <w:r>
      <w:pict>
        <v:rect id="_x0000_i1057" style="width:480.95pt;height:1pt" o:hralign="center" o:hrstd="t" o:hrnoshade="t" o:hr="t" fillcolor="black [3213]" stroked="f"/>
      </w:pict>
    </w:r>
  </w:p>
  <w:p w:rsidR="009C04F5" w:rsidRPr="0031432F" w:rsidRDefault="009C04F5" w:rsidP="00EB2B90">
    <w:pPr>
      <w:tabs>
        <w:tab w:val="center" w:pos="4680"/>
      </w:tabs>
    </w:pPr>
    <w:r>
      <w:tab/>
      <w:t xml:space="preserve">- </w:t>
    </w:r>
    <w:r>
      <w:fldChar w:fldCharType="begin"/>
    </w:r>
    <w:r>
      <w:instrText xml:space="preserve"> PAGE   \* MERGEFORMAT </w:instrText>
    </w:r>
    <w:r>
      <w:fldChar w:fldCharType="separate"/>
    </w:r>
    <w:r w:rsidR="005C6187">
      <w:rPr>
        <w:noProof/>
      </w:rPr>
      <w:t>1282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04F5" w:rsidRDefault="009C0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04F5" w:rsidRDefault="009C04F5">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9C04F5" w:rsidRDefault="009C04F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1300</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802863">
    <w:pPr>
      <w:widowControl w:val="0"/>
      <w:tabs>
        <w:tab w:val="left" w:pos="-1440"/>
        <w:tab w:val="left" w:pos="-720"/>
      </w:tabs>
    </w:pPr>
    <w:r>
      <w:rPr>
        <w:lang w:val="fr-CA"/>
      </w:rPr>
      <w:pict>
        <v:rect id="_x0000_i1060" style="width:480.95pt;height:1pt" o:hralign="center" o:hrstd="t" o:hrnoshade="t" o:hr="t" fillcolor="black [3213]" stroked="f"/>
      </w:pict>
    </w:r>
  </w:p>
  <w:p w:rsidR="009C04F5" w:rsidRPr="00180897" w:rsidRDefault="009C04F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5C6187">
      <w:rPr>
        <w:noProof/>
        <w:szCs w:val="24"/>
      </w:rPr>
      <w:t>1287</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04F5" w:rsidRDefault="009C04F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732DB7">
    <w:r>
      <w:pict>
        <v:rect id="_x0000_i1062" style="width:480.95pt;height:1pt" o:hralign="center" o:hrstd="t" o:hrnoshade="t" o:hr="t" fillcolor="black" stroked="f"/>
      </w:pict>
    </w:r>
  </w:p>
  <w:p w:rsidR="009C04F5" w:rsidRDefault="009C04F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pPr>
      <w:pStyle w:val="Footer"/>
    </w:pPr>
    <w:r>
      <w:pict>
        <v:rect id="_x0000_i1063" style="width:480.95pt;height:1pt" o:hralign="center" o:hrstd="t" o:hrnoshade="t" o:hr="t" fillcolor="black [3213]" stroked="f"/>
      </w:pict>
    </w:r>
  </w:p>
  <w:p w:rsidR="009C04F5" w:rsidRPr="003C2C0F" w:rsidRDefault="009C04F5" w:rsidP="00697C62">
    <w:pPr>
      <w:tabs>
        <w:tab w:val="center" w:pos="4680"/>
      </w:tabs>
    </w:pPr>
    <w:r>
      <w:tab/>
      <w:t xml:space="preserve">- </w:t>
    </w:r>
    <w:r>
      <w:fldChar w:fldCharType="begin"/>
    </w:r>
    <w:r>
      <w:instrText xml:space="preserve"> PAGE   \* MERGEFORMAT </w:instrText>
    </w:r>
    <w:r>
      <w:fldChar w:fldCharType="separate"/>
    </w:r>
    <w:r w:rsidR="005C6187">
      <w:rPr>
        <w:noProof/>
      </w:rPr>
      <w:t>1288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04F5" w:rsidRDefault="009C04F5">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04F5" w:rsidRDefault="005C6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9C04F5" w:rsidRDefault="009C04F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C6187">
      <w:rPr>
        <w:noProof/>
        <w:szCs w:val="24"/>
      </w:rPr>
      <w:t>1295</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782AE4">
    <w:pPr>
      <w:tabs>
        <w:tab w:val="center" w:pos="4680"/>
      </w:tabs>
    </w:pPr>
    <w:r>
      <w:pict>
        <v:rect id="_x0000_i1067" style="width:480.95pt;height:1pt" o:hralign="center" o:hrstd="t" o:hrnoshade="t" o:hr="t" fillcolor="black [3213]" stroked="f"/>
      </w:pict>
    </w:r>
  </w:p>
  <w:p w:rsidR="009C04F5" w:rsidRDefault="009C04F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C6187">
      <w:rPr>
        <w:noProof/>
        <w:szCs w:val="24"/>
      </w:rPr>
      <w:t>1289</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Pr="00924065" w:rsidRDefault="009C04F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A87207">
    <w:pPr>
      <w:pStyle w:val="Footer"/>
    </w:pPr>
    <w:r>
      <w:pict>
        <v:rect id="_x0000_i1036" style="width:480.95pt;height:1pt" o:hralign="center" o:hrstd="t" o:hrnoshade="t" o:hr="t" fillcolor="black [3213]" stroked="f"/>
      </w:pict>
    </w:r>
  </w:p>
  <w:p w:rsidR="009C04F5" w:rsidRPr="00B7374B" w:rsidRDefault="009C04F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C6187">
      <w:rPr>
        <w:noProof/>
        <w:szCs w:val="24"/>
      </w:rPr>
      <w:t>1272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755F22">
    <w:pPr>
      <w:tabs>
        <w:tab w:val="left" w:pos="-1440"/>
        <w:tab w:val="left" w:pos="-720"/>
      </w:tabs>
    </w:pPr>
    <w:r>
      <w:pict>
        <v:rect id="_x0000_i1037" style="width:480.95pt;height:1pt" o:hralign="center" o:hrstd="t" o:hrnoshade="t" o:hr="t" fillcolor="black [3213]" stroked="f"/>
      </w:pict>
    </w:r>
  </w:p>
  <w:p w:rsidR="009C04F5" w:rsidRPr="00954D22" w:rsidRDefault="009C04F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C6187">
      <w:rPr>
        <w:noProof/>
        <w:szCs w:val="24"/>
      </w:rPr>
      <w:t>1271</w:t>
    </w:r>
    <w:r>
      <w:rPr>
        <w:szCs w:val="24"/>
      </w:rPr>
      <w:fldChar w:fldCharType="end"/>
    </w:r>
    <w:r w:rsidRPr="00954D22">
      <w:rPr>
        <w:szCs w:val="24"/>
      </w:rPr>
      <w:t xml:space="preserve"> -</w:t>
    </w:r>
  </w:p>
  <w:p w:rsidR="009C04F5" w:rsidRDefault="009C04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A87207">
    <w:pPr>
      <w:pStyle w:val="Footer"/>
    </w:pPr>
    <w:r>
      <w:pict>
        <v:rect id="_x0000_i1039" style="width:480.95pt;height:1pt" o:hralign="center" o:hrstd="t" o:hrnoshade="t" o:hr="t" fillcolor="black [3213]" stroked="f"/>
      </w:pict>
    </w:r>
  </w:p>
  <w:p w:rsidR="009C04F5" w:rsidRPr="00B7374B" w:rsidRDefault="009C04F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1275</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9C04F5" w:rsidRPr="00954D22" w:rsidRDefault="009C04F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C6187">
      <w:rPr>
        <w:noProof/>
        <w:szCs w:val="24"/>
      </w:rPr>
      <w:t>1273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04F5" w:rsidRDefault="009C04F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5C6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9C04F5" w:rsidRPr="0009648D" w:rsidRDefault="009C04F5" w:rsidP="00ED7E83">
    <w:pPr>
      <w:tabs>
        <w:tab w:val="center" w:pos="4680"/>
      </w:tabs>
    </w:pPr>
    <w:r>
      <w:tab/>
    </w:r>
    <w:r w:rsidRPr="0009648D">
      <w:t xml:space="preserve">- </w:t>
    </w:r>
    <w:r>
      <w:fldChar w:fldCharType="begin"/>
    </w:r>
    <w:r>
      <w:instrText xml:space="preserve"> PAGE   \* MERGEFORMAT </w:instrText>
    </w:r>
    <w:r>
      <w:fldChar w:fldCharType="separate"/>
    </w:r>
    <w:r w:rsidR="005C6187">
      <w:rPr>
        <w:noProof/>
      </w:rPr>
      <w:t>1276</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F5" w:rsidRDefault="009C04F5" w:rsidP="00A87207">
      <w:r>
        <w:separator/>
      </w:r>
    </w:p>
  </w:footnote>
  <w:footnote w:type="continuationSeparator" w:id="0">
    <w:p w:rsidR="009C04F5" w:rsidRDefault="009C04F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C04F5">
      <w:tc>
        <w:tcPr>
          <w:tcW w:w="423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C04F5"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04F5"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C04F5">
      <w:trPr>
        <w:gridAfter w:val="2"/>
        <w:wAfter w:w="5250" w:type="dxa"/>
      </w:trPr>
      <w:tc>
        <w:tcPr>
          <w:tcW w:w="4230" w:type="dxa"/>
          <w:tcMar>
            <w:left w:w="0" w:type="dxa"/>
            <w:right w:w="0" w:type="dxa"/>
          </w:tcMar>
        </w:tcPr>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C04F5" w:rsidRPr="00755F22" w:rsidTr="00245129">
      <w:tc>
        <w:tcPr>
          <w:tcW w:w="4230" w:type="dxa"/>
          <w:tcMar>
            <w:left w:w="0" w:type="dxa"/>
            <w:right w:w="0" w:type="dxa"/>
          </w:tcMar>
        </w:tcPr>
        <w:p w:rsidR="009C04F5" w:rsidRPr="00755F22" w:rsidRDefault="009C04F5" w:rsidP="00831CA9">
          <w:pPr>
            <w:keepNext/>
            <w:keepLines/>
            <w:rPr>
              <w:sz w:val="20"/>
              <w:szCs w:val="20"/>
            </w:rPr>
          </w:pPr>
          <w:r w:rsidRPr="00755F22">
            <w:rPr>
              <w:sz w:val="20"/>
              <w:szCs w:val="20"/>
            </w:rPr>
            <w:t>MOTIONS</w:t>
          </w:r>
        </w:p>
      </w:tc>
      <w:tc>
        <w:tcPr>
          <w:tcW w:w="1170" w:type="dxa"/>
          <w:tcMar>
            <w:left w:w="0" w:type="dxa"/>
            <w:right w:w="0" w:type="dxa"/>
          </w:tcMar>
        </w:tcPr>
        <w:p w:rsidR="009C04F5" w:rsidRPr="00755F22" w:rsidRDefault="009C04F5" w:rsidP="00831CA9">
          <w:pPr>
            <w:keepLines/>
            <w:jc w:val="center"/>
            <w:rPr>
              <w:sz w:val="20"/>
              <w:szCs w:val="20"/>
            </w:rPr>
          </w:pPr>
        </w:p>
        <w:p w:rsidR="009C04F5" w:rsidRPr="00755F22" w:rsidRDefault="009C04F5" w:rsidP="00831CA9">
          <w:pPr>
            <w:keepLines/>
            <w:tabs>
              <w:tab w:val="left" w:pos="-1440"/>
              <w:tab w:val="left" w:pos="-720"/>
            </w:tabs>
            <w:jc w:val="center"/>
            <w:rPr>
              <w:sz w:val="20"/>
              <w:szCs w:val="20"/>
            </w:rPr>
          </w:pPr>
        </w:p>
      </w:tc>
      <w:tc>
        <w:tcPr>
          <w:tcW w:w="4080" w:type="dxa"/>
          <w:tcMar>
            <w:left w:w="0" w:type="dxa"/>
            <w:right w:w="0" w:type="dxa"/>
          </w:tcMar>
        </w:tcPr>
        <w:p w:rsidR="009C04F5" w:rsidRPr="00BA6468" w:rsidRDefault="009C04F5" w:rsidP="00BA6468">
          <w:pPr>
            <w:keepLines/>
            <w:rPr>
              <w:sz w:val="20"/>
              <w:szCs w:val="20"/>
              <w:lang w:val="fr-CA"/>
            </w:rPr>
          </w:pPr>
          <w:r w:rsidRPr="00BA6468">
            <w:rPr>
              <w:sz w:val="20"/>
              <w:szCs w:val="20"/>
              <w:lang w:val="fr-CA"/>
            </w:rPr>
            <w:t>REQUÊTES</w:t>
          </w:r>
        </w:p>
      </w:tc>
    </w:tr>
  </w:tbl>
  <w:p w:rsidR="009C04F5" w:rsidRDefault="009C04F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tc>
        <w:tcPr>
          <w:tcW w:w="4200" w:type="dxa"/>
          <w:tcMar>
            <w:left w:w="0" w:type="dxa"/>
            <w:right w:w="0" w:type="dxa"/>
          </w:tcMar>
        </w:tcPr>
        <w:p w:rsidR="009C04F5" w:rsidRDefault="009C04F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C04F5" w:rsidRDefault="009C04F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C04F5" w:rsidRDefault="009C04F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04F5" w:rsidRPr="009256DC" w:rsidRDefault="009C04F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C04F5" w:rsidRPr="009256DC" w:rsidRDefault="009C0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C04F5" w:rsidRPr="009256DC" w:rsidRDefault="009C0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rsidTr="00245129">
      <w:tc>
        <w:tcPr>
          <w:tcW w:w="4200" w:type="dxa"/>
          <w:tcMar>
            <w:left w:w="0" w:type="dxa"/>
            <w:right w:w="0" w:type="dxa"/>
          </w:tcMar>
        </w:tcPr>
        <w:p w:rsidR="009C04F5" w:rsidRPr="00802863" w:rsidRDefault="009C04F5"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C04F5" w:rsidRPr="00802863" w:rsidRDefault="009C04F5" w:rsidP="00802863">
          <w:pPr>
            <w:keepNext/>
            <w:keepLines/>
            <w:widowControl w:val="0"/>
            <w:tabs>
              <w:tab w:val="left" w:pos="-1440"/>
              <w:tab w:val="left" w:pos="-720"/>
            </w:tabs>
            <w:jc w:val="center"/>
            <w:rPr>
              <w:sz w:val="20"/>
              <w:szCs w:val="20"/>
            </w:rPr>
          </w:pPr>
        </w:p>
        <w:p w:rsidR="009C04F5" w:rsidRPr="00802863" w:rsidRDefault="009C04F5" w:rsidP="00802863">
          <w:pPr>
            <w:keepNext/>
            <w:keepLines/>
            <w:widowControl w:val="0"/>
            <w:tabs>
              <w:tab w:val="left" w:pos="-1440"/>
              <w:tab w:val="left" w:pos="-720"/>
            </w:tabs>
            <w:jc w:val="center"/>
            <w:rPr>
              <w:sz w:val="20"/>
              <w:szCs w:val="20"/>
            </w:rPr>
          </w:pPr>
        </w:p>
        <w:p w:rsidR="009C04F5" w:rsidRPr="00802863" w:rsidRDefault="009C04F5"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C04F5" w:rsidRPr="00802863" w:rsidRDefault="009C04F5"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C04F5" w:rsidRPr="009256DC" w:rsidRDefault="009C04F5"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tc>
        <w:tcPr>
          <w:tcW w:w="420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C04F5" w:rsidRPr="003C2C0F"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C04F5" w:rsidRPr="003C2C0F"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C04F5" w:rsidRPr="003C2C0F"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rsidTr="00245129">
      <w:tc>
        <w:tcPr>
          <w:tcW w:w="4200" w:type="dxa"/>
          <w:tcMar>
            <w:left w:w="0" w:type="dxa"/>
            <w:right w:w="0" w:type="dxa"/>
          </w:tcMar>
        </w:tcPr>
        <w:p w:rsidR="009C04F5" w:rsidRPr="00FF6EEC" w:rsidRDefault="009C04F5" w:rsidP="00FF6EEC">
          <w:pPr>
            <w:rPr>
              <w:sz w:val="20"/>
              <w:szCs w:val="20"/>
            </w:rPr>
          </w:pPr>
          <w:r w:rsidRPr="00FF6EEC">
            <w:rPr>
              <w:sz w:val="20"/>
              <w:szCs w:val="20"/>
            </w:rPr>
            <w:t>PRONOUNCEMENTS OF APPEALS RESERVED</w:t>
          </w:r>
        </w:p>
      </w:tc>
      <w:tc>
        <w:tcPr>
          <w:tcW w:w="1200" w:type="dxa"/>
          <w:tcMar>
            <w:left w:w="0" w:type="dxa"/>
            <w:right w:w="0" w:type="dxa"/>
          </w:tcMar>
        </w:tcPr>
        <w:p w:rsidR="009C04F5" w:rsidRPr="00FF6EEC" w:rsidRDefault="009C04F5" w:rsidP="00FF6EEC">
          <w:pPr>
            <w:jc w:val="center"/>
            <w:rPr>
              <w:sz w:val="20"/>
              <w:szCs w:val="20"/>
            </w:rPr>
          </w:pPr>
        </w:p>
        <w:p w:rsidR="009C04F5" w:rsidRPr="00FF6EEC" w:rsidRDefault="009C04F5" w:rsidP="00FF6EEC">
          <w:pPr>
            <w:jc w:val="center"/>
            <w:rPr>
              <w:sz w:val="20"/>
              <w:szCs w:val="20"/>
            </w:rPr>
          </w:pPr>
        </w:p>
        <w:p w:rsidR="009C04F5" w:rsidRPr="00FF6EEC" w:rsidRDefault="009C04F5" w:rsidP="00FF6EEC">
          <w:pPr>
            <w:jc w:val="center"/>
            <w:rPr>
              <w:sz w:val="20"/>
              <w:szCs w:val="20"/>
            </w:rPr>
          </w:pPr>
        </w:p>
      </w:tc>
      <w:tc>
        <w:tcPr>
          <w:tcW w:w="4080" w:type="dxa"/>
          <w:tcMar>
            <w:left w:w="0" w:type="dxa"/>
            <w:right w:w="0" w:type="dxa"/>
          </w:tcMar>
        </w:tcPr>
        <w:p w:rsidR="009C04F5" w:rsidRPr="00FF6EEC" w:rsidRDefault="009C04F5" w:rsidP="00FF6EEC">
          <w:pPr>
            <w:rPr>
              <w:sz w:val="20"/>
              <w:szCs w:val="20"/>
              <w:lang w:val="fr-CA"/>
            </w:rPr>
          </w:pPr>
          <w:r w:rsidRPr="00FF6EEC">
            <w:rPr>
              <w:sz w:val="20"/>
              <w:szCs w:val="20"/>
              <w:lang w:val="fr-CA"/>
            </w:rPr>
            <w:t>JUGEMENTS RENDUS SUR LES APPELS EN DÉLIBÉRÉ</w:t>
          </w:r>
        </w:p>
      </w:tc>
    </w:tr>
  </w:tbl>
  <w:p w:rsidR="009C04F5" w:rsidRPr="003C2C0F" w:rsidRDefault="009C04F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C04F5">
      <w:tc>
        <w:tcPr>
          <w:tcW w:w="423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C04F5"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04F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C04F5" w:rsidRPr="00782AE4" w:rsidTr="00245129">
      <w:tc>
        <w:tcPr>
          <w:tcW w:w="4230" w:type="dxa"/>
          <w:tcMar>
            <w:left w:w="0" w:type="dxa"/>
            <w:right w:w="0" w:type="dxa"/>
          </w:tcMar>
        </w:tcPr>
        <w:p w:rsidR="009C04F5" w:rsidRPr="00782AE4" w:rsidRDefault="009C04F5" w:rsidP="00102926">
          <w:pPr>
            <w:keepNext/>
            <w:keepLines/>
            <w:tabs>
              <w:tab w:val="left" w:pos="-1440"/>
              <w:tab w:val="left" w:pos="-720"/>
            </w:tabs>
            <w:rPr>
              <w:sz w:val="20"/>
              <w:szCs w:val="20"/>
            </w:rPr>
          </w:pPr>
          <w:r w:rsidRPr="00782AE4">
            <w:rPr>
              <w:sz w:val="20"/>
              <w:szCs w:val="20"/>
            </w:rPr>
            <w:t xml:space="preserve">HEADNOTES OF RECENT </w:t>
          </w:r>
        </w:p>
        <w:p w:rsidR="009C04F5" w:rsidRPr="00782AE4"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C04F5" w:rsidRDefault="009C04F5" w:rsidP="00102926">
          <w:pPr>
            <w:keepNext/>
            <w:keepLines/>
            <w:tabs>
              <w:tab w:val="left" w:pos="-1440"/>
              <w:tab w:val="left" w:pos="-720"/>
            </w:tabs>
            <w:jc w:val="center"/>
            <w:rPr>
              <w:sz w:val="20"/>
              <w:szCs w:val="20"/>
            </w:rPr>
          </w:pPr>
        </w:p>
        <w:p w:rsidR="009C04F5" w:rsidRDefault="009C04F5" w:rsidP="00102926">
          <w:pPr>
            <w:keepNext/>
            <w:keepLines/>
            <w:tabs>
              <w:tab w:val="left" w:pos="-1440"/>
              <w:tab w:val="left" w:pos="-720"/>
            </w:tabs>
            <w:jc w:val="center"/>
            <w:rPr>
              <w:sz w:val="20"/>
              <w:szCs w:val="20"/>
            </w:rPr>
          </w:pPr>
        </w:p>
        <w:p w:rsidR="009C04F5" w:rsidRPr="00782AE4" w:rsidRDefault="009C04F5" w:rsidP="00102926">
          <w:pPr>
            <w:keepNext/>
            <w:keepLines/>
            <w:tabs>
              <w:tab w:val="left" w:pos="-1440"/>
              <w:tab w:val="left" w:pos="-720"/>
            </w:tabs>
            <w:jc w:val="center"/>
            <w:rPr>
              <w:sz w:val="20"/>
              <w:szCs w:val="20"/>
            </w:rPr>
          </w:pPr>
        </w:p>
      </w:tc>
      <w:tc>
        <w:tcPr>
          <w:tcW w:w="4080" w:type="dxa"/>
          <w:tcMar>
            <w:left w:w="0" w:type="dxa"/>
            <w:right w:w="0" w:type="dxa"/>
          </w:tcMar>
        </w:tcPr>
        <w:p w:rsidR="009C04F5" w:rsidRPr="00102926"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C04F5" w:rsidRPr="00782AE4" w:rsidRDefault="009C04F5" w:rsidP="00102926">
          <w:pPr>
            <w:keepLines/>
            <w:tabs>
              <w:tab w:val="left" w:pos="-1440"/>
              <w:tab w:val="left" w:pos="-720"/>
            </w:tabs>
            <w:rPr>
              <w:sz w:val="20"/>
              <w:szCs w:val="20"/>
            </w:rPr>
          </w:pPr>
          <w:r w:rsidRPr="00102926">
            <w:rPr>
              <w:sz w:val="20"/>
              <w:szCs w:val="20"/>
              <w:lang w:val="fr-CA"/>
            </w:rPr>
            <w:t>RÉCENTS</w:t>
          </w:r>
        </w:p>
      </w:tc>
    </w:tr>
  </w:tbl>
  <w:p w:rsidR="009C04F5" w:rsidRDefault="009C04F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C04F5" w:rsidRPr="0044776A" w:rsidTr="00245129">
      <w:tc>
        <w:tcPr>
          <w:tcW w:w="4290" w:type="dxa"/>
          <w:tcMar>
            <w:left w:w="0" w:type="dxa"/>
            <w:right w:w="0" w:type="dxa"/>
          </w:tcMar>
        </w:tcPr>
        <w:p w:rsidR="009C04F5" w:rsidRPr="0044776A" w:rsidRDefault="009C04F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C04F5" w:rsidRPr="0044776A" w:rsidRDefault="009C04F5" w:rsidP="002E2327">
          <w:pPr>
            <w:keepNext/>
            <w:keepLines/>
            <w:tabs>
              <w:tab w:val="left" w:pos="-1440"/>
              <w:tab w:val="left" w:pos="-720"/>
            </w:tabs>
            <w:jc w:val="center"/>
            <w:rPr>
              <w:sz w:val="20"/>
              <w:szCs w:val="20"/>
            </w:rPr>
          </w:pPr>
        </w:p>
        <w:p w:rsidR="009C04F5" w:rsidRPr="0044776A" w:rsidRDefault="009C04F5" w:rsidP="002E2327">
          <w:pPr>
            <w:keepNext/>
            <w:keepLines/>
            <w:tabs>
              <w:tab w:val="left" w:pos="-1440"/>
              <w:tab w:val="left" w:pos="-720"/>
            </w:tabs>
            <w:jc w:val="center"/>
            <w:rPr>
              <w:sz w:val="20"/>
              <w:szCs w:val="20"/>
            </w:rPr>
          </w:pPr>
        </w:p>
        <w:p w:rsidR="009C04F5" w:rsidRPr="0044776A" w:rsidRDefault="009C04F5" w:rsidP="002E2327">
          <w:pPr>
            <w:keepNext/>
            <w:keepLines/>
            <w:tabs>
              <w:tab w:val="left" w:pos="-1440"/>
              <w:tab w:val="left" w:pos="-720"/>
            </w:tabs>
            <w:jc w:val="center"/>
            <w:rPr>
              <w:sz w:val="20"/>
              <w:szCs w:val="20"/>
            </w:rPr>
          </w:pPr>
        </w:p>
      </w:tc>
      <w:tc>
        <w:tcPr>
          <w:tcW w:w="4320" w:type="dxa"/>
          <w:tcMar>
            <w:left w:w="0" w:type="dxa"/>
            <w:right w:w="0" w:type="dxa"/>
          </w:tcMar>
        </w:tcPr>
        <w:p w:rsidR="009C04F5" w:rsidRPr="0044776A" w:rsidRDefault="009C04F5" w:rsidP="002E2327">
          <w:pPr>
            <w:keepLines/>
            <w:rPr>
              <w:sz w:val="20"/>
              <w:szCs w:val="20"/>
              <w:lang w:val="fr-CA"/>
            </w:rPr>
          </w:pPr>
          <w:r w:rsidRPr="0044776A">
            <w:rPr>
              <w:sz w:val="20"/>
              <w:szCs w:val="20"/>
              <w:lang w:val="fr-CA"/>
            </w:rPr>
            <w:t>DEMANDES D'AUTORISATION D'APPEL DÉPOSÉES</w:t>
          </w:r>
        </w:p>
      </w:tc>
    </w:tr>
  </w:tbl>
  <w:p w:rsidR="009C04F5" w:rsidRDefault="009C0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rsidTr="00245129">
      <w:tc>
        <w:tcPr>
          <w:tcW w:w="4200" w:type="dxa"/>
          <w:tcMar>
            <w:left w:w="0" w:type="dxa"/>
            <w:right w:w="0" w:type="dxa"/>
          </w:tcMar>
        </w:tcPr>
        <w:p w:rsidR="009C04F5" w:rsidRPr="0044776A" w:rsidRDefault="009C04F5" w:rsidP="0044776A">
          <w:pPr>
            <w:keepNext/>
            <w:keepLines/>
            <w:widowControl w:val="0"/>
            <w:rPr>
              <w:sz w:val="20"/>
              <w:szCs w:val="20"/>
            </w:rPr>
          </w:pPr>
          <w:r>
            <w:rPr>
              <w:sz w:val="20"/>
              <w:szCs w:val="20"/>
            </w:rPr>
            <w:t>APPLICATIONS FOR LEAVE</w:t>
          </w:r>
        </w:p>
        <w:p w:rsidR="009C04F5" w:rsidRPr="0044776A" w:rsidRDefault="009C04F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C04F5" w:rsidRPr="0044776A" w:rsidRDefault="009C04F5" w:rsidP="0044776A">
          <w:pPr>
            <w:keepNext/>
            <w:keepLines/>
            <w:widowControl w:val="0"/>
            <w:jc w:val="center"/>
            <w:rPr>
              <w:sz w:val="20"/>
              <w:szCs w:val="20"/>
            </w:rPr>
          </w:pPr>
        </w:p>
        <w:p w:rsidR="009C04F5" w:rsidRPr="0044776A" w:rsidRDefault="009C04F5" w:rsidP="0044776A">
          <w:pPr>
            <w:keepNext/>
            <w:keepLines/>
            <w:widowControl w:val="0"/>
            <w:jc w:val="center"/>
            <w:rPr>
              <w:sz w:val="20"/>
              <w:szCs w:val="20"/>
            </w:rPr>
          </w:pPr>
        </w:p>
        <w:p w:rsidR="009C04F5" w:rsidRPr="0044776A" w:rsidRDefault="009C04F5" w:rsidP="0044776A">
          <w:pPr>
            <w:keepNext/>
            <w:keepLines/>
            <w:widowControl w:val="0"/>
            <w:jc w:val="center"/>
            <w:rPr>
              <w:sz w:val="20"/>
              <w:szCs w:val="20"/>
            </w:rPr>
          </w:pPr>
        </w:p>
      </w:tc>
      <w:tc>
        <w:tcPr>
          <w:tcW w:w="4080" w:type="dxa"/>
          <w:tcMar>
            <w:left w:w="0" w:type="dxa"/>
            <w:right w:w="0" w:type="dxa"/>
          </w:tcMar>
        </w:tcPr>
        <w:p w:rsidR="009C04F5" w:rsidRPr="0044776A" w:rsidRDefault="009C04F5" w:rsidP="0044776A">
          <w:pPr>
            <w:keepLines/>
            <w:widowControl w:val="0"/>
            <w:rPr>
              <w:sz w:val="20"/>
              <w:szCs w:val="20"/>
              <w:lang w:val="fr-CA"/>
            </w:rPr>
          </w:pPr>
          <w:r w:rsidRPr="0044776A">
            <w:rPr>
              <w:sz w:val="20"/>
              <w:szCs w:val="20"/>
              <w:lang w:val="fr-CA"/>
            </w:rPr>
            <w:t>DEMANDES SOUMISES À LA COUR DEPUIS LA DERNIÈRE PARUTION</w:t>
          </w:r>
        </w:p>
        <w:p w:rsidR="009C04F5" w:rsidRPr="0044776A" w:rsidRDefault="009C04F5" w:rsidP="0044776A">
          <w:pPr>
            <w:widowControl w:val="0"/>
            <w:rPr>
              <w:sz w:val="20"/>
              <w:szCs w:val="20"/>
              <w:lang w:val="fr-CA"/>
            </w:rPr>
          </w:pPr>
        </w:p>
      </w:tc>
    </w:tr>
  </w:tbl>
  <w:p w:rsidR="009C04F5" w:rsidRPr="002E2327" w:rsidRDefault="009C04F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F5" w:rsidRDefault="009C04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tc>
        <w:tcPr>
          <w:tcW w:w="4200" w:type="dxa"/>
          <w:tcMar>
            <w:left w:w="0" w:type="dxa"/>
            <w:right w:w="0" w:type="dxa"/>
          </w:tcMar>
        </w:tcPr>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C04F5"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C04F5"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04F5" w:rsidRPr="00FF6BA5"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C04F5" w:rsidRPr="00FF6BA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C04F5" w:rsidRPr="00FF6BA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C04F5" w:rsidRPr="00FF6BA5" w:rsidRDefault="009C0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C04F5" w:rsidRPr="002F7D87" w:rsidTr="00245129">
      <w:tc>
        <w:tcPr>
          <w:tcW w:w="4200" w:type="dxa"/>
          <w:tcMar>
            <w:left w:w="0" w:type="dxa"/>
            <w:right w:w="0" w:type="dxa"/>
          </w:tcMar>
        </w:tcPr>
        <w:p w:rsidR="009C04F5" w:rsidRPr="00755F22"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C04F5" w:rsidRPr="00755F22" w:rsidRDefault="009C04F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C04F5" w:rsidRPr="00755F22" w:rsidRDefault="009C04F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04F5" w:rsidRPr="00755F22" w:rsidRDefault="009C04F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04F5" w:rsidRPr="00755F22" w:rsidRDefault="009C04F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C04F5" w:rsidRPr="00755F22" w:rsidRDefault="009C04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C04F5" w:rsidRPr="00FF6BA5" w:rsidRDefault="009C04F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4F"/>
    <w:rsid w:val="00020DC3"/>
    <w:rsid w:val="0002253E"/>
    <w:rsid w:val="0003223B"/>
    <w:rsid w:val="000327B2"/>
    <w:rsid w:val="0004528B"/>
    <w:rsid w:val="00064FBA"/>
    <w:rsid w:val="00091FA6"/>
    <w:rsid w:val="00092201"/>
    <w:rsid w:val="00096BD9"/>
    <w:rsid w:val="000B3C9A"/>
    <w:rsid w:val="000B40A2"/>
    <w:rsid w:val="000B4624"/>
    <w:rsid w:val="000C0ACD"/>
    <w:rsid w:val="000C0D2A"/>
    <w:rsid w:val="000C5CE8"/>
    <w:rsid w:val="000D55D8"/>
    <w:rsid w:val="000E2959"/>
    <w:rsid w:val="000F0B60"/>
    <w:rsid w:val="00102926"/>
    <w:rsid w:val="0010587F"/>
    <w:rsid w:val="00111C6B"/>
    <w:rsid w:val="00114C1D"/>
    <w:rsid w:val="00117C6E"/>
    <w:rsid w:val="0012102B"/>
    <w:rsid w:val="0013369E"/>
    <w:rsid w:val="001456B8"/>
    <w:rsid w:val="00164E6D"/>
    <w:rsid w:val="00183454"/>
    <w:rsid w:val="00183C0E"/>
    <w:rsid w:val="0019573C"/>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67FD5"/>
    <w:rsid w:val="00274D34"/>
    <w:rsid w:val="00280961"/>
    <w:rsid w:val="00283ED8"/>
    <w:rsid w:val="002868D0"/>
    <w:rsid w:val="002969E2"/>
    <w:rsid w:val="002A008C"/>
    <w:rsid w:val="002A27D1"/>
    <w:rsid w:val="002A4AFA"/>
    <w:rsid w:val="002B516C"/>
    <w:rsid w:val="002D72EB"/>
    <w:rsid w:val="002E2327"/>
    <w:rsid w:val="002E3583"/>
    <w:rsid w:val="002E5576"/>
    <w:rsid w:val="002F7D87"/>
    <w:rsid w:val="00320D7C"/>
    <w:rsid w:val="00331B52"/>
    <w:rsid w:val="003359D3"/>
    <w:rsid w:val="00355967"/>
    <w:rsid w:val="00361555"/>
    <w:rsid w:val="00374F02"/>
    <w:rsid w:val="00380C44"/>
    <w:rsid w:val="00382C47"/>
    <w:rsid w:val="00384384"/>
    <w:rsid w:val="003866AE"/>
    <w:rsid w:val="003B3977"/>
    <w:rsid w:val="003D36FD"/>
    <w:rsid w:val="003E1D4C"/>
    <w:rsid w:val="003F4E4F"/>
    <w:rsid w:val="004137A0"/>
    <w:rsid w:val="00422D9A"/>
    <w:rsid w:val="00432989"/>
    <w:rsid w:val="00440E24"/>
    <w:rsid w:val="0044776A"/>
    <w:rsid w:val="00460AFC"/>
    <w:rsid w:val="0047471F"/>
    <w:rsid w:val="004B195E"/>
    <w:rsid w:val="004B5947"/>
    <w:rsid w:val="004B66B4"/>
    <w:rsid w:val="004B7F60"/>
    <w:rsid w:val="004C1AAC"/>
    <w:rsid w:val="004C5B78"/>
    <w:rsid w:val="004D077F"/>
    <w:rsid w:val="004E1E0A"/>
    <w:rsid w:val="004F090E"/>
    <w:rsid w:val="00501F3C"/>
    <w:rsid w:val="0052229C"/>
    <w:rsid w:val="00527CC7"/>
    <w:rsid w:val="00537EE5"/>
    <w:rsid w:val="00542E53"/>
    <w:rsid w:val="00556651"/>
    <w:rsid w:val="00571CA4"/>
    <w:rsid w:val="00582136"/>
    <w:rsid w:val="00597451"/>
    <w:rsid w:val="005A6BE2"/>
    <w:rsid w:val="005C6187"/>
    <w:rsid w:val="005C6840"/>
    <w:rsid w:val="005F001B"/>
    <w:rsid w:val="005F1ED8"/>
    <w:rsid w:val="005F263E"/>
    <w:rsid w:val="00600252"/>
    <w:rsid w:val="00612A40"/>
    <w:rsid w:val="00621F74"/>
    <w:rsid w:val="0062714A"/>
    <w:rsid w:val="00632F35"/>
    <w:rsid w:val="00675479"/>
    <w:rsid w:val="00680709"/>
    <w:rsid w:val="00681F61"/>
    <w:rsid w:val="00696BF9"/>
    <w:rsid w:val="00697C62"/>
    <w:rsid w:val="006A329B"/>
    <w:rsid w:val="006A7EB8"/>
    <w:rsid w:val="006B6926"/>
    <w:rsid w:val="006C3F47"/>
    <w:rsid w:val="006C5F7A"/>
    <w:rsid w:val="006E06AF"/>
    <w:rsid w:val="006F350F"/>
    <w:rsid w:val="006F5562"/>
    <w:rsid w:val="00732DB7"/>
    <w:rsid w:val="0074238B"/>
    <w:rsid w:val="00745EF7"/>
    <w:rsid w:val="00755F22"/>
    <w:rsid w:val="00766E4A"/>
    <w:rsid w:val="007768C6"/>
    <w:rsid w:val="007820CE"/>
    <w:rsid w:val="00782AE4"/>
    <w:rsid w:val="00796C73"/>
    <w:rsid w:val="0079724F"/>
    <w:rsid w:val="007A3EAE"/>
    <w:rsid w:val="007B33F8"/>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6340B"/>
    <w:rsid w:val="00887375"/>
    <w:rsid w:val="00890FEB"/>
    <w:rsid w:val="00895E7E"/>
    <w:rsid w:val="008A5C1A"/>
    <w:rsid w:val="008A5FE9"/>
    <w:rsid w:val="008D292F"/>
    <w:rsid w:val="008E03DC"/>
    <w:rsid w:val="00902E51"/>
    <w:rsid w:val="00924065"/>
    <w:rsid w:val="00930D68"/>
    <w:rsid w:val="00932DB4"/>
    <w:rsid w:val="00941A4B"/>
    <w:rsid w:val="00946242"/>
    <w:rsid w:val="0095096B"/>
    <w:rsid w:val="00970CD3"/>
    <w:rsid w:val="009723FA"/>
    <w:rsid w:val="00984546"/>
    <w:rsid w:val="00996510"/>
    <w:rsid w:val="009B29E7"/>
    <w:rsid w:val="009C04F5"/>
    <w:rsid w:val="009D1F15"/>
    <w:rsid w:val="009D555E"/>
    <w:rsid w:val="009F3024"/>
    <w:rsid w:val="009F39BA"/>
    <w:rsid w:val="00A0355E"/>
    <w:rsid w:val="00A375D1"/>
    <w:rsid w:val="00A51D10"/>
    <w:rsid w:val="00A52A83"/>
    <w:rsid w:val="00A57338"/>
    <w:rsid w:val="00A6552C"/>
    <w:rsid w:val="00A74881"/>
    <w:rsid w:val="00A87037"/>
    <w:rsid w:val="00A87207"/>
    <w:rsid w:val="00A935AA"/>
    <w:rsid w:val="00A956D3"/>
    <w:rsid w:val="00AA0C6A"/>
    <w:rsid w:val="00AB2201"/>
    <w:rsid w:val="00AD1D34"/>
    <w:rsid w:val="00AD3259"/>
    <w:rsid w:val="00AD51EC"/>
    <w:rsid w:val="00AF1715"/>
    <w:rsid w:val="00AF3904"/>
    <w:rsid w:val="00B010C0"/>
    <w:rsid w:val="00B074BB"/>
    <w:rsid w:val="00B36DD1"/>
    <w:rsid w:val="00B4740D"/>
    <w:rsid w:val="00B61629"/>
    <w:rsid w:val="00B7329E"/>
    <w:rsid w:val="00B7374B"/>
    <w:rsid w:val="00B90DC0"/>
    <w:rsid w:val="00B90E7C"/>
    <w:rsid w:val="00BA116A"/>
    <w:rsid w:val="00BA5582"/>
    <w:rsid w:val="00BA6468"/>
    <w:rsid w:val="00BB1D44"/>
    <w:rsid w:val="00BC76FA"/>
    <w:rsid w:val="00BD06DA"/>
    <w:rsid w:val="00BD4217"/>
    <w:rsid w:val="00BF25F3"/>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B50A8"/>
    <w:rsid w:val="00CC4D84"/>
    <w:rsid w:val="00CE198A"/>
    <w:rsid w:val="00CF08C8"/>
    <w:rsid w:val="00D004FC"/>
    <w:rsid w:val="00D64901"/>
    <w:rsid w:val="00D74208"/>
    <w:rsid w:val="00D76BDF"/>
    <w:rsid w:val="00D818B6"/>
    <w:rsid w:val="00D862C1"/>
    <w:rsid w:val="00D93B50"/>
    <w:rsid w:val="00D94028"/>
    <w:rsid w:val="00D94670"/>
    <w:rsid w:val="00DA236F"/>
    <w:rsid w:val="00DA46F6"/>
    <w:rsid w:val="00DB2223"/>
    <w:rsid w:val="00DD0B49"/>
    <w:rsid w:val="00DE0502"/>
    <w:rsid w:val="00DE166F"/>
    <w:rsid w:val="00DE349D"/>
    <w:rsid w:val="00DE43C3"/>
    <w:rsid w:val="00DE5580"/>
    <w:rsid w:val="00E06DFA"/>
    <w:rsid w:val="00E20A0A"/>
    <w:rsid w:val="00E240C2"/>
    <w:rsid w:val="00E356C7"/>
    <w:rsid w:val="00E41A5A"/>
    <w:rsid w:val="00E45FE4"/>
    <w:rsid w:val="00E64FA7"/>
    <w:rsid w:val="00E770CB"/>
    <w:rsid w:val="00E903A1"/>
    <w:rsid w:val="00E940EB"/>
    <w:rsid w:val="00E9703F"/>
    <w:rsid w:val="00EB0621"/>
    <w:rsid w:val="00EB2B90"/>
    <w:rsid w:val="00EC1ADA"/>
    <w:rsid w:val="00ED7E83"/>
    <w:rsid w:val="00EE091F"/>
    <w:rsid w:val="00EF4B63"/>
    <w:rsid w:val="00F0068D"/>
    <w:rsid w:val="00F0576D"/>
    <w:rsid w:val="00F106BA"/>
    <w:rsid w:val="00F14E6D"/>
    <w:rsid w:val="00F15EA8"/>
    <w:rsid w:val="00F16C8D"/>
    <w:rsid w:val="00F26C61"/>
    <w:rsid w:val="00F31C9C"/>
    <w:rsid w:val="00F33CCE"/>
    <w:rsid w:val="00F40249"/>
    <w:rsid w:val="00F526C8"/>
    <w:rsid w:val="00F761A3"/>
    <w:rsid w:val="00F9272D"/>
    <w:rsid w:val="00F9518C"/>
    <w:rsid w:val="00F975D0"/>
    <w:rsid w:val="00FA316E"/>
    <w:rsid w:val="00FA3373"/>
    <w:rsid w:val="00FA59EF"/>
    <w:rsid w:val="00FB19A2"/>
    <w:rsid w:val="00FF4B1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CB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A8"/>
    <w:rPr>
      <w:rFonts w:ascii="Segoe UI" w:hAnsi="Segoe UI" w:cs="Segoe UI"/>
      <w:sz w:val="18"/>
      <w:szCs w:val="18"/>
      <w:lang w:val="en-CA"/>
    </w:rPr>
  </w:style>
  <w:style w:type="table" w:customStyle="1" w:styleId="TableGrid2">
    <w:name w:val="Table Grid2"/>
    <w:basedOn w:val="TableNormal"/>
    <w:next w:val="TableGrid"/>
    <w:uiPriority w:val="59"/>
    <w:rsid w:val="006F5562"/>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B29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9B29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B29E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ab/abqb/doc/2012/2012abqb445/2012abqb445.html?autocompleteStr=2012%20ABQB%20445&amp;autocompletePos=1" TargetMode="External"/><Relationship Id="rId39" Type="http://schemas.openxmlformats.org/officeDocument/2006/relationships/hyperlink" Target="http://canlii.ca/t/ggqrx" TargetMode="External"/><Relationship Id="rId21" Type="http://schemas.openxmlformats.org/officeDocument/2006/relationships/footer" Target="footer6.xml"/><Relationship Id="rId34" Type="http://schemas.openxmlformats.org/officeDocument/2006/relationships/hyperlink" Target="http://canlii.ca/t/fx9ch" TargetMode="Externa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5.xml"/><Relationship Id="rId63" Type="http://schemas.openxmlformats.org/officeDocument/2006/relationships/footer" Target="footer19.xml"/><Relationship Id="rId68" Type="http://schemas.openxmlformats.org/officeDocument/2006/relationships/footer" Target="footer21.xml"/><Relationship Id="rId7" Type="http://schemas.openxmlformats.org/officeDocument/2006/relationships/image" Target="media/image1.wmf"/><Relationship Id="rId71"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ab/abqb/doc/2012/2012abqb445/2012abqb445.html?autocompleteStr=2012%20ABQB%20445&amp;autocompletePos=1" TargetMode="External"/><Relationship Id="rId11" Type="http://schemas.openxmlformats.org/officeDocument/2006/relationships/header" Target="header2.xml"/><Relationship Id="rId24" Type="http://schemas.openxmlformats.org/officeDocument/2006/relationships/hyperlink" Target="http://www.canlii.org/en/qc/qcca/doc/2015/2015qcca186/2015qcca186.html?resultIndex=4" TargetMode="External"/><Relationship Id="rId32" Type="http://schemas.openxmlformats.org/officeDocument/2006/relationships/hyperlink" Target="http://www.canlii.org/en/ns/nsca/doc/2015/2015nsca25/2015nsca25.html?autocompleteStr=fashor&amp;autocompletePos=1" TargetMode="External"/><Relationship Id="rId37" Type="http://schemas.openxmlformats.org/officeDocument/2006/relationships/hyperlink" Target="http://canlii.ca/t/fx9ch" TargetMode="Externa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header" Target="header17.xml"/><Relationship Id="rId66" Type="http://schemas.openxmlformats.org/officeDocument/2006/relationships/header" Target="header21.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ab/abca/doc/2015/2015abca85/2015abca85.html?autocompleteStr=2015%20ABCA%2085&amp;autocompletePos=1" TargetMode="External"/><Relationship Id="rId36" Type="http://schemas.openxmlformats.org/officeDocument/2006/relationships/hyperlink" Target="http://canlii.ca/t/ggqrx" TargetMode="External"/><Relationship Id="rId49" Type="http://schemas.openxmlformats.org/officeDocument/2006/relationships/footer" Target="footer12.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ab/abca/doc/2015/2015abca85/2015abca85.html?autocompleteStr=2015%20ABCA%2085&amp;autocompletePos=1"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footer" Target="footer17.xml"/><Relationship Id="rId65" Type="http://schemas.openxmlformats.org/officeDocument/2006/relationships/header" Target="header2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ab/abqb/doc/2013/2013abqb526/2013abqb526.html?autocompleteStr=2013%20ABQB%20526&amp;autocompletePos=1" TargetMode="External"/><Relationship Id="rId30" Type="http://schemas.openxmlformats.org/officeDocument/2006/relationships/hyperlink" Target="http://www.canlii.org/en/ab/abqb/doc/2013/2013abqb526/2013abqb526.html?autocompleteStr=2013%20ABQB%20526&amp;autocompletePos=1" TargetMode="External"/><Relationship Id="rId35" Type="http://schemas.openxmlformats.org/officeDocument/2006/relationships/hyperlink" Target="http://canlii.ca/t/fxm86"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hyperlink" Target="http://www.scc-csc.ca/case-dossier/info/sum-som-eng.aspx?cas=35682" TargetMode="External"/><Relationship Id="rId69" Type="http://schemas.openxmlformats.org/officeDocument/2006/relationships/header" Target="header22.xml"/><Relationship Id="rId8" Type="http://schemas.openxmlformats.org/officeDocument/2006/relationships/hyperlink" Target="http://www.scc-csc.ca" TargetMode="External"/><Relationship Id="rId51" Type="http://schemas.openxmlformats.org/officeDocument/2006/relationships/footer" Target="footer13.xml"/><Relationship Id="rId72"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qc/qcca/doc/2015/2015qcca186/2015qcca186.html?resultIndex=4" TargetMode="External"/><Relationship Id="rId33" Type="http://schemas.openxmlformats.org/officeDocument/2006/relationships/hyperlink" Target="http://www.canlii.org/en/ns/nsca/doc/2015/2015nsca25/2015nsca25.html?autocompleteStr=fashor&amp;autocompletePos=1" TargetMode="External"/><Relationship Id="rId38" Type="http://schemas.openxmlformats.org/officeDocument/2006/relationships/hyperlink" Target="http://canlii.ca/t/fxm86" TargetMode="External"/><Relationship Id="rId46" Type="http://schemas.openxmlformats.org/officeDocument/2006/relationships/header" Target="header11.xml"/><Relationship Id="rId59" Type="http://schemas.openxmlformats.org/officeDocument/2006/relationships/header" Target="header18.xml"/><Relationship Id="rId67" Type="http://schemas.openxmlformats.org/officeDocument/2006/relationships/footer" Target="footer20.xml"/><Relationship Id="rId20" Type="http://schemas.openxmlformats.org/officeDocument/2006/relationships/header" Target="header6.xml"/><Relationship Id="rId41" Type="http://schemas.openxmlformats.org/officeDocument/2006/relationships/header" Target="header9.xml"/><Relationship Id="rId54" Type="http://schemas.openxmlformats.org/officeDocument/2006/relationships/footer" Target="footer14.xml"/><Relationship Id="rId62" Type="http://schemas.openxmlformats.org/officeDocument/2006/relationships/header" Target="header19.xml"/><Relationship Id="rId70"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10826</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2015-08-28T18:01:00Z</dcterms:created>
  <dcterms:modified xsi:type="dcterms:W3CDTF">2015-11-26T21:46:00Z</dcterms:modified>
</cp:coreProperties>
</file>