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C4FD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C4FD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C4FD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C4FD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C4FDF"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C4FD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C4FDF"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EC4FDF">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EC4FDF">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515A81" w:rsidP="00F0068D">
      <w:pPr>
        <w:pBdr>
          <w:bottom w:val="single" w:sz="6" w:space="1" w:color="auto"/>
        </w:pBdr>
        <w:tabs>
          <w:tab w:val="center" w:pos="4680"/>
          <w:tab w:val="right" w:pos="9360"/>
        </w:tabs>
        <w:rPr>
          <w:lang w:val="fr-CA"/>
        </w:rPr>
      </w:pPr>
      <w:r>
        <w:rPr>
          <w:lang w:val="fr-CA"/>
        </w:rPr>
        <w:t>October</w:t>
      </w:r>
      <w:r w:rsidR="00440E24" w:rsidRPr="00675479">
        <w:rPr>
          <w:lang w:val="fr-CA"/>
        </w:rPr>
        <w:t xml:space="preserve"> </w:t>
      </w:r>
      <w:r>
        <w:rPr>
          <w:lang w:val="fr-CA"/>
        </w:rPr>
        <w:t>30</w:t>
      </w:r>
      <w:r w:rsidR="00440E24" w:rsidRPr="00675479">
        <w:rPr>
          <w:lang w:val="fr-CA"/>
        </w:rPr>
        <w:t>, 201</w:t>
      </w:r>
      <w:r w:rsidR="00020DC3">
        <w:rPr>
          <w:lang w:val="fr-CA"/>
        </w:rPr>
        <w:t>5</w:t>
      </w:r>
      <w:r w:rsidR="00F0068D" w:rsidRPr="00675479">
        <w:rPr>
          <w:lang w:val="fr-CA"/>
        </w:rPr>
        <w:tab/>
      </w:r>
      <w:r>
        <w:rPr>
          <w:lang w:val="fr-CA"/>
        </w:rPr>
        <w:t>1542</w:t>
      </w:r>
      <w:r w:rsidR="00F0068D" w:rsidRPr="00675479">
        <w:rPr>
          <w:lang w:val="fr-CA"/>
        </w:rPr>
        <w:t xml:space="preserve"> - </w:t>
      </w:r>
      <w:r w:rsidR="00CF75A6">
        <w:rPr>
          <w:lang w:val="fr-CA"/>
        </w:rPr>
        <w:t>1599</w:t>
      </w:r>
      <w:r w:rsidR="00440E24" w:rsidRPr="00675479">
        <w:rPr>
          <w:lang w:val="fr-CA"/>
        </w:rPr>
        <w:tab/>
      </w:r>
      <w:r w:rsidR="00440E24" w:rsidRPr="002E2327">
        <w:rPr>
          <w:lang w:val="fr-CA"/>
        </w:rPr>
        <w:t>Le</w:t>
      </w:r>
      <w:r w:rsidR="00C73D06">
        <w:rPr>
          <w:lang w:val="fr-CA"/>
        </w:rPr>
        <w:t xml:space="preserve"> </w:t>
      </w:r>
      <w:r>
        <w:rPr>
          <w:lang w:val="fr-CA"/>
        </w:rPr>
        <w:t>30</w:t>
      </w:r>
      <w:r w:rsidR="00C73D06">
        <w:rPr>
          <w:lang w:val="fr-CA"/>
        </w:rPr>
        <w:t xml:space="preserve"> </w:t>
      </w:r>
      <w:r>
        <w:rPr>
          <w:lang w:val="fr-CA"/>
        </w:rPr>
        <w:t>octobre</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020DC3" w:rsidRDefault="00440E24" w:rsidP="00440E24">
      <w:pPr>
        <w:pBdr>
          <w:bottom w:val="single" w:sz="6" w:space="1" w:color="auto"/>
        </w:pBdr>
        <w:tabs>
          <w:tab w:val="right" w:pos="9360"/>
        </w:tabs>
        <w:rPr>
          <w:sz w:val="18"/>
          <w:szCs w:val="18"/>
        </w:rPr>
      </w:pPr>
      <w:r w:rsidRPr="00020DC3">
        <w:rPr>
          <w:sz w:val="18"/>
          <w:szCs w:val="18"/>
        </w:rPr>
        <w:t>© Supreme Court of Canada (201</w:t>
      </w:r>
      <w:r w:rsidR="00020DC3">
        <w:rPr>
          <w:sz w:val="18"/>
          <w:szCs w:val="18"/>
        </w:rPr>
        <w:t>5</w:t>
      </w:r>
      <w:r w:rsidRPr="00020DC3">
        <w:rPr>
          <w:sz w:val="18"/>
          <w:szCs w:val="18"/>
        </w:rPr>
        <w:t>)</w:t>
      </w:r>
      <w:r w:rsidRPr="00020DC3">
        <w:rPr>
          <w:sz w:val="18"/>
          <w:szCs w:val="18"/>
        </w:rPr>
        <w:tab/>
        <w:t>© Cour suprême du Canada (201</w:t>
      </w:r>
      <w:r w:rsidR="00020DC3">
        <w:rPr>
          <w:sz w:val="18"/>
          <w:szCs w:val="18"/>
        </w:rPr>
        <w:t>5</w:t>
      </w:r>
      <w:r w:rsidRPr="00020DC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EC4FDF"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95096B">
            <w:pPr>
              <w:tabs>
                <w:tab w:val="right" w:pos="9360"/>
              </w:tabs>
              <w:rPr>
                <w:rFonts w:cs="Times New Roman"/>
                <w:sz w:val="20"/>
                <w:szCs w:val="20"/>
              </w:rPr>
            </w:pPr>
          </w:p>
          <w:p w:rsidR="00A87207" w:rsidRPr="002E2327" w:rsidRDefault="00A87207" w:rsidP="0095096B">
            <w:pPr>
              <w:tabs>
                <w:tab w:val="right" w:pos="9360"/>
              </w:tabs>
              <w:rPr>
                <w:rFonts w:cs="Times New Roman"/>
                <w:sz w:val="20"/>
                <w:szCs w:val="20"/>
              </w:rPr>
            </w:pPr>
          </w:p>
        </w:tc>
        <w:tc>
          <w:tcPr>
            <w:tcW w:w="1980" w:type="dxa"/>
          </w:tcPr>
          <w:p w:rsidR="0095096B" w:rsidRPr="002E2327" w:rsidRDefault="00515A81" w:rsidP="0095096B">
            <w:pPr>
              <w:jc w:val="center"/>
              <w:rPr>
                <w:rFonts w:cs="Times New Roman"/>
                <w:sz w:val="20"/>
                <w:szCs w:val="20"/>
              </w:rPr>
            </w:pPr>
            <w:r>
              <w:rPr>
                <w:rFonts w:cs="Times New Roman"/>
                <w:sz w:val="20"/>
                <w:szCs w:val="20"/>
              </w:rPr>
              <w:t>1542</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47B0C" w:rsidP="0095096B">
            <w:pPr>
              <w:jc w:val="center"/>
              <w:rPr>
                <w:rFonts w:cs="Times New Roman"/>
                <w:sz w:val="20"/>
                <w:szCs w:val="20"/>
              </w:rPr>
            </w:pPr>
            <w:r>
              <w:rPr>
                <w:rFonts w:cs="Times New Roman"/>
                <w:sz w:val="20"/>
                <w:szCs w:val="20"/>
              </w:rPr>
              <w:t>1543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47B0C" w:rsidP="0095096B">
            <w:pPr>
              <w:jc w:val="center"/>
              <w:rPr>
                <w:rFonts w:cs="Times New Roman"/>
                <w:sz w:val="20"/>
                <w:szCs w:val="20"/>
              </w:rPr>
            </w:pPr>
            <w:r>
              <w:rPr>
                <w:rFonts w:cs="Times New Roman"/>
                <w:sz w:val="20"/>
                <w:szCs w:val="20"/>
              </w:rPr>
              <w:t xml:space="preserve">1544 </w:t>
            </w:r>
            <w:r w:rsidR="0095096B" w:rsidRPr="002E2327">
              <w:rPr>
                <w:rFonts w:cs="Times New Roman"/>
                <w:sz w:val="20"/>
                <w:szCs w:val="20"/>
              </w:rPr>
              <w:t>-</w:t>
            </w:r>
            <w:r>
              <w:rPr>
                <w:rFonts w:cs="Times New Roman"/>
                <w:sz w:val="20"/>
                <w:szCs w:val="20"/>
              </w:rPr>
              <w:t xml:space="preserve"> 1594</w:t>
            </w:r>
          </w:p>
          <w:p w:rsidR="0095096B" w:rsidRPr="002E2327" w:rsidRDefault="0095096B" w:rsidP="0095096B">
            <w:pPr>
              <w:jc w:val="center"/>
              <w:rPr>
                <w:rFonts w:cs="Times New Roman"/>
                <w:sz w:val="20"/>
                <w:szCs w:val="20"/>
              </w:rPr>
            </w:pPr>
          </w:p>
          <w:p w:rsidR="00C47B0C" w:rsidRDefault="00C47B0C" w:rsidP="0095096B">
            <w:pPr>
              <w:jc w:val="center"/>
              <w:rPr>
                <w:rFonts w:cs="Times New Roman"/>
                <w:sz w:val="20"/>
                <w:szCs w:val="20"/>
              </w:rPr>
            </w:pPr>
          </w:p>
          <w:p w:rsidR="0095096B" w:rsidRPr="002E2327" w:rsidRDefault="00C47B0C" w:rsidP="0095096B">
            <w:pPr>
              <w:jc w:val="center"/>
              <w:rPr>
                <w:rFonts w:cs="Times New Roman"/>
                <w:sz w:val="20"/>
                <w:szCs w:val="20"/>
              </w:rPr>
            </w:pPr>
            <w:r>
              <w:rPr>
                <w:rFonts w:cs="Times New Roman"/>
                <w:sz w:val="20"/>
                <w:szCs w:val="20"/>
              </w:rPr>
              <w:t xml:space="preserve">1595 </w:t>
            </w:r>
            <w:r w:rsidR="0095096B" w:rsidRPr="002E2327">
              <w:rPr>
                <w:rFonts w:cs="Times New Roman"/>
                <w:sz w:val="20"/>
                <w:szCs w:val="20"/>
              </w:rPr>
              <w:t>-</w:t>
            </w:r>
            <w:r>
              <w:rPr>
                <w:rFonts w:cs="Times New Roman"/>
                <w:sz w:val="20"/>
                <w:szCs w:val="20"/>
              </w:rPr>
              <w:t xml:space="preserve"> 1596</w:t>
            </w:r>
          </w:p>
          <w:p w:rsidR="0095096B" w:rsidRPr="002E2327" w:rsidRDefault="0095096B" w:rsidP="0095096B">
            <w:pPr>
              <w:jc w:val="center"/>
              <w:rPr>
                <w:rFonts w:cs="Times New Roman"/>
                <w:sz w:val="20"/>
                <w:szCs w:val="20"/>
              </w:rPr>
            </w:pPr>
          </w:p>
          <w:p w:rsidR="0095096B" w:rsidRPr="002E2327" w:rsidRDefault="00C47B0C" w:rsidP="0095096B">
            <w:pPr>
              <w:jc w:val="center"/>
              <w:rPr>
                <w:rFonts w:cs="Times New Roman"/>
                <w:sz w:val="20"/>
                <w:szCs w:val="20"/>
              </w:rPr>
            </w:pPr>
            <w:r>
              <w:rPr>
                <w:rFonts w:cs="Times New Roman"/>
                <w:sz w:val="20"/>
                <w:szCs w:val="20"/>
              </w:rPr>
              <w:t>1597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47B0C" w:rsidP="0095096B">
            <w:pPr>
              <w:jc w:val="center"/>
              <w:rPr>
                <w:rFonts w:cs="Times New Roman"/>
                <w:sz w:val="20"/>
                <w:szCs w:val="20"/>
              </w:rPr>
            </w:pPr>
            <w:r>
              <w:rPr>
                <w:rFonts w:cs="Times New Roman"/>
                <w:sz w:val="20"/>
                <w:szCs w:val="20"/>
              </w:rPr>
              <w:t xml:space="preserve">1598 </w:t>
            </w:r>
            <w:r w:rsidR="0095096B" w:rsidRPr="002E2327">
              <w:rPr>
                <w:rFonts w:cs="Times New Roman"/>
                <w:sz w:val="20"/>
                <w:szCs w:val="20"/>
              </w:rPr>
              <w:t>-</w:t>
            </w:r>
            <w:r>
              <w:rPr>
                <w:rFonts w:cs="Times New Roman"/>
                <w:sz w:val="20"/>
                <w:szCs w:val="20"/>
              </w:rPr>
              <w:t xml:space="preserve"> 1599</w:t>
            </w:r>
          </w:p>
          <w:p w:rsidR="0095096B" w:rsidRPr="002E2327" w:rsidRDefault="0095096B" w:rsidP="0095096B">
            <w:pPr>
              <w:jc w:val="center"/>
              <w:rPr>
                <w:rFonts w:cs="Times New Roman"/>
                <w:sz w:val="20"/>
                <w:szCs w:val="20"/>
              </w:rPr>
            </w:pPr>
          </w:p>
          <w:p w:rsidR="00A87207" w:rsidRPr="002E2327" w:rsidRDefault="00A87207" w:rsidP="004B2CF7">
            <w:pPr>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95096B">
            <w:pPr>
              <w:tabs>
                <w:tab w:val="right" w:pos="9360"/>
              </w:tabs>
              <w:rPr>
                <w:rFonts w:cs="Times New Roman"/>
                <w:sz w:val="20"/>
                <w:szCs w:val="20"/>
                <w:lang w:val="fr-CA"/>
              </w:rPr>
            </w:pPr>
          </w:p>
          <w:p w:rsidR="00A87207" w:rsidRPr="002E2327" w:rsidRDefault="00A87207" w:rsidP="0095096B">
            <w:pPr>
              <w:tabs>
                <w:tab w:val="right" w:pos="9360"/>
              </w:tabs>
              <w:rPr>
                <w:rFonts w:cs="Times New Roman"/>
                <w:sz w:val="20"/>
                <w:szCs w:val="20"/>
                <w:lang w:val="fr-CA"/>
              </w:rPr>
            </w:pPr>
          </w:p>
        </w:tc>
      </w:tr>
    </w:tbl>
    <w:p w:rsidR="0095096B" w:rsidRPr="00CA55F2"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EC4FD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EC4FDF" w:rsidTr="003B3977">
        <w:tc>
          <w:tcPr>
            <w:tcW w:w="4320" w:type="dxa"/>
            <w:shd w:val="clear" w:color="auto" w:fill="auto"/>
          </w:tcPr>
          <w:p w:rsidR="00C21644" w:rsidRPr="00A935AA" w:rsidRDefault="00C21644" w:rsidP="005F1ED8">
            <w:pPr>
              <w:rPr>
                <w:b/>
                <w:sz w:val="20"/>
                <w:szCs w:val="20"/>
              </w:rPr>
            </w:pPr>
            <w:r>
              <w:rPr>
                <w:b/>
                <w:sz w:val="20"/>
                <w:szCs w:val="20"/>
              </w:rPr>
              <w:t>S</w:t>
            </w:r>
            <w:r w:rsidR="008B0C43">
              <w:rPr>
                <w:b/>
                <w:sz w:val="20"/>
                <w:szCs w:val="20"/>
              </w:rPr>
              <w:t>arah Kucera</w:t>
            </w:r>
          </w:p>
          <w:p w:rsidR="00C21644" w:rsidRPr="00A935AA" w:rsidRDefault="00C21644" w:rsidP="005F1ED8">
            <w:pPr>
              <w:tabs>
                <w:tab w:val="left" w:pos="-1440"/>
                <w:tab w:val="left" w:pos="-720"/>
              </w:tabs>
              <w:rPr>
                <w:sz w:val="20"/>
                <w:szCs w:val="20"/>
              </w:rPr>
            </w:pPr>
            <w:r w:rsidRPr="00A935AA">
              <w:rPr>
                <w:sz w:val="20"/>
                <w:szCs w:val="20"/>
              </w:rPr>
              <w:tab/>
            </w:r>
            <w:r w:rsidR="00ED5976">
              <w:rPr>
                <w:sz w:val="20"/>
                <w:szCs w:val="20"/>
              </w:rPr>
              <w:t>Nancy M. Shapiro</w:t>
            </w:r>
          </w:p>
          <w:p w:rsidR="00C21644" w:rsidRPr="00CA55F2" w:rsidRDefault="00C21644" w:rsidP="005F1ED8">
            <w:pPr>
              <w:tabs>
                <w:tab w:val="left" w:pos="-1440"/>
                <w:tab w:val="left" w:pos="-720"/>
              </w:tabs>
              <w:rPr>
                <w:sz w:val="20"/>
                <w:szCs w:val="20"/>
                <w:lang w:val="en-US"/>
              </w:rPr>
            </w:pPr>
            <w:r w:rsidRPr="00A935AA">
              <w:rPr>
                <w:sz w:val="20"/>
                <w:szCs w:val="20"/>
              </w:rPr>
              <w:tab/>
            </w:r>
            <w:r w:rsidR="00ED5976">
              <w:rPr>
                <w:sz w:val="20"/>
                <w:szCs w:val="20"/>
              </w:rPr>
              <w:t>Koskie Minsky LLP</w:t>
            </w:r>
          </w:p>
          <w:p w:rsidR="00C21644" w:rsidRPr="00CA55F2" w:rsidRDefault="00C21644" w:rsidP="005F1ED8">
            <w:pPr>
              <w:tabs>
                <w:tab w:val="left" w:pos="-1440"/>
                <w:tab w:val="left" w:pos="-720"/>
              </w:tabs>
              <w:rPr>
                <w:sz w:val="20"/>
                <w:szCs w:val="20"/>
                <w:lang w:val="en-US"/>
              </w:rPr>
            </w:pPr>
          </w:p>
          <w:p w:rsidR="00C21644" w:rsidRPr="00CA55F2" w:rsidRDefault="00C21644" w:rsidP="005F1ED8">
            <w:pPr>
              <w:tabs>
                <w:tab w:val="left" w:pos="-1440"/>
                <w:tab w:val="left" w:pos="-720"/>
              </w:tabs>
              <w:rPr>
                <w:sz w:val="20"/>
                <w:szCs w:val="20"/>
                <w:lang w:val="en-US"/>
              </w:rPr>
            </w:pPr>
            <w:r w:rsidRPr="00CA55F2">
              <w:rPr>
                <w:sz w:val="20"/>
                <w:szCs w:val="20"/>
                <w:lang w:val="en-US"/>
              </w:rPr>
              <w:tab/>
              <w:t>v. (36</w:t>
            </w:r>
            <w:r w:rsidR="008B0C43" w:rsidRPr="00CA55F2">
              <w:rPr>
                <w:sz w:val="20"/>
                <w:szCs w:val="20"/>
                <w:lang w:val="en-US"/>
              </w:rPr>
              <w:t>666</w:t>
            </w:r>
            <w:r w:rsidRPr="00CA55F2">
              <w:rPr>
                <w:sz w:val="20"/>
                <w:szCs w:val="20"/>
                <w:lang w:val="en-US"/>
              </w:rPr>
              <w:t>)</w:t>
            </w:r>
          </w:p>
          <w:p w:rsidR="00C21644" w:rsidRPr="00CA55F2" w:rsidRDefault="00C21644" w:rsidP="005F1ED8">
            <w:pPr>
              <w:tabs>
                <w:tab w:val="left" w:pos="-1440"/>
                <w:tab w:val="left" w:pos="-720"/>
              </w:tabs>
              <w:rPr>
                <w:sz w:val="20"/>
                <w:szCs w:val="20"/>
                <w:lang w:val="en-US"/>
              </w:rPr>
            </w:pPr>
          </w:p>
          <w:p w:rsidR="00C21644" w:rsidRPr="00A935AA" w:rsidRDefault="00864682" w:rsidP="005F1ED8">
            <w:pPr>
              <w:tabs>
                <w:tab w:val="left" w:pos="-1440"/>
                <w:tab w:val="left" w:pos="-720"/>
              </w:tabs>
              <w:rPr>
                <w:b/>
                <w:sz w:val="20"/>
                <w:szCs w:val="20"/>
              </w:rPr>
            </w:pPr>
            <w:r w:rsidRPr="00CA55F2">
              <w:rPr>
                <w:sz w:val="20"/>
                <w:szCs w:val="20"/>
                <w:lang w:val="en-US"/>
              </w:rPr>
              <w:t>Qulliq Energy Corporation</w:t>
            </w:r>
            <w:r w:rsidR="00C21644" w:rsidRPr="00CA55F2">
              <w:rPr>
                <w:sz w:val="20"/>
                <w:szCs w:val="20"/>
                <w:lang w:val="en-US"/>
              </w:rPr>
              <w:t xml:space="preserve"> </w:t>
            </w:r>
            <w:r w:rsidR="00C21644" w:rsidRPr="00A935AA">
              <w:rPr>
                <w:b/>
                <w:sz w:val="20"/>
                <w:szCs w:val="20"/>
              </w:rPr>
              <w:t>(</w:t>
            </w:r>
            <w:r>
              <w:rPr>
                <w:b/>
                <w:sz w:val="20"/>
                <w:szCs w:val="20"/>
              </w:rPr>
              <w:t>NU</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ED5976">
              <w:rPr>
                <w:sz w:val="20"/>
                <w:szCs w:val="20"/>
              </w:rPr>
              <w:t>Richard M. Beamish</w:t>
            </w:r>
          </w:p>
          <w:p w:rsidR="00C21644" w:rsidRPr="00A935AA" w:rsidRDefault="00C21644" w:rsidP="005F1ED8">
            <w:pPr>
              <w:tabs>
                <w:tab w:val="left" w:pos="-1440"/>
                <w:tab w:val="left" w:pos="-720"/>
              </w:tabs>
              <w:rPr>
                <w:sz w:val="20"/>
                <w:szCs w:val="20"/>
              </w:rPr>
            </w:pPr>
            <w:r w:rsidRPr="00A935AA">
              <w:rPr>
                <w:sz w:val="20"/>
                <w:szCs w:val="20"/>
              </w:rPr>
              <w:tab/>
            </w:r>
            <w:r w:rsidR="00ED5976">
              <w:rPr>
                <w:sz w:val="20"/>
                <w:szCs w:val="20"/>
              </w:rPr>
              <w:t>Tapper Cuddy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Pr>
                <w:sz w:val="20"/>
                <w:szCs w:val="20"/>
              </w:rPr>
              <w:t>0</w:t>
            </w:r>
            <w:r w:rsidR="00864682">
              <w:rPr>
                <w:sz w:val="20"/>
                <w:szCs w:val="20"/>
              </w:rPr>
              <w:t>5</w:t>
            </w:r>
            <w:r w:rsidRPr="00A935AA">
              <w:rPr>
                <w:sz w:val="20"/>
                <w:szCs w:val="20"/>
              </w:rPr>
              <w:t>.</w:t>
            </w:r>
            <w:r>
              <w:rPr>
                <w:sz w:val="20"/>
                <w:szCs w:val="20"/>
              </w:rPr>
              <w:t>1</w:t>
            </w:r>
            <w:r w:rsidR="00864682">
              <w:rPr>
                <w:sz w:val="20"/>
                <w:szCs w:val="20"/>
              </w:rPr>
              <w:t>0</w:t>
            </w:r>
            <w:r w:rsidRPr="00A935AA">
              <w:rPr>
                <w:sz w:val="20"/>
                <w:szCs w:val="20"/>
              </w:rPr>
              <w:t>.201</w:t>
            </w:r>
            <w:r w:rsidR="00864682">
              <w:rPr>
                <w:sz w:val="20"/>
                <w:szCs w:val="20"/>
              </w:rPr>
              <w:t>5</w:t>
            </w:r>
          </w:p>
          <w:p w:rsidR="00C21644" w:rsidRPr="00A935AA" w:rsidRDefault="00EC4FDF"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F72014" w:rsidRPr="00A935AA" w:rsidRDefault="00F7201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86787" w:rsidRDefault="00A86787" w:rsidP="005F1ED8">
            <w:pPr>
              <w:keepNext/>
              <w:keepLines/>
              <w:tabs>
                <w:tab w:val="left" w:pos="-1440"/>
                <w:tab w:val="left" w:pos="-720"/>
              </w:tabs>
              <w:rPr>
                <w:b/>
                <w:sz w:val="20"/>
                <w:szCs w:val="20"/>
                <w:lang w:val="fr-CA"/>
              </w:rPr>
            </w:pPr>
            <w:r>
              <w:rPr>
                <w:b/>
                <w:sz w:val="20"/>
                <w:szCs w:val="20"/>
                <w:lang w:val="fr-CA"/>
              </w:rPr>
              <w:t>Annie Chélin</w:t>
            </w:r>
          </w:p>
          <w:p w:rsidR="00C21644" w:rsidRPr="00A86787" w:rsidRDefault="00C21644" w:rsidP="005F1ED8">
            <w:pPr>
              <w:keepNext/>
              <w:keepLines/>
              <w:tabs>
                <w:tab w:val="left" w:pos="-1440"/>
                <w:tab w:val="left" w:pos="-720"/>
              </w:tabs>
              <w:rPr>
                <w:sz w:val="20"/>
                <w:szCs w:val="20"/>
                <w:lang w:val="fr-CA"/>
              </w:rPr>
            </w:pPr>
            <w:r w:rsidRPr="00A86787">
              <w:rPr>
                <w:sz w:val="20"/>
                <w:szCs w:val="20"/>
                <w:lang w:val="fr-CA"/>
              </w:rPr>
              <w:tab/>
            </w:r>
            <w:r w:rsidR="00A86787">
              <w:rPr>
                <w:sz w:val="20"/>
                <w:szCs w:val="20"/>
                <w:lang w:val="fr-CA"/>
              </w:rPr>
              <w:t>Alberto Martinez</w:t>
            </w:r>
          </w:p>
          <w:p w:rsidR="00C21644" w:rsidRPr="00A86787" w:rsidRDefault="00C21644" w:rsidP="005F1ED8">
            <w:pPr>
              <w:keepNext/>
              <w:keepLines/>
              <w:tabs>
                <w:tab w:val="left" w:pos="-1440"/>
                <w:tab w:val="left" w:pos="-720"/>
              </w:tabs>
              <w:rPr>
                <w:sz w:val="20"/>
                <w:szCs w:val="20"/>
                <w:lang w:val="fr-CA"/>
              </w:rPr>
            </w:pPr>
            <w:r w:rsidRPr="00A86787">
              <w:rPr>
                <w:sz w:val="20"/>
                <w:szCs w:val="20"/>
                <w:lang w:val="fr-CA"/>
              </w:rPr>
              <w:tab/>
            </w:r>
            <w:r w:rsidR="00A86787">
              <w:rPr>
                <w:sz w:val="20"/>
                <w:szCs w:val="20"/>
                <w:lang w:val="fr-CA"/>
              </w:rPr>
              <w:t>Deslauriers &amp; Cie, avocats S.A.</w:t>
            </w:r>
          </w:p>
          <w:p w:rsidR="00C21644" w:rsidRPr="00A86787" w:rsidRDefault="00C21644" w:rsidP="005F1ED8">
            <w:pPr>
              <w:keepNext/>
              <w:keepLines/>
              <w:tabs>
                <w:tab w:val="left" w:pos="-1440"/>
                <w:tab w:val="left" w:pos="-720"/>
              </w:tabs>
              <w:rPr>
                <w:sz w:val="20"/>
                <w:szCs w:val="20"/>
                <w:lang w:val="fr-CA"/>
              </w:rPr>
            </w:pPr>
          </w:p>
          <w:p w:rsidR="00C21644" w:rsidRPr="00A86787" w:rsidRDefault="00C21644" w:rsidP="005F1ED8">
            <w:pPr>
              <w:keepNext/>
              <w:keepLines/>
              <w:tabs>
                <w:tab w:val="left" w:pos="-1440"/>
                <w:tab w:val="left" w:pos="-720"/>
              </w:tabs>
              <w:rPr>
                <w:sz w:val="20"/>
                <w:szCs w:val="20"/>
                <w:lang w:val="fr-CA"/>
              </w:rPr>
            </w:pPr>
            <w:r w:rsidRPr="00A86787">
              <w:rPr>
                <w:sz w:val="20"/>
                <w:szCs w:val="20"/>
                <w:lang w:val="fr-CA"/>
              </w:rPr>
              <w:tab/>
              <w:t>c. (36</w:t>
            </w:r>
            <w:r w:rsidR="00A86787">
              <w:rPr>
                <w:sz w:val="20"/>
                <w:szCs w:val="20"/>
                <w:lang w:val="fr-CA"/>
              </w:rPr>
              <w:t>673</w:t>
            </w:r>
            <w:r w:rsidRPr="00A86787">
              <w:rPr>
                <w:sz w:val="20"/>
                <w:szCs w:val="20"/>
                <w:lang w:val="fr-CA"/>
              </w:rPr>
              <w:t>)</w:t>
            </w:r>
          </w:p>
          <w:p w:rsidR="00C21644" w:rsidRPr="00A86787" w:rsidRDefault="00C21644" w:rsidP="005F1ED8">
            <w:pPr>
              <w:keepNext/>
              <w:keepLines/>
              <w:tabs>
                <w:tab w:val="left" w:pos="-1440"/>
                <w:tab w:val="left" w:pos="-720"/>
              </w:tabs>
              <w:rPr>
                <w:sz w:val="20"/>
                <w:szCs w:val="20"/>
                <w:lang w:val="fr-CA"/>
              </w:rPr>
            </w:pPr>
          </w:p>
          <w:p w:rsidR="00C21644" w:rsidRPr="00A86787" w:rsidRDefault="00A86787" w:rsidP="005F1ED8">
            <w:pPr>
              <w:keepNext/>
              <w:keepLines/>
              <w:tabs>
                <w:tab w:val="left" w:pos="-1440"/>
                <w:tab w:val="left" w:pos="-720"/>
              </w:tabs>
              <w:rPr>
                <w:b/>
                <w:sz w:val="20"/>
                <w:szCs w:val="20"/>
                <w:lang w:val="fr-CA"/>
              </w:rPr>
            </w:pPr>
            <w:r>
              <w:rPr>
                <w:b/>
                <w:sz w:val="20"/>
                <w:szCs w:val="20"/>
                <w:lang w:val="fr-CA"/>
              </w:rPr>
              <w:t>Louis Gil et autre</w:t>
            </w:r>
            <w:r w:rsidR="00C21644" w:rsidRPr="00A86787">
              <w:rPr>
                <w:b/>
                <w:sz w:val="20"/>
                <w:szCs w:val="20"/>
                <w:lang w:val="fr-CA"/>
              </w:rPr>
              <w:t xml:space="preserve"> (Qc)</w:t>
            </w:r>
          </w:p>
          <w:p w:rsidR="00C21644" w:rsidRPr="00A86787" w:rsidRDefault="00C21644" w:rsidP="005F1ED8">
            <w:pPr>
              <w:keepNext/>
              <w:keepLines/>
              <w:tabs>
                <w:tab w:val="left" w:pos="-1440"/>
                <w:tab w:val="left" w:pos="-720"/>
              </w:tabs>
              <w:rPr>
                <w:sz w:val="20"/>
                <w:szCs w:val="20"/>
                <w:lang w:val="fr-CA"/>
              </w:rPr>
            </w:pPr>
            <w:r w:rsidRPr="00A86787">
              <w:rPr>
                <w:sz w:val="20"/>
                <w:szCs w:val="20"/>
                <w:lang w:val="fr-CA"/>
              </w:rPr>
              <w:tab/>
            </w:r>
            <w:r w:rsidR="00A86787">
              <w:rPr>
                <w:sz w:val="20"/>
                <w:szCs w:val="20"/>
                <w:lang w:val="fr-CA"/>
              </w:rPr>
              <w:t>Isabelle Lacas</w:t>
            </w:r>
          </w:p>
          <w:p w:rsidR="00C21644" w:rsidRPr="00A86787" w:rsidRDefault="00C21644" w:rsidP="005F1ED8">
            <w:pPr>
              <w:keepNext/>
              <w:keepLines/>
              <w:tabs>
                <w:tab w:val="left" w:pos="-1440"/>
                <w:tab w:val="left" w:pos="-720"/>
              </w:tabs>
              <w:rPr>
                <w:sz w:val="20"/>
                <w:szCs w:val="20"/>
                <w:lang w:val="fr-CA"/>
              </w:rPr>
            </w:pPr>
            <w:r w:rsidRPr="00A86787">
              <w:rPr>
                <w:sz w:val="20"/>
                <w:szCs w:val="20"/>
                <w:lang w:val="fr-CA"/>
              </w:rPr>
              <w:tab/>
            </w:r>
            <w:r w:rsidR="00FC18CE">
              <w:rPr>
                <w:sz w:val="20"/>
                <w:szCs w:val="20"/>
                <w:lang w:val="fr-CA"/>
              </w:rPr>
              <w:t>Laroche Martin</w:t>
            </w:r>
          </w:p>
          <w:p w:rsidR="00C21644" w:rsidRPr="00A86787" w:rsidRDefault="00C21644" w:rsidP="005F1ED8">
            <w:pPr>
              <w:keepNext/>
              <w:keepLines/>
              <w:tabs>
                <w:tab w:val="left" w:pos="-1440"/>
                <w:tab w:val="left" w:pos="-720"/>
              </w:tabs>
              <w:rPr>
                <w:sz w:val="20"/>
                <w:szCs w:val="20"/>
                <w:lang w:val="fr-CA"/>
              </w:rPr>
            </w:pPr>
          </w:p>
          <w:p w:rsidR="00C21644" w:rsidRPr="00806A5B" w:rsidRDefault="00C21644" w:rsidP="00A86787">
            <w:pPr>
              <w:rPr>
                <w:sz w:val="20"/>
                <w:szCs w:val="20"/>
                <w:lang w:val="fr-CA"/>
              </w:rPr>
            </w:pPr>
            <w:r w:rsidRPr="00A86787">
              <w:rPr>
                <w:sz w:val="20"/>
                <w:szCs w:val="20"/>
                <w:lang w:val="fr-CA"/>
              </w:rPr>
              <w:t>DATE DE PRODUCTION: 0</w:t>
            </w:r>
            <w:r w:rsidR="00A86787">
              <w:rPr>
                <w:sz w:val="20"/>
                <w:szCs w:val="20"/>
                <w:lang w:val="fr-CA"/>
              </w:rPr>
              <w:t>5</w:t>
            </w:r>
            <w:r w:rsidRPr="00A86787">
              <w:rPr>
                <w:sz w:val="20"/>
                <w:szCs w:val="20"/>
                <w:lang w:val="fr-CA"/>
              </w:rPr>
              <w:t>.</w:t>
            </w:r>
            <w:r w:rsidR="00A86787">
              <w:rPr>
                <w:sz w:val="20"/>
                <w:szCs w:val="20"/>
                <w:lang w:val="fr-CA"/>
              </w:rPr>
              <w:t>1</w:t>
            </w:r>
            <w:r w:rsidRPr="00A86787">
              <w:rPr>
                <w:sz w:val="20"/>
                <w:szCs w:val="20"/>
                <w:lang w:val="fr-CA"/>
              </w:rPr>
              <w:t>0.201</w:t>
            </w:r>
            <w:r w:rsidR="00A86787">
              <w:rPr>
                <w:sz w:val="20"/>
                <w:szCs w:val="20"/>
                <w:lang w:val="fr-CA"/>
              </w:rPr>
              <w:t>5</w:t>
            </w:r>
            <w:r w:rsidR="00EC4FDF">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CA55F2" w:rsidRDefault="0050298E" w:rsidP="003B3977">
            <w:pPr>
              <w:rPr>
                <w:b/>
                <w:sz w:val="20"/>
                <w:szCs w:val="20"/>
                <w:lang w:val="en-US"/>
              </w:rPr>
            </w:pPr>
            <w:r w:rsidRPr="00CA55F2">
              <w:rPr>
                <w:b/>
                <w:sz w:val="20"/>
                <w:szCs w:val="20"/>
                <w:lang w:val="en-US"/>
              </w:rPr>
              <w:t>Her Majesty the Queen</w:t>
            </w:r>
          </w:p>
          <w:p w:rsidR="00C21644" w:rsidRPr="00CA55F2" w:rsidRDefault="00C21644" w:rsidP="003B3977">
            <w:pPr>
              <w:tabs>
                <w:tab w:val="left" w:pos="-1440"/>
                <w:tab w:val="left" w:pos="-720"/>
              </w:tabs>
              <w:rPr>
                <w:sz w:val="20"/>
                <w:szCs w:val="20"/>
                <w:lang w:val="en-US"/>
              </w:rPr>
            </w:pPr>
            <w:r w:rsidRPr="00CA55F2">
              <w:rPr>
                <w:sz w:val="20"/>
                <w:szCs w:val="20"/>
                <w:lang w:val="en-US"/>
              </w:rPr>
              <w:tab/>
            </w:r>
            <w:r w:rsidR="001F3347" w:rsidRPr="00CA55F2">
              <w:rPr>
                <w:sz w:val="20"/>
                <w:szCs w:val="20"/>
                <w:lang w:val="en-US"/>
              </w:rPr>
              <w:t>Kathryn A. Gregory</w:t>
            </w:r>
          </w:p>
          <w:p w:rsidR="00C21644" w:rsidRPr="00CA55F2" w:rsidRDefault="00C21644" w:rsidP="003B3977">
            <w:pPr>
              <w:tabs>
                <w:tab w:val="left" w:pos="-1440"/>
                <w:tab w:val="left" w:pos="-720"/>
              </w:tabs>
              <w:rPr>
                <w:sz w:val="20"/>
                <w:szCs w:val="20"/>
                <w:lang w:val="en-US"/>
              </w:rPr>
            </w:pPr>
            <w:r w:rsidRPr="00CA55F2">
              <w:rPr>
                <w:sz w:val="20"/>
                <w:szCs w:val="20"/>
                <w:lang w:val="en-US"/>
              </w:rPr>
              <w:tab/>
            </w:r>
            <w:r w:rsidR="001F3347" w:rsidRPr="00CA55F2">
              <w:rPr>
                <w:sz w:val="20"/>
                <w:szCs w:val="20"/>
                <w:lang w:val="en-US"/>
              </w:rPr>
              <w:t xml:space="preserve">Public Prosecution Service of New </w:t>
            </w:r>
            <w:r w:rsidR="001F3347" w:rsidRPr="00CA55F2">
              <w:rPr>
                <w:sz w:val="20"/>
                <w:szCs w:val="20"/>
                <w:lang w:val="en-US"/>
              </w:rPr>
              <w:tab/>
              <w:t>Brunswick</w:t>
            </w:r>
          </w:p>
          <w:p w:rsidR="00C21644" w:rsidRPr="00CA55F2" w:rsidRDefault="00C21644" w:rsidP="003B3977">
            <w:pPr>
              <w:tabs>
                <w:tab w:val="left" w:pos="-1440"/>
                <w:tab w:val="left" w:pos="-720"/>
              </w:tabs>
              <w:rPr>
                <w:sz w:val="20"/>
                <w:szCs w:val="20"/>
                <w:lang w:val="en-US"/>
              </w:rPr>
            </w:pPr>
          </w:p>
          <w:p w:rsidR="00C21644" w:rsidRPr="00A935AA" w:rsidRDefault="00C21644" w:rsidP="003B3977">
            <w:pPr>
              <w:tabs>
                <w:tab w:val="left" w:pos="-1440"/>
                <w:tab w:val="left" w:pos="-720"/>
              </w:tabs>
              <w:rPr>
                <w:sz w:val="20"/>
                <w:szCs w:val="20"/>
              </w:rPr>
            </w:pPr>
            <w:r w:rsidRPr="00CA55F2">
              <w:rPr>
                <w:sz w:val="20"/>
                <w:szCs w:val="20"/>
                <w:lang w:val="en-US"/>
              </w:rPr>
              <w:tab/>
            </w:r>
            <w:r w:rsidRPr="00A935AA">
              <w:rPr>
                <w:sz w:val="20"/>
                <w:szCs w:val="20"/>
              </w:rPr>
              <w:t>v. (3</w:t>
            </w:r>
            <w:r w:rsidR="001F3347">
              <w:rPr>
                <w:sz w:val="20"/>
                <w:szCs w:val="20"/>
              </w:rPr>
              <w:t>6671</w:t>
            </w:r>
            <w:r w:rsidRPr="00A935AA">
              <w:rPr>
                <w:sz w:val="20"/>
                <w:szCs w:val="20"/>
              </w:rPr>
              <w:t>)</w:t>
            </w:r>
          </w:p>
          <w:p w:rsidR="00C21644" w:rsidRPr="00A935AA" w:rsidRDefault="00C21644" w:rsidP="003B3977">
            <w:pPr>
              <w:tabs>
                <w:tab w:val="left" w:pos="-1440"/>
                <w:tab w:val="left" w:pos="-720"/>
              </w:tabs>
              <w:rPr>
                <w:sz w:val="20"/>
                <w:szCs w:val="20"/>
              </w:rPr>
            </w:pPr>
          </w:p>
          <w:p w:rsidR="00C21644" w:rsidRPr="00CA55F2" w:rsidRDefault="0050298E" w:rsidP="003B3977">
            <w:pPr>
              <w:tabs>
                <w:tab w:val="left" w:pos="-1440"/>
                <w:tab w:val="left" w:pos="-720"/>
              </w:tabs>
              <w:rPr>
                <w:b/>
                <w:sz w:val="20"/>
                <w:szCs w:val="20"/>
                <w:lang w:val="fr-CA"/>
              </w:rPr>
            </w:pPr>
            <w:r>
              <w:rPr>
                <w:b/>
                <w:sz w:val="20"/>
                <w:szCs w:val="20"/>
              </w:rPr>
              <w:t xml:space="preserve">Rodney Tingley et al. </w:t>
            </w:r>
            <w:r w:rsidR="00C21644" w:rsidRPr="00CA55F2">
              <w:rPr>
                <w:b/>
                <w:sz w:val="20"/>
                <w:szCs w:val="20"/>
                <w:lang w:val="fr-CA"/>
              </w:rPr>
              <w:t>(</w:t>
            </w:r>
            <w:r w:rsidRPr="00CA55F2">
              <w:rPr>
                <w:b/>
                <w:sz w:val="20"/>
                <w:szCs w:val="20"/>
                <w:lang w:val="fr-CA"/>
              </w:rPr>
              <w:t>N.B.</w:t>
            </w:r>
            <w:r w:rsidR="00C21644" w:rsidRPr="00CA55F2">
              <w:rPr>
                <w:b/>
                <w:sz w:val="20"/>
                <w:szCs w:val="20"/>
                <w:lang w:val="fr-CA"/>
              </w:rPr>
              <w:t>)</w:t>
            </w:r>
          </w:p>
          <w:p w:rsidR="00C21644" w:rsidRPr="00CA55F2" w:rsidRDefault="00C21644" w:rsidP="003B3977">
            <w:pPr>
              <w:tabs>
                <w:tab w:val="left" w:pos="-1440"/>
                <w:tab w:val="left" w:pos="-720"/>
              </w:tabs>
              <w:rPr>
                <w:sz w:val="20"/>
                <w:szCs w:val="20"/>
                <w:lang w:val="fr-CA"/>
              </w:rPr>
            </w:pPr>
            <w:r w:rsidRPr="00CA55F2">
              <w:rPr>
                <w:sz w:val="20"/>
                <w:szCs w:val="20"/>
                <w:lang w:val="fr-CA"/>
              </w:rPr>
              <w:tab/>
            </w:r>
            <w:r w:rsidR="001F3347" w:rsidRPr="00CA55F2">
              <w:rPr>
                <w:sz w:val="20"/>
                <w:szCs w:val="20"/>
                <w:lang w:val="fr-CA"/>
              </w:rPr>
              <w:t>Alison J. Ménard</w:t>
            </w:r>
          </w:p>
          <w:p w:rsidR="00C21644" w:rsidRPr="00CA55F2" w:rsidRDefault="00C21644" w:rsidP="003B3977">
            <w:pPr>
              <w:tabs>
                <w:tab w:val="left" w:pos="-1440"/>
                <w:tab w:val="left" w:pos="-720"/>
              </w:tabs>
              <w:rPr>
                <w:sz w:val="20"/>
                <w:szCs w:val="20"/>
                <w:lang w:val="fr-CA"/>
              </w:rPr>
            </w:pPr>
            <w:r w:rsidRPr="00CA55F2">
              <w:rPr>
                <w:sz w:val="20"/>
                <w:szCs w:val="20"/>
                <w:lang w:val="fr-CA"/>
              </w:rPr>
              <w:tab/>
            </w:r>
            <w:r w:rsidR="00691CA5" w:rsidRPr="00CA55F2">
              <w:rPr>
                <w:sz w:val="20"/>
                <w:szCs w:val="20"/>
                <w:lang w:val="fr-CA"/>
              </w:rPr>
              <w:t xml:space="preserve">Lemieux </w:t>
            </w:r>
            <w:r w:rsidR="001F3347" w:rsidRPr="00CA55F2">
              <w:rPr>
                <w:sz w:val="20"/>
                <w:szCs w:val="20"/>
                <w:lang w:val="fr-CA"/>
              </w:rPr>
              <w:t>Ménard &amp; Co</w:t>
            </w:r>
            <w:r w:rsidR="00691CA5" w:rsidRPr="00CA55F2">
              <w:rPr>
                <w:sz w:val="20"/>
                <w:szCs w:val="20"/>
                <w:lang w:val="fr-CA"/>
              </w:rPr>
              <w:t>.</w:t>
            </w:r>
          </w:p>
          <w:p w:rsidR="00C21644" w:rsidRPr="00CA55F2" w:rsidRDefault="00C21644" w:rsidP="003B3977">
            <w:pPr>
              <w:tabs>
                <w:tab w:val="left" w:pos="-1440"/>
                <w:tab w:val="left" w:pos="-720"/>
              </w:tabs>
              <w:rPr>
                <w:sz w:val="20"/>
                <w:szCs w:val="20"/>
                <w:lang w:val="fr-CA"/>
              </w:rPr>
            </w:pPr>
          </w:p>
          <w:p w:rsidR="00C21644" w:rsidRPr="00A935AA" w:rsidRDefault="00C21644" w:rsidP="003B3977">
            <w:pPr>
              <w:rPr>
                <w:sz w:val="20"/>
                <w:szCs w:val="20"/>
              </w:rPr>
            </w:pPr>
            <w:r w:rsidRPr="00A935AA">
              <w:rPr>
                <w:sz w:val="20"/>
                <w:szCs w:val="20"/>
              </w:rPr>
              <w:t xml:space="preserve">FILING DATE: </w:t>
            </w:r>
            <w:r w:rsidR="0050298E">
              <w:rPr>
                <w:sz w:val="20"/>
                <w:szCs w:val="20"/>
              </w:rPr>
              <w:t>05</w:t>
            </w:r>
            <w:r w:rsidRPr="00A935AA">
              <w:rPr>
                <w:sz w:val="20"/>
                <w:szCs w:val="20"/>
              </w:rPr>
              <w:t>.</w:t>
            </w:r>
            <w:r w:rsidR="0050298E">
              <w:rPr>
                <w:sz w:val="20"/>
                <w:szCs w:val="20"/>
              </w:rPr>
              <w:t>1</w:t>
            </w:r>
            <w:r w:rsidRPr="00A935AA">
              <w:rPr>
                <w:sz w:val="20"/>
                <w:szCs w:val="20"/>
              </w:rPr>
              <w:t>0.201</w:t>
            </w:r>
            <w:r w:rsidR="0050298E">
              <w:rPr>
                <w:sz w:val="20"/>
                <w:szCs w:val="20"/>
              </w:rPr>
              <w:t>5</w:t>
            </w:r>
          </w:p>
          <w:p w:rsidR="00C21644" w:rsidRPr="00A935AA" w:rsidRDefault="00EC4FDF"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A31917" w:rsidRPr="00A935AA" w:rsidRDefault="00A31917"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A0106F" w:rsidRPr="00A935AA" w:rsidRDefault="00A0106F" w:rsidP="00A0106F">
            <w:pPr>
              <w:rPr>
                <w:b/>
                <w:sz w:val="20"/>
                <w:szCs w:val="20"/>
              </w:rPr>
            </w:pPr>
            <w:r>
              <w:rPr>
                <w:b/>
                <w:sz w:val="20"/>
                <w:szCs w:val="20"/>
              </w:rPr>
              <w:t>Cordelle Pyke</w:t>
            </w:r>
          </w:p>
          <w:p w:rsidR="00A0106F" w:rsidRPr="00A935AA" w:rsidRDefault="00A0106F" w:rsidP="00A0106F">
            <w:pPr>
              <w:tabs>
                <w:tab w:val="left" w:pos="-1440"/>
                <w:tab w:val="left" w:pos="-720"/>
              </w:tabs>
              <w:rPr>
                <w:sz w:val="20"/>
                <w:szCs w:val="20"/>
              </w:rPr>
            </w:pPr>
            <w:r w:rsidRPr="00A935AA">
              <w:rPr>
                <w:sz w:val="20"/>
                <w:szCs w:val="20"/>
              </w:rPr>
              <w:tab/>
            </w:r>
            <w:r>
              <w:rPr>
                <w:sz w:val="20"/>
                <w:szCs w:val="20"/>
              </w:rPr>
              <w:t>James Lockyer</w:t>
            </w:r>
          </w:p>
          <w:p w:rsidR="00A0106F" w:rsidRPr="00A935AA" w:rsidRDefault="00A0106F" w:rsidP="00A0106F">
            <w:pPr>
              <w:tabs>
                <w:tab w:val="left" w:pos="-1440"/>
                <w:tab w:val="left" w:pos="-720"/>
              </w:tabs>
              <w:rPr>
                <w:sz w:val="20"/>
                <w:szCs w:val="20"/>
              </w:rPr>
            </w:pPr>
            <w:r w:rsidRPr="00A935AA">
              <w:rPr>
                <w:sz w:val="20"/>
                <w:szCs w:val="20"/>
              </w:rPr>
              <w:tab/>
            </w:r>
            <w:r>
              <w:rPr>
                <w:sz w:val="20"/>
                <w:szCs w:val="20"/>
              </w:rPr>
              <w:t>Lockyer Campbell Posner</w:t>
            </w:r>
          </w:p>
          <w:p w:rsidR="00A0106F" w:rsidRPr="00A935AA" w:rsidRDefault="00A0106F" w:rsidP="00A0106F">
            <w:pPr>
              <w:tabs>
                <w:tab w:val="left" w:pos="-1440"/>
                <w:tab w:val="left" w:pos="-720"/>
              </w:tabs>
              <w:rPr>
                <w:sz w:val="20"/>
                <w:szCs w:val="20"/>
              </w:rPr>
            </w:pPr>
          </w:p>
          <w:p w:rsidR="00A0106F" w:rsidRPr="00A935AA" w:rsidRDefault="00A0106F" w:rsidP="00A0106F">
            <w:pPr>
              <w:tabs>
                <w:tab w:val="left" w:pos="-1440"/>
                <w:tab w:val="left" w:pos="-720"/>
              </w:tabs>
              <w:rPr>
                <w:sz w:val="20"/>
                <w:szCs w:val="20"/>
              </w:rPr>
            </w:pPr>
            <w:r w:rsidRPr="00A935AA">
              <w:rPr>
                <w:sz w:val="20"/>
                <w:szCs w:val="20"/>
              </w:rPr>
              <w:tab/>
              <w:t>v. (3</w:t>
            </w:r>
            <w:r>
              <w:rPr>
                <w:sz w:val="20"/>
                <w:szCs w:val="20"/>
              </w:rPr>
              <w:t>6675</w:t>
            </w:r>
            <w:r w:rsidRPr="00A935AA">
              <w:rPr>
                <w:sz w:val="20"/>
                <w:szCs w:val="20"/>
              </w:rPr>
              <w:t>)</w:t>
            </w:r>
          </w:p>
          <w:p w:rsidR="00A0106F" w:rsidRPr="00A935AA" w:rsidRDefault="00A0106F" w:rsidP="00A0106F">
            <w:pPr>
              <w:tabs>
                <w:tab w:val="left" w:pos="-1440"/>
                <w:tab w:val="left" w:pos="-720"/>
              </w:tabs>
              <w:rPr>
                <w:sz w:val="20"/>
                <w:szCs w:val="20"/>
              </w:rPr>
            </w:pPr>
          </w:p>
          <w:p w:rsidR="00A0106F" w:rsidRPr="00A935AA" w:rsidRDefault="00A0106F" w:rsidP="00A0106F">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N.S</w:t>
            </w:r>
            <w:r w:rsidRPr="00A935AA">
              <w:rPr>
                <w:b/>
                <w:sz w:val="20"/>
                <w:szCs w:val="20"/>
              </w:rPr>
              <w:t>.)</w:t>
            </w:r>
          </w:p>
          <w:p w:rsidR="00A0106F" w:rsidRPr="00A935AA" w:rsidRDefault="00A0106F" w:rsidP="00A0106F">
            <w:pPr>
              <w:tabs>
                <w:tab w:val="left" w:pos="-1440"/>
                <w:tab w:val="left" w:pos="-720"/>
              </w:tabs>
              <w:rPr>
                <w:sz w:val="20"/>
                <w:szCs w:val="20"/>
              </w:rPr>
            </w:pPr>
            <w:r w:rsidRPr="00A935AA">
              <w:rPr>
                <w:sz w:val="20"/>
                <w:szCs w:val="20"/>
              </w:rPr>
              <w:tab/>
            </w:r>
            <w:r>
              <w:rPr>
                <w:sz w:val="20"/>
                <w:szCs w:val="20"/>
              </w:rPr>
              <w:t>Mark A. Scott</w:t>
            </w:r>
          </w:p>
          <w:p w:rsidR="00A0106F" w:rsidRPr="00A935AA" w:rsidRDefault="00A0106F" w:rsidP="00A0106F">
            <w:pPr>
              <w:tabs>
                <w:tab w:val="left" w:pos="-1440"/>
                <w:tab w:val="left" w:pos="-720"/>
              </w:tabs>
              <w:rPr>
                <w:sz w:val="20"/>
                <w:szCs w:val="20"/>
              </w:rPr>
            </w:pPr>
            <w:r w:rsidRPr="00A935AA">
              <w:rPr>
                <w:sz w:val="20"/>
                <w:szCs w:val="20"/>
              </w:rPr>
              <w:tab/>
            </w:r>
            <w:r>
              <w:rPr>
                <w:sz w:val="20"/>
                <w:szCs w:val="20"/>
              </w:rPr>
              <w:t xml:space="preserve">Public Prosecution Service of Nova </w:t>
            </w:r>
            <w:r w:rsidRPr="00A935AA">
              <w:rPr>
                <w:sz w:val="20"/>
                <w:szCs w:val="20"/>
              </w:rPr>
              <w:tab/>
            </w:r>
            <w:r>
              <w:rPr>
                <w:sz w:val="20"/>
                <w:szCs w:val="20"/>
              </w:rPr>
              <w:t>Scotia</w:t>
            </w:r>
          </w:p>
          <w:p w:rsidR="00A0106F" w:rsidRPr="00A935AA" w:rsidRDefault="00A0106F" w:rsidP="00A0106F">
            <w:pPr>
              <w:tabs>
                <w:tab w:val="left" w:pos="-1440"/>
                <w:tab w:val="left" w:pos="-720"/>
              </w:tabs>
              <w:rPr>
                <w:sz w:val="20"/>
                <w:szCs w:val="20"/>
              </w:rPr>
            </w:pPr>
          </w:p>
          <w:p w:rsidR="00A0106F" w:rsidRPr="00A935AA" w:rsidRDefault="00A0106F" w:rsidP="00A0106F">
            <w:pPr>
              <w:rPr>
                <w:sz w:val="20"/>
                <w:szCs w:val="20"/>
              </w:rPr>
            </w:pPr>
            <w:r w:rsidRPr="00A935AA">
              <w:rPr>
                <w:sz w:val="20"/>
                <w:szCs w:val="20"/>
              </w:rPr>
              <w:t xml:space="preserve">FILING DATE: </w:t>
            </w:r>
            <w:r>
              <w:rPr>
                <w:sz w:val="20"/>
                <w:szCs w:val="20"/>
              </w:rPr>
              <w:t>09</w:t>
            </w:r>
            <w:r w:rsidRPr="00A935AA">
              <w:rPr>
                <w:sz w:val="20"/>
                <w:szCs w:val="20"/>
              </w:rPr>
              <w:t>.</w:t>
            </w:r>
            <w:r>
              <w:rPr>
                <w:sz w:val="20"/>
                <w:szCs w:val="20"/>
              </w:rPr>
              <w:t>1</w:t>
            </w:r>
            <w:r w:rsidRPr="00A935AA">
              <w:rPr>
                <w:sz w:val="20"/>
                <w:szCs w:val="20"/>
              </w:rPr>
              <w:t>0.201</w:t>
            </w:r>
            <w:r>
              <w:rPr>
                <w:sz w:val="20"/>
                <w:szCs w:val="20"/>
              </w:rPr>
              <w:t>5</w:t>
            </w:r>
          </w:p>
          <w:p w:rsidR="00C21644" w:rsidRPr="00A935AA" w:rsidRDefault="00EC4FDF" w:rsidP="00A0106F">
            <w:pPr>
              <w:rPr>
                <w:sz w:val="20"/>
                <w:szCs w:val="20"/>
              </w:rPr>
            </w:pPr>
            <w:r>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304F71" w:rsidRDefault="00304F71" w:rsidP="00A0106F">
            <w:pPr>
              <w:keepNext/>
              <w:keepLines/>
              <w:tabs>
                <w:tab w:val="left" w:pos="-1440"/>
                <w:tab w:val="left" w:pos="-720"/>
              </w:tabs>
              <w:rPr>
                <w:b/>
                <w:sz w:val="20"/>
                <w:szCs w:val="20"/>
                <w:lang w:val="fr-CA"/>
              </w:rPr>
            </w:pPr>
          </w:p>
          <w:p w:rsidR="00A0106F" w:rsidRPr="00CA55F2" w:rsidRDefault="00A0106F" w:rsidP="00A0106F">
            <w:pPr>
              <w:keepNext/>
              <w:keepLines/>
              <w:tabs>
                <w:tab w:val="left" w:pos="-1440"/>
                <w:tab w:val="left" w:pos="-720"/>
              </w:tabs>
              <w:rPr>
                <w:b/>
                <w:sz w:val="20"/>
                <w:szCs w:val="20"/>
                <w:lang w:val="en-US"/>
              </w:rPr>
            </w:pPr>
            <w:r w:rsidRPr="00CA55F2">
              <w:rPr>
                <w:b/>
                <w:sz w:val="20"/>
                <w:szCs w:val="20"/>
                <w:lang w:val="en-US"/>
              </w:rPr>
              <w:t>George Mitchell Allgood</w:t>
            </w:r>
          </w:p>
          <w:p w:rsidR="00A0106F" w:rsidRPr="00CA55F2" w:rsidRDefault="00A0106F" w:rsidP="00A0106F">
            <w:pPr>
              <w:keepNext/>
              <w:keepLines/>
              <w:tabs>
                <w:tab w:val="left" w:pos="-1440"/>
                <w:tab w:val="left" w:pos="-720"/>
              </w:tabs>
              <w:rPr>
                <w:sz w:val="20"/>
                <w:szCs w:val="20"/>
                <w:lang w:val="en-US"/>
              </w:rPr>
            </w:pPr>
            <w:r w:rsidRPr="00CA55F2">
              <w:rPr>
                <w:sz w:val="20"/>
                <w:szCs w:val="20"/>
                <w:lang w:val="en-US"/>
              </w:rPr>
              <w:tab/>
              <w:t>Morris P. Bodnar, Q.C.</w:t>
            </w:r>
          </w:p>
          <w:p w:rsidR="00A0106F" w:rsidRPr="00A935AA" w:rsidRDefault="00A0106F" w:rsidP="00A0106F">
            <w:pPr>
              <w:keepNext/>
              <w:keepLines/>
              <w:tabs>
                <w:tab w:val="left" w:pos="-1440"/>
                <w:tab w:val="left" w:pos="-720"/>
              </w:tabs>
              <w:rPr>
                <w:sz w:val="20"/>
                <w:szCs w:val="20"/>
              </w:rPr>
            </w:pPr>
            <w:r w:rsidRPr="00CA55F2">
              <w:rPr>
                <w:sz w:val="20"/>
                <w:szCs w:val="20"/>
                <w:lang w:val="en-US"/>
              </w:rPr>
              <w:tab/>
              <w:t>Bodnar Law</w:t>
            </w:r>
          </w:p>
          <w:p w:rsidR="00A0106F" w:rsidRPr="00A935AA" w:rsidRDefault="00A0106F" w:rsidP="00A0106F">
            <w:pPr>
              <w:keepNext/>
              <w:keepLines/>
              <w:tabs>
                <w:tab w:val="left" w:pos="-1440"/>
                <w:tab w:val="left" w:pos="-720"/>
              </w:tabs>
              <w:rPr>
                <w:sz w:val="20"/>
                <w:szCs w:val="20"/>
              </w:rPr>
            </w:pPr>
          </w:p>
          <w:p w:rsidR="00A0106F" w:rsidRPr="00A935AA" w:rsidRDefault="00A0106F" w:rsidP="00A0106F">
            <w:pPr>
              <w:keepNext/>
              <w:keepLines/>
              <w:tabs>
                <w:tab w:val="left" w:pos="-1440"/>
                <w:tab w:val="left" w:pos="-720"/>
              </w:tabs>
              <w:rPr>
                <w:sz w:val="20"/>
                <w:szCs w:val="20"/>
              </w:rPr>
            </w:pPr>
            <w:r w:rsidRPr="00A935AA">
              <w:rPr>
                <w:sz w:val="20"/>
                <w:szCs w:val="20"/>
              </w:rPr>
              <w:tab/>
              <w:t>v. (3</w:t>
            </w:r>
            <w:r>
              <w:rPr>
                <w:sz w:val="20"/>
                <w:szCs w:val="20"/>
              </w:rPr>
              <w:t>6672</w:t>
            </w:r>
            <w:r w:rsidRPr="00A935AA">
              <w:rPr>
                <w:sz w:val="20"/>
                <w:szCs w:val="20"/>
              </w:rPr>
              <w:t>)</w:t>
            </w:r>
          </w:p>
          <w:p w:rsidR="00A0106F" w:rsidRPr="00A935AA" w:rsidRDefault="00A0106F" w:rsidP="00A0106F">
            <w:pPr>
              <w:keepNext/>
              <w:keepLines/>
              <w:tabs>
                <w:tab w:val="left" w:pos="-1440"/>
                <w:tab w:val="left" w:pos="-720"/>
              </w:tabs>
              <w:rPr>
                <w:sz w:val="20"/>
                <w:szCs w:val="20"/>
              </w:rPr>
            </w:pPr>
          </w:p>
          <w:p w:rsidR="00A0106F" w:rsidRPr="00A935AA" w:rsidRDefault="00A0106F" w:rsidP="00A0106F">
            <w:pPr>
              <w:keepNext/>
              <w:keepLines/>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Sask</w:t>
            </w:r>
            <w:r w:rsidRPr="00A935AA">
              <w:rPr>
                <w:b/>
                <w:sz w:val="20"/>
                <w:szCs w:val="20"/>
              </w:rPr>
              <w:t>.)</w:t>
            </w:r>
          </w:p>
          <w:p w:rsidR="00A0106F" w:rsidRPr="00A935AA" w:rsidRDefault="00A0106F" w:rsidP="00A0106F">
            <w:pPr>
              <w:keepNext/>
              <w:keepLines/>
              <w:tabs>
                <w:tab w:val="left" w:pos="-1440"/>
                <w:tab w:val="left" w:pos="-720"/>
              </w:tabs>
              <w:rPr>
                <w:sz w:val="20"/>
                <w:szCs w:val="20"/>
              </w:rPr>
            </w:pPr>
            <w:r w:rsidRPr="00A935AA">
              <w:rPr>
                <w:sz w:val="20"/>
                <w:szCs w:val="20"/>
              </w:rPr>
              <w:tab/>
            </w:r>
            <w:r>
              <w:rPr>
                <w:sz w:val="20"/>
                <w:szCs w:val="20"/>
              </w:rPr>
              <w:t>W. Dean Sinclair, Q.C.</w:t>
            </w:r>
          </w:p>
          <w:p w:rsidR="00A0106F" w:rsidRPr="00A935AA" w:rsidRDefault="00A0106F" w:rsidP="00A0106F">
            <w:pPr>
              <w:keepNext/>
              <w:keepLines/>
              <w:tabs>
                <w:tab w:val="left" w:pos="-1440"/>
                <w:tab w:val="left" w:pos="-720"/>
              </w:tabs>
              <w:rPr>
                <w:sz w:val="20"/>
                <w:szCs w:val="20"/>
              </w:rPr>
            </w:pPr>
            <w:r w:rsidRPr="00A935AA">
              <w:rPr>
                <w:sz w:val="20"/>
                <w:szCs w:val="20"/>
              </w:rPr>
              <w:tab/>
            </w:r>
            <w:r>
              <w:rPr>
                <w:sz w:val="20"/>
                <w:szCs w:val="20"/>
              </w:rPr>
              <w:t>A</w:t>
            </w:r>
            <w:r w:rsidR="00691CA5">
              <w:rPr>
                <w:sz w:val="20"/>
                <w:szCs w:val="20"/>
              </w:rPr>
              <w:t>.</w:t>
            </w:r>
            <w:r>
              <w:rPr>
                <w:sz w:val="20"/>
                <w:szCs w:val="20"/>
              </w:rPr>
              <w:t xml:space="preserve"> G</w:t>
            </w:r>
            <w:r w:rsidR="00691CA5">
              <w:rPr>
                <w:sz w:val="20"/>
                <w:szCs w:val="20"/>
              </w:rPr>
              <w:t>.</w:t>
            </w:r>
            <w:r>
              <w:rPr>
                <w:sz w:val="20"/>
                <w:szCs w:val="20"/>
              </w:rPr>
              <w:t xml:space="preserve"> for Saskatchewan</w:t>
            </w:r>
          </w:p>
          <w:p w:rsidR="00A0106F" w:rsidRPr="00A935AA" w:rsidRDefault="00A0106F" w:rsidP="00A0106F">
            <w:pPr>
              <w:keepNext/>
              <w:keepLines/>
              <w:tabs>
                <w:tab w:val="left" w:pos="-1440"/>
                <w:tab w:val="left" w:pos="-720"/>
              </w:tabs>
              <w:rPr>
                <w:sz w:val="20"/>
                <w:szCs w:val="20"/>
              </w:rPr>
            </w:pPr>
          </w:p>
          <w:p w:rsidR="00C21644" w:rsidRPr="00A935AA" w:rsidRDefault="00A0106F" w:rsidP="00A0106F">
            <w:pPr>
              <w:rPr>
                <w:sz w:val="20"/>
                <w:szCs w:val="20"/>
              </w:rPr>
            </w:pPr>
            <w:r w:rsidRPr="00A935AA">
              <w:rPr>
                <w:sz w:val="20"/>
                <w:szCs w:val="20"/>
              </w:rPr>
              <w:t xml:space="preserve">FILING DATE: </w:t>
            </w:r>
            <w:r>
              <w:rPr>
                <w:sz w:val="20"/>
                <w:szCs w:val="20"/>
              </w:rPr>
              <w:t>06</w:t>
            </w:r>
            <w:r w:rsidRPr="00A935AA">
              <w:rPr>
                <w:sz w:val="20"/>
                <w:szCs w:val="20"/>
              </w:rPr>
              <w:t>.</w:t>
            </w:r>
            <w:r>
              <w:rPr>
                <w:sz w:val="20"/>
                <w:szCs w:val="20"/>
              </w:rPr>
              <w:t>1</w:t>
            </w:r>
            <w:r w:rsidRPr="00A935AA">
              <w:rPr>
                <w:sz w:val="20"/>
                <w:szCs w:val="20"/>
              </w:rPr>
              <w:t>0.201</w:t>
            </w:r>
            <w:r>
              <w:rPr>
                <w:sz w:val="20"/>
                <w:szCs w:val="20"/>
              </w:rPr>
              <w:t>5</w:t>
            </w:r>
            <w:r w:rsidR="00EC4FDF">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BB5F97" w:rsidRPr="00A935AA" w:rsidRDefault="00BB5F97"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B250FE" w:rsidRDefault="00B250FE" w:rsidP="00242AEE">
            <w:pPr>
              <w:jc w:val="center"/>
              <w:rPr>
                <w:sz w:val="20"/>
                <w:szCs w:val="20"/>
              </w:rPr>
            </w:pPr>
          </w:p>
          <w:p w:rsidR="006B6598" w:rsidRPr="00A935AA" w:rsidRDefault="006B6598" w:rsidP="00242AEE">
            <w:pPr>
              <w:jc w:val="center"/>
              <w:rPr>
                <w:sz w:val="20"/>
                <w:szCs w:val="20"/>
              </w:rPr>
            </w:pPr>
          </w:p>
        </w:tc>
        <w:tc>
          <w:tcPr>
            <w:tcW w:w="4320" w:type="dxa"/>
            <w:shd w:val="clear" w:color="auto" w:fill="auto"/>
          </w:tcPr>
          <w:p w:rsidR="00304F71" w:rsidRDefault="00304F71" w:rsidP="00F52C60">
            <w:pPr>
              <w:rPr>
                <w:b/>
                <w:sz w:val="20"/>
                <w:szCs w:val="20"/>
              </w:rPr>
            </w:pPr>
          </w:p>
          <w:p w:rsidR="00F52C60" w:rsidRPr="00A935AA" w:rsidRDefault="00CC38A7" w:rsidP="00F52C60">
            <w:pPr>
              <w:rPr>
                <w:b/>
                <w:sz w:val="20"/>
                <w:szCs w:val="20"/>
              </w:rPr>
            </w:pPr>
            <w:r>
              <w:rPr>
                <w:b/>
                <w:sz w:val="20"/>
                <w:szCs w:val="20"/>
              </w:rPr>
              <w:t>Blueberry River First Nations</w:t>
            </w:r>
          </w:p>
          <w:p w:rsidR="00F52C60" w:rsidRPr="00A935AA" w:rsidRDefault="00F52C60" w:rsidP="00F52C60">
            <w:pPr>
              <w:tabs>
                <w:tab w:val="left" w:pos="-1440"/>
                <w:tab w:val="left" w:pos="-720"/>
              </w:tabs>
              <w:rPr>
                <w:sz w:val="20"/>
                <w:szCs w:val="20"/>
              </w:rPr>
            </w:pPr>
            <w:r w:rsidRPr="00A935AA">
              <w:rPr>
                <w:sz w:val="20"/>
                <w:szCs w:val="20"/>
              </w:rPr>
              <w:tab/>
            </w:r>
            <w:r w:rsidR="00897E26">
              <w:rPr>
                <w:sz w:val="20"/>
                <w:szCs w:val="20"/>
              </w:rPr>
              <w:t>James Tate</w:t>
            </w:r>
          </w:p>
          <w:p w:rsidR="00F52C60" w:rsidRPr="00A935AA" w:rsidRDefault="00F52C60" w:rsidP="00F52C60">
            <w:pPr>
              <w:tabs>
                <w:tab w:val="left" w:pos="-1440"/>
                <w:tab w:val="left" w:pos="-720"/>
              </w:tabs>
              <w:rPr>
                <w:sz w:val="20"/>
                <w:szCs w:val="20"/>
              </w:rPr>
            </w:pPr>
            <w:r w:rsidRPr="00A935AA">
              <w:rPr>
                <w:sz w:val="20"/>
                <w:szCs w:val="20"/>
              </w:rPr>
              <w:tab/>
            </w:r>
            <w:r w:rsidR="00897E26">
              <w:rPr>
                <w:sz w:val="20"/>
                <w:szCs w:val="20"/>
              </w:rPr>
              <w:t>Ratcliff &amp; Company</w:t>
            </w:r>
          </w:p>
          <w:p w:rsidR="00F52C60" w:rsidRPr="00A935AA" w:rsidRDefault="00F52C60" w:rsidP="00F52C60">
            <w:pPr>
              <w:tabs>
                <w:tab w:val="left" w:pos="-1440"/>
                <w:tab w:val="left" w:pos="-720"/>
              </w:tabs>
              <w:rPr>
                <w:sz w:val="20"/>
                <w:szCs w:val="20"/>
              </w:rPr>
            </w:pPr>
          </w:p>
          <w:p w:rsidR="00F52C60" w:rsidRPr="00A935AA" w:rsidRDefault="00F52C60" w:rsidP="00F52C60">
            <w:pPr>
              <w:tabs>
                <w:tab w:val="left" w:pos="-1440"/>
                <w:tab w:val="left" w:pos="-720"/>
              </w:tabs>
              <w:rPr>
                <w:sz w:val="20"/>
                <w:szCs w:val="20"/>
              </w:rPr>
            </w:pPr>
            <w:r w:rsidRPr="00A935AA">
              <w:rPr>
                <w:sz w:val="20"/>
                <w:szCs w:val="20"/>
              </w:rPr>
              <w:tab/>
              <w:t>v. (3</w:t>
            </w:r>
            <w:r w:rsidR="00CC38A7">
              <w:rPr>
                <w:sz w:val="20"/>
                <w:szCs w:val="20"/>
              </w:rPr>
              <w:t>6676</w:t>
            </w:r>
            <w:r w:rsidRPr="00A935AA">
              <w:rPr>
                <w:sz w:val="20"/>
                <w:szCs w:val="20"/>
              </w:rPr>
              <w:t>)</w:t>
            </w:r>
          </w:p>
          <w:p w:rsidR="00F52C60" w:rsidRPr="00A935AA" w:rsidRDefault="00F52C60" w:rsidP="00F52C60">
            <w:pPr>
              <w:tabs>
                <w:tab w:val="left" w:pos="-1440"/>
                <w:tab w:val="left" w:pos="-720"/>
              </w:tabs>
              <w:rPr>
                <w:sz w:val="20"/>
                <w:szCs w:val="20"/>
              </w:rPr>
            </w:pPr>
          </w:p>
          <w:p w:rsidR="00F52C60" w:rsidRPr="00A935AA" w:rsidRDefault="00533CF2" w:rsidP="00F52C60">
            <w:pPr>
              <w:tabs>
                <w:tab w:val="left" w:pos="-1440"/>
                <w:tab w:val="left" w:pos="-720"/>
              </w:tabs>
              <w:rPr>
                <w:b/>
                <w:sz w:val="20"/>
                <w:szCs w:val="20"/>
              </w:rPr>
            </w:pPr>
            <w:r>
              <w:rPr>
                <w:b/>
                <w:sz w:val="20"/>
                <w:szCs w:val="20"/>
              </w:rPr>
              <w:t>Attorney General of Canada et al.</w:t>
            </w:r>
            <w:r w:rsidR="00CC38A7">
              <w:rPr>
                <w:b/>
                <w:sz w:val="20"/>
                <w:szCs w:val="20"/>
              </w:rPr>
              <w:t xml:space="preserve"> </w:t>
            </w:r>
            <w:r w:rsidR="00F52C60" w:rsidRPr="00A935AA">
              <w:rPr>
                <w:b/>
                <w:sz w:val="20"/>
                <w:szCs w:val="20"/>
              </w:rPr>
              <w:t>(</w:t>
            </w:r>
            <w:r w:rsidR="00CC38A7">
              <w:rPr>
                <w:b/>
                <w:sz w:val="20"/>
                <w:szCs w:val="20"/>
              </w:rPr>
              <w:t>F.C.</w:t>
            </w:r>
            <w:r w:rsidR="00F52C60" w:rsidRPr="00A935AA">
              <w:rPr>
                <w:b/>
                <w:sz w:val="20"/>
                <w:szCs w:val="20"/>
              </w:rPr>
              <w:t>)</w:t>
            </w:r>
          </w:p>
          <w:p w:rsidR="00F52C60" w:rsidRPr="00A935AA" w:rsidRDefault="00F52C60" w:rsidP="00F52C60">
            <w:pPr>
              <w:tabs>
                <w:tab w:val="left" w:pos="-1440"/>
                <w:tab w:val="left" w:pos="-720"/>
              </w:tabs>
              <w:rPr>
                <w:sz w:val="20"/>
                <w:szCs w:val="20"/>
              </w:rPr>
            </w:pPr>
            <w:r w:rsidRPr="00A935AA">
              <w:rPr>
                <w:sz w:val="20"/>
                <w:szCs w:val="20"/>
              </w:rPr>
              <w:tab/>
            </w:r>
            <w:r w:rsidR="00897E26">
              <w:rPr>
                <w:sz w:val="20"/>
                <w:szCs w:val="20"/>
              </w:rPr>
              <w:t>Robert Danay</w:t>
            </w:r>
          </w:p>
          <w:p w:rsidR="00F52C60" w:rsidRPr="00A935AA" w:rsidRDefault="00F52C60" w:rsidP="00F52C60">
            <w:pPr>
              <w:tabs>
                <w:tab w:val="left" w:pos="-1440"/>
                <w:tab w:val="left" w:pos="-720"/>
              </w:tabs>
              <w:rPr>
                <w:sz w:val="20"/>
                <w:szCs w:val="20"/>
              </w:rPr>
            </w:pPr>
            <w:r w:rsidRPr="00A935AA">
              <w:rPr>
                <w:sz w:val="20"/>
                <w:szCs w:val="20"/>
              </w:rPr>
              <w:tab/>
            </w:r>
            <w:r w:rsidR="00897E26">
              <w:rPr>
                <w:sz w:val="20"/>
                <w:szCs w:val="20"/>
              </w:rPr>
              <w:t>A</w:t>
            </w:r>
            <w:r w:rsidR="00BC3851">
              <w:rPr>
                <w:sz w:val="20"/>
                <w:szCs w:val="20"/>
              </w:rPr>
              <w:t>.</w:t>
            </w:r>
            <w:r w:rsidR="00897E26">
              <w:rPr>
                <w:sz w:val="20"/>
                <w:szCs w:val="20"/>
              </w:rPr>
              <w:t xml:space="preserve"> G</w:t>
            </w:r>
            <w:r w:rsidR="00BC3851">
              <w:rPr>
                <w:sz w:val="20"/>
                <w:szCs w:val="20"/>
              </w:rPr>
              <w:t>.</w:t>
            </w:r>
            <w:r w:rsidR="00897E26">
              <w:rPr>
                <w:sz w:val="20"/>
                <w:szCs w:val="20"/>
              </w:rPr>
              <w:t xml:space="preserve"> of Canada</w:t>
            </w:r>
          </w:p>
          <w:p w:rsidR="00F52C60" w:rsidRPr="00A935AA" w:rsidRDefault="00F52C60" w:rsidP="00F52C60">
            <w:pPr>
              <w:tabs>
                <w:tab w:val="left" w:pos="-1440"/>
                <w:tab w:val="left" w:pos="-720"/>
              </w:tabs>
              <w:rPr>
                <w:sz w:val="20"/>
                <w:szCs w:val="20"/>
              </w:rPr>
            </w:pPr>
          </w:p>
          <w:p w:rsidR="00F52C60" w:rsidRPr="00A935AA" w:rsidRDefault="00F52C60" w:rsidP="00F52C60">
            <w:pPr>
              <w:rPr>
                <w:sz w:val="20"/>
                <w:szCs w:val="20"/>
              </w:rPr>
            </w:pPr>
            <w:r w:rsidRPr="00A935AA">
              <w:rPr>
                <w:sz w:val="20"/>
                <w:szCs w:val="20"/>
              </w:rPr>
              <w:t xml:space="preserve">FILING DATE: </w:t>
            </w:r>
            <w:r w:rsidR="00CC38A7">
              <w:rPr>
                <w:sz w:val="20"/>
                <w:szCs w:val="20"/>
              </w:rPr>
              <w:t>13</w:t>
            </w:r>
            <w:r w:rsidRPr="00A935AA">
              <w:rPr>
                <w:sz w:val="20"/>
                <w:szCs w:val="20"/>
              </w:rPr>
              <w:t>.</w:t>
            </w:r>
            <w:r w:rsidR="00CC38A7">
              <w:rPr>
                <w:sz w:val="20"/>
                <w:szCs w:val="20"/>
              </w:rPr>
              <w:t>1</w:t>
            </w:r>
            <w:r w:rsidRPr="00A935AA">
              <w:rPr>
                <w:sz w:val="20"/>
                <w:szCs w:val="20"/>
              </w:rPr>
              <w:t>0.201</w:t>
            </w:r>
            <w:r w:rsidR="00CC38A7">
              <w:rPr>
                <w:sz w:val="20"/>
                <w:szCs w:val="20"/>
              </w:rPr>
              <w:t>5</w:t>
            </w:r>
          </w:p>
          <w:p w:rsidR="00C21644" w:rsidRPr="00A935AA" w:rsidRDefault="00EC4FDF" w:rsidP="00F52C60">
            <w:pPr>
              <w:rPr>
                <w:sz w:val="20"/>
                <w:szCs w:val="20"/>
              </w:rPr>
            </w:pPr>
            <w:r>
              <w:rPr>
                <w:sz w:val="20"/>
                <w:szCs w:val="20"/>
                <w:lang w:val="fr-CA"/>
              </w:rPr>
              <w:pict>
                <v:rect id="_x0000_i1030"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C3079F" w:rsidP="005F1ED8">
            <w:pPr>
              <w:rPr>
                <w:b/>
                <w:sz w:val="20"/>
                <w:szCs w:val="20"/>
              </w:rPr>
            </w:pPr>
            <w:r>
              <w:rPr>
                <w:b/>
                <w:sz w:val="20"/>
                <w:szCs w:val="20"/>
              </w:rPr>
              <w:t>American Home Assurance Company</w:t>
            </w:r>
          </w:p>
          <w:p w:rsidR="00C21644" w:rsidRPr="00A935AA" w:rsidRDefault="00C21644" w:rsidP="005F1ED8">
            <w:pPr>
              <w:tabs>
                <w:tab w:val="left" w:pos="-1440"/>
                <w:tab w:val="left" w:pos="-720"/>
              </w:tabs>
              <w:rPr>
                <w:sz w:val="20"/>
                <w:szCs w:val="20"/>
              </w:rPr>
            </w:pPr>
            <w:r w:rsidRPr="00A935AA">
              <w:rPr>
                <w:sz w:val="20"/>
                <w:szCs w:val="20"/>
              </w:rPr>
              <w:tab/>
            </w:r>
            <w:r w:rsidR="00476010">
              <w:rPr>
                <w:sz w:val="20"/>
                <w:szCs w:val="20"/>
              </w:rPr>
              <w:t>Glenn A. Smith</w:t>
            </w:r>
          </w:p>
          <w:p w:rsidR="00C21644" w:rsidRPr="00A935AA" w:rsidRDefault="00C21644" w:rsidP="005F1ED8">
            <w:pPr>
              <w:tabs>
                <w:tab w:val="left" w:pos="-1440"/>
                <w:tab w:val="left" w:pos="-720"/>
              </w:tabs>
              <w:rPr>
                <w:sz w:val="20"/>
                <w:szCs w:val="20"/>
              </w:rPr>
            </w:pPr>
            <w:r w:rsidRPr="00A935AA">
              <w:rPr>
                <w:sz w:val="20"/>
                <w:szCs w:val="20"/>
              </w:rPr>
              <w:tab/>
            </w:r>
            <w:r w:rsidR="00476010">
              <w:rPr>
                <w:sz w:val="20"/>
                <w:szCs w:val="20"/>
              </w:rPr>
              <w:t xml:space="preserve">Lenczner Slaght Royce Smith Griffin </w:t>
            </w:r>
            <w:r w:rsidR="00476010" w:rsidRPr="00A935AA">
              <w:rPr>
                <w:sz w:val="20"/>
                <w:szCs w:val="20"/>
              </w:rPr>
              <w:tab/>
            </w:r>
            <w:r w:rsidR="00476010">
              <w:rPr>
                <w:sz w:val="20"/>
                <w:szCs w:val="20"/>
              </w:rPr>
              <w:t>LLP</w:t>
            </w:r>
          </w:p>
          <w:p w:rsidR="00C21644" w:rsidRPr="00A935AA" w:rsidRDefault="00C21644" w:rsidP="005F1ED8">
            <w:pPr>
              <w:tabs>
                <w:tab w:val="left" w:pos="-1440"/>
                <w:tab w:val="left" w:pos="-720"/>
              </w:tabs>
              <w:rPr>
                <w:sz w:val="20"/>
                <w:szCs w:val="20"/>
              </w:rPr>
            </w:pPr>
          </w:p>
          <w:p w:rsidR="00C21644" w:rsidRPr="00CA55F2" w:rsidRDefault="00C21644" w:rsidP="005F1ED8">
            <w:pPr>
              <w:tabs>
                <w:tab w:val="left" w:pos="-1440"/>
                <w:tab w:val="left" w:pos="-720"/>
              </w:tabs>
              <w:rPr>
                <w:sz w:val="20"/>
                <w:szCs w:val="20"/>
                <w:lang w:val="fr-CA"/>
              </w:rPr>
            </w:pPr>
            <w:r w:rsidRPr="00A935AA">
              <w:rPr>
                <w:sz w:val="20"/>
                <w:szCs w:val="20"/>
              </w:rPr>
              <w:tab/>
            </w:r>
            <w:r w:rsidRPr="00CA55F2">
              <w:rPr>
                <w:sz w:val="20"/>
                <w:szCs w:val="20"/>
                <w:lang w:val="fr-CA"/>
              </w:rPr>
              <w:t>v. (3</w:t>
            </w:r>
            <w:r w:rsidR="00C3079F" w:rsidRPr="00CA55F2">
              <w:rPr>
                <w:sz w:val="20"/>
                <w:szCs w:val="20"/>
                <w:lang w:val="fr-CA"/>
              </w:rPr>
              <w:t>6679</w:t>
            </w:r>
            <w:r w:rsidRPr="00CA55F2">
              <w:rPr>
                <w:sz w:val="20"/>
                <w:szCs w:val="20"/>
                <w:lang w:val="fr-CA"/>
              </w:rPr>
              <w:t>)</w:t>
            </w:r>
          </w:p>
          <w:p w:rsidR="00C21644" w:rsidRPr="00CA55F2" w:rsidRDefault="00C21644" w:rsidP="005F1ED8">
            <w:pPr>
              <w:tabs>
                <w:tab w:val="left" w:pos="-1440"/>
                <w:tab w:val="left" w:pos="-720"/>
              </w:tabs>
              <w:rPr>
                <w:sz w:val="20"/>
                <w:szCs w:val="20"/>
                <w:lang w:val="fr-CA"/>
              </w:rPr>
            </w:pPr>
          </w:p>
          <w:p w:rsidR="00C21644" w:rsidRPr="00A935AA" w:rsidRDefault="00C3079F" w:rsidP="005F1ED8">
            <w:pPr>
              <w:tabs>
                <w:tab w:val="left" w:pos="-1440"/>
                <w:tab w:val="left" w:pos="-720"/>
              </w:tabs>
              <w:rPr>
                <w:b/>
                <w:sz w:val="20"/>
                <w:szCs w:val="20"/>
              </w:rPr>
            </w:pPr>
            <w:r w:rsidRPr="00CA55F2">
              <w:rPr>
                <w:b/>
                <w:sz w:val="20"/>
                <w:szCs w:val="20"/>
                <w:lang w:val="fr-CA"/>
              </w:rPr>
              <w:t xml:space="preserve">Onex Corporation et al.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476010">
              <w:rPr>
                <w:sz w:val="20"/>
                <w:szCs w:val="20"/>
              </w:rPr>
              <w:t>Geoffrey D.E. Adair</w:t>
            </w:r>
          </w:p>
          <w:p w:rsidR="00C21644" w:rsidRPr="00A935AA" w:rsidRDefault="00C21644" w:rsidP="005F1ED8">
            <w:pPr>
              <w:tabs>
                <w:tab w:val="left" w:pos="-1440"/>
                <w:tab w:val="left" w:pos="-720"/>
              </w:tabs>
              <w:rPr>
                <w:sz w:val="20"/>
                <w:szCs w:val="20"/>
              </w:rPr>
            </w:pPr>
            <w:r w:rsidRPr="00A935AA">
              <w:rPr>
                <w:sz w:val="20"/>
                <w:szCs w:val="20"/>
              </w:rPr>
              <w:tab/>
            </w:r>
            <w:r w:rsidR="00476010">
              <w:rPr>
                <w:sz w:val="20"/>
                <w:szCs w:val="20"/>
              </w:rPr>
              <w:t>Adair Barristers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C3079F">
              <w:rPr>
                <w:sz w:val="20"/>
                <w:szCs w:val="20"/>
              </w:rPr>
              <w:t>13</w:t>
            </w:r>
            <w:r w:rsidRPr="00A935AA">
              <w:rPr>
                <w:sz w:val="20"/>
                <w:szCs w:val="20"/>
              </w:rPr>
              <w:t>.</w:t>
            </w:r>
            <w:r w:rsidR="00C3079F">
              <w:rPr>
                <w:sz w:val="20"/>
                <w:szCs w:val="20"/>
              </w:rPr>
              <w:t>1</w:t>
            </w:r>
            <w:r w:rsidRPr="00A935AA">
              <w:rPr>
                <w:sz w:val="20"/>
                <w:szCs w:val="20"/>
              </w:rPr>
              <w:t>0.201</w:t>
            </w:r>
            <w:r w:rsidR="00C3079F">
              <w:rPr>
                <w:sz w:val="20"/>
                <w:szCs w:val="20"/>
              </w:rPr>
              <w:t>5</w:t>
            </w:r>
          </w:p>
          <w:p w:rsidR="00C21644" w:rsidRPr="00A935AA" w:rsidRDefault="00EC4FDF" w:rsidP="005F1ED8">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6B6598" w:rsidRDefault="006B6598" w:rsidP="00242AEE">
            <w:pPr>
              <w:jc w:val="center"/>
              <w:rPr>
                <w:sz w:val="20"/>
                <w:szCs w:val="20"/>
              </w:rPr>
            </w:pPr>
          </w:p>
          <w:p w:rsidR="006B6598" w:rsidRPr="00A935AA" w:rsidRDefault="006B6598"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476010" w:rsidRPr="00A935AA" w:rsidRDefault="00476010"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C21644" w:rsidP="005F1ED8">
            <w:pPr>
              <w:rPr>
                <w:sz w:val="20"/>
                <w:szCs w:val="20"/>
              </w:rPr>
            </w:pPr>
          </w:p>
        </w:tc>
      </w:tr>
    </w:tbl>
    <w:p w:rsidR="00242AEE" w:rsidRPr="00C50A5C" w:rsidRDefault="00242AEE" w:rsidP="0095096B">
      <w:pPr>
        <w:tabs>
          <w:tab w:val="right" w:pos="9360"/>
        </w:tabs>
        <w:rPr>
          <w:sz w:val="20"/>
          <w:szCs w:val="20"/>
        </w:rPr>
        <w:sectPr w:rsidR="00242AEE" w:rsidRPr="00C50A5C" w:rsidSect="00C51AA9">
          <w:headerReference w:type="default" r:id="rId16"/>
          <w:footerReference w:type="default" r:id="rId17"/>
          <w:headerReference w:type="first" r:id="rId18"/>
          <w:footerReference w:type="first" r:id="rId19"/>
          <w:pgSz w:w="12240" w:h="15840"/>
          <w:pgMar w:top="720" w:right="965" w:bottom="1080" w:left="1656" w:header="706" w:footer="706" w:gutter="0"/>
          <w:pgNumType w:start="154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C4FD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171826" w:rsidP="00CB3520">
      <w:pPr>
        <w:widowControl w:val="0"/>
        <w:rPr>
          <w:b/>
          <w:sz w:val="20"/>
          <w:szCs w:val="20"/>
        </w:rPr>
      </w:pPr>
      <w:r>
        <w:rPr>
          <w:b/>
          <w:sz w:val="20"/>
          <w:szCs w:val="20"/>
        </w:rPr>
        <w:t>OCTOBER</w:t>
      </w:r>
      <w:r w:rsidR="00CB3520">
        <w:rPr>
          <w:b/>
          <w:sz w:val="20"/>
          <w:szCs w:val="20"/>
        </w:rPr>
        <w:t xml:space="preserve"> 2</w:t>
      </w:r>
      <w:r>
        <w:rPr>
          <w:b/>
          <w:sz w:val="20"/>
          <w:szCs w:val="20"/>
        </w:rPr>
        <w:t>6</w:t>
      </w:r>
      <w:r w:rsidR="00CB3520" w:rsidRPr="00C50A5C">
        <w:rPr>
          <w:b/>
          <w:sz w:val="20"/>
          <w:szCs w:val="20"/>
        </w:rPr>
        <w:t>, 201</w:t>
      </w:r>
      <w:r w:rsidR="00020DC3">
        <w:rPr>
          <w:b/>
          <w:sz w:val="20"/>
          <w:szCs w:val="20"/>
        </w:rPr>
        <w:t>5</w:t>
      </w:r>
      <w:r w:rsidR="00CB3520" w:rsidRPr="00C50A5C">
        <w:rPr>
          <w:b/>
          <w:sz w:val="20"/>
          <w:szCs w:val="20"/>
        </w:rPr>
        <w:t xml:space="preserve"> / LE </w:t>
      </w:r>
      <w:r w:rsidR="00CB3520">
        <w:rPr>
          <w:b/>
          <w:sz w:val="20"/>
          <w:szCs w:val="20"/>
        </w:rPr>
        <w:t>2</w:t>
      </w:r>
      <w:r>
        <w:rPr>
          <w:b/>
          <w:sz w:val="20"/>
          <w:szCs w:val="20"/>
        </w:rPr>
        <w:t>6</w:t>
      </w:r>
      <w:r w:rsidR="00CB3520">
        <w:rPr>
          <w:b/>
          <w:sz w:val="20"/>
          <w:szCs w:val="20"/>
        </w:rPr>
        <w:t xml:space="preserve"> </w:t>
      </w:r>
      <w:r w:rsidR="00D92F6F">
        <w:rPr>
          <w:b/>
          <w:sz w:val="20"/>
          <w:szCs w:val="20"/>
        </w:rPr>
        <w:t>OCTOBRE</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171826">
        <w:rPr>
          <w:b/>
          <w:sz w:val="20"/>
          <w:szCs w:val="20"/>
        </w:rPr>
        <w:t>Moldaver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171826">
        <w:rPr>
          <w:b/>
          <w:sz w:val="20"/>
          <w:szCs w:val="20"/>
          <w:lang w:val="fr-CA"/>
        </w:rPr>
        <w:t>Moldaver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DE423B" w:rsidP="00CB3520">
      <w:pPr>
        <w:pStyle w:val="ListParagraph"/>
        <w:widowControl w:val="0"/>
        <w:numPr>
          <w:ilvl w:val="0"/>
          <w:numId w:val="1"/>
        </w:numPr>
        <w:ind w:hanging="720"/>
        <w:jc w:val="both"/>
        <w:rPr>
          <w:sz w:val="20"/>
          <w:szCs w:val="20"/>
        </w:rPr>
      </w:pPr>
      <w:r w:rsidRPr="00DE423B">
        <w:rPr>
          <w:i/>
          <w:sz w:val="20"/>
          <w:szCs w:val="20"/>
        </w:rPr>
        <w:t xml:space="preserve">Kwok Wah Lee </w:t>
      </w:r>
      <w:r w:rsidR="00CB3520" w:rsidRPr="009C5D38">
        <w:rPr>
          <w:i/>
          <w:sz w:val="20"/>
          <w:szCs w:val="20"/>
        </w:rPr>
        <w:t xml:space="preserve">v. </w:t>
      </w:r>
      <w:r w:rsidRPr="00DE423B">
        <w:rPr>
          <w:sz w:val="20"/>
          <w:szCs w:val="20"/>
        </w:rPr>
        <w:t>Michael Kwok Wing Lee</w:t>
      </w:r>
      <w:r w:rsidR="00CB3520" w:rsidRPr="009C5D38">
        <w:rPr>
          <w:sz w:val="20"/>
          <w:szCs w:val="20"/>
        </w:rPr>
        <w:t xml:space="preserve"> (</w:t>
      </w:r>
      <w:r>
        <w:rPr>
          <w:sz w:val="20"/>
          <w:szCs w:val="20"/>
        </w:rPr>
        <w:t>B.C.</w:t>
      </w:r>
      <w:r w:rsidR="00CB3520" w:rsidRPr="009C5D38">
        <w:rPr>
          <w:sz w:val="20"/>
          <w:szCs w:val="20"/>
        </w:rPr>
        <w:t>) (Ci</w:t>
      </w:r>
      <w:r>
        <w:rPr>
          <w:sz w:val="20"/>
          <w:szCs w:val="20"/>
        </w:rPr>
        <w:t>vil</w:t>
      </w:r>
      <w:r w:rsidR="00CB3520" w:rsidRPr="009C5D38">
        <w:rPr>
          <w:sz w:val="20"/>
          <w:szCs w:val="20"/>
        </w:rPr>
        <w:t>) (By Leave)</w:t>
      </w:r>
      <w:r w:rsidR="00CB3520" w:rsidRPr="00C50A5C">
        <w:rPr>
          <w:sz w:val="20"/>
          <w:szCs w:val="20"/>
        </w:rPr>
        <w:t xml:space="preserve"> (3</w:t>
      </w:r>
      <w:r w:rsidR="00CB3520">
        <w:rPr>
          <w:sz w:val="20"/>
          <w:szCs w:val="20"/>
        </w:rPr>
        <w:t>6</w:t>
      </w:r>
      <w:r>
        <w:rPr>
          <w:sz w:val="20"/>
          <w:szCs w:val="20"/>
        </w:rPr>
        <w:t>5</w:t>
      </w:r>
      <w:r w:rsidR="00CB3520">
        <w:rPr>
          <w:sz w:val="20"/>
          <w:szCs w:val="20"/>
        </w:rPr>
        <w:t>6</w:t>
      </w:r>
      <w:r>
        <w:rPr>
          <w:sz w:val="20"/>
          <w:szCs w:val="20"/>
        </w:rPr>
        <w:t>7</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E0263E" w:rsidP="00CB3520">
      <w:pPr>
        <w:pStyle w:val="ListParagraph"/>
        <w:widowControl w:val="0"/>
        <w:numPr>
          <w:ilvl w:val="0"/>
          <w:numId w:val="1"/>
        </w:numPr>
        <w:ind w:hanging="720"/>
        <w:jc w:val="both"/>
        <w:rPr>
          <w:sz w:val="20"/>
          <w:szCs w:val="20"/>
        </w:rPr>
      </w:pPr>
      <w:r w:rsidRPr="00E0263E">
        <w:rPr>
          <w:i/>
          <w:sz w:val="20"/>
          <w:szCs w:val="20"/>
        </w:rPr>
        <w:t>Teal Cedar Products Ltd.</w:t>
      </w:r>
      <w:r w:rsidR="00CB3520" w:rsidRPr="009C5D38">
        <w:rPr>
          <w:i/>
          <w:sz w:val="20"/>
          <w:szCs w:val="20"/>
        </w:rPr>
        <w:t xml:space="preserve"> v. </w:t>
      </w:r>
      <w:r w:rsidRPr="00E0263E">
        <w:rPr>
          <w:i/>
          <w:sz w:val="20"/>
          <w:szCs w:val="20"/>
        </w:rPr>
        <w:t>Her Majesty the Queen in Right of the Province of British Columbia</w:t>
      </w:r>
      <w:r w:rsidR="00CB3520" w:rsidRPr="009C5D38">
        <w:rPr>
          <w:sz w:val="20"/>
          <w:szCs w:val="20"/>
        </w:rPr>
        <w:t xml:space="preserve"> (</w:t>
      </w:r>
      <w:r>
        <w:rPr>
          <w:sz w:val="20"/>
          <w:szCs w:val="20"/>
        </w:rPr>
        <w:t>B.C.</w:t>
      </w:r>
      <w:r w:rsidR="00CB3520" w:rsidRPr="009C5D38">
        <w:rPr>
          <w:sz w:val="20"/>
          <w:szCs w:val="20"/>
        </w:rPr>
        <w:t>) (Civil) (By Leave)</w:t>
      </w:r>
      <w:r w:rsidR="00CB3520" w:rsidRPr="00C612D0">
        <w:rPr>
          <w:sz w:val="20"/>
          <w:szCs w:val="20"/>
        </w:rPr>
        <w:t xml:space="preserve"> (3</w:t>
      </w:r>
      <w:r>
        <w:rPr>
          <w:sz w:val="20"/>
          <w:szCs w:val="20"/>
        </w:rPr>
        <w:t>6</w:t>
      </w:r>
      <w:r w:rsidR="00CB3520">
        <w:rPr>
          <w:sz w:val="20"/>
          <w:szCs w:val="20"/>
        </w:rPr>
        <w:t>5</w:t>
      </w:r>
      <w:r>
        <w:rPr>
          <w:sz w:val="20"/>
          <w:szCs w:val="20"/>
        </w:rPr>
        <w:t>95</w:t>
      </w:r>
      <w:r w:rsidR="00CB3520" w:rsidRPr="00C612D0">
        <w:rPr>
          <w:sz w:val="20"/>
          <w:szCs w:val="20"/>
        </w:rPr>
        <w:t>)</w:t>
      </w:r>
    </w:p>
    <w:p w:rsidR="00CB3520" w:rsidRPr="009C5D38" w:rsidRDefault="00CB3520" w:rsidP="00CB3520">
      <w:pPr>
        <w:widowControl w:val="0"/>
        <w:rPr>
          <w:sz w:val="20"/>
          <w:szCs w:val="20"/>
        </w:rPr>
      </w:pPr>
    </w:p>
    <w:p w:rsidR="00CB3520" w:rsidRPr="00002704" w:rsidRDefault="00CB3520" w:rsidP="00CB3520">
      <w:pPr>
        <w:widowControl w:val="0"/>
        <w:jc w:val="center"/>
        <w:rPr>
          <w:b/>
          <w:sz w:val="20"/>
          <w:szCs w:val="20"/>
          <w:lang w:val="fr-CA"/>
        </w:rPr>
      </w:pPr>
      <w:r w:rsidRPr="00002704">
        <w:rPr>
          <w:b/>
          <w:sz w:val="20"/>
          <w:szCs w:val="20"/>
          <w:lang w:val="fr-CA"/>
        </w:rPr>
        <w:t xml:space="preserve">CORAM: </w:t>
      </w:r>
      <w:r w:rsidR="00FA3373" w:rsidRPr="00002704">
        <w:rPr>
          <w:b/>
          <w:sz w:val="20"/>
          <w:szCs w:val="20"/>
          <w:lang w:val="fr-CA"/>
        </w:rPr>
        <w:t>Abella</w:t>
      </w:r>
      <w:r w:rsidRPr="00002704">
        <w:rPr>
          <w:b/>
          <w:sz w:val="20"/>
          <w:szCs w:val="20"/>
          <w:lang w:val="fr-CA"/>
        </w:rPr>
        <w:t xml:space="preserve">, Karakatsanis and </w:t>
      </w:r>
      <w:r w:rsidR="001B45F7">
        <w:rPr>
          <w:b/>
          <w:sz w:val="20"/>
          <w:szCs w:val="20"/>
          <w:lang w:val="fr-CA"/>
        </w:rPr>
        <w:t>Brown</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1B45F7">
        <w:rPr>
          <w:b/>
          <w:sz w:val="20"/>
          <w:szCs w:val="20"/>
          <w:lang w:val="fr-CA"/>
        </w:rPr>
        <w:t>Brown</w:t>
      </w:r>
    </w:p>
    <w:p w:rsidR="00CB3520" w:rsidRPr="00C16CB3" w:rsidRDefault="00CB3520" w:rsidP="00CB3520">
      <w:pPr>
        <w:widowControl w:val="0"/>
        <w:jc w:val="both"/>
        <w:rPr>
          <w:sz w:val="20"/>
          <w:szCs w:val="20"/>
          <w:lang w:val="fr-CA"/>
        </w:rPr>
      </w:pPr>
    </w:p>
    <w:p w:rsidR="00CB3520" w:rsidRPr="00115C9E" w:rsidRDefault="00042AE4" w:rsidP="00CB3520">
      <w:pPr>
        <w:pStyle w:val="ListParagraph"/>
        <w:widowControl w:val="0"/>
        <w:numPr>
          <w:ilvl w:val="0"/>
          <w:numId w:val="1"/>
        </w:numPr>
        <w:ind w:hanging="720"/>
        <w:jc w:val="both"/>
        <w:rPr>
          <w:sz w:val="20"/>
          <w:szCs w:val="20"/>
          <w:lang w:val="fr-CA"/>
        </w:rPr>
      </w:pPr>
      <w:r w:rsidRPr="00042AE4">
        <w:rPr>
          <w:i/>
          <w:sz w:val="20"/>
          <w:szCs w:val="20"/>
        </w:rPr>
        <w:t>Janusz Teodor Kaminski</w:t>
      </w:r>
      <w:r w:rsidR="00CB3520" w:rsidRPr="009C5D38">
        <w:rPr>
          <w:i/>
          <w:sz w:val="20"/>
          <w:szCs w:val="20"/>
        </w:rPr>
        <w:t xml:space="preserve"> v. </w:t>
      </w:r>
      <w:r w:rsidRPr="00042AE4">
        <w:rPr>
          <w:i/>
          <w:sz w:val="20"/>
          <w:szCs w:val="20"/>
        </w:rPr>
        <w:t xml:space="preserve">Attorney General of Canada </w:t>
      </w:r>
      <w:r w:rsidR="00CB3520" w:rsidRPr="009C5D38">
        <w:rPr>
          <w:sz w:val="20"/>
          <w:szCs w:val="20"/>
        </w:rPr>
        <w:t>(F.C.) (Civil) (By Leave)</w:t>
      </w:r>
      <w:r w:rsidR="00CB3520" w:rsidRPr="00115C9E">
        <w:rPr>
          <w:sz w:val="20"/>
          <w:szCs w:val="20"/>
          <w:lang w:val="fr-CA"/>
        </w:rPr>
        <w:t xml:space="preserve"> (3</w:t>
      </w:r>
      <w:r>
        <w:rPr>
          <w:sz w:val="20"/>
          <w:szCs w:val="20"/>
          <w:lang w:val="fr-CA"/>
        </w:rPr>
        <w:t>6</w:t>
      </w:r>
      <w:r w:rsidR="00CB3520" w:rsidRPr="00115C9E">
        <w:rPr>
          <w:sz w:val="20"/>
          <w:szCs w:val="20"/>
          <w:lang w:val="fr-CA"/>
        </w:rPr>
        <w:t>5</w:t>
      </w:r>
      <w:r>
        <w:rPr>
          <w:sz w:val="20"/>
          <w:szCs w:val="20"/>
          <w:lang w:val="fr-CA"/>
        </w:rPr>
        <w:t>20</w:t>
      </w:r>
      <w:r w:rsidR="00CB3520" w:rsidRPr="00115C9E">
        <w:rPr>
          <w:sz w:val="20"/>
          <w:szCs w:val="20"/>
          <w:lang w:val="fr-CA"/>
        </w:rPr>
        <w:t>)</w:t>
      </w:r>
    </w:p>
    <w:p w:rsidR="00CB3520" w:rsidRPr="00115C9E" w:rsidRDefault="00CB3520" w:rsidP="00CB3520">
      <w:pPr>
        <w:widowControl w:val="0"/>
        <w:jc w:val="both"/>
        <w:rPr>
          <w:sz w:val="20"/>
          <w:szCs w:val="20"/>
          <w:lang w:val="fr-CA"/>
        </w:rPr>
      </w:pPr>
    </w:p>
    <w:p w:rsidR="00CB3520" w:rsidRPr="009C5D38" w:rsidRDefault="002D297F" w:rsidP="00CB3520">
      <w:pPr>
        <w:pStyle w:val="ListParagraph"/>
        <w:widowControl w:val="0"/>
        <w:numPr>
          <w:ilvl w:val="0"/>
          <w:numId w:val="1"/>
        </w:numPr>
        <w:ind w:hanging="720"/>
        <w:jc w:val="both"/>
        <w:rPr>
          <w:sz w:val="20"/>
          <w:szCs w:val="20"/>
        </w:rPr>
      </w:pPr>
      <w:r w:rsidRPr="002D297F">
        <w:rPr>
          <w:i/>
          <w:sz w:val="20"/>
          <w:szCs w:val="20"/>
        </w:rPr>
        <w:t xml:space="preserve">Noel Ayangma </w:t>
      </w:r>
      <w:r w:rsidR="00CB3520" w:rsidRPr="009C5D38">
        <w:rPr>
          <w:i/>
          <w:sz w:val="20"/>
          <w:szCs w:val="20"/>
        </w:rPr>
        <w:t xml:space="preserve">v. </w:t>
      </w:r>
      <w:r w:rsidRPr="002D297F">
        <w:rPr>
          <w:i/>
          <w:sz w:val="20"/>
          <w:szCs w:val="20"/>
        </w:rPr>
        <w:t>Prince Edward Island Human Rights Commission et al.</w:t>
      </w:r>
      <w:r w:rsidR="00CB3520" w:rsidRPr="009C5D38">
        <w:rPr>
          <w:sz w:val="20"/>
          <w:szCs w:val="20"/>
        </w:rPr>
        <w:t xml:space="preserve"> (</w:t>
      </w:r>
      <w:r>
        <w:rPr>
          <w:sz w:val="20"/>
          <w:szCs w:val="20"/>
        </w:rPr>
        <w:t>P.E.I</w:t>
      </w:r>
      <w:r w:rsidR="00CB3520" w:rsidRPr="009C5D38">
        <w:rPr>
          <w:sz w:val="20"/>
          <w:szCs w:val="20"/>
        </w:rPr>
        <w:t>.) (Civil) (By Leave) (3</w:t>
      </w:r>
      <w:r w:rsidR="005E230C">
        <w:rPr>
          <w:sz w:val="20"/>
          <w:szCs w:val="20"/>
        </w:rPr>
        <w:t>6</w:t>
      </w:r>
      <w:r w:rsidR="00CB3520" w:rsidRPr="009C5D38">
        <w:rPr>
          <w:sz w:val="20"/>
          <w:szCs w:val="20"/>
        </w:rPr>
        <w:t>5</w:t>
      </w:r>
      <w:r w:rsidR="005E230C">
        <w:rPr>
          <w:sz w:val="20"/>
          <w:szCs w:val="20"/>
        </w:rPr>
        <w:t>48</w:t>
      </w:r>
      <w:r w:rsidR="00CB3520" w:rsidRPr="009C5D38">
        <w:rPr>
          <w:sz w:val="20"/>
          <w:szCs w:val="20"/>
        </w:rPr>
        <w:t>)</w:t>
      </w: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ED3C83">
        <w:rPr>
          <w:b/>
          <w:sz w:val="20"/>
          <w:szCs w:val="20"/>
        </w:rPr>
        <w:t>Cromwell</w:t>
      </w:r>
      <w:r>
        <w:rPr>
          <w:b/>
          <w:sz w:val="20"/>
          <w:szCs w:val="20"/>
        </w:rPr>
        <w:t>,</w:t>
      </w:r>
      <w:r w:rsidRPr="00C50A5C">
        <w:rPr>
          <w:b/>
          <w:sz w:val="20"/>
          <w:szCs w:val="20"/>
        </w:rPr>
        <w:t xml:space="preserve"> </w:t>
      </w:r>
      <w:r w:rsidR="00ED3C83">
        <w:rPr>
          <w:b/>
          <w:sz w:val="20"/>
          <w:szCs w:val="20"/>
        </w:rPr>
        <w:t>Wagner</w:t>
      </w:r>
      <w:r w:rsidR="00FA3373">
        <w:rPr>
          <w:b/>
          <w:sz w:val="20"/>
          <w:szCs w:val="20"/>
        </w:rPr>
        <w:t xml:space="preserve"> </w:t>
      </w:r>
      <w:r w:rsidRPr="00C50A5C">
        <w:rPr>
          <w:b/>
          <w:sz w:val="20"/>
          <w:szCs w:val="20"/>
        </w:rPr>
        <w:t xml:space="preserve">and </w:t>
      </w:r>
      <w:r w:rsidR="00ED3C83">
        <w:rPr>
          <w:b/>
          <w:sz w:val="20"/>
          <w:szCs w:val="20"/>
        </w:rPr>
        <w:t>Côté</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ED3C83">
        <w:rPr>
          <w:b/>
          <w:sz w:val="20"/>
          <w:szCs w:val="20"/>
          <w:lang w:val="fr-CA"/>
        </w:rPr>
        <w:t>Cromwell</w:t>
      </w:r>
      <w:r w:rsidRPr="00C50A5C">
        <w:rPr>
          <w:b/>
          <w:sz w:val="20"/>
          <w:szCs w:val="20"/>
          <w:lang w:val="fr-CA"/>
        </w:rPr>
        <w:t xml:space="preserve">, </w:t>
      </w:r>
      <w:r w:rsidR="00ED3C83">
        <w:rPr>
          <w:b/>
          <w:sz w:val="20"/>
          <w:szCs w:val="20"/>
          <w:lang w:val="fr-CA"/>
        </w:rPr>
        <w:t>Wagner</w:t>
      </w:r>
      <w:r w:rsidR="00FA3373">
        <w:rPr>
          <w:b/>
          <w:sz w:val="20"/>
          <w:szCs w:val="20"/>
          <w:lang w:val="fr-CA"/>
        </w:rPr>
        <w:t xml:space="preserve"> </w:t>
      </w:r>
      <w:r w:rsidRPr="00C50A5C">
        <w:rPr>
          <w:b/>
          <w:sz w:val="20"/>
          <w:szCs w:val="20"/>
          <w:lang w:val="fr-CA"/>
        </w:rPr>
        <w:t xml:space="preserve">et </w:t>
      </w:r>
      <w:r w:rsidR="00ED3C83">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CD16BC" w:rsidP="00CB3520">
      <w:pPr>
        <w:pStyle w:val="ListParagraph"/>
        <w:widowControl w:val="0"/>
        <w:numPr>
          <w:ilvl w:val="0"/>
          <w:numId w:val="1"/>
        </w:numPr>
        <w:ind w:hanging="720"/>
        <w:jc w:val="both"/>
        <w:rPr>
          <w:sz w:val="20"/>
          <w:szCs w:val="20"/>
        </w:rPr>
      </w:pPr>
      <w:r w:rsidRPr="00CD16BC">
        <w:rPr>
          <w:i/>
          <w:sz w:val="20"/>
          <w:szCs w:val="20"/>
        </w:rPr>
        <w:t xml:space="preserve">Davinder Khaper </w:t>
      </w:r>
      <w:r w:rsidR="00CB3520" w:rsidRPr="009C5D38">
        <w:rPr>
          <w:i/>
          <w:sz w:val="20"/>
          <w:szCs w:val="20"/>
        </w:rPr>
        <w:t xml:space="preserve">v. </w:t>
      </w:r>
      <w:r>
        <w:rPr>
          <w:i/>
          <w:sz w:val="20"/>
          <w:szCs w:val="20"/>
        </w:rPr>
        <w:t>Air Canada</w:t>
      </w:r>
      <w:r w:rsidR="00CB3520" w:rsidRPr="009C5D38">
        <w:rPr>
          <w:sz w:val="20"/>
          <w:szCs w:val="20"/>
        </w:rPr>
        <w:t xml:space="preserve"> (F.C.) (Civil) (By Leave)</w:t>
      </w:r>
      <w:r w:rsidR="00CB3520" w:rsidRPr="00115C9E">
        <w:rPr>
          <w:sz w:val="20"/>
          <w:szCs w:val="20"/>
        </w:rPr>
        <w:t xml:space="preserve"> (3</w:t>
      </w:r>
      <w:r w:rsidR="00CB3520">
        <w:rPr>
          <w:sz w:val="20"/>
          <w:szCs w:val="20"/>
        </w:rPr>
        <w:t>6</w:t>
      </w:r>
      <w:r>
        <w:rPr>
          <w:sz w:val="20"/>
          <w:szCs w:val="20"/>
        </w:rPr>
        <w:t>477</w:t>
      </w:r>
      <w:r w:rsidR="00CB3520" w:rsidRPr="00115C9E">
        <w:rPr>
          <w:sz w:val="20"/>
          <w:szCs w:val="20"/>
        </w:rPr>
        <w:t>)</w:t>
      </w:r>
    </w:p>
    <w:p w:rsidR="00CB3520" w:rsidRPr="00115C9E" w:rsidRDefault="00CB3520" w:rsidP="00CB3520">
      <w:pPr>
        <w:widowControl w:val="0"/>
        <w:jc w:val="both"/>
        <w:rPr>
          <w:sz w:val="20"/>
          <w:szCs w:val="20"/>
        </w:rPr>
      </w:pPr>
    </w:p>
    <w:p w:rsidR="00CB3520" w:rsidRDefault="00DA0CFA" w:rsidP="00CB3520">
      <w:pPr>
        <w:pStyle w:val="ListParagraph"/>
        <w:widowControl w:val="0"/>
        <w:numPr>
          <w:ilvl w:val="0"/>
          <w:numId w:val="1"/>
        </w:numPr>
        <w:ind w:hanging="720"/>
        <w:jc w:val="both"/>
        <w:rPr>
          <w:sz w:val="20"/>
          <w:szCs w:val="20"/>
        </w:rPr>
      </w:pPr>
      <w:r>
        <w:rPr>
          <w:i/>
          <w:sz w:val="20"/>
          <w:szCs w:val="20"/>
        </w:rPr>
        <w:t xml:space="preserve">Apotex Inc. </w:t>
      </w:r>
      <w:r w:rsidR="00CB3520" w:rsidRPr="009C5D38">
        <w:rPr>
          <w:i/>
          <w:sz w:val="20"/>
          <w:szCs w:val="20"/>
        </w:rPr>
        <w:t xml:space="preserve">v. </w:t>
      </w:r>
      <w:r w:rsidRPr="00DA0CFA">
        <w:rPr>
          <w:i/>
          <w:sz w:val="20"/>
          <w:szCs w:val="20"/>
        </w:rPr>
        <w:t xml:space="preserve">Eli Lilly and Company and Eli Lilly Canada Inc. </w:t>
      </w:r>
      <w:r w:rsidR="00CB3520" w:rsidRPr="009C5D38">
        <w:rPr>
          <w:sz w:val="20"/>
          <w:szCs w:val="20"/>
        </w:rPr>
        <w:t>(Ont.) (Civil) (By Leave)</w:t>
      </w:r>
      <w:r w:rsidR="00CB3520" w:rsidRPr="00C50A5C">
        <w:rPr>
          <w:sz w:val="20"/>
          <w:szCs w:val="20"/>
        </w:rPr>
        <w:t xml:space="preserve"> (3</w:t>
      </w:r>
      <w:r>
        <w:rPr>
          <w:sz w:val="20"/>
          <w:szCs w:val="20"/>
        </w:rPr>
        <w:t>6</w:t>
      </w:r>
      <w:r w:rsidR="00CB3520">
        <w:rPr>
          <w:sz w:val="20"/>
          <w:szCs w:val="20"/>
        </w:rPr>
        <w:t>5</w:t>
      </w:r>
      <w:r>
        <w:rPr>
          <w:sz w:val="20"/>
          <w:szCs w:val="20"/>
        </w:rPr>
        <w:t>38</w:t>
      </w:r>
      <w:r w:rsidR="00CB3520" w:rsidRPr="00C50A5C">
        <w:rPr>
          <w:sz w:val="20"/>
          <w:szCs w:val="20"/>
        </w:rPr>
        <w:t>)</w:t>
      </w:r>
    </w:p>
    <w:p w:rsidR="00CB3520" w:rsidRPr="009C5D38" w:rsidRDefault="00CB3520" w:rsidP="00CB3520">
      <w:pPr>
        <w:widowControl w:val="0"/>
        <w:rPr>
          <w:i/>
          <w:sz w:val="20"/>
          <w:szCs w:val="20"/>
        </w:rPr>
      </w:pPr>
    </w:p>
    <w:p w:rsidR="00CB3520" w:rsidRPr="009C5D38" w:rsidRDefault="00B565F1" w:rsidP="00CB3520">
      <w:pPr>
        <w:pStyle w:val="ListParagraph"/>
        <w:widowControl w:val="0"/>
        <w:numPr>
          <w:ilvl w:val="0"/>
          <w:numId w:val="1"/>
        </w:numPr>
        <w:ind w:hanging="720"/>
        <w:jc w:val="both"/>
        <w:rPr>
          <w:sz w:val="20"/>
          <w:szCs w:val="20"/>
        </w:rPr>
      </w:pPr>
      <w:r w:rsidRPr="00B565F1">
        <w:rPr>
          <w:i/>
          <w:sz w:val="20"/>
          <w:szCs w:val="20"/>
        </w:rPr>
        <w:t xml:space="preserve">Attorney General of Canada </w:t>
      </w:r>
      <w:r w:rsidR="00CB3520" w:rsidRPr="009C5D38">
        <w:rPr>
          <w:i/>
          <w:sz w:val="20"/>
          <w:szCs w:val="20"/>
        </w:rPr>
        <w:t xml:space="preserve">v. </w:t>
      </w:r>
      <w:r w:rsidRPr="00CA55F2">
        <w:rPr>
          <w:i/>
          <w:sz w:val="20"/>
          <w:szCs w:val="20"/>
          <w:lang w:val="en-US"/>
        </w:rPr>
        <w:t>Fairmont Hotels Inc. et al.</w:t>
      </w:r>
      <w:r w:rsidRPr="00B565F1">
        <w:rPr>
          <w:i/>
          <w:sz w:val="20"/>
          <w:szCs w:val="20"/>
        </w:rPr>
        <w:t xml:space="preserve"> </w:t>
      </w:r>
      <w:r w:rsidR="00CB3520" w:rsidRPr="009C5D38">
        <w:rPr>
          <w:sz w:val="20"/>
          <w:szCs w:val="20"/>
        </w:rPr>
        <w:t>(</w:t>
      </w:r>
      <w:r>
        <w:rPr>
          <w:sz w:val="20"/>
          <w:szCs w:val="20"/>
        </w:rPr>
        <w:t>Ont</w:t>
      </w:r>
      <w:r w:rsidR="00CB3520" w:rsidRPr="009C5D38">
        <w:rPr>
          <w:sz w:val="20"/>
          <w:szCs w:val="20"/>
        </w:rPr>
        <w:t>.) (Civil) (By Leave) (36</w:t>
      </w:r>
      <w:r>
        <w:rPr>
          <w:sz w:val="20"/>
          <w:szCs w:val="20"/>
        </w:rPr>
        <w:t>606</w:t>
      </w:r>
      <w:r w:rsidR="00CB3520" w:rsidRPr="009C5D38">
        <w:rPr>
          <w:sz w:val="20"/>
          <w:szCs w:val="20"/>
        </w:rPr>
        <w:t>)</w:t>
      </w:r>
    </w:p>
    <w:p w:rsidR="002E2327" w:rsidRPr="00CB3520" w:rsidRDefault="002E2327" w:rsidP="002E2327">
      <w:pPr>
        <w:widowControl w:val="0"/>
        <w:rPr>
          <w:sz w:val="20"/>
          <w:szCs w:val="20"/>
        </w:rPr>
      </w:pPr>
    </w:p>
    <w:p w:rsidR="002E2327" w:rsidRDefault="00EC4FDF" w:rsidP="002E2327">
      <w:pPr>
        <w:widowControl w:val="0"/>
        <w:rPr>
          <w:sz w:val="20"/>
          <w:szCs w:val="20"/>
        </w:rPr>
      </w:pPr>
      <w:r>
        <w:rPr>
          <w:sz w:val="20"/>
          <w:szCs w:val="20"/>
        </w:rPr>
        <w:pict>
          <v:rect id="_x0000_i1034"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C4FDF"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86756A" w:rsidP="000E2959">
      <w:pPr>
        <w:rPr>
          <w:b/>
          <w:sz w:val="20"/>
          <w:szCs w:val="20"/>
        </w:rPr>
      </w:pPr>
      <w:r>
        <w:rPr>
          <w:b/>
          <w:sz w:val="20"/>
          <w:szCs w:val="20"/>
        </w:rPr>
        <w:t>OCTOBER</w:t>
      </w:r>
      <w:r w:rsidR="000E2959" w:rsidRPr="00C50A5C">
        <w:rPr>
          <w:b/>
          <w:sz w:val="20"/>
          <w:szCs w:val="20"/>
        </w:rPr>
        <w:t xml:space="preserve"> 2</w:t>
      </w:r>
      <w:r>
        <w:rPr>
          <w:b/>
          <w:sz w:val="20"/>
          <w:szCs w:val="20"/>
        </w:rPr>
        <w:t>9</w:t>
      </w:r>
      <w:r w:rsidR="000E2959" w:rsidRPr="00C50A5C">
        <w:rPr>
          <w:b/>
          <w:sz w:val="20"/>
          <w:szCs w:val="20"/>
        </w:rPr>
        <w:t>, 201</w:t>
      </w:r>
      <w:r w:rsidR="00681F61">
        <w:rPr>
          <w:b/>
          <w:sz w:val="20"/>
          <w:szCs w:val="20"/>
        </w:rPr>
        <w:t>5</w:t>
      </w:r>
      <w:r w:rsidR="000E2959" w:rsidRPr="00C50A5C">
        <w:rPr>
          <w:b/>
          <w:sz w:val="20"/>
          <w:szCs w:val="20"/>
        </w:rPr>
        <w:t xml:space="preserve"> / LE 2</w:t>
      </w:r>
      <w:r>
        <w:rPr>
          <w:b/>
          <w:sz w:val="20"/>
          <w:szCs w:val="20"/>
        </w:rPr>
        <w:t>9</w:t>
      </w:r>
      <w:r w:rsidR="000E2959" w:rsidRPr="00C50A5C">
        <w:rPr>
          <w:b/>
          <w:sz w:val="20"/>
          <w:szCs w:val="20"/>
        </w:rPr>
        <w:t xml:space="preserve"> </w:t>
      </w:r>
      <w:r>
        <w:rPr>
          <w:b/>
          <w:sz w:val="20"/>
          <w:szCs w:val="20"/>
        </w:rPr>
        <w:t>OCTOBRE</w:t>
      </w:r>
      <w:r w:rsidR="000E2959" w:rsidRPr="00C50A5C">
        <w:rPr>
          <w:b/>
          <w:sz w:val="20"/>
          <w:szCs w:val="20"/>
        </w:rPr>
        <w:t xml:space="preserve"> 201</w:t>
      </w:r>
      <w:r w:rsidR="00681F61">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A73D2C" w:rsidTr="0004528B">
        <w:trPr>
          <w:cantSplit/>
        </w:trPr>
        <w:tc>
          <w:tcPr>
            <w:tcW w:w="1458" w:type="dxa"/>
          </w:tcPr>
          <w:p w:rsidR="000E2959" w:rsidRPr="00A73D2C" w:rsidRDefault="000E2959" w:rsidP="0004528B">
            <w:pPr>
              <w:rPr>
                <w:sz w:val="20"/>
                <w:szCs w:val="20"/>
              </w:rPr>
            </w:pPr>
            <w:r w:rsidRPr="00A73D2C">
              <w:rPr>
                <w:rStyle w:val="SCCFileNumberChar"/>
                <w:sz w:val="20"/>
                <w:szCs w:val="20"/>
              </w:rPr>
              <w:t>36</w:t>
            </w:r>
            <w:r w:rsidR="000D71BE">
              <w:rPr>
                <w:rStyle w:val="SCCFileNumberChar"/>
                <w:sz w:val="20"/>
                <w:szCs w:val="20"/>
              </w:rPr>
              <w:t>215</w:t>
            </w:r>
          </w:p>
          <w:p w:rsidR="000E2959" w:rsidRPr="00A73D2C" w:rsidRDefault="000E2959" w:rsidP="0004528B">
            <w:pPr>
              <w:rPr>
                <w:b/>
                <w:sz w:val="20"/>
                <w:szCs w:val="20"/>
                <w:lang w:val="fr-CA"/>
              </w:rPr>
            </w:pPr>
          </w:p>
        </w:tc>
        <w:tc>
          <w:tcPr>
            <w:tcW w:w="8118" w:type="dxa"/>
          </w:tcPr>
          <w:p w:rsidR="000E2959" w:rsidRPr="00A73D2C" w:rsidRDefault="000D71BE" w:rsidP="0004528B">
            <w:pPr>
              <w:rPr>
                <w:sz w:val="20"/>
                <w:szCs w:val="20"/>
              </w:rPr>
            </w:pPr>
            <w:r w:rsidRPr="000D71BE">
              <w:rPr>
                <w:rStyle w:val="SCCLsocChar"/>
                <w:sz w:val="20"/>
                <w:szCs w:val="20"/>
                <w:lang w:val="en-CA"/>
              </w:rPr>
              <w:t>Alexander March</w:t>
            </w:r>
            <w:r w:rsidR="008D724A">
              <w:rPr>
                <w:rStyle w:val="SCCLsocChar"/>
                <w:sz w:val="20"/>
                <w:szCs w:val="20"/>
                <w:lang w:val="en-CA"/>
              </w:rPr>
              <w:t xml:space="preserve"> and </w:t>
            </w:r>
            <w:r w:rsidR="00642F55">
              <w:rPr>
                <w:rStyle w:val="SCCLsocChar"/>
                <w:sz w:val="20"/>
                <w:szCs w:val="20"/>
                <w:lang w:val="en-CA"/>
              </w:rPr>
              <w:t>Sima March</w:t>
            </w:r>
            <w:r w:rsidRPr="000D71BE">
              <w:rPr>
                <w:rStyle w:val="SCCLsocChar"/>
                <w:sz w:val="20"/>
                <w:szCs w:val="20"/>
                <w:lang w:val="en-CA"/>
              </w:rPr>
              <w:t xml:space="preserve"> v. Attorney General of Canada, representing the United States of America</w:t>
            </w:r>
            <w:r w:rsidR="000E2959" w:rsidRPr="00A73D2C">
              <w:rPr>
                <w:sz w:val="20"/>
                <w:szCs w:val="20"/>
              </w:rPr>
              <w:t xml:space="preserve"> (</w:t>
            </w:r>
            <w:r>
              <w:rPr>
                <w:sz w:val="20"/>
                <w:szCs w:val="20"/>
              </w:rPr>
              <w:t>Que</w:t>
            </w:r>
            <w:r w:rsidR="000E2959" w:rsidRPr="00A73D2C">
              <w:rPr>
                <w:sz w:val="20"/>
                <w:szCs w:val="20"/>
              </w:rPr>
              <w:t>.) (C</w:t>
            </w:r>
            <w:r>
              <w:rPr>
                <w:sz w:val="20"/>
                <w:szCs w:val="20"/>
              </w:rPr>
              <w:t>riminal</w:t>
            </w:r>
            <w:r w:rsidR="000E2959" w:rsidRPr="00A73D2C">
              <w:rPr>
                <w:sz w:val="20"/>
                <w:szCs w:val="20"/>
              </w:rPr>
              <w:t>) (By Leave)</w:t>
            </w:r>
          </w:p>
          <w:p w:rsidR="000E2959" w:rsidRPr="00A73D2C" w:rsidRDefault="000E2959" w:rsidP="0004528B">
            <w:pPr>
              <w:rPr>
                <w:sz w:val="20"/>
                <w:szCs w:val="20"/>
              </w:rPr>
            </w:pPr>
          </w:p>
        </w:tc>
      </w:tr>
      <w:tr w:rsidR="000E2959" w:rsidRPr="00EC4FDF" w:rsidTr="0004528B">
        <w:trPr>
          <w:cantSplit/>
        </w:trPr>
        <w:tc>
          <w:tcPr>
            <w:tcW w:w="1458" w:type="dxa"/>
          </w:tcPr>
          <w:p w:rsidR="000E2959" w:rsidRPr="00A73D2C" w:rsidRDefault="000E2959" w:rsidP="0004528B">
            <w:pPr>
              <w:rPr>
                <w:sz w:val="20"/>
                <w:szCs w:val="20"/>
              </w:rPr>
            </w:pPr>
            <w:r w:rsidRPr="00A73D2C">
              <w:rPr>
                <w:sz w:val="20"/>
                <w:szCs w:val="20"/>
              </w:rPr>
              <w:t>Coram :</w:t>
            </w:r>
          </w:p>
        </w:tc>
        <w:tc>
          <w:tcPr>
            <w:tcW w:w="8118" w:type="dxa"/>
          </w:tcPr>
          <w:p w:rsidR="000E2959" w:rsidRPr="00CA55F2" w:rsidRDefault="00A9632B" w:rsidP="0004528B">
            <w:pPr>
              <w:rPr>
                <w:sz w:val="20"/>
                <w:szCs w:val="20"/>
                <w:lang w:val="fr-CA"/>
              </w:rPr>
            </w:pPr>
            <w:r w:rsidRPr="00CA55F2">
              <w:rPr>
                <w:rStyle w:val="SCCCoramChar"/>
                <w:sz w:val="20"/>
                <w:szCs w:val="20"/>
              </w:rPr>
              <w:t>Abella, Karakatsanis and Côté JJ.</w:t>
            </w:r>
          </w:p>
          <w:p w:rsidR="000E2959" w:rsidRPr="00CA55F2" w:rsidRDefault="000E2959" w:rsidP="0004528B">
            <w:pPr>
              <w:rPr>
                <w:sz w:val="20"/>
                <w:szCs w:val="20"/>
                <w:u w:val="single"/>
                <w:lang w:val="fr-CA"/>
              </w:rPr>
            </w:pPr>
          </w:p>
        </w:tc>
      </w:tr>
      <w:tr w:rsidR="000E2959" w:rsidRPr="00CA55F2" w:rsidTr="0004528B">
        <w:trPr>
          <w:cantSplit/>
        </w:trPr>
        <w:tc>
          <w:tcPr>
            <w:tcW w:w="9576" w:type="dxa"/>
            <w:gridSpan w:val="2"/>
          </w:tcPr>
          <w:p w:rsidR="00A9632B" w:rsidRPr="00A9632B" w:rsidRDefault="00A9632B" w:rsidP="00A9632B">
            <w:pPr>
              <w:pStyle w:val="SCCShortJudgment"/>
              <w:rPr>
                <w:szCs w:val="20"/>
              </w:rPr>
            </w:pPr>
            <w:r w:rsidRPr="00A9632B">
              <w:rPr>
                <w:szCs w:val="20"/>
              </w:rPr>
              <w:t>The application for leave to appeal from the judgment of the Court of Appeal of Quebec (Montréal), Number 500-10-005334-139, 2015 QCCA 410, dated February 26, 2015, is dismissed without costs.</w:t>
            </w:r>
          </w:p>
          <w:p w:rsidR="00A9632B" w:rsidRPr="00A9632B" w:rsidRDefault="00A9632B" w:rsidP="00A9632B">
            <w:pPr>
              <w:pStyle w:val="SCCShortJudgment"/>
              <w:rPr>
                <w:szCs w:val="20"/>
              </w:rPr>
            </w:pPr>
          </w:p>
          <w:p w:rsidR="000E2959" w:rsidRPr="00A73D2C" w:rsidRDefault="00A9632B" w:rsidP="00A9632B">
            <w:pPr>
              <w:pStyle w:val="SCCShortJudgment"/>
              <w:rPr>
                <w:szCs w:val="20"/>
                <w:lang w:val="fr-CA"/>
              </w:rPr>
            </w:pPr>
            <w:r w:rsidRPr="00CA55F2">
              <w:rPr>
                <w:szCs w:val="20"/>
                <w:lang w:val="fr-CA"/>
              </w:rPr>
              <w:t>La demande d’autorisation d’appel de l’arrêt de la Cour d’appel du Québec (Montréal), numéro 500-10-005334-139, 2015 QCCA 410, daté du 26 février 2015, est rejetée sans dépens.</w:t>
            </w:r>
          </w:p>
        </w:tc>
      </w:tr>
    </w:tbl>
    <w:p w:rsidR="000E2959" w:rsidRPr="0016547E" w:rsidRDefault="000E2959" w:rsidP="000E2959">
      <w:pPr>
        <w:rPr>
          <w:sz w:val="20"/>
          <w:szCs w:val="20"/>
          <w:lang w:val="fr-CA"/>
        </w:rPr>
      </w:pPr>
    </w:p>
    <w:p w:rsidR="000E2959" w:rsidRPr="001B157C" w:rsidRDefault="000E2959" w:rsidP="000E2959">
      <w:pPr>
        <w:rPr>
          <w:sz w:val="20"/>
          <w:szCs w:val="20"/>
          <w:u w:val="single"/>
        </w:rPr>
      </w:pPr>
      <w:r w:rsidRPr="001B157C">
        <w:rPr>
          <w:sz w:val="20"/>
          <w:szCs w:val="20"/>
          <w:u w:val="single"/>
        </w:rPr>
        <w:t>CASE SUMMARY</w:t>
      </w:r>
    </w:p>
    <w:p w:rsidR="000E295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E007CB" w:rsidTr="0004528B">
        <w:tc>
          <w:tcPr>
            <w:tcW w:w="5000" w:type="pct"/>
            <w:gridSpan w:val="3"/>
          </w:tcPr>
          <w:p w:rsidR="000E2959" w:rsidRDefault="000D71BE" w:rsidP="0004528B">
            <w:pPr>
              <w:jc w:val="both"/>
              <w:rPr>
                <w:sz w:val="20"/>
              </w:rPr>
            </w:pPr>
            <w:r w:rsidRPr="00F77596">
              <w:rPr>
                <w:sz w:val="20"/>
              </w:rPr>
              <w:t>Extradition – Committal hearings – Evidence – Administrative law – Judicial review – Whether extradition judge erred in finding that evidence submitted by applicants did not provide basis for denying order of committal for surrender – Whether Minister erred in failing to consider best interests of applicants’ five minor children before ordering their surrender – Whether Minister erred in including in surrender orders count for which there had been no evidence before extradition judge concerning time period specified in count.</w:t>
            </w:r>
          </w:p>
          <w:p w:rsidR="000D71BE" w:rsidRPr="00E007CB" w:rsidRDefault="000D71BE" w:rsidP="0004528B">
            <w:pPr>
              <w:jc w:val="both"/>
              <w:rPr>
                <w:rFonts w:eastAsia="Calibri"/>
                <w:sz w:val="20"/>
              </w:rPr>
            </w:pPr>
          </w:p>
        </w:tc>
      </w:tr>
      <w:tr w:rsidR="000E2959" w:rsidRPr="00E007CB" w:rsidTr="0004528B">
        <w:tc>
          <w:tcPr>
            <w:tcW w:w="5000" w:type="pct"/>
            <w:gridSpan w:val="3"/>
          </w:tcPr>
          <w:p w:rsidR="000D71BE" w:rsidRPr="00F77596" w:rsidRDefault="000D71BE" w:rsidP="000D71BE">
            <w:pPr>
              <w:jc w:val="both"/>
              <w:rPr>
                <w:sz w:val="20"/>
              </w:rPr>
            </w:pPr>
            <w:r w:rsidRPr="00F77596">
              <w:rPr>
                <w:sz w:val="20"/>
              </w:rPr>
              <w:t>The United States of America requested the extradition of the applicants, Alexander and Sima March, American citizens who also have Canadian and Israeli citizenship, respectively, to answer criminal charges for fraud in New York State. They have five children aged 12 and under.</w:t>
            </w:r>
          </w:p>
          <w:p w:rsidR="000D71BE" w:rsidRPr="00F77596" w:rsidRDefault="000D71BE" w:rsidP="000D71BE">
            <w:pPr>
              <w:jc w:val="both"/>
              <w:rPr>
                <w:sz w:val="20"/>
              </w:rPr>
            </w:pPr>
          </w:p>
          <w:p w:rsidR="000D71BE" w:rsidRPr="00F77596" w:rsidRDefault="000D71BE" w:rsidP="000D71BE">
            <w:pPr>
              <w:jc w:val="both"/>
              <w:rPr>
                <w:sz w:val="20"/>
              </w:rPr>
            </w:pPr>
            <w:r w:rsidRPr="00F77596">
              <w:rPr>
                <w:sz w:val="20"/>
              </w:rPr>
              <w:t xml:space="preserve">The Superior Court ordered the committal of the two applicants. In light of the legal principles established in </w:t>
            </w:r>
            <w:r w:rsidRPr="00F77596">
              <w:rPr>
                <w:i/>
                <w:sz w:val="20"/>
              </w:rPr>
              <w:t>United States of America v. Ferras</w:t>
            </w:r>
            <w:r w:rsidRPr="00F77596">
              <w:rPr>
                <w:sz w:val="20"/>
              </w:rPr>
              <w:t>, [2006] 2 S.C.R. 77, it found that committal for trial was justified. The Minister of Justice then made surrender orders. The applicants appealed the surrender orders and also applied for judicial review of the orders. The Court of Appeal dismissed their proceedings.</w:t>
            </w:r>
          </w:p>
          <w:p w:rsidR="000E2959" w:rsidRPr="00E007CB" w:rsidRDefault="000E2959" w:rsidP="0004528B">
            <w:pPr>
              <w:jc w:val="both"/>
              <w:rPr>
                <w:rFonts w:eastAsia="Calibri"/>
                <w:sz w:val="20"/>
              </w:rPr>
            </w:pPr>
          </w:p>
        </w:tc>
      </w:tr>
      <w:tr w:rsidR="000E2959" w:rsidRPr="00E007CB" w:rsidTr="0004528B">
        <w:trPr>
          <w:cantSplit/>
        </w:trPr>
        <w:tc>
          <w:tcPr>
            <w:tcW w:w="2427" w:type="pct"/>
          </w:tcPr>
          <w:p w:rsidR="000D71BE" w:rsidRPr="00F77596" w:rsidRDefault="000D71BE" w:rsidP="000D71BE">
            <w:pPr>
              <w:jc w:val="both"/>
              <w:rPr>
                <w:sz w:val="20"/>
              </w:rPr>
            </w:pPr>
            <w:r w:rsidRPr="00F77596">
              <w:rPr>
                <w:sz w:val="20"/>
              </w:rPr>
              <w:t>July 11, 2012</w:t>
            </w:r>
          </w:p>
          <w:p w:rsidR="000D71BE" w:rsidRPr="00F77596" w:rsidRDefault="000D71BE" w:rsidP="000D71BE">
            <w:pPr>
              <w:jc w:val="both"/>
              <w:rPr>
                <w:sz w:val="20"/>
              </w:rPr>
            </w:pPr>
            <w:r w:rsidRPr="00F77596">
              <w:rPr>
                <w:sz w:val="20"/>
              </w:rPr>
              <w:t>Quebec Superior Court</w:t>
            </w:r>
          </w:p>
          <w:p w:rsidR="000D71BE" w:rsidRPr="00F77596" w:rsidRDefault="000D71BE" w:rsidP="000D71BE">
            <w:pPr>
              <w:jc w:val="both"/>
              <w:rPr>
                <w:sz w:val="20"/>
              </w:rPr>
            </w:pPr>
            <w:r w:rsidRPr="00F77596">
              <w:rPr>
                <w:sz w:val="20"/>
              </w:rPr>
              <w:t>(David J.)</w:t>
            </w:r>
          </w:p>
          <w:p w:rsidR="000D71BE" w:rsidRPr="00F77596" w:rsidRDefault="00EC4FDF" w:rsidP="000D71BE">
            <w:pPr>
              <w:jc w:val="both"/>
              <w:rPr>
                <w:sz w:val="20"/>
              </w:rPr>
            </w:pPr>
            <w:hyperlink r:id="rId24" w:history="1">
              <w:r w:rsidR="000D71BE" w:rsidRPr="00F77596">
                <w:rPr>
                  <w:color w:val="0000FF" w:themeColor="hyperlink"/>
                  <w:sz w:val="20"/>
                  <w:u w:val="single"/>
                </w:rPr>
                <w:t>2012 QCCS 3491</w:t>
              </w:r>
            </w:hyperlink>
          </w:p>
          <w:p w:rsidR="000E2959" w:rsidRPr="00E007CB" w:rsidRDefault="000E2959" w:rsidP="0004528B">
            <w:pPr>
              <w:jc w:val="both"/>
              <w:rPr>
                <w:rFonts w:eastAsia="Calibri"/>
                <w:sz w:val="20"/>
              </w:rPr>
            </w:pPr>
          </w:p>
        </w:tc>
        <w:tc>
          <w:tcPr>
            <w:tcW w:w="243" w:type="pct"/>
          </w:tcPr>
          <w:p w:rsidR="000E2959" w:rsidRPr="00E007CB" w:rsidRDefault="000E2959" w:rsidP="0004528B">
            <w:pPr>
              <w:jc w:val="both"/>
              <w:rPr>
                <w:rFonts w:eastAsia="Calibri"/>
                <w:sz w:val="20"/>
              </w:rPr>
            </w:pPr>
          </w:p>
        </w:tc>
        <w:tc>
          <w:tcPr>
            <w:tcW w:w="2330" w:type="pct"/>
          </w:tcPr>
          <w:p w:rsidR="000D71BE" w:rsidRPr="00F77596" w:rsidRDefault="000D71BE" w:rsidP="000D71BE">
            <w:pPr>
              <w:jc w:val="both"/>
              <w:rPr>
                <w:sz w:val="20"/>
              </w:rPr>
            </w:pPr>
            <w:r w:rsidRPr="00F77596">
              <w:rPr>
                <w:sz w:val="20"/>
              </w:rPr>
              <w:t>Request for committal for surrender granted</w:t>
            </w:r>
          </w:p>
          <w:p w:rsidR="000E2959" w:rsidRPr="00E007CB" w:rsidRDefault="000E2959" w:rsidP="0004528B">
            <w:pPr>
              <w:jc w:val="both"/>
              <w:rPr>
                <w:rFonts w:eastAsia="Calibri"/>
                <w:sz w:val="20"/>
              </w:rPr>
            </w:pPr>
          </w:p>
        </w:tc>
      </w:tr>
      <w:tr w:rsidR="000E2959" w:rsidRPr="00E007CB" w:rsidTr="0004528B">
        <w:trPr>
          <w:cantSplit/>
        </w:trPr>
        <w:tc>
          <w:tcPr>
            <w:tcW w:w="2427" w:type="pct"/>
          </w:tcPr>
          <w:p w:rsidR="000D71BE" w:rsidRPr="00F77596" w:rsidRDefault="000D71BE" w:rsidP="000D71BE">
            <w:pPr>
              <w:jc w:val="both"/>
              <w:rPr>
                <w:sz w:val="20"/>
              </w:rPr>
            </w:pPr>
            <w:r w:rsidRPr="00F77596">
              <w:rPr>
                <w:sz w:val="20"/>
              </w:rPr>
              <w:t>October 28, 2014</w:t>
            </w:r>
          </w:p>
          <w:p w:rsidR="000D71BE" w:rsidRPr="00F77596" w:rsidRDefault="000D71BE" w:rsidP="000D71BE">
            <w:pPr>
              <w:jc w:val="both"/>
              <w:rPr>
                <w:sz w:val="20"/>
              </w:rPr>
            </w:pPr>
            <w:r w:rsidRPr="00F77596">
              <w:rPr>
                <w:sz w:val="20"/>
              </w:rPr>
              <w:t>Quebec Court of Appeal (Montréal)</w:t>
            </w:r>
          </w:p>
          <w:p w:rsidR="000D71BE" w:rsidRPr="00F77596" w:rsidRDefault="000D71BE" w:rsidP="000D71BE">
            <w:pPr>
              <w:jc w:val="both"/>
              <w:rPr>
                <w:sz w:val="20"/>
                <w:lang w:val="fr-CA"/>
              </w:rPr>
            </w:pPr>
            <w:r w:rsidRPr="00F77596">
              <w:rPr>
                <w:sz w:val="20"/>
                <w:lang w:val="fr-CA"/>
              </w:rPr>
              <w:t>(Gagnon, Vauclair and Marcotte JJ.A.)</w:t>
            </w:r>
          </w:p>
          <w:p w:rsidR="000D71BE" w:rsidRPr="00F77596" w:rsidRDefault="00EC4FDF" w:rsidP="000D71BE">
            <w:pPr>
              <w:jc w:val="both"/>
              <w:rPr>
                <w:sz w:val="20"/>
              </w:rPr>
            </w:pPr>
            <w:hyperlink r:id="rId25" w:history="1">
              <w:r w:rsidR="000D71BE" w:rsidRPr="00F77596">
                <w:rPr>
                  <w:color w:val="0000FF" w:themeColor="hyperlink"/>
                  <w:sz w:val="20"/>
                  <w:u w:val="single"/>
                </w:rPr>
                <w:t>2014 QCCA 1999</w:t>
              </w:r>
            </w:hyperlink>
            <w:r w:rsidR="000D71BE" w:rsidRPr="00F77596">
              <w:rPr>
                <w:sz w:val="20"/>
              </w:rPr>
              <w:t>; 500-10-005334-139</w:t>
            </w:r>
          </w:p>
          <w:p w:rsidR="000E2959" w:rsidRDefault="000D71BE" w:rsidP="000D71BE">
            <w:pPr>
              <w:jc w:val="both"/>
              <w:rPr>
                <w:sz w:val="20"/>
              </w:rPr>
            </w:pPr>
            <w:r w:rsidRPr="00F77596">
              <w:rPr>
                <w:sz w:val="20"/>
              </w:rPr>
              <w:t>500-10-005217-128, 500-10-005218-126</w:t>
            </w:r>
          </w:p>
          <w:p w:rsidR="000D71BE" w:rsidRPr="00E007CB" w:rsidRDefault="000D71BE" w:rsidP="000D71BE">
            <w:pPr>
              <w:jc w:val="both"/>
              <w:rPr>
                <w:rFonts w:eastAsia="Calibri"/>
                <w:sz w:val="20"/>
              </w:rPr>
            </w:pPr>
          </w:p>
        </w:tc>
        <w:tc>
          <w:tcPr>
            <w:tcW w:w="243" w:type="pct"/>
          </w:tcPr>
          <w:p w:rsidR="000E2959" w:rsidRPr="00E007CB" w:rsidRDefault="000E2959" w:rsidP="0004528B">
            <w:pPr>
              <w:jc w:val="both"/>
              <w:rPr>
                <w:rFonts w:eastAsia="Calibri"/>
                <w:sz w:val="20"/>
              </w:rPr>
            </w:pPr>
          </w:p>
        </w:tc>
        <w:tc>
          <w:tcPr>
            <w:tcW w:w="2330" w:type="pct"/>
          </w:tcPr>
          <w:p w:rsidR="000E2959" w:rsidRPr="00E007CB" w:rsidRDefault="000D71BE" w:rsidP="0004528B">
            <w:pPr>
              <w:jc w:val="both"/>
              <w:rPr>
                <w:rFonts w:eastAsia="Calibri"/>
                <w:sz w:val="20"/>
              </w:rPr>
            </w:pPr>
            <w:r w:rsidRPr="00F77596">
              <w:rPr>
                <w:sz w:val="20"/>
              </w:rPr>
              <w:t>Application for judicial review of Minister of Justice’s decisions ordering applicants’ surrender postponed to January 28, 2015; appeals from committal orders dismissed</w:t>
            </w:r>
            <w:r w:rsidRPr="00E007CB">
              <w:rPr>
                <w:rFonts w:eastAsia="Calibri"/>
                <w:sz w:val="20"/>
              </w:rPr>
              <w:t xml:space="preserve"> </w:t>
            </w:r>
          </w:p>
        </w:tc>
      </w:tr>
      <w:tr w:rsidR="000D71BE" w:rsidRPr="00E007CB" w:rsidTr="0004528B">
        <w:trPr>
          <w:cantSplit/>
        </w:trPr>
        <w:tc>
          <w:tcPr>
            <w:tcW w:w="2427" w:type="pct"/>
          </w:tcPr>
          <w:p w:rsidR="000D71BE" w:rsidRPr="00F77596" w:rsidRDefault="000D71BE" w:rsidP="000D71BE">
            <w:pPr>
              <w:jc w:val="both"/>
              <w:rPr>
                <w:sz w:val="20"/>
              </w:rPr>
            </w:pPr>
            <w:r w:rsidRPr="00F77596">
              <w:rPr>
                <w:sz w:val="20"/>
              </w:rPr>
              <w:t>December 23, 2014</w:t>
            </w:r>
          </w:p>
          <w:p w:rsidR="000D71BE" w:rsidRPr="00F77596" w:rsidRDefault="000D71BE" w:rsidP="000D71BE">
            <w:pPr>
              <w:jc w:val="both"/>
              <w:rPr>
                <w:sz w:val="20"/>
              </w:rPr>
            </w:pPr>
            <w:r w:rsidRPr="00F77596">
              <w:rPr>
                <w:sz w:val="20"/>
              </w:rPr>
              <w:t>Supreme Court of Canada</w:t>
            </w:r>
          </w:p>
          <w:p w:rsidR="000D71BE" w:rsidRPr="00F77596" w:rsidRDefault="000D71BE" w:rsidP="000D71BE">
            <w:pPr>
              <w:jc w:val="both"/>
              <w:rPr>
                <w:sz w:val="20"/>
              </w:rPr>
            </w:pPr>
          </w:p>
        </w:tc>
        <w:tc>
          <w:tcPr>
            <w:tcW w:w="243" w:type="pct"/>
          </w:tcPr>
          <w:p w:rsidR="000D71BE" w:rsidRPr="00E007CB" w:rsidRDefault="000D71BE" w:rsidP="0004528B">
            <w:pPr>
              <w:jc w:val="both"/>
              <w:rPr>
                <w:rFonts w:eastAsia="Calibri"/>
                <w:sz w:val="20"/>
              </w:rPr>
            </w:pPr>
          </w:p>
        </w:tc>
        <w:tc>
          <w:tcPr>
            <w:tcW w:w="2330" w:type="pct"/>
          </w:tcPr>
          <w:p w:rsidR="000D71BE" w:rsidRPr="00F77596" w:rsidRDefault="000D71BE" w:rsidP="000D71BE">
            <w:pPr>
              <w:jc w:val="both"/>
              <w:rPr>
                <w:sz w:val="20"/>
              </w:rPr>
            </w:pPr>
            <w:r w:rsidRPr="00F77596">
              <w:rPr>
                <w:sz w:val="20"/>
              </w:rPr>
              <w:t>Motion to extend time to serve and file application for leave to appeal allowed</w:t>
            </w:r>
          </w:p>
          <w:p w:rsidR="000D71BE" w:rsidRPr="00F77596" w:rsidRDefault="000D71BE" w:rsidP="0004528B">
            <w:pPr>
              <w:jc w:val="both"/>
              <w:rPr>
                <w:sz w:val="20"/>
              </w:rPr>
            </w:pPr>
          </w:p>
        </w:tc>
      </w:tr>
      <w:tr w:rsidR="000D71BE" w:rsidRPr="00E007CB" w:rsidTr="0004528B">
        <w:trPr>
          <w:cantSplit/>
        </w:trPr>
        <w:tc>
          <w:tcPr>
            <w:tcW w:w="2427" w:type="pct"/>
          </w:tcPr>
          <w:p w:rsidR="000D71BE" w:rsidRPr="00F77596" w:rsidRDefault="000D71BE" w:rsidP="000D71BE">
            <w:pPr>
              <w:jc w:val="both"/>
              <w:rPr>
                <w:sz w:val="20"/>
              </w:rPr>
            </w:pPr>
            <w:r w:rsidRPr="00F77596">
              <w:rPr>
                <w:sz w:val="20"/>
              </w:rPr>
              <w:t>February 26, 2015</w:t>
            </w:r>
          </w:p>
          <w:p w:rsidR="000D71BE" w:rsidRPr="00F77596" w:rsidRDefault="000D71BE" w:rsidP="000D71BE">
            <w:pPr>
              <w:jc w:val="both"/>
              <w:rPr>
                <w:sz w:val="20"/>
              </w:rPr>
            </w:pPr>
            <w:r w:rsidRPr="00F77596">
              <w:rPr>
                <w:sz w:val="20"/>
              </w:rPr>
              <w:t>Quebec Court of Appeal (Montréal)</w:t>
            </w:r>
          </w:p>
          <w:p w:rsidR="000D71BE" w:rsidRPr="00F77596" w:rsidRDefault="000D71BE" w:rsidP="000D71BE">
            <w:pPr>
              <w:jc w:val="both"/>
              <w:rPr>
                <w:sz w:val="20"/>
              </w:rPr>
            </w:pPr>
            <w:r w:rsidRPr="00F77596">
              <w:rPr>
                <w:sz w:val="20"/>
              </w:rPr>
              <w:t>(Bouchard, Savard and Vauclair JJ.A.)</w:t>
            </w:r>
          </w:p>
          <w:p w:rsidR="000D71BE" w:rsidRPr="00F77596" w:rsidRDefault="00EC4FDF" w:rsidP="000D71BE">
            <w:pPr>
              <w:jc w:val="both"/>
              <w:rPr>
                <w:sz w:val="20"/>
              </w:rPr>
            </w:pPr>
            <w:hyperlink r:id="rId26" w:history="1">
              <w:r w:rsidR="000D71BE" w:rsidRPr="00F77596">
                <w:rPr>
                  <w:color w:val="0000FF" w:themeColor="hyperlink"/>
                  <w:sz w:val="20"/>
                  <w:u w:val="single"/>
                </w:rPr>
                <w:t>2015 QCCA 410</w:t>
              </w:r>
            </w:hyperlink>
            <w:r w:rsidR="000D71BE" w:rsidRPr="00F77596">
              <w:rPr>
                <w:sz w:val="20"/>
              </w:rPr>
              <w:t>; 500-10-005334-139</w:t>
            </w:r>
          </w:p>
          <w:p w:rsidR="000D71BE" w:rsidRPr="00F77596" w:rsidRDefault="000D71BE" w:rsidP="000D71BE">
            <w:pPr>
              <w:jc w:val="both"/>
              <w:rPr>
                <w:sz w:val="20"/>
              </w:rPr>
            </w:pPr>
          </w:p>
        </w:tc>
        <w:tc>
          <w:tcPr>
            <w:tcW w:w="243" w:type="pct"/>
          </w:tcPr>
          <w:p w:rsidR="000D71BE" w:rsidRPr="00E007CB" w:rsidRDefault="000D71BE" w:rsidP="0004528B">
            <w:pPr>
              <w:jc w:val="both"/>
              <w:rPr>
                <w:rFonts w:eastAsia="Calibri"/>
                <w:sz w:val="20"/>
              </w:rPr>
            </w:pPr>
          </w:p>
        </w:tc>
        <w:tc>
          <w:tcPr>
            <w:tcW w:w="2330" w:type="pct"/>
          </w:tcPr>
          <w:p w:rsidR="000D71BE" w:rsidRPr="00F77596" w:rsidRDefault="000D71BE" w:rsidP="000D71BE">
            <w:pPr>
              <w:jc w:val="both"/>
              <w:rPr>
                <w:sz w:val="20"/>
              </w:rPr>
            </w:pPr>
            <w:r w:rsidRPr="00F77596">
              <w:rPr>
                <w:sz w:val="20"/>
              </w:rPr>
              <w:t>Application for judicial review dismissed</w:t>
            </w:r>
          </w:p>
          <w:p w:rsidR="000D71BE" w:rsidRPr="00F77596" w:rsidRDefault="000D71BE" w:rsidP="000D71BE">
            <w:pPr>
              <w:jc w:val="both"/>
              <w:rPr>
                <w:sz w:val="20"/>
              </w:rPr>
            </w:pPr>
          </w:p>
        </w:tc>
      </w:tr>
      <w:tr w:rsidR="000E2959" w:rsidRPr="00E007CB" w:rsidTr="0004528B">
        <w:trPr>
          <w:cantSplit/>
        </w:trPr>
        <w:tc>
          <w:tcPr>
            <w:tcW w:w="2427" w:type="pct"/>
          </w:tcPr>
          <w:p w:rsidR="000E2959" w:rsidRPr="00E007CB" w:rsidRDefault="000D71BE" w:rsidP="0004528B">
            <w:pPr>
              <w:jc w:val="both"/>
              <w:rPr>
                <w:rFonts w:eastAsia="Calibri"/>
                <w:sz w:val="20"/>
              </w:rPr>
            </w:pPr>
            <w:r>
              <w:rPr>
                <w:rFonts w:eastAsia="Calibri"/>
                <w:sz w:val="20"/>
              </w:rPr>
              <w:lastRenderedPageBreak/>
              <w:t>April</w:t>
            </w:r>
            <w:r w:rsidR="000E2959" w:rsidRPr="00E007CB">
              <w:rPr>
                <w:rFonts w:eastAsia="Calibri"/>
                <w:sz w:val="20"/>
              </w:rPr>
              <w:t xml:space="preserve"> </w:t>
            </w:r>
            <w:r>
              <w:rPr>
                <w:rFonts w:eastAsia="Calibri"/>
                <w:sz w:val="20"/>
              </w:rPr>
              <w:t>27,</w:t>
            </w:r>
            <w:r w:rsidR="000E2959" w:rsidRPr="00E007CB">
              <w:rPr>
                <w:rFonts w:eastAsia="Calibri"/>
                <w:sz w:val="20"/>
              </w:rPr>
              <w:t xml:space="preserve"> 201</w:t>
            </w:r>
            <w:r>
              <w:rPr>
                <w:rFonts w:eastAsia="Calibri"/>
                <w:sz w:val="20"/>
              </w:rPr>
              <w:t>5</w:t>
            </w:r>
          </w:p>
          <w:p w:rsidR="000E2959" w:rsidRPr="00E007CB" w:rsidRDefault="000E2959" w:rsidP="0004528B">
            <w:pPr>
              <w:jc w:val="both"/>
              <w:rPr>
                <w:rFonts w:eastAsia="Calibri"/>
                <w:sz w:val="20"/>
              </w:rPr>
            </w:pPr>
            <w:r w:rsidRPr="00E007CB">
              <w:rPr>
                <w:rFonts w:eastAsia="Calibri"/>
                <w:sz w:val="20"/>
              </w:rPr>
              <w:t>Supreme Court of Canada</w:t>
            </w:r>
          </w:p>
        </w:tc>
        <w:tc>
          <w:tcPr>
            <w:tcW w:w="243" w:type="pct"/>
          </w:tcPr>
          <w:p w:rsidR="000E2959" w:rsidRPr="00E007CB" w:rsidRDefault="000E2959" w:rsidP="0004528B">
            <w:pPr>
              <w:jc w:val="both"/>
              <w:rPr>
                <w:rFonts w:eastAsia="Calibri"/>
                <w:sz w:val="20"/>
              </w:rPr>
            </w:pPr>
          </w:p>
        </w:tc>
        <w:tc>
          <w:tcPr>
            <w:tcW w:w="2330" w:type="pct"/>
          </w:tcPr>
          <w:p w:rsidR="000E2959" w:rsidRPr="00E007CB" w:rsidRDefault="000E2959" w:rsidP="0004528B">
            <w:pPr>
              <w:jc w:val="both"/>
              <w:rPr>
                <w:rFonts w:eastAsia="Calibri"/>
                <w:sz w:val="20"/>
              </w:rPr>
            </w:pPr>
            <w:r w:rsidRPr="00E007CB">
              <w:rPr>
                <w:rFonts w:eastAsia="Calibri"/>
                <w:sz w:val="20"/>
              </w:rPr>
              <w:t>Application for leave to appeal filed.</w:t>
            </w:r>
          </w:p>
        </w:tc>
      </w:tr>
    </w:tbl>
    <w:p w:rsidR="000E2959" w:rsidRDefault="000E2959" w:rsidP="000E2959">
      <w:pPr>
        <w:rPr>
          <w:sz w:val="20"/>
          <w:szCs w:val="20"/>
        </w:rPr>
      </w:pPr>
    </w:p>
    <w:p w:rsidR="000E2959" w:rsidRPr="00C50A5C" w:rsidRDefault="00EC4FDF" w:rsidP="000E2959">
      <w:pPr>
        <w:rPr>
          <w:sz w:val="20"/>
          <w:szCs w:val="20"/>
        </w:rPr>
      </w:pPr>
      <w:r>
        <w:rPr>
          <w:sz w:val="20"/>
          <w:szCs w:val="20"/>
          <w:lang w:val="fr-CA"/>
        </w:rPr>
        <w:pict>
          <v:rect id="_x0000_i1037" style="width:2in;height:1pt" o:hrpct="0" o:hralign="center" o:hrstd="t" o:hrnoshade="t" o:hr="t" fillcolor="black [3213]" stroked="f"/>
        </w:pict>
      </w:r>
    </w:p>
    <w:p w:rsidR="000E2959" w:rsidRDefault="000E2959" w:rsidP="000E2959">
      <w:pPr>
        <w:rPr>
          <w:sz w:val="20"/>
          <w:szCs w:val="20"/>
        </w:rPr>
      </w:pPr>
    </w:p>
    <w:p w:rsidR="000E2959" w:rsidRPr="001B157C" w:rsidRDefault="000E2959" w:rsidP="000E2959">
      <w:pPr>
        <w:rPr>
          <w:sz w:val="20"/>
          <w:szCs w:val="20"/>
          <w:u w:val="single"/>
          <w:lang w:val="fr-CA"/>
        </w:rPr>
      </w:pPr>
      <w:r w:rsidRPr="001B157C">
        <w:rPr>
          <w:sz w:val="20"/>
          <w:szCs w:val="20"/>
          <w:u w:val="single"/>
          <w:lang w:val="fr-CA"/>
        </w:rPr>
        <w:t>RÉSUMÉ DE L’AFFAIRE</w:t>
      </w:r>
    </w:p>
    <w:p w:rsidR="000E295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CA55F2" w:rsidTr="0004528B">
        <w:tc>
          <w:tcPr>
            <w:tcW w:w="5000" w:type="pct"/>
            <w:gridSpan w:val="3"/>
          </w:tcPr>
          <w:p w:rsidR="000E2959" w:rsidRDefault="001C29D2" w:rsidP="0004528B">
            <w:pPr>
              <w:jc w:val="both"/>
              <w:rPr>
                <w:sz w:val="20"/>
                <w:lang w:val="fr-CA"/>
              </w:rPr>
            </w:pPr>
            <w:r w:rsidRPr="00F77596">
              <w:rPr>
                <w:sz w:val="20"/>
                <w:lang w:val="fr-CA"/>
              </w:rPr>
              <w:t>Extradition – Audiences relatives à l’incarcération – Preuve – Droit administratif – Révision judiciaire – Le juge d’extradition a-t-il erré en concluant que la preuve présentée par les demandeurs ne permettait pas de refuser l’ordonnance d’incarcération en vue de l’extradition? – Le ministre a-t-il erré en omettant de considérer l’intérêt supérieur des cinq enfants mineurs des demandeurs avant d’ordonner leur extradition? – A-t-il erré en incluant dans les ordonnances d’extradition un chef d’accusation pour lequel aucune preuve relative à la période de temps précisée dans ce chef n’avait été déposée devant le juge d’extradition?</w:t>
            </w:r>
          </w:p>
          <w:p w:rsidR="001C29D2" w:rsidRPr="00E007CB" w:rsidRDefault="001C29D2" w:rsidP="0004528B">
            <w:pPr>
              <w:jc w:val="both"/>
              <w:rPr>
                <w:rFonts w:eastAsia="Calibri"/>
                <w:sz w:val="20"/>
                <w:lang w:val="fr-CA"/>
              </w:rPr>
            </w:pPr>
          </w:p>
        </w:tc>
      </w:tr>
      <w:tr w:rsidR="000E2959" w:rsidRPr="00E007CB" w:rsidTr="0004528B">
        <w:tc>
          <w:tcPr>
            <w:tcW w:w="5000" w:type="pct"/>
            <w:gridSpan w:val="3"/>
          </w:tcPr>
          <w:p w:rsidR="001C29D2" w:rsidRPr="00F77596" w:rsidRDefault="001C29D2" w:rsidP="001C29D2">
            <w:pPr>
              <w:jc w:val="both"/>
              <w:rPr>
                <w:sz w:val="20"/>
                <w:lang w:val="fr-CA"/>
              </w:rPr>
            </w:pPr>
            <w:r w:rsidRPr="00F77596">
              <w:rPr>
                <w:sz w:val="20"/>
                <w:lang w:val="fr-CA"/>
              </w:rPr>
              <w:t>Les États-Unis d’Amérique demandent l’extradition des demandeurs, Alexander et Sima March, citoyens américains qui possèdent également respectivement la nationalité canadienne et israélienne, afin qu’ils répondent à des accusations criminelles de fraude dans l’État de New York. Ils sont parents de cinq enfants âgés de 12 ans et moins.</w:t>
            </w:r>
          </w:p>
          <w:p w:rsidR="001C29D2" w:rsidRPr="00F77596" w:rsidRDefault="001C29D2" w:rsidP="001C29D2">
            <w:pPr>
              <w:jc w:val="both"/>
              <w:rPr>
                <w:sz w:val="20"/>
                <w:lang w:val="fr-CA"/>
              </w:rPr>
            </w:pPr>
          </w:p>
          <w:p w:rsidR="001C29D2" w:rsidRPr="00F77596" w:rsidRDefault="001C29D2" w:rsidP="001C29D2">
            <w:pPr>
              <w:jc w:val="both"/>
              <w:rPr>
                <w:sz w:val="20"/>
              </w:rPr>
            </w:pPr>
            <w:r w:rsidRPr="00F77596">
              <w:rPr>
                <w:sz w:val="20"/>
                <w:lang w:val="fr-CA"/>
              </w:rPr>
              <w:t xml:space="preserve">La Cour supérieure ordonne l’incarcération à l’encontre des deux demandeurs. Au regard des principes juridiques établis dans l’arrêt </w:t>
            </w:r>
            <w:r w:rsidRPr="00F77596">
              <w:rPr>
                <w:i/>
                <w:sz w:val="20"/>
                <w:lang w:val="fr-CA"/>
              </w:rPr>
              <w:t>États-Unis d’Amérique c. Ferras</w:t>
            </w:r>
            <w:r w:rsidRPr="00F77596">
              <w:rPr>
                <w:sz w:val="20"/>
                <w:lang w:val="fr-CA"/>
              </w:rPr>
              <w:t xml:space="preserve">, [2006] 2 R.C.S. 77, elle estime qu’un renvoi à procès est justifié. Des ordonnances d’extradition sont par la suite rendues par le ministre de la Justice. Les demandeurs portent les ordonnances d’incarcération en appel et demandent aussi la révision judiciaire des ordonnances d’extradition. </w:t>
            </w:r>
            <w:r w:rsidRPr="00F77596">
              <w:rPr>
                <w:sz w:val="20"/>
              </w:rPr>
              <w:t>La Cour d’appel rejette leur recours.</w:t>
            </w:r>
          </w:p>
          <w:p w:rsidR="000E2959" w:rsidRPr="00E007CB" w:rsidRDefault="000E2959" w:rsidP="0004528B">
            <w:pPr>
              <w:jc w:val="both"/>
              <w:rPr>
                <w:sz w:val="20"/>
                <w:lang w:val="fr-CA"/>
              </w:rPr>
            </w:pPr>
          </w:p>
        </w:tc>
      </w:tr>
      <w:tr w:rsidR="000E2959" w:rsidRPr="00002704" w:rsidTr="0004528B">
        <w:trPr>
          <w:cantSplit/>
        </w:trPr>
        <w:tc>
          <w:tcPr>
            <w:tcW w:w="2427" w:type="pct"/>
          </w:tcPr>
          <w:p w:rsidR="000B5C6F" w:rsidRPr="00F77596" w:rsidRDefault="000B5C6F" w:rsidP="000B5C6F">
            <w:pPr>
              <w:jc w:val="both"/>
              <w:rPr>
                <w:sz w:val="20"/>
                <w:lang w:val="fr-CA"/>
              </w:rPr>
            </w:pPr>
            <w:r w:rsidRPr="00F77596">
              <w:rPr>
                <w:sz w:val="20"/>
                <w:lang w:val="fr-CA"/>
              </w:rPr>
              <w:t>Le 11 juillet 2012</w:t>
            </w:r>
          </w:p>
          <w:p w:rsidR="000B5C6F" w:rsidRPr="00F77596" w:rsidRDefault="000B5C6F" w:rsidP="000B5C6F">
            <w:pPr>
              <w:jc w:val="both"/>
              <w:rPr>
                <w:sz w:val="20"/>
                <w:lang w:val="fr-CA"/>
              </w:rPr>
            </w:pPr>
            <w:r w:rsidRPr="00F77596">
              <w:rPr>
                <w:sz w:val="20"/>
                <w:lang w:val="fr-CA"/>
              </w:rPr>
              <w:t>Cour supérieure du Québec</w:t>
            </w:r>
          </w:p>
          <w:p w:rsidR="000B5C6F" w:rsidRPr="00F77596" w:rsidRDefault="000B5C6F" w:rsidP="000B5C6F">
            <w:pPr>
              <w:jc w:val="both"/>
              <w:rPr>
                <w:sz w:val="20"/>
              </w:rPr>
            </w:pPr>
            <w:r w:rsidRPr="00F77596">
              <w:rPr>
                <w:sz w:val="20"/>
              </w:rPr>
              <w:t>(Le juge David)</w:t>
            </w:r>
          </w:p>
          <w:p w:rsidR="000B5C6F" w:rsidRPr="00F77596" w:rsidRDefault="00EC4FDF" w:rsidP="000B5C6F">
            <w:pPr>
              <w:jc w:val="both"/>
              <w:rPr>
                <w:sz w:val="20"/>
              </w:rPr>
            </w:pPr>
            <w:hyperlink r:id="rId27" w:history="1">
              <w:r w:rsidR="000B5C6F" w:rsidRPr="00F77596">
                <w:rPr>
                  <w:color w:val="0000FF" w:themeColor="hyperlink"/>
                  <w:sz w:val="20"/>
                  <w:u w:val="single"/>
                </w:rPr>
                <w:t>2012 QCCS 3491</w:t>
              </w:r>
            </w:hyperlink>
          </w:p>
          <w:p w:rsidR="000E2959" w:rsidRPr="00E007CB" w:rsidRDefault="000E2959" w:rsidP="0004528B">
            <w:pPr>
              <w:jc w:val="both"/>
              <w:rPr>
                <w:rFonts w:eastAsia="Calibri"/>
                <w:sz w:val="20"/>
                <w:lang w:val="fr-CA"/>
              </w:rPr>
            </w:pPr>
          </w:p>
        </w:tc>
        <w:tc>
          <w:tcPr>
            <w:tcW w:w="243" w:type="pct"/>
          </w:tcPr>
          <w:p w:rsidR="000E2959" w:rsidRPr="00E007CB" w:rsidRDefault="000E2959" w:rsidP="0004528B">
            <w:pPr>
              <w:jc w:val="both"/>
              <w:rPr>
                <w:rFonts w:eastAsia="Calibri"/>
                <w:sz w:val="20"/>
                <w:lang w:val="fr-CA"/>
              </w:rPr>
            </w:pPr>
          </w:p>
        </w:tc>
        <w:tc>
          <w:tcPr>
            <w:tcW w:w="2330" w:type="pct"/>
          </w:tcPr>
          <w:p w:rsidR="000B5C6F" w:rsidRPr="00F77596" w:rsidRDefault="000B5C6F" w:rsidP="000B5C6F">
            <w:pPr>
              <w:jc w:val="both"/>
              <w:rPr>
                <w:sz w:val="20"/>
              </w:rPr>
            </w:pPr>
            <w:r w:rsidRPr="00F77596">
              <w:rPr>
                <w:sz w:val="20"/>
              </w:rPr>
              <w:t>Demande d’incarcération pour extradition  accueillie</w:t>
            </w:r>
          </w:p>
          <w:p w:rsidR="000E2959" w:rsidRPr="00E007CB" w:rsidRDefault="000E2959" w:rsidP="0004528B">
            <w:pPr>
              <w:jc w:val="both"/>
              <w:rPr>
                <w:rFonts w:eastAsia="Calibri"/>
                <w:sz w:val="20"/>
                <w:lang w:val="fr-CA"/>
              </w:rPr>
            </w:pPr>
          </w:p>
        </w:tc>
      </w:tr>
      <w:tr w:rsidR="000B5C6F" w:rsidRPr="00002704" w:rsidTr="0004528B">
        <w:trPr>
          <w:cantSplit/>
        </w:trPr>
        <w:tc>
          <w:tcPr>
            <w:tcW w:w="2427" w:type="pct"/>
          </w:tcPr>
          <w:p w:rsidR="000B5C6F" w:rsidRPr="00F77596" w:rsidRDefault="000B5C6F" w:rsidP="000B5C6F">
            <w:pPr>
              <w:jc w:val="both"/>
              <w:rPr>
                <w:sz w:val="20"/>
                <w:lang w:val="fr-CA"/>
              </w:rPr>
            </w:pPr>
            <w:r w:rsidRPr="00F77596">
              <w:rPr>
                <w:sz w:val="20"/>
                <w:lang w:val="fr-CA"/>
              </w:rPr>
              <w:t>Le 28 octobre 2014</w:t>
            </w:r>
          </w:p>
          <w:p w:rsidR="000B5C6F" w:rsidRPr="00F77596" w:rsidRDefault="000B5C6F" w:rsidP="000B5C6F">
            <w:pPr>
              <w:jc w:val="both"/>
              <w:rPr>
                <w:sz w:val="20"/>
                <w:lang w:val="fr-CA"/>
              </w:rPr>
            </w:pPr>
            <w:r w:rsidRPr="00F77596">
              <w:rPr>
                <w:sz w:val="20"/>
                <w:lang w:val="fr-CA"/>
              </w:rPr>
              <w:t>Cour d’appel du Québec (Montréal)</w:t>
            </w:r>
          </w:p>
          <w:p w:rsidR="000B5C6F" w:rsidRPr="00F77596" w:rsidRDefault="000B5C6F" w:rsidP="000B5C6F">
            <w:pPr>
              <w:jc w:val="both"/>
              <w:rPr>
                <w:sz w:val="20"/>
                <w:lang w:val="fr-CA"/>
              </w:rPr>
            </w:pPr>
            <w:r w:rsidRPr="00F77596">
              <w:rPr>
                <w:sz w:val="20"/>
                <w:lang w:val="fr-CA"/>
              </w:rPr>
              <w:t>(Les juges Gagnon, Vauclair et Marcotte)</w:t>
            </w:r>
          </w:p>
          <w:p w:rsidR="000B5C6F" w:rsidRPr="00F77596" w:rsidRDefault="00EC4FDF" w:rsidP="000B5C6F">
            <w:pPr>
              <w:jc w:val="both"/>
              <w:rPr>
                <w:sz w:val="20"/>
              </w:rPr>
            </w:pPr>
            <w:hyperlink r:id="rId28" w:history="1">
              <w:r w:rsidR="000B5C6F" w:rsidRPr="00F77596">
                <w:rPr>
                  <w:color w:val="0000FF" w:themeColor="hyperlink"/>
                  <w:sz w:val="20"/>
                  <w:u w:val="single"/>
                </w:rPr>
                <w:t>2014 QCCA 1999</w:t>
              </w:r>
            </w:hyperlink>
            <w:r w:rsidR="000B5C6F" w:rsidRPr="00F77596">
              <w:rPr>
                <w:sz w:val="20"/>
              </w:rPr>
              <w:t>; 500-10-005334-139</w:t>
            </w:r>
          </w:p>
          <w:p w:rsidR="000B5C6F" w:rsidRPr="00F77596" w:rsidRDefault="000B5C6F" w:rsidP="000B5C6F">
            <w:pPr>
              <w:jc w:val="both"/>
              <w:rPr>
                <w:sz w:val="20"/>
              </w:rPr>
            </w:pPr>
            <w:r w:rsidRPr="00F77596">
              <w:rPr>
                <w:sz w:val="20"/>
              </w:rPr>
              <w:t>500-10-005217-128, 500-10-005218-126</w:t>
            </w:r>
          </w:p>
          <w:p w:rsidR="000B5C6F" w:rsidRPr="00E007CB" w:rsidRDefault="000B5C6F" w:rsidP="000B5C6F">
            <w:pPr>
              <w:jc w:val="both"/>
              <w:rPr>
                <w:rFonts w:eastAsia="Calibri"/>
                <w:sz w:val="20"/>
                <w:lang w:val="fr-CA"/>
              </w:rPr>
            </w:pPr>
          </w:p>
        </w:tc>
        <w:tc>
          <w:tcPr>
            <w:tcW w:w="243" w:type="pct"/>
          </w:tcPr>
          <w:p w:rsidR="000B5C6F" w:rsidRPr="00E007CB" w:rsidRDefault="000B5C6F" w:rsidP="000B5C6F">
            <w:pPr>
              <w:jc w:val="both"/>
              <w:rPr>
                <w:rFonts w:eastAsia="Calibri"/>
                <w:sz w:val="20"/>
                <w:lang w:val="fr-CA"/>
              </w:rPr>
            </w:pPr>
          </w:p>
        </w:tc>
        <w:tc>
          <w:tcPr>
            <w:tcW w:w="2330" w:type="pct"/>
          </w:tcPr>
          <w:p w:rsidR="000B5C6F" w:rsidRPr="00F77596" w:rsidRDefault="000B5C6F" w:rsidP="000B5C6F">
            <w:pPr>
              <w:jc w:val="both"/>
              <w:rPr>
                <w:sz w:val="20"/>
                <w:lang w:val="fr-CA"/>
              </w:rPr>
            </w:pPr>
            <w:r w:rsidRPr="00F77596">
              <w:rPr>
                <w:sz w:val="20"/>
                <w:lang w:val="fr-CA"/>
              </w:rPr>
              <w:t>Demande de révision judiciaire de décisions du ministre de la Justice ordonnant l’extradition des demandeurs reportée au 28 janvier 2015, appels à l’encontre des ordonnances d’incarcération rejetés</w:t>
            </w:r>
          </w:p>
        </w:tc>
      </w:tr>
      <w:tr w:rsidR="000B5C6F" w:rsidRPr="00E007CB" w:rsidTr="0004528B">
        <w:trPr>
          <w:cantSplit/>
        </w:trPr>
        <w:tc>
          <w:tcPr>
            <w:tcW w:w="2427" w:type="pct"/>
          </w:tcPr>
          <w:p w:rsidR="000B5C6F" w:rsidRPr="00F77596" w:rsidRDefault="000B5C6F" w:rsidP="000B5C6F">
            <w:pPr>
              <w:jc w:val="both"/>
              <w:rPr>
                <w:sz w:val="20"/>
                <w:lang w:val="fr-CA"/>
              </w:rPr>
            </w:pPr>
            <w:r w:rsidRPr="00F77596">
              <w:rPr>
                <w:sz w:val="20"/>
                <w:lang w:val="fr-CA"/>
              </w:rPr>
              <w:t>Le 23 décembre 2014</w:t>
            </w:r>
          </w:p>
          <w:p w:rsidR="000B5C6F" w:rsidRPr="00F77596" w:rsidRDefault="000B5C6F" w:rsidP="000B5C6F">
            <w:pPr>
              <w:jc w:val="both"/>
              <w:rPr>
                <w:sz w:val="20"/>
                <w:lang w:val="fr-CA"/>
              </w:rPr>
            </w:pPr>
            <w:r w:rsidRPr="00F77596">
              <w:rPr>
                <w:sz w:val="20"/>
                <w:lang w:val="fr-CA"/>
              </w:rPr>
              <w:t>Cour suprême du Canada</w:t>
            </w:r>
          </w:p>
          <w:p w:rsidR="000B5C6F" w:rsidRPr="00E007CB" w:rsidRDefault="000B5C6F" w:rsidP="000B5C6F">
            <w:pPr>
              <w:jc w:val="both"/>
              <w:rPr>
                <w:rFonts w:eastAsia="Calibri"/>
                <w:sz w:val="20"/>
                <w:lang w:val="fr-CA"/>
              </w:rPr>
            </w:pPr>
          </w:p>
        </w:tc>
        <w:tc>
          <w:tcPr>
            <w:tcW w:w="243" w:type="pct"/>
          </w:tcPr>
          <w:p w:rsidR="000B5C6F" w:rsidRPr="00E007CB" w:rsidRDefault="000B5C6F" w:rsidP="000B5C6F">
            <w:pPr>
              <w:jc w:val="both"/>
              <w:rPr>
                <w:rFonts w:eastAsia="Calibri"/>
                <w:sz w:val="20"/>
                <w:lang w:val="fr-CA"/>
              </w:rPr>
            </w:pPr>
          </w:p>
        </w:tc>
        <w:tc>
          <w:tcPr>
            <w:tcW w:w="2330" w:type="pct"/>
          </w:tcPr>
          <w:p w:rsidR="000B5C6F" w:rsidRPr="00F77596" w:rsidRDefault="000B5C6F" w:rsidP="000B5C6F">
            <w:pPr>
              <w:jc w:val="both"/>
              <w:rPr>
                <w:sz w:val="20"/>
                <w:lang w:val="fr-CA"/>
              </w:rPr>
            </w:pPr>
            <w:r w:rsidRPr="00F77596">
              <w:rPr>
                <w:sz w:val="20"/>
                <w:lang w:val="fr-CA"/>
              </w:rPr>
              <w:t>Demande de prorogation de délai pour signifier et déposer demande d’autorisation d’appel accordée</w:t>
            </w:r>
          </w:p>
          <w:p w:rsidR="000B5C6F" w:rsidRPr="00E007CB" w:rsidRDefault="000B5C6F" w:rsidP="000B5C6F">
            <w:pPr>
              <w:jc w:val="both"/>
              <w:rPr>
                <w:rFonts w:eastAsia="Calibri"/>
                <w:sz w:val="20"/>
                <w:lang w:val="fr-CA"/>
              </w:rPr>
            </w:pPr>
          </w:p>
        </w:tc>
      </w:tr>
      <w:tr w:rsidR="000B5C6F" w:rsidRPr="00E007CB" w:rsidTr="0004528B">
        <w:trPr>
          <w:cantSplit/>
        </w:trPr>
        <w:tc>
          <w:tcPr>
            <w:tcW w:w="2427" w:type="pct"/>
          </w:tcPr>
          <w:p w:rsidR="000B5C6F" w:rsidRPr="00F77596" w:rsidRDefault="000B5C6F" w:rsidP="000B5C6F">
            <w:pPr>
              <w:jc w:val="both"/>
              <w:rPr>
                <w:sz w:val="20"/>
                <w:lang w:val="fr-CA"/>
              </w:rPr>
            </w:pPr>
            <w:r w:rsidRPr="00F77596">
              <w:rPr>
                <w:sz w:val="20"/>
                <w:lang w:val="fr-CA"/>
              </w:rPr>
              <w:t>Le 26 février 2015</w:t>
            </w:r>
          </w:p>
          <w:p w:rsidR="000B5C6F" w:rsidRPr="00F77596" w:rsidRDefault="000B5C6F" w:rsidP="000B5C6F">
            <w:pPr>
              <w:jc w:val="both"/>
              <w:rPr>
                <w:sz w:val="20"/>
                <w:lang w:val="fr-CA"/>
              </w:rPr>
            </w:pPr>
            <w:r w:rsidRPr="00F77596">
              <w:rPr>
                <w:sz w:val="20"/>
                <w:lang w:val="fr-CA"/>
              </w:rPr>
              <w:t>Cour d’appel du Québec (Montréal)</w:t>
            </w:r>
          </w:p>
          <w:p w:rsidR="000B5C6F" w:rsidRPr="00F77596" w:rsidRDefault="000B5C6F" w:rsidP="000B5C6F">
            <w:pPr>
              <w:jc w:val="both"/>
              <w:rPr>
                <w:sz w:val="20"/>
                <w:lang w:val="fr-CA"/>
              </w:rPr>
            </w:pPr>
            <w:r w:rsidRPr="00F77596">
              <w:rPr>
                <w:sz w:val="20"/>
                <w:lang w:val="fr-CA"/>
              </w:rPr>
              <w:t>(Les juges Bouchard, Savard et Vauclair)</w:t>
            </w:r>
          </w:p>
          <w:p w:rsidR="000B5C6F" w:rsidRPr="00F77596" w:rsidRDefault="00EC4FDF" w:rsidP="000B5C6F">
            <w:pPr>
              <w:jc w:val="both"/>
              <w:rPr>
                <w:sz w:val="20"/>
              </w:rPr>
            </w:pPr>
            <w:hyperlink r:id="rId29" w:history="1">
              <w:r w:rsidR="000B5C6F" w:rsidRPr="00F77596">
                <w:rPr>
                  <w:color w:val="0000FF" w:themeColor="hyperlink"/>
                  <w:sz w:val="20"/>
                  <w:u w:val="single"/>
                </w:rPr>
                <w:t>2015 QCCA 410</w:t>
              </w:r>
            </w:hyperlink>
            <w:r w:rsidR="000B5C6F" w:rsidRPr="00F77596">
              <w:rPr>
                <w:sz w:val="20"/>
              </w:rPr>
              <w:t>; 500-10-005334-139</w:t>
            </w:r>
          </w:p>
          <w:p w:rsidR="000B5C6F" w:rsidRPr="00E007CB" w:rsidRDefault="000B5C6F" w:rsidP="000B5C6F">
            <w:pPr>
              <w:jc w:val="both"/>
              <w:rPr>
                <w:rFonts w:eastAsia="Calibri"/>
                <w:sz w:val="20"/>
                <w:lang w:val="fr-CA"/>
              </w:rPr>
            </w:pPr>
          </w:p>
        </w:tc>
        <w:tc>
          <w:tcPr>
            <w:tcW w:w="243" w:type="pct"/>
          </w:tcPr>
          <w:p w:rsidR="000B5C6F" w:rsidRPr="00E007CB" w:rsidRDefault="000B5C6F" w:rsidP="000B5C6F">
            <w:pPr>
              <w:jc w:val="both"/>
              <w:rPr>
                <w:rFonts w:eastAsia="Calibri"/>
                <w:sz w:val="20"/>
                <w:lang w:val="fr-CA"/>
              </w:rPr>
            </w:pPr>
          </w:p>
        </w:tc>
        <w:tc>
          <w:tcPr>
            <w:tcW w:w="2330" w:type="pct"/>
          </w:tcPr>
          <w:p w:rsidR="000B5C6F" w:rsidRPr="00F77596" w:rsidRDefault="000B5C6F" w:rsidP="000B5C6F">
            <w:pPr>
              <w:jc w:val="both"/>
              <w:rPr>
                <w:sz w:val="20"/>
              </w:rPr>
            </w:pPr>
            <w:r w:rsidRPr="00F77596">
              <w:rPr>
                <w:sz w:val="20"/>
              </w:rPr>
              <w:t>Demande de révision judiciaire rejetée</w:t>
            </w:r>
          </w:p>
          <w:p w:rsidR="000B5C6F" w:rsidRPr="00E007CB" w:rsidRDefault="000B5C6F" w:rsidP="000B5C6F">
            <w:pPr>
              <w:jc w:val="both"/>
              <w:rPr>
                <w:rFonts w:eastAsia="Calibri"/>
                <w:sz w:val="20"/>
                <w:lang w:val="fr-CA"/>
              </w:rPr>
            </w:pPr>
          </w:p>
        </w:tc>
      </w:tr>
      <w:tr w:rsidR="000B5C6F" w:rsidRPr="00E007CB" w:rsidTr="0004528B">
        <w:trPr>
          <w:cantSplit/>
        </w:trPr>
        <w:tc>
          <w:tcPr>
            <w:tcW w:w="2427" w:type="pct"/>
          </w:tcPr>
          <w:p w:rsidR="000B5C6F" w:rsidRPr="00E007CB" w:rsidRDefault="000B5C6F" w:rsidP="000B5C6F">
            <w:pPr>
              <w:jc w:val="both"/>
              <w:rPr>
                <w:rFonts w:eastAsia="Calibri"/>
                <w:sz w:val="20"/>
                <w:lang w:val="fr-CA"/>
              </w:rPr>
            </w:pPr>
            <w:r>
              <w:rPr>
                <w:rFonts w:eastAsia="Calibri"/>
                <w:sz w:val="20"/>
                <w:lang w:val="fr-CA"/>
              </w:rPr>
              <w:t>Le 27 avril</w:t>
            </w:r>
            <w:r w:rsidRPr="00E007CB">
              <w:rPr>
                <w:rFonts w:eastAsia="Calibri"/>
                <w:sz w:val="20"/>
                <w:lang w:val="fr-CA"/>
              </w:rPr>
              <w:t xml:space="preserve"> 201</w:t>
            </w:r>
            <w:r>
              <w:rPr>
                <w:rFonts w:eastAsia="Calibri"/>
                <w:sz w:val="20"/>
                <w:lang w:val="fr-CA"/>
              </w:rPr>
              <w:t>5</w:t>
            </w:r>
          </w:p>
          <w:p w:rsidR="000B5C6F" w:rsidRPr="00E007CB" w:rsidRDefault="000B5C6F" w:rsidP="000B5C6F">
            <w:pPr>
              <w:jc w:val="both"/>
              <w:rPr>
                <w:rFonts w:eastAsia="Calibri"/>
                <w:sz w:val="20"/>
                <w:lang w:val="fr-CA"/>
              </w:rPr>
            </w:pPr>
            <w:r w:rsidRPr="00E007CB">
              <w:rPr>
                <w:rFonts w:eastAsia="Calibri"/>
                <w:sz w:val="20"/>
                <w:lang w:val="fr-CA"/>
              </w:rPr>
              <w:t>Cour suprême du Canada</w:t>
            </w:r>
          </w:p>
        </w:tc>
        <w:tc>
          <w:tcPr>
            <w:tcW w:w="243" w:type="pct"/>
          </w:tcPr>
          <w:p w:rsidR="000B5C6F" w:rsidRPr="00E007CB" w:rsidRDefault="000B5C6F" w:rsidP="000B5C6F">
            <w:pPr>
              <w:jc w:val="both"/>
              <w:rPr>
                <w:rFonts w:eastAsia="Calibri"/>
                <w:sz w:val="20"/>
                <w:lang w:val="fr-CA"/>
              </w:rPr>
            </w:pPr>
          </w:p>
        </w:tc>
        <w:tc>
          <w:tcPr>
            <w:tcW w:w="2330" w:type="pct"/>
          </w:tcPr>
          <w:p w:rsidR="000B5C6F" w:rsidRPr="00E007CB" w:rsidRDefault="000B5C6F" w:rsidP="000B5C6F">
            <w:pPr>
              <w:jc w:val="both"/>
              <w:rPr>
                <w:rFonts w:eastAsia="Calibri"/>
                <w:sz w:val="20"/>
                <w:lang w:val="fr-CA"/>
              </w:rPr>
            </w:pPr>
            <w:r w:rsidRPr="00E007CB">
              <w:rPr>
                <w:rFonts w:eastAsia="Calibri"/>
                <w:sz w:val="20"/>
                <w:lang w:val="fr-CA"/>
              </w:rPr>
              <w:t>Demande d’autorisation d’appel déposée.</w:t>
            </w:r>
          </w:p>
        </w:tc>
      </w:tr>
    </w:tbl>
    <w:p w:rsidR="000E2959" w:rsidRDefault="000E2959" w:rsidP="000E2959">
      <w:pPr>
        <w:rPr>
          <w:sz w:val="20"/>
          <w:szCs w:val="20"/>
        </w:rPr>
      </w:pPr>
    </w:p>
    <w:p w:rsidR="000E2959" w:rsidRDefault="00EC4FDF" w:rsidP="000E2959">
      <w:pPr>
        <w:rPr>
          <w:sz w:val="20"/>
          <w:szCs w:val="20"/>
        </w:rPr>
      </w:pPr>
      <w:r>
        <w:rPr>
          <w:sz w:val="20"/>
          <w:szCs w:val="20"/>
          <w:lang w:val="fr-CA"/>
        </w:rPr>
        <w:pict>
          <v:rect id="_x0000_i1038" style="width:2in;height:1pt" o:hrpct="0" o:hralign="center" o:hrstd="t" o:hrnoshade="t" o:hr="t" fillcolor="black [3213]" stroked="f"/>
        </w:pict>
      </w:r>
    </w:p>
    <w:p w:rsidR="00D56A64" w:rsidRDefault="00D56A64">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916FF" w:rsidRPr="00A73D2C" w:rsidTr="00791BDA">
        <w:trPr>
          <w:cantSplit/>
        </w:trPr>
        <w:tc>
          <w:tcPr>
            <w:tcW w:w="1458" w:type="dxa"/>
          </w:tcPr>
          <w:p w:rsidR="00A916FF" w:rsidRPr="00A73D2C" w:rsidRDefault="00A916FF" w:rsidP="00791BDA">
            <w:pPr>
              <w:rPr>
                <w:sz w:val="20"/>
                <w:szCs w:val="20"/>
              </w:rPr>
            </w:pPr>
            <w:r w:rsidRPr="00A73D2C">
              <w:rPr>
                <w:rStyle w:val="SCCFileNumberChar"/>
                <w:sz w:val="20"/>
                <w:szCs w:val="20"/>
              </w:rPr>
              <w:lastRenderedPageBreak/>
              <w:t>36</w:t>
            </w:r>
            <w:r>
              <w:rPr>
                <w:rStyle w:val="SCCFileNumberChar"/>
                <w:sz w:val="20"/>
                <w:szCs w:val="20"/>
              </w:rPr>
              <w:t>271</w:t>
            </w:r>
          </w:p>
          <w:p w:rsidR="00A916FF" w:rsidRPr="00A73D2C" w:rsidRDefault="00A916FF" w:rsidP="00791BDA">
            <w:pPr>
              <w:rPr>
                <w:b/>
                <w:sz w:val="20"/>
                <w:szCs w:val="20"/>
                <w:lang w:val="fr-CA"/>
              </w:rPr>
            </w:pPr>
          </w:p>
        </w:tc>
        <w:tc>
          <w:tcPr>
            <w:tcW w:w="8118" w:type="dxa"/>
          </w:tcPr>
          <w:p w:rsidR="00A916FF" w:rsidRPr="00A73D2C" w:rsidRDefault="00A916FF" w:rsidP="00791BDA">
            <w:pPr>
              <w:rPr>
                <w:sz w:val="20"/>
                <w:szCs w:val="20"/>
              </w:rPr>
            </w:pPr>
            <w:r w:rsidRPr="00A916FF">
              <w:rPr>
                <w:rStyle w:val="SCCLsocChar"/>
                <w:sz w:val="20"/>
                <w:szCs w:val="20"/>
                <w:lang w:val="en-CA"/>
              </w:rPr>
              <w:t xml:space="preserve">Shappour Jannesar </w:t>
            </w:r>
            <w:r w:rsidR="00CF1B04">
              <w:rPr>
                <w:rStyle w:val="SCCLsocChar"/>
                <w:sz w:val="20"/>
                <w:szCs w:val="20"/>
                <w:lang w:val="en-CA"/>
              </w:rPr>
              <w:t>c</w:t>
            </w:r>
            <w:r w:rsidRPr="00A916FF">
              <w:rPr>
                <w:rStyle w:val="SCCLsocChar"/>
                <w:sz w:val="20"/>
                <w:szCs w:val="20"/>
                <w:lang w:val="en-CA"/>
              </w:rPr>
              <w:t>. Sabiha Ali Sultan Yousuf</w:t>
            </w:r>
            <w:r w:rsidRPr="00A73D2C">
              <w:rPr>
                <w:sz w:val="20"/>
                <w:szCs w:val="20"/>
              </w:rPr>
              <w:t xml:space="preserve"> (</w:t>
            </w:r>
            <w:r>
              <w:rPr>
                <w:sz w:val="20"/>
                <w:szCs w:val="20"/>
              </w:rPr>
              <w:t>Q</w:t>
            </w:r>
            <w:r w:rsidR="00CF1B04">
              <w:rPr>
                <w:sz w:val="20"/>
                <w:szCs w:val="20"/>
              </w:rPr>
              <w:t>c</w:t>
            </w:r>
            <w:r w:rsidRPr="00A73D2C">
              <w:rPr>
                <w:sz w:val="20"/>
                <w:szCs w:val="20"/>
              </w:rPr>
              <w:t>) (C</w:t>
            </w:r>
            <w:r>
              <w:rPr>
                <w:sz w:val="20"/>
                <w:szCs w:val="20"/>
              </w:rPr>
              <w:t>ivil</w:t>
            </w:r>
            <w:r w:rsidR="00CF1B04">
              <w:rPr>
                <w:sz w:val="20"/>
                <w:szCs w:val="20"/>
              </w:rPr>
              <w:t>e</w:t>
            </w:r>
            <w:r w:rsidRPr="00A73D2C">
              <w:rPr>
                <w:sz w:val="20"/>
                <w:szCs w:val="20"/>
              </w:rPr>
              <w:t>) (</w:t>
            </w:r>
            <w:r w:rsidR="00CF1B04">
              <w:rPr>
                <w:sz w:val="20"/>
                <w:szCs w:val="20"/>
              </w:rPr>
              <w:t>Autorisation</w:t>
            </w:r>
            <w:r w:rsidRPr="00A73D2C">
              <w:rPr>
                <w:sz w:val="20"/>
                <w:szCs w:val="20"/>
              </w:rPr>
              <w:t>)</w:t>
            </w:r>
          </w:p>
          <w:p w:rsidR="00A916FF" w:rsidRPr="00A73D2C" w:rsidRDefault="00A916FF" w:rsidP="00791BDA">
            <w:pPr>
              <w:rPr>
                <w:sz w:val="20"/>
                <w:szCs w:val="20"/>
              </w:rPr>
            </w:pPr>
          </w:p>
        </w:tc>
      </w:tr>
      <w:tr w:rsidR="00A916FF" w:rsidRPr="00A73D2C" w:rsidTr="00791BDA">
        <w:trPr>
          <w:cantSplit/>
        </w:trPr>
        <w:tc>
          <w:tcPr>
            <w:tcW w:w="1458" w:type="dxa"/>
          </w:tcPr>
          <w:p w:rsidR="00A916FF" w:rsidRPr="00A73D2C" w:rsidRDefault="00A916FF" w:rsidP="00791BDA">
            <w:pPr>
              <w:rPr>
                <w:sz w:val="20"/>
                <w:szCs w:val="20"/>
              </w:rPr>
            </w:pPr>
            <w:r w:rsidRPr="00A73D2C">
              <w:rPr>
                <w:sz w:val="20"/>
                <w:szCs w:val="20"/>
              </w:rPr>
              <w:t>Coram :</w:t>
            </w:r>
          </w:p>
        </w:tc>
        <w:tc>
          <w:tcPr>
            <w:tcW w:w="8118" w:type="dxa"/>
          </w:tcPr>
          <w:p w:rsidR="00A916FF" w:rsidRPr="00A73D2C" w:rsidRDefault="0074712C" w:rsidP="00791BDA">
            <w:pPr>
              <w:rPr>
                <w:sz w:val="20"/>
                <w:szCs w:val="20"/>
              </w:rPr>
            </w:pPr>
            <w:r w:rsidRPr="0074712C">
              <w:rPr>
                <w:rStyle w:val="SCCCoramChar"/>
                <w:sz w:val="20"/>
                <w:szCs w:val="20"/>
                <w:lang w:val="en-CA"/>
              </w:rPr>
              <w:t>Les juges Abella, Karakatsanis et Côté</w:t>
            </w:r>
          </w:p>
          <w:p w:rsidR="00A916FF" w:rsidRPr="00A73D2C" w:rsidRDefault="00A916FF" w:rsidP="00791BDA">
            <w:pPr>
              <w:rPr>
                <w:sz w:val="20"/>
                <w:szCs w:val="20"/>
                <w:u w:val="single"/>
              </w:rPr>
            </w:pPr>
          </w:p>
        </w:tc>
      </w:tr>
      <w:tr w:rsidR="00A916FF" w:rsidRPr="00002704" w:rsidTr="00791BDA">
        <w:trPr>
          <w:cantSplit/>
        </w:trPr>
        <w:tc>
          <w:tcPr>
            <w:tcW w:w="9576" w:type="dxa"/>
            <w:gridSpan w:val="2"/>
          </w:tcPr>
          <w:p w:rsidR="00963BEF" w:rsidRPr="00963BEF" w:rsidRDefault="00963BEF" w:rsidP="00963BEF">
            <w:pPr>
              <w:pStyle w:val="SCCShortJudgment"/>
              <w:rPr>
                <w:szCs w:val="20"/>
              </w:rPr>
            </w:pPr>
            <w:r w:rsidRPr="00963BEF">
              <w:rPr>
                <w:szCs w:val="20"/>
              </w:rPr>
              <w:t>La requête en prorogation du délai de la signification et de dépôt de la demande d’autorisation d’appel est accueillie. La demande d’autorisation d’appel de l’arrêt de la Cour d’appel du Québec (Montréal), numéro 500-09-023252-133, 2014 QCCA 2096, daté du 10 novembre 2014, est rejetée avec dépens.</w:t>
            </w:r>
          </w:p>
          <w:p w:rsidR="00963BEF" w:rsidRPr="00963BEF" w:rsidRDefault="00963BEF" w:rsidP="00963BEF">
            <w:pPr>
              <w:pStyle w:val="SCCShortJudgment"/>
              <w:rPr>
                <w:szCs w:val="20"/>
              </w:rPr>
            </w:pPr>
          </w:p>
          <w:p w:rsidR="00A916FF" w:rsidRPr="00A73D2C" w:rsidRDefault="00963BEF" w:rsidP="00963BEF">
            <w:pPr>
              <w:pStyle w:val="SCCShortJudgment"/>
              <w:rPr>
                <w:szCs w:val="20"/>
                <w:lang w:val="fr-CA"/>
              </w:rPr>
            </w:pPr>
            <w:r w:rsidRPr="00963BEF">
              <w:rPr>
                <w:szCs w:val="20"/>
              </w:rPr>
              <w:t>The motion for an extension of time to serve and file the application for leave to appeal is granted. The application for leave to appeal from the judgment of the Court of Appeal of Quebec (Montréal), Number 500-09-023252-133, 2014 QCCA 2096, dated November 10, 2014, is dismissed with costs.</w:t>
            </w:r>
          </w:p>
        </w:tc>
      </w:tr>
    </w:tbl>
    <w:p w:rsidR="00A916FF" w:rsidRPr="0016547E" w:rsidRDefault="00A916FF" w:rsidP="00A916FF">
      <w:pPr>
        <w:rPr>
          <w:sz w:val="20"/>
          <w:szCs w:val="20"/>
          <w:lang w:val="fr-CA"/>
        </w:rPr>
      </w:pPr>
    </w:p>
    <w:p w:rsidR="00A916FF" w:rsidRPr="001B157C" w:rsidRDefault="00A916FF" w:rsidP="00A916FF">
      <w:pPr>
        <w:rPr>
          <w:sz w:val="20"/>
          <w:szCs w:val="20"/>
          <w:u w:val="single"/>
        </w:rPr>
      </w:pPr>
      <w:r w:rsidRPr="001B157C">
        <w:rPr>
          <w:sz w:val="20"/>
          <w:szCs w:val="20"/>
          <w:u w:val="single"/>
        </w:rPr>
        <w:t>CASE SUMMARY</w:t>
      </w:r>
    </w:p>
    <w:p w:rsidR="00A916FF" w:rsidRDefault="00A916FF" w:rsidP="00A916F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16FF" w:rsidRPr="00E007CB" w:rsidTr="00791BDA">
        <w:tc>
          <w:tcPr>
            <w:tcW w:w="5000" w:type="pct"/>
            <w:gridSpan w:val="3"/>
          </w:tcPr>
          <w:p w:rsidR="00A916FF" w:rsidRDefault="00A916FF" w:rsidP="00791BDA">
            <w:pPr>
              <w:jc w:val="both"/>
              <w:rPr>
                <w:sz w:val="20"/>
              </w:rPr>
            </w:pPr>
            <w:r w:rsidRPr="00F77596">
              <w:rPr>
                <w:sz w:val="20"/>
              </w:rPr>
              <w:t xml:space="preserve">Private international law – Foreign judgments – Recognition – For purposes of exemplification of foreign judgment rendered by default, whether applicant can rely on content of foreign judgment to prove that foreign act instituting proceedings was duly served on defaulting party where judgment states that this was case – </w:t>
            </w:r>
            <w:r w:rsidRPr="00F77596">
              <w:rPr>
                <w:i/>
                <w:sz w:val="20"/>
              </w:rPr>
              <w:t>Civil Code of Québec</w:t>
            </w:r>
            <w:r w:rsidRPr="00F77596">
              <w:rPr>
                <w:sz w:val="20"/>
              </w:rPr>
              <w:t>, CQLR c. C</w:t>
            </w:r>
            <w:r w:rsidRPr="00F77596">
              <w:rPr>
                <w:sz w:val="20"/>
              </w:rPr>
              <w:noBreakHyphen/>
              <w:t xml:space="preserve">1991, arts. 2822, 3156 – </w:t>
            </w:r>
            <w:r w:rsidRPr="00F77596">
              <w:rPr>
                <w:i/>
                <w:sz w:val="20"/>
              </w:rPr>
              <w:t>Code of Civil Procedure</w:t>
            </w:r>
            <w:r w:rsidRPr="00F77596">
              <w:rPr>
                <w:sz w:val="20"/>
              </w:rPr>
              <w:t>, CQLR c. C</w:t>
            </w:r>
            <w:r w:rsidRPr="00F77596">
              <w:rPr>
                <w:sz w:val="20"/>
              </w:rPr>
              <w:noBreakHyphen/>
              <w:t>25, arts. 89, 786.</w:t>
            </w:r>
          </w:p>
          <w:p w:rsidR="00A916FF" w:rsidRPr="00E007CB" w:rsidRDefault="00A916FF" w:rsidP="00791BDA">
            <w:pPr>
              <w:jc w:val="both"/>
              <w:rPr>
                <w:rFonts w:eastAsia="Calibri"/>
                <w:sz w:val="20"/>
              </w:rPr>
            </w:pPr>
          </w:p>
        </w:tc>
      </w:tr>
      <w:tr w:rsidR="00A916FF" w:rsidRPr="00E007CB" w:rsidTr="00791BDA">
        <w:tc>
          <w:tcPr>
            <w:tcW w:w="5000" w:type="pct"/>
            <w:gridSpan w:val="3"/>
          </w:tcPr>
          <w:p w:rsidR="00A916FF" w:rsidRPr="00F77596" w:rsidRDefault="00A916FF" w:rsidP="00A916FF">
            <w:pPr>
              <w:jc w:val="both"/>
              <w:rPr>
                <w:sz w:val="20"/>
              </w:rPr>
            </w:pPr>
            <w:r w:rsidRPr="00F77596">
              <w:rPr>
                <w:sz w:val="20"/>
              </w:rPr>
              <w:t xml:space="preserve">The applicant Mr. Jannesar, a resident of Kuwait, obtained a judgment in his favour from a Kuwaiti court.  The judgment was rendered by default and ordered the respondent Ms. Ali Sultan Yousuf, a Quebec resident, to pay him half of the compensation she had received under a compensation scheme established by the United Nations Compensation Commission following Iraq’s invasion of Kuwait in 1991.  The judgment stated, </w:t>
            </w:r>
            <w:r w:rsidRPr="00F77596">
              <w:rPr>
                <w:i/>
                <w:sz w:val="20"/>
              </w:rPr>
              <w:t>inter alia</w:t>
            </w:r>
            <w:r w:rsidRPr="00F77596">
              <w:rPr>
                <w:sz w:val="20"/>
              </w:rPr>
              <w:t xml:space="preserve">, that Ms. Ali Sultan Yousuf had been validly served under Kuwaiti law.  In 2011, Mr. Jannesar applied to the Quebec Superior Court for recognition of the foreign judgment. Applying the presumption in art. 2822 </w:t>
            </w:r>
            <w:r w:rsidRPr="00F77596">
              <w:rPr>
                <w:i/>
                <w:sz w:val="20"/>
              </w:rPr>
              <w:t>C.C.Q.</w:t>
            </w:r>
            <w:r w:rsidRPr="00F77596">
              <w:rPr>
                <w:sz w:val="20"/>
              </w:rPr>
              <w:t xml:space="preserve"> that a foreign judgment makes proof of its content, the Superior Court allowed the application.  The Court of Appeal set aside that decision.</w:t>
            </w:r>
          </w:p>
          <w:p w:rsidR="00A916FF" w:rsidRPr="00E007CB" w:rsidRDefault="00A916FF" w:rsidP="00791BDA">
            <w:pPr>
              <w:jc w:val="both"/>
              <w:rPr>
                <w:rFonts w:eastAsia="Calibri"/>
                <w:sz w:val="20"/>
              </w:rPr>
            </w:pPr>
          </w:p>
        </w:tc>
      </w:tr>
      <w:tr w:rsidR="00A916FF" w:rsidRPr="00E007CB" w:rsidTr="00791BDA">
        <w:trPr>
          <w:cantSplit/>
        </w:trPr>
        <w:tc>
          <w:tcPr>
            <w:tcW w:w="2427" w:type="pct"/>
          </w:tcPr>
          <w:p w:rsidR="00350964" w:rsidRPr="00F77596" w:rsidRDefault="00350964" w:rsidP="00350964">
            <w:pPr>
              <w:jc w:val="both"/>
              <w:rPr>
                <w:sz w:val="20"/>
              </w:rPr>
            </w:pPr>
            <w:r w:rsidRPr="00F77596">
              <w:rPr>
                <w:sz w:val="20"/>
              </w:rPr>
              <w:t>December 13, 2012</w:t>
            </w:r>
          </w:p>
          <w:p w:rsidR="00350964" w:rsidRPr="00F77596" w:rsidRDefault="00350964" w:rsidP="00350964">
            <w:pPr>
              <w:jc w:val="both"/>
              <w:rPr>
                <w:sz w:val="20"/>
              </w:rPr>
            </w:pPr>
            <w:r w:rsidRPr="00F77596">
              <w:rPr>
                <w:sz w:val="20"/>
              </w:rPr>
              <w:t>Quebec Superior Court</w:t>
            </w:r>
          </w:p>
          <w:p w:rsidR="00350964" w:rsidRPr="00F77596" w:rsidRDefault="00350964" w:rsidP="00350964">
            <w:pPr>
              <w:jc w:val="both"/>
              <w:rPr>
                <w:sz w:val="20"/>
              </w:rPr>
            </w:pPr>
            <w:r w:rsidRPr="00F77596">
              <w:rPr>
                <w:sz w:val="20"/>
              </w:rPr>
              <w:t>(Davis J.)</w:t>
            </w:r>
          </w:p>
          <w:p w:rsidR="00350964" w:rsidRPr="00F77596" w:rsidRDefault="00EC4FDF" w:rsidP="00350964">
            <w:pPr>
              <w:jc w:val="both"/>
              <w:rPr>
                <w:sz w:val="20"/>
              </w:rPr>
            </w:pPr>
            <w:hyperlink r:id="rId30" w:history="1">
              <w:r w:rsidR="00350964" w:rsidRPr="00F77596">
                <w:rPr>
                  <w:rStyle w:val="Hyperlink"/>
                  <w:sz w:val="20"/>
                </w:rPr>
                <w:t>2012 QCCS 6227</w:t>
              </w:r>
            </w:hyperlink>
          </w:p>
          <w:p w:rsidR="00A916FF" w:rsidRPr="00E007CB" w:rsidRDefault="00A916FF" w:rsidP="00791BDA">
            <w:pPr>
              <w:jc w:val="both"/>
              <w:rPr>
                <w:rFonts w:eastAsia="Calibri"/>
                <w:sz w:val="20"/>
              </w:rPr>
            </w:pPr>
          </w:p>
        </w:tc>
        <w:tc>
          <w:tcPr>
            <w:tcW w:w="243" w:type="pct"/>
          </w:tcPr>
          <w:p w:rsidR="00A916FF" w:rsidRPr="00E007CB" w:rsidRDefault="00A916FF" w:rsidP="00791BDA">
            <w:pPr>
              <w:jc w:val="both"/>
              <w:rPr>
                <w:rFonts w:eastAsia="Calibri"/>
                <w:sz w:val="20"/>
              </w:rPr>
            </w:pPr>
          </w:p>
        </w:tc>
        <w:tc>
          <w:tcPr>
            <w:tcW w:w="2330" w:type="pct"/>
          </w:tcPr>
          <w:p w:rsidR="00350964" w:rsidRPr="00F77596" w:rsidRDefault="00350964" w:rsidP="00350964">
            <w:pPr>
              <w:jc w:val="both"/>
              <w:rPr>
                <w:sz w:val="20"/>
              </w:rPr>
            </w:pPr>
            <w:r w:rsidRPr="00F77596">
              <w:rPr>
                <w:sz w:val="20"/>
              </w:rPr>
              <w:t>Motion to institute proceedings for recognition and execution of foreign decision allowed</w:t>
            </w:r>
          </w:p>
          <w:p w:rsidR="00A916FF" w:rsidRPr="00E007CB" w:rsidRDefault="00A916FF" w:rsidP="00791BDA">
            <w:pPr>
              <w:jc w:val="both"/>
              <w:rPr>
                <w:rFonts w:eastAsia="Calibri"/>
                <w:sz w:val="20"/>
              </w:rPr>
            </w:pPr>
          </w:p>
        </w:tc>
      </w:tr>
      <w:tr w:rsidR="00A916FF" w:rsidRPr="00E007CB" w:rsidTr="00791BDA">
        <w:trPr>
          <w:cantSplit/>
        </w:trPr>
        <w:tc>
          <w:tcPr>
            <w:tcW w:w="2427" w:type="pct"/>
          </w:tcPr>
          <w:p w:rsidR="00350964" w:rsidRPr="00F77596" w:rsidRDefault="00350964" w:rsidP="00350964">
            <w:pPr>
              <w:jc w:val="both"/>
              <w:rPr>
                <w:sz w:val="20"/>
              </w:rPr>
            </w:pPr>
            <w:r w:rsidRPr="00F77596">
              <w:rPr>
                <w:sz w:val="20"/>
              </w:rPr>
              <w:t>November 10, 2014</w:t>
            </w:r>
          </w:p>
          <w:p w:rsidR="00350964" w:rsidRPr="00F77596" w:rsidRDefault="00350964" w:rsidP="00350964">
            <w:pPr>
              <w:jc w:val="both"/>
              <w:rPr>
                <w:sz w:val="20"/>
              </w:rPr>
            </w:pPr>
            <w:r w:rsidRPr="00F77596">
              <w:rPr>
                <w:sz w:val="20"/>
              </w:rPr>
              <w:t>Quebec Court of Appeal (Montréal)</w:t>
            </w:r>
          </w:p>
          <w:p w:rsidR="00350964" w:rsidRPr="00F77596" w:rsidRDefault="00350964" w:rsidP="00350964">
            <w:pPr>
              <w:jc w:val="both"/>
              <w:rPr>
                <w:sz w:val="20"/>
              </w:rPr>
            </w:pPr>
            <w:r w:rsidRPr="00F77596">
              <w:rPr>
                <w:sz w:val="20"/>
              </w:rPr>
              <w:t>(Morissette, Giroux and Bouchard JJ.A.)</w:t>
            </w:r>
          </w:p>
          <w:p w:rsidR="00350964" w:rsidRPr="00F77596" w:rsidRDefault="00EC4FDF" w:rsidP="00350964">
            <w:pPr>
              <w:jc w:val="both"/>
              <w:rPr>
                <w:sz w:val="20"/>
              </w:rPr>
            </w:pPr>
            <w:hyperlink r:id="rId31" w:history="1">
              <w:r w:rsidR="00350964" w:rsidRPr="00F77596">
                <w:rPr>
                  <w:rStyle w:val="Hyperlink"/>
                  <w:sz w:val="20"/>
                </w:rPr>
                <w:t>2014 QCCA 2096</w:t>
              </w:r>
            </w:hyperlink>
          </w:p>
          <w:p w:rsidR="00A916FF" w:rsidRPr="00E007CB" w:rsidRDefault="00A916FF" w:rsidP="00791BDA">
            <w:pPr>
              <w:jc w:val="both"/>
              <w:rPr>
                <w:rFonts w:eastAsia="Calibri"/>
                <w:sz w:val="20"/>
              </w:rPr>
            </w:pPr>
          </w:p>
        </w:tc>
        <w:tc>
          <w:tcPr>
            <w:tcW w:w="243" w:type="pct"/>
          </w:tcPr>
          <w:p w:rsidR="00A916FF" w:rsidRPr="00E007CB" w:rsidRDefault="00A916FF" w:rsidP="00791BDA">
            <w:pPr>
              <w:jc w:val="both"/>
              <w:rPr>
                <w:rFonts w:eastAsia="Calibri"/>
                <w:sz w:val="20"/>
              </w:rPr>
            </w:pPr>
          </w:p>
        </w:tc>
        <w:tc>
          <w:tcPr>
            <w:tcW w:w="2330" w:type="pct"/>
          </w:tcPr>
          <w:p w:rsidR="00350964" w:rsidRPr="00F77596" w:rsidRDefault="00350964" w:rsidP="00350964">
            <w:pPr>
              <w:jc w:val="both"/>
              <w:rPr>
                <w:sz w:val="20"/>
              </w:rPr>
            </w:pPr>
            <w:r w:rsidRPr="00F77596">
              <w:rPr>
                <w:sz w:val="20"/>
              </w:rPr>
              <w:t>Appeal allowed; motion to institute proceedings dismissed</w:t>
            </w:r>
          </w:p>
          <w:p w:rsidR="00A916FF" w:rsidRPr="00E007CB" w:rsidRDefault="00A916FF" w:rsidP="00791BDA">
            <w:pPr>
              <w:jc w:val="both"/>
              <w:rPr>
                <w:rFonts w:eastAsia="Calibri"/>
                <w:sz w:val="20"/>
              </w:rPr>
            </w:pPr>
          </w:p>
        </w:tc>
      </w:tr>
      <w:tr w:rsidR="00350964" w:rsidRPr="00E007CB" w:rsidTr="00791BDA">
        <w:trPr>
          <w:cantSplit/>
        </w:trPr>
        <w:tc>
          <w:tcPr>
            <w:tcW w:w="2427" w:type="pct"/>
          </w:tcPr>
          <w:p w:rsidR="00350964" w:rsidRPr="00E007CB" w:rsidRDefault="00350964" w:rsidP="00350964">
            <w:pPr>
              <w:jc w:val="both"/>
              <w:rPr>
                <w:rFonts w:eastAsia="Calibri"/>
                <w:sz w:val="20"/>
              </w:rPr>
            </w:pPr>
            <w:r>
              <w:rPr>
                <w:rFonts w:eastAsia="Calibri"/>
                <w:sz w:val="20"/>
              </w:rPr>
              <w:t>January</w:t>
            </w:r>
            <w:r w:rsidRPr="00E007CB">
              <w:rPr>
                <w:rFonts w:eastAsia="Calibri"/>
                <w:sz w:val="20"/>
              </w:rPr>
              <w:t xml:space="preserve"> </w:t>
            </w:r>
            <w:r>
              <w:rPr>
                <w:rFonts w:eastAsia="Calibri"/>
                <w:sz w:val="20"/>
              </w:rPr>
              <w:t>22,</w:t>
            </w:r>
            <w:r w:rsidRPr="00E007CB">
              <w:rPr>
                <w:rFonts w:eastAsia="Calibri"/>
                <w:sz w:val="20"/>
              </w:rPr>
              <w:t xml:space="preserve"> 201</w:t>
            </w:r>
            <w:r>
              <w:rPr>
                <w:rFonts w:eastAsia="Calibri"/>
                <w:sz w:val="20"/>
              </w:rPr>
              <w:t>5</w:t>
            </w:r>
          </w:p>
          <w:p w:rsidR="00350964" w:rsidRPr="00E007CB" w:rsidRDefault="00350964" w:rsidP="00350964">
            <w:pPr>
              <w:jc w:val="both"/>
              <w:rPr>
                <w:rFonts w:eastAsia="Calibri"/>
                <w:sz w:val="20"/>
              </w:rPr>
            </w:pPr>
            <w:r w:rsidRPr="00E007CB">
              <w:rPr>
                <w:rFonts w:eastAsia="Calibri"/>
                <w:sz w:val="20"/>
              </w:rPr>
              <w:t>Supreme Court of Canada</w:t>
            </w:r>
          </w:p>
        </w:tc>
        <w:tc>
          <w:tcPr>
            <w:tcW w:w="243" w:type="pct"/>
          </w:tcPr>
          <w:p w:rsidR="00350964" w:rsidRPr="00E007CB" w:rsidRDefault="00350964" w:rsidP="00350964">
            <w:pPr>
              <w:jc w:val="both"/>
              <w:rPr>
                <w:rFonts w:eastAsia="Calibri"/>
                <w:sz w:val="20"/>
              </w:rPr>
            </w:pPr>
          </w:p>
        </w:tc>
        <w:tc>
          <w:tcPr>
            <w:tcW w:w="2330" w:type="pct"/>
          </w:tcPr>
          <w:p w:rsidR="00350964" w:rsidRPr="00F77596" w:rsidRDefault="00350964" w:rsidP="00350964">
            <w:pPr>
              <w:jc w:val="both"/>
              <w:rPr>
                <w:sz w:val="20"/>
              </w:rPr>
            </w:pPr>
            <w:r w:rsidRPr="00F77596">
              <w:rPr>
                <w:sz w:val="20"/>
              </w:rPr>
              <w:t>Motion to extend time and application for leave to appeal filed</w:t>
            </w:r>
          </w:p>
        </w:tc>
      </w:tr>
    </w:tbl>
    <w:p w:rsidR="00A916FF" w:rsidRDefault="00A916FF" w:rsidP="00A916FF">
      <w:pPr>
        <w:rPr>
          <w:sz w:val="20"/>
          <w:szCs w:val="20"/>
        </w:rPr>
      </w:pPr>
    </w:p>
    <w:p w:rsidR="00A916FF" w:rsidRPr="00C50A5C" w:rsidRDefault="00EC4FDF" w:rsidP="00A916FF">
      <w:pPr>
        <w:rPr>
          <w:sz w:val="20"/>
          <w:szCs w:val="20"/>
        </w:rPr>
      </w:pPr>
      <w:r>
        <w:rPr>
          <w:sz w:val="20"/>
          <w:szCs w:val="20"/>
          <w:lang w:val="fr-CA"/>
        </w:rPr>
        <w:pict>
          <v:rect id="_x0000_i1039" style="width:2in;height:1pt" o:hrpct="0" o:hralign="center" o:hrstd="t" o:hrnoshade="t" o:hr="t" fillcolor="black [3213]" stroked="f"/>
        </w:pict>
      </w:r>
    </w:p>
    <w:p w:rsidR="00A916FF" w:rsidRDefault="00A916FF" w:rsidP="00A916FF">
      <w:pPr>
        <w:rPr>
          <w:sz w:val="20"/>
          <w:szCs w:val="20"/>
        </w:rPr>
      </w:pPr>
    </w:p>
    <w:p w:rsidR="00A916FF" w:rsidRPr="001B157C" w:rsidRDefault="00A916FF" w:rsidP="00A916FF">
      <w:pPr>
        <w:rPr>
          <w:sz w:val="20"/>
          <w:szCs w:val="20"/>
          <w:u w:val="single"/>
          <w:lang w:val="fr-CA"/>
        </w:rPr>
      </w:pPr>
      <w:r w:rsidRPr="001B157C">
        <w:rPr>
          <w:sz w:val="20"/>
          <w:szCs w:val="20"/>
          <w:u w:val="single"/>
          <w:lang w:val="fr-CA"/>
        </w:rPr>
        <w:t>RÉSUMÉ DE L’AFFAIRE</w:t>
      </w:r>
    </w:p>
    <w:p w:rsidR="00A916FF" w:rsidRDefault="00A916FF" w:rsidP="00A916F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16FF" w:rsidRPr="00002704" w:rsidTr="00791BDA">
        <w:tc>
          <w:tcPr>
            <w:tcW w:w="5000" w:type="pct"/>
            <w:gridSpan w:val="3"/>
          </w:tcPr>
          <w:p w:rsidR="00A916FF" w:rsidRDefault="007B0216" w:rsidP="00791BDA">
            <w:pPr>
              <w:jc w:val="both"/>
              <w:rPr>
                <w:sz w:val="20"/>
                <w:lang w:val="fr-CA"/>
              </w:rPr>
            </w:pPr>
            <w:r w:rsidRPr="00F77596">
              <w:rPr>
                <w:sz w:val="20"/>
                <w:lang w:val="fr-CA"/>
              </w:rPr>
              <w:t xml:space="preserve">Droit international privé – Jugements étrangers – Reconnaissance – Pour faire exemplifier un jugement étranger rendu par défaut, le requérant peut-il, afin de prouver que l’acte introductif d’instance étranger à été régulièrement signifié à la partie défaillante, s’en remettre au contenu du jugement étranger lorsque ce dernier énonce que tel a été le cas? – </w:t>
            </w:r>
            <w:r w:rsidRPr="00F77596">
              <w:rPr>
                <w:i/>
                <w:sz w:val="20"/>
                <w:lang w:val="fr-CA"/>
              </w:rPr>
              <w:t>Code civil du Québec</w:t>
            </w:r>
            <w:r w:rsidRPr="00F77596">
              <w:rPr>
                <w:sz w:val="20"/>
                <w:lang w:val="fr-CA"/>
              </w:rPr>
              <w:t xml:space="preserve">, RLRQ c C-1991, art. 2822, 3156 – </w:t>
            </w:r>
            <w:r w:rsidRPr="00F77596">
              <w:rPr>
                <w:i/>
                <w:sz w:val="20"/>
                <w:lang w:val="fr-CA"/>
              </w:rPr>
              <w:t>Code de procédure civile</w:t>
            </w:r>
            <w:r w:rsidRPr="00F77596">
              <w:rPr>
                <w:sz w:val="20"/>
                <w:lang w:val="fr-CA"/>
              </w:rPr>
              <w:t>, RLRQ c C-25, art. 89, 786.</w:t>
            </w:r>
          </w:p>
          <w:p w:rsidR="007B0216" w:rsidRPr="00E007CB" w:rsidRDefault="007B0216" w:rsidP="00791BDA">
            <w:pPr>
              <w:jc w:val="both"/>
              <w:rPr>
                <w:rFonts w:eastAsia="Calibri"/>
                <w:sz w:val="20"/>
                <w:lang w:val="fr-CA"/>
              </w:rPr>
            </w:pPr>
          </w:p>
        </w:tc>
      </w:tr>
      <w:tr w:rsidR="00A916FF" w:rsidRPr="00E007CB" w:rsidTr="00791BDA">
        <w:tc>
          <w:tcPr>
            <w:tcW w:w="5000" w:type="pct"/>
            <w:gridSpan w:val="3"/>
          </w:tcPr>
          <w:p w:rsidR="00A916FF" w:rsidRDefault="007B0216" w:rsidP="007B0216">
            <w:pPr>
              <w:jc w:val="both"/>
              <w:rPr>
                <w:sz w:val="20"/>
                <w:lang w:val="fr-FR"/>
              </w:rPr>
            </w:pPr>
            <w:r w:rsidRPr="00F77596">
              <w:rPr>
                <w:sz w:val="20"/>
                <w:lang w:val="fr-CA"/>
              </w:rPr>
              <w:lastRenderedPageBreak/>
              <w:t xml:space="preserve">Monsieur Janesar, demandeur et résident du Koweït, a obtenu d’un tribunal koweïtien un jugement rendu par défaut en sa faveur condamnant Mme Ali Sultan Yousuf, intimée et résidente du Québec, à lui payer la moitié d’une indemnité qu’elle a reçue dans le cadre d’un régime d’indemnisation de la Commission d’indemnisation des Nations Unies à la suite de l’invasion du Koweït par l’Irak en 1991.  Le jugement précise, entre autres, que Mme Ali Sultan Yousuf a été valablement signifiée en vertu des lois koweïtiennes.  En 2011, M. Janesar a demandé à la Cour supérieure du Québec de reconnaître le jugement étranger.  Appliquant </w:t>
            </w:r>
            <w:r w:rsidRPr="00F77596">
              <w:rPr>
                <w:sz w:val="20"/>
                <w:lang w:val="fr-FR"/>
              </w:rPr>
              <w:t xml:space="preserve">la présomption de l’art. 2822 </w:t>
            </w:r>
            <w:r w:rsidRPr="00F77596">
              <w:rPr>
                <w:i/>
                <w:sz w:val="20"/>
                <w:lang w:val="fr-FR"/>
              </w:rPr>
              <w:t>C.c.Q.</w:t>
            </w:r>
            <w:r w:rsidRPr="00F77596">
              <w:rPr>
                <w:sz w:val="20"/>
                <w:lang w:val="fr-FR"/>
              </w:rPr>
              <w:t xml:space="preserve"> selon laquelle le jugement étranger est présumé faire preuve de son contenu, la Cour supérieure a accueilli la demande. </w:t>
            </w:r>
            <w:r w:rsidRPr="00F77596">
              <w:rPr>
                <w:sz w:val="20"/>
                <w:lang w:val="fr-CA"/>
              </w:rPr>
              <w:t xml:space="preserve"> </w:t>
            </w:r>
            <w:r w:rsidRPr="00F77596">
              <w:rPr>
                <w:sz w:val="20"/>
                <w:lang w:val="fr-FR"/>
              </w:rPr>
              <w:t>La Cour d’appel a infirmé cette décision.</w:t>
            </w:r>
          </w:p>
          <w:p w:rsidR="007B0216" w:rsidRPr="00E007CB" w:rsidRDefault="007B0216" w:rsidP="007B0216">
            <w:pPr>
              <w:jc w:val="both"/>
              <w:rPr>
                <w:sz w:val="20"/>
                <w:lang w:val="fr-CA"/>
              </w:rPr>
            </w:pPr>
          </w:p>
        </w:tc>
      </w:tr>
      <w:tr w:rsidR="00A916FF" w:rsidRPr="00002704" w:rsidTr="00791BDA">
        <w:trPr>
          <w:cantSplit/>
        </w:trPr>
        <w:tc>
          <w:tcPr>
            <w:tcW w:w="2427" w:type="pct"/>
          </w:tcPr>
          <w:p w:rsidR="00A25F24" w:rsidRPr="00F77596" w:rsidRDefault="00A25F24" w:rsidP="00A25F24">
            <w:pPr>
              <w:jc w:val="both"/>
              <w:rPr>
                <w:sz w:val="20"/>
                <w:lang w:val="fr-CA"/>
              </w:rPr>
            </w:pPr>
            <w:r w:rsidRPr="00F77596">
              <w:rPr>
                <w:sz w:val="20"/>
                <w:lang w:val="fr-CA"/>
              </w:rPr>
              <w:t>Le 13 décembre 2012</w:t>
            </w:r>
          </w:p>
          <w:p w:rsidR="00A25F24" w:rsidRPr="00F77596" w:rsidRDefault="00A25F24" w:rsidP="00A25F24">
            <w:pPr>
              <w:jc w:val="both"/>
              <w:rPr>
                <w:sz w:val="20"/>
                <w:lang w:val="fr-CA"/>
              </w:rPr>
            </w:pPr>
            <w:r w:rsidRPr="00F77596">
              <w:rPr>
                <w:sz w:val="20"/>
                <w:lang w:val="fr-CA"/>
              </w:rPr>
              <w:t>Cour supérieure du Québec</w:t>
            </w:r>
          </w:p>
          <w:p w:rsidR="00A25F24" w:rsidRPr="00F77596" w:rsidRDefault="00A25F24" w:rsidP="00A25F24">
            <w:pPr>
              <w:jc w:val="both"/>
              <w:rPr>
                <w:sz w:val="20"/>
              </w:rPr>
            </w:pPr>
            <w:r w:rsidRPr="00F77596">
              <w:rPr>
                <w:sz w:val="20"/>
              </w:rPr>
              <w:t>(Le juge Davis)</w:t>
            </w:r>
          </w:p>
          <w:p w:rsidR="00A25F24" w:rsidRPr="00F77596" w:rsidRDefault="00EC4FDF" w:rsidP="00A25F24">
            <w:pPr>
              <w:jc w:val="both"/>
              <w:rPr>
                <w:sz w:val="20"/>
              </w:rPr>
            </w:pPr>
            <w:hyperlink r:id="rId32" w:history="1">
              <w:r w:rsidR="00A25F24" w:rsidRPr="00F77596">
                <w:rPr>
                  <w:rStyle w:val="Hyperlink"/>
                  <w:sz w:val="20"/>
                </w:rPr>
                <w:t>2012 QCCS 6227</w:t>
              </w:r>
            </w:hyperlink>
          </w:p>
          <w:p w:rsidR="00A916FF" w:rsidRPr="00E007CB" w:rsidRDefault="00A916FF" w:rsidP="00791BDA">
            <w:pPr>
              <w:jc w:val="both"/>
              <w:rPr>
                <w:rFonts w:eastAsia="Calibri"/>
                <w:sz w:val="20"/>
                <w:lang w:val="fr-CA"/>
              </w:rPr>
            </w:pPr>
          </w:p>
        </w:tc>
        <w:tc>
          <w:tcPr>
            <w:tcW w:w="243" w:type="pct"/>
          </w:tcPr>
          <w:p w:rsidR="00A916FF" w:rsidRPr="00E007CB" w:rsidRDefault="00A916FF" w:rsidP="00791BDA">
            <w:pPr>
              <w:jc w:val="both"/>
              <w:rPr>
                <w:rFonts w:eastAsia="Calibri"/>
                <w:sz w:val="20"/>
                <w:lang w:val="fr-CA"/>
              </w:rPr>
            </w:pPr>
          </w:p>
        </w:tc>
        <w:tc>
          <w:tcPr>
            <w:tcW w:w="2330" w:type="pct"/>
          </w:tcPr>
          <w:p w:rsidR="00A25F24" w:rsidRPr="00F77596" w:rsidRDefault="00A25F24" w:rsidP="00A25F24">
            <w:pPr>
              <w:jc w:val="both"/>
              <w:rPr>
                <w:sz w:val="20"/>
                <w:lang w:val="fr-CA"/>
              </w:rPr>
            </w:pPr>
            <w:r w:rsidRPr="00F77596">
              <w:rPr>
                <w:sz w:val="20"/>
                <w:lang w:val="fr-CA"/>
              </w:rPr>
              <w:t>Requête introductive d’instance en reconnaissance et exécution d’une décision étrangère accueillie</w:t>
            </w:r>
          </w:p>
          <w:p w:rsidR="00A916FF" w:rsidRPr="00E007CB" w:rsidRDefault="00A916FF" w:rsidP="00791BDA">
            <w:pPr>
              <w:jc w:val="both"/>
              <w:rPr>
                <w:rFonts w:eastAsia="Calibri"/>
                <w:sz w:val="20"/>
                <w:lang w:val="fr-CA"/>
              </w:rPr>
            </w:pPr>
          </w:p>
        </w:tc>
      </w:tr>
      <w:tr w:rsidR="00A916FF" w:rsidRPr="00002704" w:rsidTr="00791BDA">
        <w:trPr>
          <w:cantSplit/>
        </w:trPr>
        <w:tc>
          <w:tcPr>
            <w:tcW w:w="2427" w:type="pct"/>
          </w:tcPr>
          <w:p w:rsidR="00A25F24" w:rsidRPr="00F77596" w:rsidRDefault="00A25F24" w:rsidP="00A25F24">
            <w:pPr>
              <w:jc w:val="both"/>
              <w:rPr>
                <w:sz w:val="20"/>
                <w:lang w:val="fr-CA"/>
              </w:rPr>
            </w:pPr>
            <w:r w:rsidRPr="00F77596">
              <w:rPr>
                <w:sz w:val="20"/>
                <w:lang w:val="fr-CA"/>
              </w:rPr>
              <w:t>Le 10 novembre 2014</w:t>
            </w:r>
          </w:p>
          <w:p w:rsidR="00A25F24" w:rsidRPr="00F77596" w:rsidRDefault="00A25F24" w:rsidP="00A25F24">
            <w:pPr>
              <w:jc w:val="both"/>
              <w:rPr>
                <w:sz w:val="20"/>
                <w:lang w:val="fr-CA"/>
              </w:rPr>
            </w:pPr>
            <w:r w:rsidRPr="00F77596">
              <w:rPr>
                <w:sz w:val="20"/>
                <w:lang w:val="fr-CA"/>
              </w:rPr>
              <w:t>Cour d’appel du Québec (Montréal)</w:t>
            </w:r>
          </w:p>
          <w:p w:rsidR="00A25F24" w:rsidRPr="00F77596" w:rsidRDefault="00A25F24" w:rsidP="00A25F24">
            <w:pPr>
              <w:jc w:val="both"/>
              <w:rPr>
                <w:sz w:val="20"/>
                <w:lang w:val="fr-CA"/>
              </w:rPr>
            </w:pPr>
            <w:r w:rsidRPr="00F77596">
              <w:rPr>
                <w:sz w:val="20"/>
                <w:lang w:val="fr-CA"/>
              </w:rPr>
              <w:t>(Les juges Morissette, Giroux et Bouchard)</w:t>
            </w:r>
          </w:p>
          <w:p w:rsidR="00A25F24" w:rsidRPr="00F77596" w:rsidRDefault="00EC4FDF" w:rsidP="00A25F24">
            <w:pPr>
              <w:jc w:val="both"/>
              <w:rPr>
                <w:sz w:val="20"/>
              </w:rPr>
            </w:pPr>
            <w:hyperlink r:id="rId33" w:history="1">
              <w:r w:rsidR="00A25F24" w:rsidRPr="00F77596">
                <w:rPr>
                  <w:rStyle w:val="Hyperlink"/>
                  <w:sz w:val="20"/>
                </w:rPr>
                <w:t>2014 QCCA 2096</w:t>
              </w:r>
            </w:hyperlink>
          </w:p>
          <w:p w:rsidR="00A916FF" w:rsidRPr="00E007CB" w:rsidRDefault="00A916FF" w:rsidP="00791BDA">
            <w:pPr>
              <w:jc w:val="both"/>
              <w:rPr>
                <w:rFonts w:eastAsia="Calibri"/>
                <w:sz w:val="20"/>
                <w:lang w:val="fr-CA"/>
              </w:rPr>
            </w:pPr>
          </w:p>
        </w:tc>
        <w:tc>
          <w:tcPr>
            <w:tcW w:w="243" w:type="pct"/>
          </w:tcPr>
          <w:p w:rsidR="00A916FF" w:rsidRPr="00E007CB" w:rsidRDefault="00A916FF" w:rsidP="00791BDA">
            <w:pPr>
              <w:jc w:val="both"/>
              <w:rPr>
                <w:rFonts w:eastAsia="Calibri"/>
                <w:sz w:val="20"/>
                <w:lang w:val="fr-CA"/>
              </w:rPr>
            </w:pPr>
          </w:p>
        </w:tc>
        <w:tc>
          <w:tcPr>
            <w:tcW w:w="2330" w:type="pct"/>
          </w:tcPr>
          <w:p w:rsidR="00A25F24" w:rsidRPr="00F77596" w:rsidRDefault="00A25F24" w:rsidP="00A25F24">
            <w:pPr>
              <w:jc w:val="both"/>
              <w:rPr>
                <w:sz w:val="20"/>
                <w:lang w:val="fr-CA"/>
              </w:rPr>
            </w:pPr>
            <w:r w:rsidRPr="00F77596">
              <w:rPr>
                <w:sz w:val="20"/>
                <w:lang w:val="fr-CA"/>
              </w:rPr>
              <w:t>Appel accueilli; requête introductive d’instance rejetée</w:t>
            </w:r>
          </w:p>
          <w:p w:rsidR="00A916FF" w:rsidRPr="00F77596" w:rsidRDefault="00A916FF" w:rsidP="00791BDA">
            <w:pPr>
              <w:jc w:val="both"/>
              <w:rPr>
                <w:sz w:val="20"/>
                <w:lang w:val="fr-CA"/>
              </w:rPr>
            </w:pPr>
          </w:p>
        </w:tc>
      </w:tr>
      <w:tr w:rsidR="00A25F24" w:rsidRPr="00E007CB" w:rsidTr="00791BDA">
        <w:trPr>
          <w:cantSplit/>
        </w:trPr>
        <w:tc>
          <w:tcPr>
            <w:tcW w:w="2427" w:type="pct"/>
          </w:tcPr>
          <w:p w:rsidR="00A25F24" w:rsidRPr="00E007CB" w:rsidRDefault="00A25F24" w:rsidP="00A25F24">
            <w:pPr>
              <w:jc w:val="both"/>
              <w:rPr>
                <w:rFonts w:eastAsia="Calibri"/>
                <w:sz w:val="20"/>
                <w:lang w:val="fr-CA"/>
              </w:rPr>
            </w:pPr>
            <w:r>
              <w:rPr>
                <w:rFonts w:eastAsia="Calibri"/>
                <w:sz w:val="20"/>
                <w:lang w:val="fr-CA"/>
              </w:rPr>
              <w:t>Le 22 janvier</w:t>
            </w:r>
            <w:r w:rsidRPr="00E007CB">
              <w:rPr>
                <w:rFonts w:eastAsia="Calibri"/>
                <w:sz w:val="20"/>
                <w:lang w:val="fr-CA"/>
              </w:rPr>
              <w:t xml:space="preserve"> 201</w:t>
            </w:r>
            <w:r>
              <w:rPr>
                <w:rFonts w:eastAsia="Calibri"/>
                <w:sz w:val="20"/>
                <w:lang w:val="fr-CA"/>
              </w:rPr>
              <w:t>5</w:t>
            </w:r>
          </w:p>
          <w:p w:rsidR="00A25F24" w:rsidRPr="00E007CB" w:rsidRDefault="00A25F24" w:rsidP="00A25F24">
            <w:pPr>
              <w:jc w:val="both"/>
              <w:rPr>
                <w:rFonts w:eastAsia="Calibri"/>
                <w:sz w:val="20"/>
                <w:lang w:val="fr-CA"/>
              </w:rPr>
            </w:pPr>
            <w:r w:rsidRPr="00E007CB">
              <w:rPr>
                <w:rFonts w:eastAsia="Calibri"/>
                <w:sz w:val="20"/>
                <w:lang w:val="fr-CA"/>
              </w:rPr>
              <w:t>Cour suprême du Canada</w:t>
            </w:r>
          </w:p>
        </w:tc>
        <w:tc>
          <w:tcPr>
            <w:tcW w:w="243" w:type="pct"/>
          </w:tcPr>
          <w:p w:rsidR="00A25F24" w:rsidRPr="00E007CB" w:rsidRDefault="00A25F24" w:rsidP="00A25F24">
            <w:pPr>
              <w:jc w:val="both"/>
              <w:rPr>
                <w:rFonts w:eastAsia="Calibri"/>
                <w:sz w:val="20"/>
                <w:lang w:val="fr-CA"/>
              </w:rPr>
            </w:pPr>
          </w:p>
        </w:tc>
        <w:tc>
          <w:tcPr>
            <w:tcW w:w="2330" w:type="pct"/>
          </w:tcPr>
          <w:p w:rsidR="00A25F24" w:rsidRPr="00F77596" w:rsidRDefault="00A25F24" w:rsidP="00A25F24">
            <w:pPr>
              <w:jc w:val="both"/>
              <w:rPr>
                <w:sz w:val="20"/>
                <w:lang w:val="fr-CA"/>
              </w:rPr>
            </w:pPr>
            <w:r w:rsidRPr="00F77596">
              <w:rPr>
                <w:sz w:val="20"/>
                <w:lang w:val="fr-CA"/>
              </w:rPr>
              <w:t>Requête en prorogation de délai et demande d'autorisation d'appel déposées</w:t>
            </w:r>
          </w:p>
        </w:tc>
      </w:tr>
    </w:tbl>
    <w:p w:rsidR="00A916FF" w:rsidRDefault="00A916FF" w:rsidP="00A916FF">
      <w:pPr>
        <w:rPr>
          <w:sz w:val="20"/>
          <w:szCs w:val="20"/>
        </w:rPr>
      </w:pPr>
    </w:p>
    <w:p w:rsidR="00A916FF" w:rsidRDefault="00EC4FDF" w:rsidP="00A916FF">
      <w:pPr>
        <w:rPr>
          <w:sz w:val="20"/>
          <w:szCs w:val="20"/>
        </w:rPr>
      </w:pPr>
      <w:r>
        <w:rPr>
          <w:sz w:val="20"/>
          <w:szCs w:val="20"/>
          <w:lang w:val="fr-CA"/>
        </w:rPr>
        <w:pict>
          <v:rect id="_x0000_i1040" style="width:2in;height:1pt" o:hrpct="0" o:hralign="center" o:hrstd="t" o:hrnoshade="t" o:hr="t" fillcolor="black [3213]" stroked="f"/>
        </w:pict>
      </w:r>
    </w:p>
    <w:p w:rsidR="00A916FF" w:rsidRDefault="00A916FF" w:rsidP="00A916F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70DAE" w:rsidRPr="00A73D2C" w:rsidTr="00791BDA">
        <w:trPr>
          <w:cantSplit/>
        </w:trPr>
        <w:tc>
          <w:tcPr>
            <w:tcW w:w="1458" w:type="dxa"/>
          </w:tcPr>
          <w:p w:rsidR="00970DAE" w:rsidRPr="00A73D2C" w:rsidRDefault="00970DAE" w:rsidP="00791BDA">
            <w:pPr>
              <w:rPr>
                <w:sz w:val="20"/>
                <w:szCs w:val="20"/>
              </w:rPr>
            </w:pPr>
            <w:r w:rsidRPr="00AD5342">
              <w:rPr>
                <w:rStyle w:val="SCCFileNumberChar"/>
                <w:sz w:val="20"/>
                <w:szCs w:val="20"/>
              </w:rPr>
              <w:t>36291</w:t>
            </w:r>
          </w:p>
          <w:p w:rsidR="00970DAE" w:rsidRPr="00A73D2C" w:rsidRDefault="00970DAE" w:rsidP="00791BDA">
            <w:pPr>
              <w:rPr>
                <w:b/>
                <w:sz w:val="20"/>
                <w:szCs w:val="20"/>
                <w:lang w:val="fr-CA"/>
              </w:rPr>
            </w:pPr>
          </w:p>
        </w:tc>
        <w:tc>
          <w:tcPr>
            <w:tcW w:w="8118" w:type="dxa"/>
          </w:tcPr>
          <w:p w:rsidR="00970DAE" w:rsidRPr="00A73D2C" w:rsidRDefault="00970DAE" w:rsidP="00791BDA">
            <w:pPr>
              <w:rPr>
                <w:sz w:val="20"/>
                <w:szCs w:val="20"/>
              </w:rPr>
            </w:pPr>
            <w:r w:rsidRPr="00970DAE">
              <w:rPr>
                <w:rStyle w:val="SCCLsocChar"/>
                <w:sz w:val="20"/>
                <w:szCs w:val="20"/>
                <w:lang w:val="en-CA"/>
              </w:rPr>
              <w:t>Albert Benhaim</w:t>
            </w:r>
            <w:r w:rsidR="00E26CA3">
              <w:rPr>
                <w:rStyle w:val="SCCLsocChar"/>
                <w:sz w:val="20"/>
                <w:szCs w:val="20"/>
                <w:lang w:val="en-CA"/>
              </w:rPr>
              <w:t xml:space="preserve"> et</w:t>
            </w:r>
            <w:r w:rsidR="00480859">
              <w:rPr>
                <w:rStyle w:val="SCCLsocChar"/>
                <w:sz w:val="20"/>
                <w:szCs w:val="20"/>
                <w:lang w:val="en-CA"/>
              </w:rPr>
              <w:t xml:space="preserve"> Michael O’Donovan</w:t>
            </w:r>
            <w:r w:rsidRPr="00970DAE">
              <w:rPr>
                <w:rStyle w:val="SCCLsocChar"/>
                <w:sz w:val="20"/>
                <w:szCs w:val="20"/>
                <w:lang w:val="en-CA"/>
              </w:rPr>
              <w:t xml:space="preserve"> </w:t>
            </w:r>
            <w:r w:rsidR="00E128A0">
              <w:rPr>
                <w:rStyle w:val="SCCLsocChar"/>
                <w:sz w:val="20"/>
                <w:szCs w:val="20"/>
                <w:lang w:val="en-CA"/>
              </w:rPr>
              <w:t>c</w:t>
            </w:r>
            <w:r w:rsidRPr="00970DAE">
              <w:rPr>
                <w:rStyle w:val="SCCLsocChar"/>
                <w:sz w:val="20"/>
                <w:szCs w:val="20"/>
                <w:lang w:val="en-CA"/>
              </w:rPr>
              <w:t xml:space="preserve">. Cathie St-Germain, </w:t>
            </w:r>
            <w:r w:rsidR="00E128A0" w:rsidRPr="00E128A0">
              <w:rPr>
                <w:rStyle w:val="SCCLsocChar"/>
                <w:sz w:val="20"/>
                <w:szCs w:val="20"/>
                <w:lang w:val="en-CA"/>
              </w:rPr>
              <w:t>personnellement et en sa qualité de tutrice à son fils mineur</w:t>
            </w:r>
            <w:r w:rsidR="00341827">
              <w:rPr>
                <w:rStyle w:val="SCCLsocChar"/>
                <w:sz w:val="20"/>
                <w:szCs w:val="20"/>
                <w:lang w:val="en-CA"/>
              </w:rPr>
              <w:t>,</w:t>
            </w:r>
            <w:r w:rsidR="00E128A0" w:rsidRPr="00E128A0">
              <w:rPr>
                <w:rStyle w:val="SCCLsocChar"/>
                <w:sz w:val="20"/>
                <w:szCs w:val="20"/>
                <w:lang w:val="en-CA"/>
              </w:rPr>
              <w:t xml:space="preserve"> dont le nom est gardé confidentiel, et en sa qualité de légataire universelle de feu Marc Émond</w:t>
            </w:r>
            <w:r w:rsidRPr="00A73D2C">
              <w:rPr>
                <w:sz w:val="20"/>
                <w:szCs w:val="20"/>
              </w:rPr>
              <w:t xml:space="preserve"> (</w:t>
            </w:r>
            <w:r>
              <w:rPr>
                <w:sz w:val="20"/>
                <w:szCs w:val="20"/>
              </w:rPr>
              <w:t>Q</w:t>
            </w:r>
            <w:r w:rsidR="00E128A0">
              <w:rPr>
                <w:sz w:val="20"/>
                <w:szCs w:val="20"/>
              </w:rPr>
              <w:t>c</w:t>
            </w:r>
            <w:r w:rsidRPr="00A73D2C">
              <w:rPr>
                <w:sz w:val="20"/>
                <w:szCs w:val="20"/>
              </w:rPr>
              <w:t>) (C</w:t>
            </w:r>
            <w:r>
              <w:rPr>
                <w:sz w:val="20"/>
                <w:szCs w:val="20"/>
              </w:rPr>
              <w:t>ivil</w:t>
            </w:r>
            <w:r w:rsidR="00E128A0">
              <w:rPr>
                <w:sz w:val="20"/>
                <w:szCs w:val="20"/>
              </w:rPr>
              <w:t>e</w:t>
            </w:r>
            <w:r w:rsidRPr="00A73D2C">
              <w:rPr>
                <w:sz w:val="20"/>
                <w:szCs w:val="20"/>
              </w:rPr>
              <w:t>) (</w:t>
            </w:r>
            <w:r w:rsidR="00E128A0">
              <w:rPr>
                <w:sz w:val="20"/>
                <w:szCs w:val="20"/>
              </w:rPr>
              <w:t>Autorisation</w:t>
            </w:r>
            <w:r w:rsidRPr="00A73D2C">
              <w:rPr>
                <w:sz w:val="20"/>
                <w:szCs w:val="20"/>
              </w:rPr>
              <w:t>)</w:t>
            </w:r>
          </w:p>
          <w:p w:rsidR="00970DAE" w:rsidRPr="00A73D2C" w:rsidRDefault="00970DAE" w:rsidP="00791BDA">
            <w:pPr>
              <w:rPr>
                <w:sz w:val="20"/>
                <w:szCs w:val="20"/>
              </w:rPr>
            </w:pPr>
          </w:p>
        </w:tc>
      </w:tr>
      <w:tr w:rsidR="00970DAE" w:rsidRPr="00A73D2C" w:rsidTr="00791BDA">
        <w:trPr>
          <w:cantSplit/>
        </w:trPr>
        <w:tc>
          <w:tcPr>
            <w:tcW w:w="1458" w:type="dxa"/>
          </w:tcPr>
          <w:p w:rsidR="00970DAE" w:rsidRPr="00A73D2C" w:rsidRDefault="00970DAE" w:rsidP="00791BDA">
            <w:pPr>
              <w:rPr>
                <w:sz w:val="20"/>
                <w:szCs w:val="20"/>
              </w:rPr>
            </w:pPr>
            <w:r w:rsidRPr="00A73D2C">
              <w:rPr>
                <w:sz w:val="20"/>
                <w:szCs w:val="20"/>
              </w:rPr>
              <w:t>Coram :</w:t>
            </w:r>
          </w:p>
        </w:tc>
        <w:tc>
          <w:tcPr>
            <w:tcW w:w="8118" w:type="dxa"/>
          </w:tcPr>
          <w:p w:rsidR="00970DAE" w:rsidRDefault="008A0657" w:rsidP="00791BDA">
            <w:pPr>
              <w:rPr>
                <w:rStyle w:val="SCCCoramChar"/>
                <w:sz w:val="20"/>
                <w:szCs w:val="20"/>
                <w:lang w:val="en-CA"/>
              </w:rPr>
            </w:pPr>
            <w:r w:rsidRPr="008A0657">
              <w:rPr>
                <w:rStyle w:val="SCCCoramChar"/>
                <w:sz w:val="20"/>
                <w:szCs w:val="20"/>
                <w:lang w:val="en-CA"/>
              </w:rPr>
              <w:t>Les juges Abella, Karakatsanis et Côté</w:t>
            </w:r>
          </w:p>
          <w:p w:rsidR="008A0657" w:rsidRPr="00A73D2C" w:rsidRDefault="008A0657" w:rsidP="00791BDA">
            <w:pPr>
              <w:rPr>
                <w:sz w:val="20"/>
                <w:szCs w:val="20"/>
                <w:u w:val="single"/>
              </w:rPr>
            </w:pPr>
          </w:p>
        </w:tc>
      </w:tr>
      <w:tr w:rsidR="00970DAE" w:rsidRPr="00002704" w:rsidTr="00791BDA">
        <w:trPr>
          <w:cantSplit/>
        </w:trPr>
        <w:tc>
          <w:tcPr>
            <w:tcW w:w="9576" w:type="dxa"/>
            <w:gridSpan w:val="2"/>
          </w:tcPr>
          <w:p w:rsidR="008A0657" w:rsidRPr="008A0657" w:rsidRDefault="008A0657" w:rsidP="008A0657">
            <w:pPr>
              <w:pStyle w:val="SCCShortJudgment"/>
              <w:rPr>
                <w:szCs w:val="20"/>
              </w:rPr>
            </w:pPr>
            <w:r w:rsidRPr="008A0657">
              <w:rPr>
                <w:szCs w:val="20"/>
              </w:rPr>
              <w:t>La demande d’autorisation d’appel de l’arrêt de la Cour d’appel du Québec (Montréal), numéro 500-09-022070-114, 2014 QCCA 2207, daté du 5 décembre 2014 et rectifié la 12 décembre 2014, est accueillie avec dépens suivant l’issue de la cause.</w:t>
            </w:r>
          </w:p>
          <w:p w:rsidR="008A0657" w:rsidRPr="008A0657" w:rsidRDefault="008A0657" w:rsidP="008A0657">
            <w:pPr>
              <w:pStyle w:val="SCCShortJudgment"/>
              <w:rPr>
                <w:szCs w:val="20"/>
              </w:rPr>
            </w:pPr>
          </w:p>
          <w:p w:rsidR="00970DAE" w:rsidRPr="00A73D2C" w:rsidRDefault="008A0657" w:rsidP="008A0657">
            <w:pPr>
              <w:pStyle w:val="SCCShortJudgment"/>
              <w:rPr>
                <w:szCs w:val="20"/>
                <w:lang w:val="fr-CA"/>
              </w:rPr>
            </w:pPr>
            <w:r w:rsidRPr="008A0657">
              <w:rPr>
                <w:szCs w:val="20"/>
              </w:rPr>
              <w:t>The application for leave to appeal from the judgment of the Court of Appeal of Quebec (Montréal), Number 500-09-022070-114, 2014 QCCA 2207, dated December 5, 2014 and rectified December 12, 2014, is granted with costs in the cause.</w:t>
            </w:r>
          </w:p>
        </w:tc>
      </w:tr>
    </w:tbl>
    <w:p w:rsidR="00970DAE" w:rsidRPr="0016547E" w:rsidRDefault="00970DAE" w:rsidP="00970DAE">
      <w:pPr>
        <w:rPr>
          <w:sz w:val="20"/>
          <w:szCs w:val="20"/>
          <w:lang w:val="fr-CA"/>
        </w:rPr>
      </w:pPr>
    </w:p>
    <w:p w:rsidR="00970DAE" w:rsidRPr="001B157C" w:rsidRDefault="00970DAE" w:rsidP="00970DAE">
      <w:pPr>
        <w:rPr>
          <w:sz w:val="20"/>
          <w:szCs w:val="20"/>
          <w:u w:val="single"/>
        </w:rPr>
      </w:pPr>
      <w:r w:rsidRPr="001B157C">
        <w:rPr>
          <w:sz w:val="20"/>
          <w:szCs w:val="20"/>
          <w:u w:val="single"/>
        </w:rPr>
        <w:t>CASE SUMMARY</w:t>
      </w:r>
    </w:p>
    <w:p w:rsidR="00970DAE" w:rsidRDefault="00970DAE" w:rsidP="00970DA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70DAE" w:rsidRPr="00E007CB" w:rsidTr="00791BDA">
        <w:tc>
          <w:tcPr>
            <w:tcW w:w="5000" w:type="pct"/>
            <w:gridSpan w:val="3"/>
          </w:tcPr>
          <w:p w:rsidR="002E3712" w:rsidRPr="00F77596" w:rsidRDefault="002E3712" w:rsidP="002E3712">
            <w:pPr>
              <w:pStyle w:val="SCCBanSummary"/>
              <w:rPr>
                <w:sz w:val="20"/>
                <w:szCs w:val="20"/>
              </w:rPr>
            </w:pPr>
            <w:r w:rsidRPr="00F77596">
              <w:rPr>
                <w:sz w:val="20"/>
                <w:szCs w:val="20"/>
              </w:rPr>
              <w:t>(Publication Ban in Case)</w:t>
            </w:r>
          </w:p>
          <w:p w:rsidR="00970DAE" w:rsidRDefault="00970DAE" w:rsidP="00791BDA">
            <w:pPr>
              <w:jc w:val="both"/>
              <w:rPr>
                <w:rFonts w:eastAsia="Calibri"/>
                <w:sz w:val="20"/>
              </w:rPr>
            </w:pPr>
          </w:p>
          <w:p w:rsidR="002E3712" w:rsidRDefault="002E3712" w:rsidP="00791BDA">
            <w:pPr>
              <w:jc w:val="both"/>
              <w:rPr>
                <w:sz w:val="20"/>
              </w:rPr>
            </w:pPr>
            <w:r w:rsidRPr="00F77596">
              <w:rPr>
                <w:sz w:val="20"/>
              </w:rPr>
              <w:t>Civil liability – Medical malpractice – Causation – Evidence – Presumptions – Negative inference – Absence of direct evidence enabling complainants to prove causation because of fault of physicians – Whether Court of Appeal erred in interfering with trial judge’s findings of fact, thereby determining that applicants were liable.</w:t>
            </w:r>
          </w:p>
          <w:p w:rsidR="002E3712" w:rsidRPr="00E007CB" w:rsidRDefault="002E3712" w:rsidP="00791BDA">
            <w:pPr>
              <w:jc w:val="both"/>
              <w:rPr>
                <w:rFonts w:eastAsia="Calibri"/>
                <w:sz w:val="20"/>
              </w:rPr>
            </w:pPr>
          </w:p>
        </w:tc>
      </w:tr>
      <w:tr w:rsidR="00970DAE" w:rsidRPr="00E007CB" w:rsidTr="00791BDA">
        <w:tc>
          <w:tcPr>
            <w:tcW w:w="5000" w:type="pct"/>
            <w:gridSpan w:val="3"/>
          </w:tcPr>
          <w:p w:rsidR="002E3712" w:rsidRPr="00F77596" w:rsidRDefault="002E3712" w:rsidP="002E3712">
            <w:pPr>
              <w:jc w:val="both"/>
              <w:rPr>
                <w:sz w:val="20"/>
              </w:rPr>
            </w:pPr>
            <w:r w:rsidRPr="00F77596">
              <w:rPr>
                <w:sz w:val="20"/>
              </w:rPr>
              <w:t>Cathie St</w:t>
            </w:r>
            <w:r w:rsidRPr="00F77596">
              <w:rPr>
                <w:sz w:val="20"/>
              </w:rPr>
              <w:noBreakHyphen/>
              <w:t>Germain brought a medical malpractice suit, in her own name and in her capacity as universal legatee and as tutor to her minor son, against the attending physician and the radiologist of her spouse, Marc Émond, who had died of lung cancer in 2008 at the age of 47.</w:t>
            </w:r>
          </w:p>
          <w:p w:rsidR="002E3712" w:rsidRPr="00F77596" w:rsidRDefault="002E3712" w:rsidP="002E3712">
            <w:pPr>
              <w:jc w:val="both"/>
              <w:rPr>
                <w:sz w:val="20"/>
              </w:rPr>
            </w:pPr>
          </w:p>
          <w:p w:rsidR="002E3712" w:rsidRPr="00F77596" w:rsidRDefault="002E3712" w:rsidP="002E3712">
            <w:pPr>
              <w:jc w:val="both"/>
              <w:rPr>
                <w:sz w:val="20"/>
              </w:rPr>
            </w:pPr>
            <w:r w:rsidRPr="00F77596">
              <w:rPr>
                <w:sz w:val="20"/>
              </w:rPr>
              <w:lastRenderedPageBreak/>
              <w:t>She argued that the applicants had failed to detect and investigate the presence of a nodule on her spouse’s right lung, which had appeared as a shadow on a lung X</w:t>
            </w:r>
            <w:r w:rsidRPr="00F77596">
              <w:rPr>
                <w:sz w:val="20"/>
              </w:rPr>
              <w:noBreakHyphen/>
              <w:t>ray taken by chance in November 2005, and had failed to propose a course of action that would have allowed for early diagnosis and full recovery.  She claimed a total of $3,780,000 in damages.</w:t>
            </w:r>
          </w:p>
          <w:p w:rsidR="002E3712" w:rsidRPr="00F77596" w:rsidRDefault="002E3712" w:rsidP="002E3712">
            <w:pPr>
              <w:jc w:val="both"/>
              <w:rPr>
                <w:sz w:val="20"/>
              </w:rPr>
            </w:pPr>
          </w:p>
          <w:p w:rsidR="002E3712" w:rsidRPr="00F77596" w:rsidRDefault="002E3712" w:rsidP="002E3712">
            <w:pPr>
              <w:jc w:val="both"/>
              <w:rPr>
                <w:sz w:val="20"/>
              </w:rPr>
            </w:pPr>
            <w:r w:rsidRPr="00F77596">
              <w:rPr>
                <w:sz w:val="20"/>
              </w:rPr>
              <w:t xml:space="preserve">In their defence, the applicants argued that a diagnosis in November 2005 would not have allowed Mr. Émond to recover because the cancer was already at an advanced stage. </w:t>
            </w:r>
          </w:p>
          <w:p w:rsidR="002E3712" w:rsidRPr="00F77596" w:rsidRDefault="002E3712" w:rsidP="002E3712">
            <w:pPr>
              <w:jc w:val="both"/>
              <w:rPr>
                <w:sz w:val="20"/>
              </w:rPr>
            </w:pPr>
          </w:p>
          <w:p w:rsidR="002E3712" w:rsidRPr="00F77596" w:rsidRDefault="002E3712" w:rsidP="002E3712">
            <w:pPr>
              <w:jc w:val="both"/>
              <w:rPr>
                <w:sz w:val="20"/>
              </w:rPr>
            </w:pPr>
            <w:r w:rsidRPr="00F77596">
              <w:rPr>
                <w:sz w:val="20"/>
              </w:rPr>
              <w:t>The Superior Court held that the physicians were at fault in this case but that causation had not been proved.  The Court of Appeal set aside the decision.</w:t>
            </w:r>
          </w:p>
          <w:p w:rsidR="00970DAE" w:rsidRPr="00E007CB" w:rsidRDefault="00970DAE" w:rsidP="00791BDA">
            <w:pPr>
              <w:jc w:val="both"/>
              <w:rPr>
                <w:rFonts w:eastAsia="Calibri"/>
                <w:sz w:val="20"/>
              </w:rPr>
            </w:pPr>
          </w:p>
        </w:tc>
      </w:tr>
      <w:tr w:rsidR="00970DAE" w:rsidRPr="00E007CB" w:rsidTr="00791BDA">
        <w:trPr>
          <w:cantSplit/>
        </w:trPr>
        <w:tc>
          <w:tcPr>
            <w:tcW w:w="2427" w:type="pct"/>
          </w:tcPr>
          <w:p w:rsidR="002E3712" w:rsidRPr="00F77596" w:rsidRDefault="002E3712" w:rsidP="002E3712">
            <w:pPr>
              <w:jc w:val="both"/>
              <w:rPr>
                <w:sz w:val="20"/>
              </w:rPr>
            </w:pPr>
            <w:r w:rsidRPr="00F77596">
              <w:rPr>
                <w:sz w:val="20"/>
              </w:rPr>
              <w:lastRenderedPageBreak/>
              <w:t>September 7, 2011</w:t>
            </w:r>
          </w:p>
          <w:p w:rsidR="002E3712" w:rsidRPr="00F77596" w:rsidRDefault="002E3712" w:rsidP="002E3712">
            <w:pPr>
              <w:jc w:val="both"/>
              <w:rPr>
                <w:sz w:val="20"/>
              </w:rPr>
            </w:pPr>
            <w:r w:rsidRPr="00F77596">
              <w:rPr>
                <w:sz w:val="20"/>
              </w:rPr>
              <w:t>Quebec Superior Court</w:t>
            </w:r>
          </w:p>
          <w:p w:rsidR="002E3712" w:rsidRPr="00F77596" w:rsidRDefault="002E3712" w:rsidP="002E3712">
            <w:pPr>
              <w:jc w:val="both"/>
              <w:rPr>
                <w:sz w:val="20"/>
              </w:rPr>
            </w:pPr>
            <w:r w:rsidRPr="00F77596">
              <w:rPr>
                <w:sz w:val="20"/>
              </w:rPr>
              <w:t>(Marcotte J.)</w:t>
            </w:r>
          </w:p>
          <w:p w:rsidR="002E3712" w:rsidRPr="00F77596" w:rsidRDefault="00EC4FDF" w:rsidP="002E3712">
            <w:pPr>
              <w:jc w:val="both"/>
              <w:rPr>
                <w:sz w:val="20"/>
              </w:rPr>
            </w:pPr>
            <w:hyperlink r:id="rId34" w:history="1">
              <w:r w:rsidR="002E3712" w:rsidRPr="00F77596">
                <w:rPr>
                  <w:rStyle w:val="Hyperlink"/>
                  <w:sz w:val="20"/>
                </w:rPr>
                <w:t>2011 QCCS 4755</w:t>
              </w:r>
            </w:hyperlink>
            <w:r w:rsidR="002E3712" w:rsidRPr="00F77596">
              <w:rPr>
                <w:sz w:val="20"/>
              </w:rPr>
              <w:t xml:space="preserve"> </w:t>
            </w:r>
          </w:p>
          <w:p w:rsidR="00970DAE" w:rsidRPr="00E007CB" w:rsidRDefault="00970DAE" w:rsidP="00791BDA">
            <w:pPr>
              <w:jc w:val="both"/>
              <w:rPr>
                <w:rFonts w:eastAsia="Calibri"/>
                <w:sz w:val="20"/>
              </w:rPr>
            </w:pPr>
          </w:p>
        </w:tc>
        <w:tc>
          <w:tcPr>
            <w:tcW w:w="243" w:type="pct"/>
          </w:tcPr>
          <w:p w:rsidR="00970DAE" w:rsidRPr="00E007CB" w:rsidRDefault="00970DAE" w:rsidP="00791BDA">
            <w:pPr>
              <w:jc w:val="both"/>
              <w:rPr>
                <w:rFonts w:eastAsia="Calibri"/>
                <w:sz w:val="20"/>
              </w:rPr>
            </w:pPr>
          </w:p>
        </w:tc>
        <w:tc>
          <w:tcPr>
            <w:tcW w:w="2330" w:type="pct"/>
          </w:tcPr>
          <w:p w:rsidR="002E3712" w:rsidRPr="00F77596" w:rsidRDefault="002E3712" w:rsidP="002E3712">
            <w:pPr>
              <w:jc w:val="both"/>
              <w:rPr>
                <w:sz w:val="20"/>
              </w:rPr>
            </w:pPr>
            <w:r w:rsidRPr="00F77596">
              <w:rPr>
                <w:sz w:val="20"/>
              </w:rPr>
              <w:t>Medical malpractice suit allowed in part: $70,000 awarded for injury caused</w:t>
            </w:r>
          </w:p>
          <w:p w:rsidR="00970DAE" w:rsidRPr="00E007CB" w:rsidRDefault="00970DAE" w:rsidP="00791BDA">
            <w:pPr>
              <w:jc w:val="both"/>
              <w:rPr>
                <w:rFonts w:eastAsia="Calibri"/>
                <w:sz w:val="20"/>
              </w:rPr>
            </w:pPr>
          </w:p>
        </w:tc>
      </w:tr>
      <w:tr w:rsidR="002E3712" w:rsidRPr="00E007CB" w:rsidTr="00791BDA">
        <w:trPr>
          <w:cantSplit/>
        </w:trPr>
        <w:tc>
          <w:tcPr>
            <w:tcW w:w="2427" w:type="pct"/>
          </w:tcPr>
          <w:p w:rsidR="002E3712" w:rsidRPr="00F77596" w:rsidRDefault="002E3712" w:rsidP="002E3712">
            <w:pPr>
              <w:jc w:val="both"/>
              <w:rPr>
                <w:sz w:val="20"/>
              </w:rPr>
            </w:pPr>
            <w:r w:rsidRPr="00F77596">
              <w:rPr>
                <w:sz w:val="20"/>
              </w:rPr>
              <w:t>December 5, 2014</w:t>
            </w:r>
          </w:p>
          <w:p w:rsidR="002E3712" w:rsidRPr="00F77596" w:rsidRDefault="002E3712" w:rsidP="002E3712">
            <w:pPr>
              <w:jc w:val="both"/>
              <w:rPr>
                <w:sz w:val="20"/>
              </w:rPr>
            </w:pPr>
            <w:r w:rsidRPr="00F77596">
              <w:rPr>
                <w:sz w:val="20"/>
              </w:rPr>
              <w:t>(Judgment corrected on December 12, 2014)</w:t>
            </w:r>
          </w:p>
          <w:p w:rsidR="002E3712" w:rsidRPr="00F77596" w:rsidRDefault="002E3712" w:rsidP="002E3712">
            <w:pPr>
              <w:jc w:val="both"/>
              <w:rPr>
                <w:sz w:val="20"/>
              </w:rPr>
            </w:pPr>
            <w:r w:rsidRPr="00F77596">
              <w:rPr>
                <w:sz w:val="20"/>
              </w:rPr>
              <w:t>Quebec Court of Appeal (Montréal)</w:t>
            </w:r>
          </w:p>
          <w:p w:rsidR="002E3712" w:rsidRPr="00F77596" w:rsidRDefault="002E3712" w:rsidP="002E3712">
            <w:pPr>
              <w:jc w:val="both"/>
              <w:rPr>
                <w:sz w:val="20"/>
              </w:rPr>
            </w:pPr>
            <w:r w:rsidRPr="00F77596">
              <w:rPr>
                <w:sz w:val="20"/>
              </w:rPr>
              <w:t>(Kasirer, Fournier and Bélanger JJ.A.)</w:t>
            </w:r>
          </w:p>
          <w:p w:rsidR="002E3712" w:rsidRPr="00F77596" w:rsidRDefault="00EC4FDF" w:rsidP="002E3712">
            <w:pPr>
              <w:jc w:val="both"/>
              <w:rPr>
                <w:sz w:val="20"/>
              </w:rPr>
            </w:pPr>
            <w:hyperlink r:id="rId35" w:history="1">
              <w:r w:rsidR="002E3712" w:rsidRPr="00F77596">
                <w:rPr>
                  <w:rStyle w:val="Hyperlink"/>
                  <w:sz w:val="20"/>
                </w:rPr>
                <w:t>2014 QCCA 2207</w:t>
              </w:r>
            </w:hyperlink>
            <w:r w:rsidR="002E3712" w:rsidRPr="00F77596">
              <w:rPr>
                <w:sz w:val="20"/>
              </w:rPr>
              <w:t>; 500-09-0233070-114</w:t>
            </w:r>
          </w:p>
          <w:p w:rsidR="002E3712" w:rsidRPr="00E007CB" w:rsidRDefault="002E3712" w:rsidP="002E3712">
            <w:pPr>
              <w:jc w:val="both"/>
              <w:rPr>
                <w:rFonts w:eastAsia="Calibri"/>
                <w:sz w:val="20"/>
              </w:rPr>
            </w:pPr>
          </w:p>
        </w:tc>
        <w:tc>
          <w:tcPr>
            <w:tcW w:w="243" w:type="pct"/>
          </w:tcPr>
          <w:p w:rsidR="002E3712" w:rsidRPr="00E007CB" w:rsidRDefault="002E3712" w:rsidP="002E3712">
            <w:pPr>
              <w:jc w:val="both"/>
              <w:rPr>
                <w:rFonts w:eastAsia="Calibri"/>
                <w:sz w:val="20"/>
              </w:rPr>
            </w:pPr>
          </w:p>
        </w:tc>
        <w:tc>
          <w:tcPr>
            <w:tcW w:w="2330" w:type="pct"/>
          </w:tcPr>
          <w:p w:rsidR="002E3712" w:rsidRPr="00F77596" w:rsidRDefault="002E3712" w:rsidP="002E3712">
            <w:pPr>
              <w:jc w:val="both"/>
              <w:rPr>
                <w:sz w:val="20"/>
              </w:rPr>
            </w:pPr>
            <w:r w:rsidRPr="00F77596">
              <w:rPr>
                <w:sz w:val="20"/>
              </w:rPr>
              <w:t>Appeal allowed in part</w:t>
            </w:r>
          </w:p>
        </w:tc>
      </w:tr>
      <w:tr w:rsidR="002E3712" w:rsidRPr="00E007CB" w:rsidTr="00791BDA">
        <w:trPr>
          <w:cantSplit/>
        </w:trPr>
        <w:tc>
          <w:tcPr>
            <w:tcW w:w="2427" w:type="pct"/>
          </w:tcPr>
          <w:p w:rsidR="002E3712" w:rsidRPr="00E007CB" w:rsidRDefault="002E3712" w:rsidP="002E3712">
            <w:pPr>
              <w:jc w:val="both"/>
              <w:rPr>
                <w:rFonts w:eastAsia="Calibri"/>
                <w:sz w:val="20"/>
              </w:rPr>
            </w:pPr>
            <w:r>
              <w:rPr>
                <w:rFonts w:eastAsia="Calibri"/>
                <w:sz w:val="20"/>
              </w:rPr>
              <w:t>February</w:t>
            </w:r>
            <w:r w:rsidRPr="00E007CB">
              <w:rPr>
                <w:rFonts w:eastAsia="Calibri"/>
                <w:sz w:val="20"/>
              </w:rPr>
              <w:t xml:space="preserve"> </w:t>
            </w:r>
            <w:r>
              <w:rPr>
                <w:rFonts w:eastAsia="Calibri"/>
                <w:sz w:val="20"/>
              </w:rPr>
              <w:t>3,</w:t>
            </w:r>
            <w:r w:rsidRPr="00E007CB">
              <w:rPr>
                <w:rFonts w:eastAsia="Calibri"/>
                <w:sz w:val="20"/>
              </w:rPr>
              <w:t xml:space="preserve"> 201</w:t>
            </w:r>
            <w:r>
              <w:rPr>
                <w:rFonts w:eastAsia="Calibri"/>
                <w:sz w:val="20"/>
              </w:rPr>
              <w:t>5</w:t>
            </w:r>
          </w:p>
          <w:p w:rsidR="002E3712" w:rsidRPr="00E007CB" w:rsidRDefault="002E3712" w:rsidP="002E3712">
            <w:pPr>
              <w:jc w:val="both"/>
              <w:rPr>
                <w:rFonts w:eastAsia="Calibri"/>
                <w:sz w:val="20"/>
              </w:rPr>
            </w:pPr>
            <w:r w:rsidRPr="00E007CB">
              <w:rPr>
                <w:rFonts w:eastAsia="Calibri"/>
                <w:sz w:val="20"/>
              </w:rPr>
              <w:t>Supreme Court of Canada</w:t>
            </w:r>
          </w:p>
        </w:tc>
        <w:tc>
          <w:tcPr>
            <w:tcW w:w="243" w:type="pct"/>
          </w:tcPr>
          <w:p w:rsidR="002E3712" w:rsidRPr="00E007CB" w:rsidRDefault="002E3712" w:rsidP="002E3712">
            <w:pPr>
              <w:jc w:val="both"/>
              <w:rPr>
                <w:rFonts w:eastAsia="Calibri"/>
                <w:sz w:val="20"/>
              </w:rPr>
            </w:pPr>
          </w:p>
        </w:tc>
        <w:tc>
          <w:tcPr>
            <w:tcW w:w="2330" w:type="pct"/>
          </w:tcPr>
          <w:p w:rsidR="002E3712" w:rsidRPr="00F77596" w:rsidRDefault="002E3712" w:rsidP="002E3712">
            <w:pPr>
              <w:jc w:val="both"/>
              <w:rPr>
                <w:sz w:val="20"/>
              </w:rPr>
            </w:pPr>
            <w:r w:rsidRPr="00F77596">
              <w:rPr>
                <w:sz w:val="20"/>
              </w:rPr>
              <w:t>Application for leave to appeal filed</w:t>
            </w:r>
          </w:p>
          <w:p w:rsidR="002E3712" w:rsidRPr="00F77596" w:rsidRDefault="002E3712" w:rsidP="002E3712">
            <w:pPr>
              <w:jc w:val="both"/>
              <w:rPr>
                <w:sz w:val="20"/>
              </w:rPr>
            </w:pPr>
          </w:p>
        </w:tc>
      </w:tr>
    </w:tbl>
    <w:p w:rsidR="00970DAE" w:rsidRDefault="00970DAE" w:rsidP="00970DAE">
      <w:pPr>
        <w:rPr>
          <w:sz w:val="20"/>
          <w:szCs w:val="20"/>
        </w:rPr>
      </w:pPr>
    </w:p>
    <w:p w:rsidR="00970DAE" w:rsidRPr="00C50A5C" w:rsidRDefault="00EC4FDF" w:rsidP="00970DAE">
      <w:pPr>
        <w:rPr>
          <w:sz w:val="20"/>
          <w:szCs w:val="20"/>
        </w:rPr>
      </w:pPr>
      <w:r>
        <w:rPr>
          <w:sz w:val="20"/>
          <w:szCs w:val="20"/>
          <w:lang w:val="fr-CA"/>
        </w:rPr>
        <w:pict>
          <v:rect id="_x0000_i1041" style="width:2in;height:1pt" o:hrpct="0" o:hralign="center" o:hrstd="t" o:hrnoshade="t" o:hr="t" fillcolor="black [3213]" stroked="f"/>
        </w:pict>
      </w:r>
    </w:p>
    <w:p w:rsidR="00970DAE" w:rsidRDefault="00970DAE" w:rsidP="00970DAE">
      <w:pPr>
        <w:rPr>
          <w:sz w:val="20"/>
          <w:szCs w:val="20"/>
        </w:rPr>
      </w:pPr>
    </w:p>
    <w:p w:rsidR="00970DAE" w:rsidRPr="001B157C" w:rsidRDefault="00970DAE" w:rsidP="00970DAE">
      <w:pPr>
        <w:rPr>
          <w:sz w:val="20"/>
          <w:szCs w:val="20"/>
          <w:u w:val="single"/>
          <w:lang w:val="fr-CA"/>
        </w:rPr>
      </w:pPr>
      <w:r w:rsidRPr="001B157C">
        <w:rPr>
          <w:sz w:val="20"/>
          <w:szCs w:val="20"/>
          <w:u w:val="single"/>
          <w:lang w:val="fr-CA"/>
        </w:rPr>
        <w:t>RÉSUMÉ DE L’AFFAIRE</w:t>
      </w:r>
    </w:p>
    <w:p w:rsidR="00970DAE" w:rsidRDefault="00970DAE" w:rsidP="00970DA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70DAE" w:rsidRPr="00002704" w:rsidTr="00791BDA">
        <w:tc>
          <w:tcPr>
            <w:tcW w:w="5000" w:type="pct"/>
            <w:gridSpan w:val="3"/>
          </w:tcPr>
          <w:p w:rsidR="003756AC" w:rsidRPr="00F77596" w:rsidRDefault="003756AC" w:rsidP="003756AC">
            <w:pPr>
              <w:pStyle w:val="SCCBanSummary"/>
              <w:rPr>
                <w:sz w:val="20"/>
                <w:szCs w:val="20"/>
                <w:lang w:val="fr-CA"/>
              </w:rPr>
            </w:pPr>
            <w:r w:rsidRPr="00F77596">
              <w:rPr>
                <w:sz w:val="20"/>
                <w:szCs w:val="20"/>
                <w:lang w:val="fr-CA"/>
              </w:rPr>
              <w:t>(Ordonnance de non-publication dans le dossier)</w:t>
            </w:r>
          </w:p>
          <w:p w:rsidR="00970DAE" w:rsidRDefault="00970DAE" w:rsidP="00791BDA">
            <w:pPr>
              <w:jc w:val="both"/>
              <w:rPr>
                <w:sz w:val="20"/>
                <w:lang w:val="fr-CA"/>
              </w:rPr>
            </w:pPr>
          </w:p>
          <w:p w:rsidR="00970DAE" w:rsidRDefault="003756AC" w:rsidP="00791BDA">
            <w:pPr>
              <w:jc w:val="both"/>
              <w:rPr>
                <w:sz w:val="20"/>
                <w:lang w:val="fr-CA"/>
              </w:rPr>
            </w:pPr>
            <w:r w:rsidRPr="00F77596">
              <w:rPr>
                <w:sz w:val="20"/>
                <w:lang w:val="fr-CA"/>
              </w:rPr>
              <w:t>Responsabilité civile – Responsabilité médicale – Lien de causalité – Preuve – Présomptions – Inférence défavorable – Absence de preuve directe permettant aux plaignants de faire la preuve du lien de causalité en raison de la faute des médecins – La Cour d’appel a-t-elle erré en modifiant les conclusions factuelles de la juge de première instance, déterminant ainsi que la responsabilité des demandeurs était engagée?</w:t>
            </w:r>
          </w:p>
          <w:p w:rsidR="003756AC" w:rsidRPr="00E007CB" w:rsidRDefault="003756AC" w:rsidP="00791BDA">
            <w:pPr>
              <w:jc w:val="both"/>
              <w:rPr>
                <w:rFonts w:eastAsia="Calibri"/>
                <w:sz w:val="20"/>
                <w:lang w:val="fr-CA"/>
              </w:rPr>
            </w:pPr>
          </w:p>
        </w:tc>
      </w:tr>
      <w:tr w:rsidR="00970DAE" w:rsidRPr="00E007CB" w:rsidTr="00791BDA">
        <w:tc>
          <w:tcPr>
            <w:tcW w:w="5000" w:type="pct"/>
            <w:gridSpan w:val="3"/>
          </w:tcPr>
          <w:p w:rsidR="003756AC" w:rsidRPr="00F77596" w:rsidRDefault="003756AC" w:rsidP="003756AC">
            <w:pPr>
              <w:jc w:val="both"/>
              <w:rPr>
                <w:sz w:val="20"/>
                <w:lang w:val="fr-CA"/>
              </w:rPr>
            </w:pPr>
            <w:r w:rsidRPr="00F77596">
              <w:rPr>
                <w:sz w:val="20"/>
                <w:lang w:val="fr-CA"/>
              </w:rPr>
              <w:t>Cathie St-Germain poursuit en responsabilité médicale, en son nom personnel et en ses qualités de légataire universelle et de tutrice à son fils mineur, le médecin traitant et le radiologue de son conjoint Marc Émond, décédé d’un cancer du poumon en 2008 à l’âge de 47 ans.</w:t>
            </w:r>
          </w:p>
          <w:p w:rsidR="003756AC" w:rsidRPr="00F77596" w:rsidRDefault="003756AC" w:rsidP="003756AC">
            <w:pPr>
              <w:jc w:val="both"/>
              <w:rPr>
                <w:sz w:val="20"/>
                <w:lang w:val="fr-CA"/>
              </w:rPr>
            </w:pPr>
          </w:p>
          <w:p w:rsidR="003756AC" w:rsidRPr="00F77596" w:rsidRDefault="003756AC" w:rsidP="003756AC">
            <w:pPr>
              <w:jc w:val="both"/>
              <w:rPr>
                <w:sz w:val="20"/>
                <w:lang w:val="fr-FR"/>
              </w:rPr>
            </w:pPr>
            <w:r w:rsidRPr="00F77596">
              <w:rPr>
                <w:sz w:val="20"/>
                <w:lang w:val="fr-CA"/>
              </w:rPr>
              <w:t>Elle prétend que l</w:t>
            </w:r>
            <w:r w:rsidRPr="00F77596">
              <w:rPr>
                <w:sz w:val="20"/>
                <w:lang w:val="fr-FR"/>
              </w:rPr>
              <w:t>es demandeurs ont omis de déceler ou d’investiguer la présence d’un nodule au poumon droit apparu sous forme d’opacité sur une radiographie pulmonaire prise fortuitement en novembre 2005 et d’avoir fait défaut de proposer à son conjoint les démarches qui auraient permis un diagnostic précoce et une pleine guérison.</w:t>
            </w:r>
            <w:r w:rsidRPr="00F77596">
              <w:rPr>
                <w:sz w:val="20"/>
                <w:lang w:val="fr-CA"/>
              </w:rPr>
              <w:t xml:space="preserve">  Elle réclame des dommages-intérêts totalisant 3 780 000 $.</w:t>
            </w:r>
          </w:p>
          <w:p w:rsidR="003756AC" w:rsidRPr="00F77596" w:rsidRDefault="003756AC" w:rsidP="003756AC">
            <w:pPr>
              <w:jc w:val="both"/>
              <w:rPr>
                <w:sz w:val="20"/>
                <w:lang w:val="fr-FR"/>
              </w:rPr>
            </w:pPr>
          </w:p>
          <w:p w:rsidR="003756AC" w:rsidRPr="00F77596" w:rsidRDefault="003756AC" w:rsidP="003756AC">
            <w:pPr>
              <w:jc w:val="both"/>
              <w:rPr>
                <w:sz w:val="20"/>
                <w:lang w:val="fr-FR"/>
              </w:rPr>
            </w:pPr>
            <w:r w:rsidRPr="00F77596">
              <w:rPr>
                <w:sz w:val="20"/>
                <w:lang w:val="fr-FR"/>
              </w:rPr>
              <w:t xml:space="preserve">En défense, les demandeurs soutiennent qu’un diagnostic posé en novembre 2005 n’aurait pas permis la guérison de M. Émond, car le cancer étant déjà à un stade avancé. </w:t>
            </w:r>
          </w:p>
          <w:p w:rsidR="003756AC" w:rsidRPr="00F77596" w:rsidRDefault="003756AC" w:rsidP="003756AC">
            <w:pPr>
              <w:jc w:val="both"/>
              <w:rPr>
                <w:sz w:val="20"/>
                <w:lang w:val="fr-CA"/>
              </w:rPr>
            </w:pPr>
          </w:p>
          <w:p w:rsidR="003756AC" w:rsidRPr="00F77596" w:rsidRDefault="003756AC" w:rsidP="003756AC">
            <w:pPr>
              <w:jc w:val="both"/>
              <w:rPr>
                <w:sz w:val="20"/>
              </w:rPr>
            </w:pPr>
            <w:r w:rsidRPr="00F77596">
              <w:rPr>
                <w:sz w:val="20"/>
                <w:lang w:val="fr-CA"/>
              </w:rPr>
              <w:t xml:space="preserve">La Cour supérieure juge que les médecins ont été fautifs en l’espèce, mais que la preuve du lien de causalité n’a pas été faite.  </w:t>
            </w:r>
            <w:r w:rsidRPr="00F77596">
              <w:rPr>
                <w:sz w:val="20"/>
              </w:rPr>
              <w:t>La Cour d’appel infirme la décision.</w:t>
            </w:r>
          </w:p>
          <w:p w:rsidR="00970DAE" w:rsidRPr="00E007CB" w:rsidRDefault="00970DAE" w:rsidP="00791BDA">
            <w:pPr>
              <w:jc w:val="both"/>
              <w:rPr>
                <w:sz w:val="20"/>
                <w:lang w:val="fr-CA"/>
              </w:rPr>
            </w:pPr>
          </w:p>
        </w:tc>
      </w:tr>
      <w:tr w:rsidR="00970DAE" w:rsidRPr="00002704" w:rsidTr="00791BDA">
        <w:trPr>
          <w:cantSplit/>
        </w:trPr>
        <w:tc>
          <w:tcPr>
            <w:tcW w:w="2427" w:type="pct"/>
          </w:tcPr>
          <w:p w:rsidR="008A7869" w:rsidRPr="00F77596" w:rsidRDefault="008A7869" w:rsidP="008A7869">
            <w:pPr>
              <w:jc w:val="both"/>
              <w:rPr>
                <w:sz w:val="20"/>
                <w:lang w:val="fr-CA"/>
              </w:rPr>
            </w:pPr>
            <w:r w:rsidRPr="00F77596">
              <w:rPr>
                <w:sz w:val="20"/>
                <w:lang w:val="fr-CA"/>
              </w:rPr>
              <w:lastRenderedPageBreak/>
              <w:t>Le 7 septembre 2011</w:t>
            </w:r>
          </w:p>
          <w:p w:rsidR="008A7869" w:rsidRPr="00F77596" w:rsidRDefault="008A7869" w:rsidP="008A7869">
            <w:pPr>
              <w:jc w:val="both"/>
              <w:rPr>
                <w:sz w:val="20"/>
                <w:lang w:val="fr-CA"/>
              </w:rPr>
            </w:pPr>
            <w:r w:rsidRPr="00F77596">
              <w:rPr>
                <w:sz w:val="20"/>
                <w:lang w:val="fr-CA"/>
              </w:rPr>
              <w:t>Cour supérieure du Québec</w:t>
            </w:r>
          </w:p>
          <w:p w:rsidR="008A7869" w:rsidRPr="00F77596" w:rsidRDefault="008A7869" w:rsidP="008A7869">
            <w:pPr>
              <w:jc w:val="both"/>
              <w:rPr>
                <w:sz w:val="20"/>
              </w:rPr>
            </w:pPr>
            <w:r w:rsidRPr="00F77596">
              <w:rPr>
                <w:sz w:val="20"/>
              </w:rPr>
              <w:t>(La juge Marcotte)</w:t>
            </w:r>
          </w:p>
          <w:p w:rsidR="008A7869" w:rsidRPr="00F77596" w:rsidRDefault="00EC4FDF" w:rsidP="008A7869">
            <w:pPr>
              <w:jc w:val="both"/>
              <w:rPr>
                <w:sz w:val="20"/>
              </w:rPr>
            </w:pPr>
            <w:hyperlink r:id="rId36" w:history="1">
              <w:r w:rsidR="008A7869" w:rsidRPr="00F77596">
                <w:rPr>
                  <w:rStyle w:val="Hyperlink"/>
                  <w:sz w:val="20"/>
                </w:rPr>
                <w:t>2011 QCCS 4755</w:t>
              </w:r>
            </w:hyperlink>
            <w:r w:rsidR="008A7869" w:rsidRPr="00F77596">
              <w:rPr>
                <w:sz w:val="20"/>
              </w:rPr>
              <w:t xml:space="preserve"> </w:t>
            </w:r>
          </w:p>
          <w:p w:rsidR="00970DAE" w:rsidRPr="00E007CB" w:rsidRDefault="00970DAE" w:rsidP="00791BDA">
            <w:pPr>
              <w:jc w:val="both"/>
              <w:rPr>
                <w:rFonts w:eastAsia="Calibri"/>
                <w:sz w:val="20"/>
                <w:lang w:val="fr-CA"/>
              </w:rPr>
            </w:pPr>
          </w:p>
        </w:tc>
        <w:tc>
          <w:tcPr>
            <w:tcW w:w="243" w:type="pct"/>
          </w:tcPr>
          <w:p w:rsidR="00970DAE" w:rsidRPr="00E007CB" w:rsidRDefault="00970DAE" w:rsidP="00791BDA">
            <w:pPr>
              <w:jc w:val="both"/>
              <w:rPr>
                <w:rFonts w:eastAsia="Calibri"/>
                <w:sz w:val="20"/>
                <w:lang w:val="fr-CA"/>
              </w:rPr>
            </w:pPr>
          </w:p>
        </w:tc>
        <w:tc>
          <w:tcPr>
            <w:tcW w:w="2330" w:type="pct"/>
          </w:tcPr>
          <w:p w:rsidR="008A7869" w:rsidRPr="00F77596" w:rsidRDefault="008A7869" w:rsidP="008A7869">
            <w:pPr>
              <w:jc w:val="both"/>
              <w:rPr>
                <w:sz w:val="20"/>
                <w:lang w:val="fr-CA"/>
              </w:rPr>
            </w:pPr>
            <w:r w:rsidRPr="00F77596">
              <w:rPr>
                <w:sz w:val="20"/>
                <w:lang w:val="fr-CA"/>
              </w:rPr>
              <w:t>Action en responsabilité médicale accueillie en partie : 70 000 $ accordé pour préjudice causé</w:t>
            </w:r>
          </w:p>
          <w:p w:rsidR="00970DAE" w:rsidRPr="00E007CB" w:rsidRDefault="00970DAE" w:rsidP="00791BDA">
            <w:pPr>
              <w:jc w:val="both"/>
              <w:rPr>
                <w:rFonts w:eastAsia="Calibri"/>
                <w:sz w:val="20"/>
                <w:lang w:val="fr-CA"/>
              </w:rPr>
            </w:pPr>
          </w:p>
        </w:tc>
      </w:tr>
      <w:tr w:rsidR="008A7869" w:rsidRPr="00002704" w:rsidTr="00791BDA">
        <w:trPr>
          <w:cantSplit/>
        </w:trPr>
        <w:tc>
          <w:tcPr>
            <w:tcW w:w="2427" w:type="pct"/>
          </w:tcPr>
          <w:p w:rsidR="008A7869" w:rsidRPr="00F77596" w:rsidRDefault="008A7869" w:rsidP="008A7869">
            <w:pPr>
              <w:jc w:val="both"/>
              <w:rPr>
                <w:sz w:val="20"/>
                <w:lang w:val="fr-CA"/>
              </w:rPr>
            </w:pPr>
            <w:r w:rsidRPr="00F77596">
              <w:rPr>
                <w:sz w:val="20"/>
                <w:lang w:val="fr-CA"/>
              </w:rPr>
              <w:t>Le 5 décembre 2014</w:t>
            </w:r>
          </w:p>
          <w:p w:rsidR="008A7869" w:rsidRPr="00F77596" w:rsidRDefault="008A7869" w:rsidP="008A7869">
            <w:pPr>
              <w:jc w:val="both"/>
              <w:rPr>
                <w:sz w:val="20"/>
                <w:lang w:val="fr-CA"/>
              </w:rPr>
            </w:pPr>
            <w:r w:rsidRPr="00F77596">
              <w:rPr>
                <w:sz w:val="20"/>
                <w:lang w:val="fr-CA"/>
              </w:rPr>
              <w:t>(Jugement rectifié le 12 décembre 2014)</w:t>
            </w:r>
          </w:p>
          <w:p w:rsidR="008A7869" w:rsidRPr="00F77596" w:rsidRDefault="008A7869" w:rsidP="008A7869">
            <w:pPr>
              <w:jc w:val="both"/>
              <w:rPr>
                <w:sz w:val="20"/>
                <w:lang w:val="fr-CA"/>
              </w:rPr>
            </w:pPr>
            <w:r w:rsidRPr="00F77596">
              <w:rPr>
                <w:sz w:val="20"/>
                <w:lang w:val="fr-CA"/>
              </w:rPr>
              <w:t>Cour d’appel du Québec (Montréal)</w:t>
            </w:r>
          </w:p>
          <w:p w:rsidR="008A7869" w:rsidRPr="00F77596" w:rsidRDefault="008A7869" w:rsidP="008A7869">
            <w:pPr>
              <w:jc w:val="both"/>
              <w:rPr>
                <w:sz w:val="20"/>
                <w:lang w:val="fr-CA"/>
              </w:rPr>
            </w:pPr>
            <w:r w:rsidRPr="00F77596">
              <w:rPr>
                <w:sz w:val="20"/>
                <w:lang w:val="fr-CA"/>
              </w:rPr>
              <w:t>(Les juges Kasirer, Fournier et Bélanger)</w:t>
            </w:r>
          </w:p>
          <w:p w:rsidR="008A7869" w:rsidRPr="00F77596" w:rsidRDefault="00EC4FDF" w:rsidP="008A7869">
            <w:pPr>
              <w:jc w:val="both"/>
              <w:rPr>
                <w:sz w:val="20"/>
                <w:lang w:val="fr-FR"/>
              </w:rPr>
            </w:pPr>
            <w:hyperlink r:id="rId37" w:history="1">
              <w:r w:rsidR="008A7869" w:rsidRPr="00F77596">
                <w:rPr>
                  <w:rStyle w:val="Hyperlink"/>
                  <w:sz w:val="20"/>
                  <w:lang w:val="fr-FR"/>
                </w:rPr>
                <w:t>2014 QCCA 2207</w:t>
              </w:r>
            </w:hyperlink>
            <w:r w:rsidR="008A7869" w:rsidRPr="00F77596">
              <w:rPr>
                <w:sz w:val="20"/>
              </w:rPr>
              <w:t>; 500-09-0233070-114</w:t>
            </w:r>
          </w:p>
          <w:p w:rsidR="008A7869" w:rsidRPr="00E007CB" w:rsidRDefault="008A7869" w:rsidP="008A7869">
            <w:pPr>
              <w:jc w:val="both"/>
              <w:rPr>
                <w:rFonts w:eastAsia="Calibri"/>
                <w:sz w:val="20"/>
                <w:lang w:val="fr-CA"/>
              </w:rPr>
            </w:pPr>
          </w:p>
        </w:tc>
        <w:tc>
          <w:tcPr>
            <w:tcW w:w="243" w:type="pct"/>
          </w:tcPr>
          <w:p w:rsidR="008A7869" w:rsidRPr="00E007CB" w:rsidRDefault="008A7869" w:rsidP="008A7869">
            <w:pPr>
              <w:jc w:val="both"/>
              <w:rPr>
                <w:rFonts w:eastAsia="Calibri"/>
                <w:sz w:val="20"/>
                <w:lang w:val="fr-CA"/>
              </w:rPr>
            </w:pPr>
          </w:p>
        </w:tc>
        <w:tc>
          <w:tcPr>
            <w:tcW w:w="2330" w:type="pct"/>
          </w:tcPr>
          <w:p w:rsidR="008A7869" w:rsidRPr="00F77596" w:rsidRDefault="008A7869" w:rsidP="008A7869">
            <w:pPr>
              <w:jc w:val="both"/>
              <w:rPr>
                <w:sz w:val="20"/>
              </w:rPr>
            </w:pPr>
            <w:r w:rsidRPr="00F77596">
              <w:rPr>
                <w:sz w:val="20"/>
              </w:rPr>
              <w:t>Appel accueilli en partie</w:t>
            </w:r>
          </w:p>
        </w:tc>
      </w:tr>
      <w:tr w:rsidR="008A7869" w:rsidRPr="00E007CB" w:rsidTr="00791BDA">
        <w:trPr>
          <w:cantSplit/>
        </w:trPr>
        <w:tc>
          <w:tcPr>
            <w:tcW w:w="2427" w:type="pct"/>
          </w:tcPr>
          <w:p w:rsidR="008A7869" w:rsidRPr="00E007CB" w:rsidRDefault="008A7869" w:rsidP="008A7869">
            <w:pPr>
              <w:jc w:val="both"/>
              <w:rPr>
                <w:rFonts w:eastAsia="Calibri"/>
                <w:sz w:val="20"/>
                <w:lang w:val="fr-CA"/>
              </w:rPr>
            </w:pPr>
            <w:r>
              <w:rPr>
                <w:rFonts w:eastAsia="Calibri"/>
                <w:sz w:val="20"/>
                <w:lang w:val="fr-CA"/>
              </w:rPr>
              <w:t>Le 3 février</w:t>
            </w:r>
            <w:r w:rsidRPr="00E007CB">
              <w:rPr>
                <w:rFonts w:eastAsia="Calibri"/>
                <w:sz w:val="20"/>
                <w:lang w:val="fr-CA"/>
              </w:rPr>
              <w:t xml:space="preserve"> 201</w:t>
            </w:r>
            <w:r>
              <w:rPr>
                <w:rFonts w:eastAsia="Calibri"/>
                <w:sz w:val="20"/>
                <w:lang w:val="fr-CA"/>
              </w:rPr>
              <w:t>5</w:t>
            </w:r>
          </w:p>
          <w:p w:rsidR="008A7869" w:rsidRPr="00E007CB" w:rsidRDefault="008A7869" w:rsidP="008A7869">
            <w:pPr>
              <w:jc w:val="both"/>
              <w:rPr>
                <w:rFonts w:eastAsia="Calibri"/>
                <w:sz w:val="20"/>
                <w:lang w:val="fr-CA"/>
              </w:rPr>
            </w:pPr>
            <w:r w:rsidRPr="00E007CB">
              <w:rPr>
                <w:rFonts w:eastAsia="Calibri"/>
                <w:sz w:val="20"/>
                <w:lang w:val="fr-CA"/>
              </w:rPr>
              <w:t>Cour suprême du Canada</w:t>
            </w:r>
          </w:p>
        </w:tc>
        <w:tc>
          <w:tcPr>
            <w:tcW w:w="243" w:type="pct"/>
          </w:tcPr>
          <w:p w:rsidR="008A7869" w:rsidRPr="00E007CB" w:rsidRDefault="008A7869" w:rsidP="008A7869">
            <w:pPr>
              <w:jc w:val="both"/>
              <w:rPr>
                <w:rFonts w:eastAsia="Calibri"/>
                <w:sz w:val="20"/>
                <w:lang w:val="fr-CA"/>
              </w:rPr>
            </w:pPr>
          </w:p>
        </w:tc>
        <w:tc>
          <w:tcPr>
            <w:tcW w:w="2330" w:type="pct"/>
          </w:tcPr>
          <w:p w:rsidR="008A7869" w:rsidRPr="00F77596" w:rsidRDefault="008A7869" w:rsidP="008A7869">
            <w:pPr>
              <w:jc w:val="both"/>
              <w:rPr>
                <w:sz w:val="20"/>
              </w:rPr>
            </w:pPr>
            <w:r w:rsidRPr="00F77596">
              <w:rPr>
                <w:sz w:val="20"/>
              </w:rPr>
              <w:t>Demande d’autorisation d'appel déposée</w:t>
            </w:r>
          </w:p>
          <w:p w:rsidR="008A7869" w:rsidRPr="00F77596" w:rsidRDefault="008A7869" w:rsidP="008A7869">
            <w:pPr>
              <w:jc w:val="both"/>
              <w:rPr>
                <w:sz w:val="20"/>
                <w:lang w:val="fr-CA"/>
              </w:rPr>
            </w:pPr>
          </w:p>
        </w:tc>
      </w:tr>
    </w:tbl>
    <w:p w:rsidR="00970DAE" w:rsidRDefault="00970DAE" w:rsidP="00970DAE">
      <w:pPr>
        <w:rPr>
          <w:sz w:val="20"/>
          <w:szCs w:val="20"/>
        </w:rPr>
      </w:pPr>
    </w:p>
    <w:p w:rsidR="00970DAE" w:rsidRDefault="00EC4FDF" w:rsidP="00970DAE">
      <w:pPr>
        <w:rPr>
          <w:sz w:val="20"/>
          <w:szCs w:val="20"/>
        </w:rPr>
      </w:pPr>
      <w:r>
        <w:rPr>
          <w:sz w:val="20"/>
          <w:szCs w:val="20"/>
          <w:lang w:val="fr-CA"/>
        </w:rPr>
        <w:pict>
          <v:rect id="_x0000_i1042" style="width:2in;height:1pt" o:hrpct="0" o:hralign="center" o:hrstd="t" o:hrnoshade="t" o:hr="t" fillcolor="black [3213]" stroked="f"/>
        </w:pict>
      </w:r>
    </w:p>
    <w:p w:rsidR="00970DAE" w:rsidRDefault="00970DAE" w:rsidP="00970DA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D129E" w:rsidRPr="00A73D2C" w:rsidTr="00791BDA">
        <w:trPr>
          <w:cantSplit/>
        </w:trPr>
        <w:tc>
          <w:tcPr>
            <w:tcW w:w="1458" w:type="dxa"/>
          </w:tcPr>
          <w:p w:rsidR="002D129E" w:rsidRPr="00A73D2C" w:rsidRDefault="002D129E" w:rsidP="00791BDA">
            <w:pPr>
              <w:rPr>
                <w:sz w:val="20"/>
                <w:szCs w:val="20"/>
              </w:rPr>
            </w:pPr>
            <w:r w:rsidRPr="00A73D2C">
              <w:rPr>
                <w:rStyle w:val="SCCFileNumberChar"/>
                <w:sz w:val="20"/>
                <w:szCs w:val="20"/>
              </w:rPr>
              <w:t>36</w:t>
            </w:r>
            <w:r>
              <w:rPr>
                <w:rStyle w:val="SCCFileNumberChar"/>
                <w:sz w:val="20"/>
                <w:szCs w:val="20"/>
              </w:rPr>
              <w:t>305</w:t>
            </w:r>
          </w:p>
          <w:p w:rsidR="002D129E" w:rsidRPr="00A73D2C" w:rsidRDefault="002D129E" w:rsidP="00791BDA">
            <w:pPr>
              <w:rPr>
                <w:b/>
                <w:sz w:val="20"/>
                <w:szCs w:val="20"/>
                <w:lang w:val="fr-CA"/>
              </w:rPr>
            </w:pPr>
          </w:p>
        </w:tc>
        <w:tc>
          <w:tcPr>
            <w:tcW w:w="8118" w:type="dxa"/>
          </w:tcPr>
          <w:p w:rsidR="002D129E" w:rsidRPr="00A73D2C" w:rsidRDefault="002D129E" w:rsidP="00791BDA">
            <w:pPr>
              <w:rPr>
                <w:sz w:val="20"/>
                <w:szCs w:val="20"/>
              </w:rPr>
            </w:pPr>
            <w:r w:rsidRPr="002D129E">
              <w:rPr>
                <w:rStyle w:val="SCCLsocChar"/>
                <w:sz w:val="20"/>
                <w:szCs w:val="20"/>
                <w:lang w:val="en-CA"/>
              </w:rPr>
              <w:t>Pacific Newspaper Group Inc., a division of Canwest Mediaworks Publication Inc./Publications Canwest Mediaworks Inc. v. Communications, Energy and Paperworkers Union of Canada, Local 2000</w:t>
            </w:r>
            <w:r w:rsidR="00241BBC">
              <w:rPr>
                <w:rStyle w:val="SCCLsocChar"/>
                <w:sz w:val="20"/>
                <w:szCs w:val="20"/>
                <w:lang w:val="en-CA"/>
              </w:rPr>
              <w:t xml:space="preserve"> </w:t>
            </w:r>
            <w:r w:rsidR="002807F9">
              <w:rPr>
                <w:rStyle w:val="SCCLsocChar"/>
                <w:sz w:val="20"/>
                <w:szCs w:val="20"/>
                <w:lang w:val="en-CA"/>
              </w:rPr>
              <w:t>and British Columbia Labour Relations Board</w:t>
            </w:r>
            <w:r w:rsidRPr="00A73D2C">
              <w:rPr>
                <w:sz w:val="20"/>
                <w:szCs w:val="20"/>
              </w:rPr>
              <w:t xml:space="preserve"> (</w:t>
            </w:r>
            <w:r>
              <w:rPr>
                <w:sz w:val="20"/>
                <w:szCs w:val="20"/>
              </w:rPr>
              <w:t>B.C.</w:t>
            </w:r>
            <w:r w:rsidRPr="00A73D2C">
              <w:rPr>
                <w:sz w:val="20"/>
                <w:szCs w:val="20"/>
              </w:rPr>
              <w:t>) (C</w:t>
            </w:r>
            <w:r>
              <w:rPr>
                <w:sz w:val="20"/>
                <w:szCs w:val="20"/>
              </w:rPr>
              <w:t>ivil</w:t>
            </w:r>
            <w:r w:rsidRPr="00A73D2C">
              <w:rPr>
                <w:sz w:val="20"/>
                <w:szCs w:val="20"/>
              </w:rPr>
              <w:t>) (By Leave)</w:t>
            </w:r>
          </w:p>
          <w:p w:rsidR="002D129E" w:rsidRPr="00A73D2C" w:rsidRDefault="002D129E" w:rsidP="00791BDA">
            <w:pPr>
              <w:rPr>
                <w:sz w:val="20"/>
                <w:szCs w:val="20"/>
              </w:rPr>
            </w:pPr>
          </w:p>
        </w:tc>
      </w:tr>
      <w:tr w:rsidR="002D129E" w:rsidRPr="00A73D2C" w:rsidTr="00791BDA">
        <w:trPr>
          <w:cantSplit/>
        </w:trPr>
        <w:tc>
          <w:tcPr>
            <w:tcW w:w="1458" w:type="dxa"/>
          </w:tcPr>
          <w:p w:rsidR="002D129E" w:rsidRPr="00A73D2C" w:rsidRDefault="002D129E" w:rsidP="00791BDA">
            <w:pPr>
              <w:rPr>
                <w:sz w:val="20"/>
                <w:szCs w:val="20"/>
              </w:rPr>
            </w:pPr>
            <w:r w:rsidRPr="00A73D2C">
              <w:rPr>
                <w:sz w:val="20"/>
                <w:szCs w:val="20"/>
              </w:rPr>
              <w:t>Coram :</w:t>
            </w:r>
          </w:p>
        </w:tc>
        <w:tc>
          <w:tcPr>
            <w:tcW w:w="8118" w:type="dxa"/>
          </w:tcPr>
          <w:p w:rsidR="002D129E" w:rsidRDefault="002807F9" w:rsidP="00791BDA">
            <w:pPr>
              <w:rPr>
                <w:rStyle w:val="SCCCoramChar"/>
                <w:sz w:val="20"/>
                <w:szCs w:val="20"/>
                <w:lang w:val="en-CA"/>
              </w:rPr>
            </w:pPr>
            <w:r w:rsidRPr="002807F9">
              <w:rPr>
                <w:rStyle w:val="SCCCoramChar"/>
                <w:sz w:val="20"/>
                <w:szCs w:val="20"/>
                <w:lang w:val="en-CA"/>
              </w:rPr>
              <w:t>Abella, Karakatsanis and Côté JJ.</w:t>
            </w:r>
          </w:p>
          <w:p w:rsidR="002807F9" w:rsidRPr="00A73D2C" w:rsidRDefault="002807F9" w:rsidP="00791BDA">
            <w:pPr>
              <w:rPr>
                <w:sz w:val="20"/>
                <w:szCs w:val="20"/>
                <w:u w:val="single"/>
              </w:rPr>
            </w:pPr>
          </w:p>
        </w:tc>
      </w:tr>
      <w:tr w:rsidR="002D129E" w:rsidRPr="00002704" w:rsidTr="00791BDA">
        <w:trPr>
          <w:cantSplit/>
        </w:trPr>
        <w:tc>
          <w:tcPr>
            <w:tcW w:w="9576" w:type="dxa"/>
            <w:gridSpan w:val="2"/>
          </w:tcPr>
          <w:p w:rsidR="00C43DAF" w:rsidRPr="00C43DAF" w:rsidRDefault="00C43DAF" w:rsidP="00C43DAF">
            <w:pPr>
              <w:pStyle w:val="SCCShortJudgment"/>
              <w:rPr>
                <w:szCs w:val="20"/>
              </w:rPr>
            </w:pPr>
            <w:r w:rsidRPr="00C43DAF">
              <w:rPr>
                <w:szCs w:val="20"/>
              </w:rPr>
              <w:t>The application for leave to appeal from the judgment of the Court of Appeal for British Columbia (Vancouver), Number CA041416, 2014 BCCA 496, dated December 18, 2014, is dismissed with costs to the respondent, Communications, Energy and Paperworkers Union of Canada, Local 2000.</w:t>
            </w:r>
          </w:p>
          <w:p w:rsidR="00C43DAF" w:rsidRPr="00C43DAF" w:rsidRDefault="00C43DAF" w:rsidP="00C43DAF">
            <w:pPr>
              <w:pStyle w:val="SCCShortJudgment"/>
              <w:rPr>
                <w:szCs w:val="20"/>
              </w:rPr>
            </w:pPr>
          </w:p>
          <w:p w:rsidR="002D129E" w:rsidRPr="00A73D2C" w:rsidRDefault="00C43DAF" w:rsidP="00C43DAF">
            <w:pPr>
              <w:pStyle w:val="SCCShortJudgment"/>
              <w:rPr>
                <w:szCs w:val="20"/>
                <w:lang w:val="fr-CA"/>
              </w:rPr>
            </w:pPr>
            <w:r w:rsidRPr="00C43DAF">
              <w:rPr>
                <w:szCs w:val="20"/>
              </w:rPr>
              <w:t>La demande d’autorisation d’appel de l’arrêt de la Cour d’appel de la Colombie-Britannique (Vancouver), numéro CA041416, 2014 BCCA 496, daté du 18 décembre 2014, est rejetée avec dépens en faveur de l’intimé, Communications, Energy and Paperworkers Union of Canada, Local 2000.</w:t>
            </w:r>
          </w:p>
        </w:tc>
      </w:tr>
    </w:tbl>
    <w:p w:rsidR="002D129E" w:rsidRPr="0016547E" w:rsidRDefault="002D129E" w:rsidP="002D129E">
      <w:pPr>
        <w:rPr>
          <w:sz w:val="20"/>
          <w:szCs w:val="20"/>
          <w:lang w:val="fr-CA"/>
        </w:rPr>
      </w:pPr>
    </w:p>
    <w:p w:rsidR="002D129E" w:rsidRPr="001B157C" w:rsidRDefault="002D129E" w:rsidP="002D129E">
      <w:pPr>
        <w:rPr>
          <w:sz w:val="20"/>
          <w:szCs w:val="20"/>
          <w:u w:val="single"/>
        </w:rPr>
      </w:pPr>
      <w:r w:rsidRPr="001B157C">
        <w:rPr>
          <w:sz w:val="20"/>
          <w:szCs w:val="20"/>
          <w:u w:val="single"/>
        </w:rPr>
        <w:t>CASE SUMMARY</w:t>
      </w:r>
    </w:p>
    <w:p w:rsidR="002D129E" w:rsidRDefault="002D129E" w:rsidP="002D129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D129E" w:rsidRPr="00E007CB" w:rsidTr="00791BDA">
        <w:tc>
          <w:tcPr>
            <w:tcW w:w="5000" w:type="pct"/>
            <w:gridSpan w:val="3"/>
          </w:tcPr>
          <w:p w:rsidR="002D129E" w:rsidRDefault="00EC38B7" w:rsidP="00791BDA">
            <w:pPr>
              <w:jc w:val="both"/>
              <w:rPr>
                <w:sz w:val="20"/>
              </w:rPr>
            </w:pPr>
            <w:r w:rsidRPr="00F77596">
              <w:rPr>
                <w:sz w:val="20"/>
              </w:rPr>
              <w:t>Administrative law – Judicial review – Standard of review – Is</w:t>
            </w:r>
            <w:r w:rsidRPr="00F77596">
              <w:rPr>
                <w:spacing w:val="4"/>
                <w:sz w:val="20"/>
              </w:rPr>
              <w:t xml:space="preserve"> </w:t>
            </w:r>
            <w:r w:rsidRPr="00F77596">
              <w:rPr>
                <w:spacing w:val="-1"/>
                <w:sz w:val="20"/>
              </w:rPr>
              <w:t>the</w:t>
            </w:r>
            <w:r w:rsidRPr="00F77596">
              <w:rPr>
                <w:spacing w:val="4"/>
                <w:sz w:val="20"/>
              </w:rPr>
              <w:t xml:space="preserve"> </w:t>
            </w:r>
            <w:r w:rsidRPr="00F77596">
              <w:rPr>
                <w:spacing w:val="-1"/>
                <w:sz w:val="20"/>
              </w:rPr>
              <w:t>meaning</w:t>
            </w:r>
            <w:r w:rsidRPr="00F77596">
              <w:rPr>
                <w:spacing w:val="4"/>
                <w:sz w:val="20"/>
              </w:rPr>
              <w:t xml:space="preserve"> </w:t>
            </w:r>
            <w:r w:rsidRPr="00F77596">
              <w:rPr>
                <w:sz w:val="20"/>
              </w:rPr>
              <w:t>of</w:t>
            </w:r>
            <w:r w:rsidRPr="00F77596">
              <w:rPr>
                <w:spacing w:val="4"/>
                <w:sz w:val="20"/>
              </w:rPr>
              <w:t xml:space="preserve"> </w:t>
            </w:r>
            <w:r w:rsidRPr="00F77596">
              <w:rPr>
                <w:spacing w:val="-1"/>
                <w:sz w:val="20"/>
              </w:rPr>
              <w:t>“patently</w:t>
            </w:r>
            <w:r w:rsidRPr="00F77596">
              <w:rPr>
                <w:spacing w:val="4"/>
                <w:sz w:val="20"/>
              </w:rPr>
              <w:t xml:space="preserve"> </w:t>
            </w:r>
            <w:r w:rsidRPr="00F77596">
              <w:rPr>
                <w:spacing w:val="-1"/>
                <w:sz w:val="20"/>
              </w:rPr>
              <w:t>unreasonable”</w:t>
            </w:r>
            <w:r w:rsidRPr="00F77596">
              <w:rPr>
                <w:spacing w:val="4"/>
                <w:sz w:val="20"/>
              </w:rPr>
              <w:t xml:space="preserve"> </w:t>
            </w:r>
            <w:r w:rsidRPr="00F77596">
              <w:rPr>
                <w:sz w:val="20"/>
              </w:rPr>
              <w:t xml:space="preserve">in the </w:t>
            </w:r>
            <w:r w:rsidRPr="00F77596">
              <w:rPr>
                <w:i/>
                <w:sz w:val="20"/>
              </w:rPr>
              <w:t>Administrative Tribunals Act</w:t>
            </w:r>
            <w:r w:rsidRPr="00F77596">
              <w:rPr>
                <w:sz w:val="20"/>
              </w:rPr>
              <w:t>, S.B.C. 2004, c. 45</w:t>
            </w:r>
            <w:r w:rsidRPr="00F77596">
              <w:rPr>
                <w:spacing w:val="55"/>
                <w:sz w:val="20"/>
              </w:rPr>
              <w:t xml:space="preserve"> </w:t>
            </w:r>
            <w:r w:rsidRPr="00F77596">
              <w:rPr>
                <w:spacing w:val="-1"/>
                <w:sz w:val="20"/>
              </w:rPr>
              <w:t>informed</w:t>
            </w:r>
            <w:r w:rsidRPr="00F77596">
              <w:rPr>
                <w:spacing w:val="55"/>
                <w:sz w:val="20"/>
              </w:rPr>
              <w:t xml:space="preserve"> </w:t>
            </w:r>
            <w:r w:rsidRPr="00F77596">
              <w:rPr>
                <w:sz w:val="20"/>
              </w:rPr>
              <w:t>by</w:t>
            </w:r>
            <w:r w:rsidRPr="00F77596">
              <w:rPr>
                <w:spacing w:val="55"/>
                <w:sz w:val="20"/>
              </w:rPr>
              <w:t xml:space="preserve"> </w:t>
            </w:r>
            <w:r w:rsidRPr="00F77596">
              <w:rPr>
                <w:sz w:val="20"/>
              </w:rPr>
              <w:t>and</w:t>
            </w:r>
            <w:r w:rsidRPr="00F77596">
              <w:rPr>
                <w:spacing w:val="39"/>
                <w:sz w:val="20"/>
              </w:rPr>
              <w:t xml:space="preserve"> </w:t>
            </w:r>
            <w:r w:rsidRPr="00F77596">
              <w:rPr>
                <w:sz w:val="20"/>
              </w:rPr>
              <w:t>developed</w:t>
            </w:r>
            <w:r w:rsidRPr="00F77596">
              <w:rPr>
                <w:spacing w:val="-1"/>
                <w:sz w:val="20"/>
              </w:rPr>
              <w:t xml:space="preserve"> </w:t>
            </w:r>
            <w:r w:rsidRPr="00F77596">
              <w:rPr>
                <w:sz w:val="20"/>
              </w:rPr>
              <w:t>in</w:t>
            </w:r>
            <w:r w:rsidRPr="00F77596">
              <w:rPr>
                <w:spacing w:val="-1"/>
                <w:sz w:val="20"/>
              </w:rPr>
              <w:t xml:space="preserve"> accordance </w:t>
            </w:r>
            <w:r w:rsidRPr="00F77596">
              <w:rPr>
                <w:sz w:val="20"/>
              </w:rPr>
              <w:t>with</w:t>
            </w:r>
            <w:r w:rsidRPr="00F77596">
              <w:rPr>
                <w:spacing w:val="-1"/>
                <w:sz w:val="20"/>
              </w:rPr>
              <w:t xml:space="preserve"> evolutions </w:t>
            </w:r>
            <w:r w:rsidRPr="00F77596">
              <w:rPr>
                <w:sz w:val="20"/>
              </w:rPr>
              <w:t>at</w:t>
            </w:r>
            <w:r w:rsidRPr="00F77596">
              <w:rPr>
                <w:spacing w:val="-1"/>
                <w:sz w:val="20"/>
              </w:rPr>
              <w:t xml:space="preserve"> </w:t>
            </w:r>
            <w:r w:rsidRPr="00F77596">
              <w:rPr>
                <w:sz w:val="20"/>
              </w:rPr>
              <w:t>common</w:t>
            </w:r>
            <w:r w:rsidRPr="00F77596">
              <w:rPr>
                <w:spacing w:val="-1"/>
                <w:sz w:val="20"/>
              </w:rPr>
              <w:t xml:space="preserve"> </w:t>
            </w:r>
            <w:r w:rsidRPr="00F77596">
              <w:rPr>
                <w:sz w:val="20"/>
              </w:rPr>
              <w:t xml:space="preserve">law – </w:t>
            </w:r>
            <w:r w:rsidRPr="00F77596">
              <w:rPr>
                <w:spacing w:val="-1"/>
                <w:sz w:val="20"/>
              </w:rPr>
              <w:t>What</w:t>
            </w:r>
            <w:r w:rsidRPr="00F77596">
              <w:rPr>
                <w:spacing w:val="52"/>
                <w:sz w:val="20"/>
              </w:rPr>
              <w:t xml:space="preserve"> </w:t>
            </w:r>
            <w:r w:rsidRPr="00F77596">
              <w:rPr>
                <w:sz w:val="20"/>
              </w:rPr>
              <w:t>is</w:t>
            </w:r>
            <w:r w:rsidRPr="00F77596">
              <w:rPr>
                <w:spacing w:val="52"/>
                <w:sz w:val="20"/>
              </w:rPr>
              <w:t xml:space="preserve"> </w:t>
            </w:r>
            <w:r w:rsidRPr="00F77596">
              <w:rPr>
                <w:sz w:val="20"/>
              </w:rPr>
              <w:t>the</w:t>
            </w:r>
            <w:r w:rsidRPr="00F77596">
              <w:rPr>
                <w:spacing w:val="51"/>
                <w:sz w:val="20"/>
              </w:rPr>
              <w:t xml:space="preserve"> </w:t>
            </w:r>
            <w:r w:rsidRPr="00F77596">
              <w:rPr>
                <w:sz w:val="20"/>
              </w:rPr>
              <w:t>proper</w:t>
            </w:r>
            <w:r w:rsidRPr="00F77596">
              <w:rPr>
                <w:spacing w:val="51"/>
                <w:sz w:val="20"/>
              </w:rPr>
              <w:t xml:space="preserve"> </w:t>
            </w:r>
            <w:r w:rsidRPr="00F77596">
              <w:rPr>
                <w:spacing w:val="-1"/>
                <w:sz w:val="20"/>
              </w:rPr>
              <w:t>approach</w:t>
            </w:r>
            <w:r w:rsidRPr="00F77596">
              <w:rPr>
                <w:spacing w:val="52"/>
                <w:sz w:val="20"/>
              </w:rPr>
              <w:t xml:space="preserve"> </w:t>
            </w:r>
            <w:r w:rsidRPr="00F77596">
              <w:rPr>
                <w:sz w:val="20"/>
              </w:rPr>
              <w:t>to</w:t>
            </w:r>
            <w:r w:rsidRPr="00F77596">
              <w:rPr>
                <w:spacing w:val="52"/>
                <w:sz w:val="20"/>
              </w:rPr>
              <w:t xml:space="preserve"> </w:t>
            </w:r>
            <w:r w:rsidRPr="00F77596">
              <w:rPr>
                <w:spacing w:val="-1"/>
                <w:sz w:val="20"/>
              </w:rPr>
              <w:t>the</w:t>
            </w:r>
            <w:r w:rsidRPr="00F77596">
              <w:rPr>
                <w:spacing w:val="52"/>
                <w:sz w:val="20"/>
              </w:rPr>
              <w:t xml:space="preserve"> </w:t>
            </w:r>
            <w:r w:rsidRPr="00F77596">
              <w:rPr>
                <w:spacing w:val="-1"/>
                <w:sz w:val="20"/>
              </w:rPr>
              <w:t>interpretation</w:t>
            </w:r>
            <w:r w:rsidRPr="00F77596">
              <w:rPr>
                <w:spacing w:val="52"/>
                <w:sz w:val="20"/>
              </w:rPr>
              <w:t xml:space="preserve"> </w:t>
            </w:r>
            <w:r w:rsidRPr="00F77596">
              <w:rPr>
                <w:sz w:val="20"/>
              </w:rPr>
              <w:t>of</w:t>
            </w:r>
            <w:r w:rsidRPr="00F77596">
              <w:rPr>
                <w:spacing w:val="51"/>
                <w:sz w:val="20"/>
              </w:rPr>
              <w:t xml:space="preserve"> </w:t>
            </w:r>
            <w:r w:rsidRPr="00F77596">
              <w:rPr>
                <w:spacing w:val="-1"/>
                <w:sz w:val="20"/>
              </w:rPr>
              <w:t>legislation</w:t>
            </w:r>
            <w:r w:rsidRPr="00F77596">
              <w:rPr>
                <w:spacing w:val="52"/>
                <w:sz w:val="20"/>
              </w:rPr>
              <w:t xml:space="preserve"> </w:t>
            </w:r>
            <w:r w:rsidRPr="00F77596">
              <w:rPr>
                <w:spacing w:val="-1"/>
                <w:sz w:val="20"/>
              </w:rPr>
              <w:t>which</w:t>
            </w:r>
            <w:r w:rsidRPr="00F77596">
              <w:rPr>
                <w:spacing w:val="52"/>
                <w:sz w:val="20"/>
              </w:rPr>
              <w:t xml:space="preserve"> </w:t>
            </w:r>
            <w:r w:rsidRPr="00F77596">
              <w:rPr>
                <w:spacing w:val="-1"/>
                <w:sz w:val="20"/>
              </w:rPr>
              <w:t>incorporates terminology</w:t>
            </w:r>
            <w:r w:rsidRPr="00F77596">
              <w:rPr>
                <w:sz w:val="20"/>
              </w:rPr>
              <w:t xml:space="preserve"> found in the common law.</w:t>
            </w:r>
          </w:p>
          <w:p w:rsidR="00EC38B7" w:rsidRPr="00E007CB" w:rsidRDefault="00EC38B7" w:rsidP="00791BDA">
            <w:pPr>
              <w:jc w:val="both"/>
              <w:rPr>
                <w:rFonts w:eastAsia="Calibri"/>
                <w:sz w:val="20"/>
              </w:rPr>
            </w:pPr>
          </w:p>
        </w:tc>
      </w:tr>
      <w:tr w:rsidR="002D129E" w:rsidRPr="00E007CB" w:rsidTr="00791BDA">
        <w:tc>
          <w:tcPr>
            <w:tcW w:w="5000" w:type="pct"/>
            <w:gridSpan w:val="3"/>
          </w:tcPr>
          <w:p w:rsidR="00EC38B7" w:rsidRPr="00F77596" w:rsidRDefault="00EC38B7" w:rsidP="00EC38B7">
            <w:pPr>
              <w:jc w:val="both"/>
              <w:rPr>
                <w:sz w:val="20"/>
              </w:rPr>
            </w:pPr>
            <w:r w:rsidRPr="00F77596">
              <w:rPr>
                <w:sz w:val="20"/>
              </w:rPr>
              <w:t xml:space="preserve">The respondent union issued an unfair employer declaration (“UED”) against Telus Corporation and related companies (“Telus”). As a result, the employees of the applicant refused to handle advertisements Telus tried to publish in two B.C. newspapers. The UED was rescinded five weeks later when the labour dispute with Telus was resolved. After the UED was issued, the applicant filed a grievance for damages under the collective agreement and an application with the British Columbia Labour Relations Board (the “Board”) under s. 70 of the </w:t>
            </w:r>
            <w:r w:rsidRPr="00F77596">
              <w:rPr>
                <w:i/>
                <w:sz w:val="20"/>
              </w:rPr>
              <w:t>Labour Relations Code</w:t>
            </w:r>
            <w:r w:rsidRPr="00F77596">
              <w:rPr>
                <w:sz w:val="20"/>
              </w:rPr>
              <w:t>, R.S.B.C. 1996, c. 244 (the “</w:t>
            </w:r>
            <w:r w:rsidRPr="00F77596">
              <w:rPr>
                <w:i/>
                <w:sz w:val="20"/>
              </w:rPr>
              <w:t>Code</w:t>
            </w:r>
            <w:r w:rsidRPr="00F77596">
              <w:rPr>
                <w:sz w:val="20"/>
              </w:rPr>
              <w:t xml:space="preserve">”). Under that provision, the Board “may, in its discretion, issue a declaratory opinion” that the UED was void, if it is satisfied that the UED is substantially affecting the applicant’s business or operations. </w:t>
            </w:r>
          </w:p>
          <w:p w:rsidR="00EC38B7" w:rsidRPr="00F77596" w:rsidRDefault="00EC38B7" w:rsidP="00EC38B7">
            <w:pPr>
              <w:jc w:val="both"/>
              <w:rPr>
                <w:sz w:val="20"/>
              </w:rPr>
            </w:pPr>
          </w:p>
          <w:p w:rsidR="00EC38B7" w:rsidRPr="00F77596" w:rsidRDefault="00EC38B7" w:rsidP="00EC38B7">
            <w:pPr>
              <w:jc w:val="both"/>
              <w:rPr>
                <w:sz w:val="20"/>
              </w:rPr>
            </w:pPr>
            <w:r w:rsidRPr="00F77596">
              <w:rPr>
                <w:sz w:val="20"/>
              </w:rPr>
              <w:t xml:space="preserve">The application was dismissed, triggering a series of Board decisions and reconsiderations, judicial reviews and appeals. In a fourth reconsideration decision, the Board determined that it has the jurisdiction to exercise discretion in determining whether or not to issue a declaratory opinion under s. 70 of the </w:t>
            </w:r>
            <w:r w:rsidRPr="00F77596">
              <w:rPr>
                <w:i/>
                <w:sz w:val="20"/>
              </w:rPr>
              <w:t>Code</w:t>
            </w:r>
            <w:r w:rsidRPr="00F77596">
              <w:rPr>
                <w:sz w:val="20"/>
              </w:rPr>
              <w:t xml:space="preserve">. It further concluded that s. 70 does not give the Board jurisdiction to make “an order” or to find a contravention of the </w:t>
            </w:r>
            <w:r w:rsidRPr="00F77596">
              <w:rPr>
                <w:i/>
                <w:sz w:val="20"/>
              </w:rPr>
              <w:t>Code</w:t>
            </w:r>
            <w:r w:rsidRPr="00F77596">
              <w:rPr>
                <w:sz w:val="20"/>
              </w:rPr>
              <w:t xml:space="preserve"> that would provide a basis to seek damages. Given the nature of s. 70, the Board ultimately confirmed previous Board decisions declining to exercise the discretion </w:t>
            </w:r>
            <w:r w:rsidRPr="00F77596">
              <w:rPr>
                <w:sz w:val="20"/>
              </w:rPr>
              <w:lastRenderedPageBreak/>
              <w:t>to issue a declaratory opinion on the facts of the case. An application for judicial review was dismissed by the Supreme Court of British Columbia, as was an appeal to the Court of Appeal of British Columbia.</w:t>
            </w:r>
          </w:p>
          <w:p w:rsidR="002D129E" w:rsidRPr="00E007CB" w:rsidRDefault="002D129E" w:rsidP="00791BDA">
            <w:pPr>
              <w:jc w:val="both"/>
              <w:rPr>
                <w:rFonts w:eastAsia="Calibri"/>
                <w:sz w:val="20"/>
              </w:rPr>
            </w:pPr>
          </w:p>
        </w:tc>
      </w:tr>
      <w:tr w:rsidR="000D13EB" w:rsidRPr="00E007CB" w:rsidTr="00791BDA">
        <w:trPr>
          <w:cantSplit/>
        </w:trPr>
        <w:tc>
          <w:tcPr>
            <w:tcW w:w="2427" w:type="pct"/>
          </w:tcPr>
          <w:p w:rsidR="000D13EB" w:rsidRPr="00F77596" w:rsidRDefault="000D13EB" w:rsidP="000D13EB">
            <w:pPr>
              <w:jc w:val="both"/>
              <w:rPr>
                <w:sz w:val="20"/>
              </w:rPr>
            </w:pPr>
            <w:r w:rsidRPr="00F77596">
              <w:rPr>
                <w:sz w:val="20"/>
              </w:rPr>
              <w:lastRenderedPageBreak/>
              <w:t>February 13, 2012</w:t>
            </w:r>
          </w:p>
          <w:p w:rsidR="000D13EB" w:rsidRPr="00F77596" w:rsidRDefault="000D13EB" w:rsidP="000D13EB">
            <w:pPr>
              <w:jc w:val="both"/>
              <w:rPr>
                <w:sz w:val="20"/>
              </w:rPr>
            </w:pPr>
            <w:r w:rsidRPr="00F77596">
              <w:rPr>
                <w:sz w:val="20"/>
              </w:rPr>
              <w:t>British Columbia Labour Review Board</w:t>
            </w:r>
          </w:p>
          <w:p w:rsidR="000D13EB" w:rsidRPr="00F77596" w:rsidRDefault="000D13EB" w:rsidP="000D13EB">
            <w:pPr>
              <w:jc w:val="both"/>
              <w:rPr>
                <w:sz w:val="20"/>
              </w:rPr>
            </w:pPr>
            <w:r w:rsidRPr="00F77596">
              <w:rPr>
                <w:sz w:val="20"/>
              </w:rPr>
              <w:t>(Panel Mullin, Fleming and Topalian)</w:t>
            </w:r>
          </w:p>
          <w:p w:rsidR="000D13EB" w:rsidRPr="00F77596" w:rsidRDefault="000D13EB" w:rsidP="000D13EB">
            <w:pPr>
              <w:jc w:val="both"/>
              <w:rPr>
                <w:sz w:val="20"/>
              </w:rPr>
            </w:pPr>
            <w:r w:rsidRPr="00F77596">
              <w:rPr>
                <w:sz w:val="20"/>
              </w:rPr>
              <w:t>BCLRB B46/2012</w:t>
            </w:r>
          </w:p>
          <w:p w:rsidR="000D13EB" w:rsidRPr="00E007CB" w:rsidRDefault="000D13EB" w:rsidP="000D13EB">
            <w:pPr>
              <w:jc w:val="both"/>
              <w:rPr>
                <w:rFonts w:eastAsia="Calibri"/>
                <w:sz w:val="20"/>
              </w:rPr>
            </w:pPr>
          </w:p>
        </w:tc>
        <w:tc>
          <w:tcPr>
            <w:tcW w:w="243" w:type="pct"/>
          </w:tcPr>
          <w:p w:rsidR="000D13EB" w:rsidRPr="00E007CB" w:rsidRDefault="000D13EB" w:rsidP="000D13EB">
            <w:pPr>
              <w:jc w:val="both"/>
              <w:rPr>
                <w:rFonts w:eastAsia="Calibri"/>
                <w:sz w:val="20"/>
              </w:rPr>
            </w:pPr>
          </w:p>
        </w:tc>
        <w:tc>
          <w:tcPr>
            <w:tcW w:w="2330" w:type="pct"/>
          </w:tcPr>
          <w:p w:rsidR="000D13EB" w:rsidRPr="00F77596" w:rsidRDefault="000D13EB" w:rsidP="000D13EB">
            <w:pPr>
              <w:jc w:val="both"/>
              <w:rPr>
                <w:sz w:val="20"/>
              </w:rPr>
            </w:pPr>
            <w:r w:rsidRPr="00F77596">
              <w:rPr>
                <w:sz w:val="20"/>
              </w:rPr>
              <w:t xml:space="preserve">Board held to have discretion to refuse a remedy under s. 70 of the </w:t>
            </w:r>
            <w:r w:rsidRPr="00F77596">
              <w:rPr>
                <w:i/>
                <w:sz w:val="20"/>
              </w:rPr>
              <w:t>Code</w:t>
            </w:r>
            <w:r w:rsidRPr="00F77596">
              <w:rPr>
                <w:sz w:val="20"/>
              </w:rPr>
              <w:t xml:space="preserve"> and previous refusal found to be appropriate in this case</w:t>
            </w:r>
          </w:p>
        </w:tc>
      </w:tr>
      <w:tr w:rsidR="000D13EB" w:rsidRPr="00E007CB" w:rsidTr="00791BDA">
        <w:trPr>
          <w:cantSplit/>
        </w:trPr>
        <w:tc>
          <w:tcPr>
            <w:tcW w:w="2427" w:type="pct"/>
          </w:tcPr>
          <w:p w:rsidR="000D13EB" w:rsidRPr="00F77596" w:rsidRDefault="000D13EB" w:rsidP="000D13EB">
            <w:pPr>
              <w:jc w:val="both"/>
              <w:rPr>
                <w:sz w:val="20"/>
              </w:rPr>
            </w:pPr>
            <w:r w:rsidRPr="00F77596">
              <w:rPr>
                <w:sz w:val="20"/>
              </w:rPr>
              <w:t>December 2, 2013</w:t>
            </w:r>
          </w:p>
          <w:p w:rsidR="000D13EB" w:rsidRPr="00F77596" w:rsidRDefault="000D13EB" w:rsidP="000D13EB">
            <w:pPr>
              <w:jc w:val="both"/>
              <w:rPr>
                <w:sz w:val="20"/>
              </w:rPr>
            </w:pPr>
            <w:r w:rsidRPr="00F77596">
              <w:rPr>
                <w:sz w:val="20"/>
              </w:rPr>
              <w:t>Supreme Court of British Columbia</w:t>
            </w:r>
          </w:p>
          <w:p w:rsidR="000D13EB" w:rsidRPr="00F77596" w:rsidRDefault="000D13EB" w:rsidP="000D13EB">
            <w:pPr>
              <w:jc w:val="both"/>
              <w:rPr>
                <w:sz w:val="20"/>
              </w:rPr>
            </w:pPr>
            <w:r w:rsidRPr="00F77596">
              <w:rPr>
                <w:sz w:val="20"/>
              </w:rPr>
              <w:t>(Smith J.)</w:t>
            </w:r>
          </w:p>
          <w:p w:rsidR="000D13EB" w:rsidRPr="00F77596" w:rsidRDefault="00EC4FDF" w:rsidP="000D13EB">
            <w:pPr>
              <w:jc w:val="both"/>
              <w:rPr>
                <w:sz w:val="20"/>
              </w:rPr>
            </w:pPr>
            <w:hyperlink r:id="rId38" w:history="1">
              <w:r w:rsidR="000D13EB" w:rsidRPr="00F77596">
                <w:rPr>
                  <w:rStyle w:val="Hyperlink"/>
                  <w:sz w:val="20"/>
                </w:rPr>
                <w:t>2013 BCSC 2155</w:t>
              </w:r>
            </w:hyperlink>
          </w:p>
          <w:p w:rsidR="000D13EB" w:rsidRPr="00E007CB" w:rsidRDefault="000D13EB" w:rsidP="000D13EB">
            <w:pPr>
              <w:jc w:val="both"/>
              <w:rPr>
                <w:rFonts w:eastAsia="Calibri"/>
                <w:sz w:val="20"/>
              </w:rPr>
            </w:pPr>
          </w:p>
        </w:tc>
        <w:tc>
          <w:tcPr>
            <w:tcW w:w="243" w:type="pct"/>
          </w:tcPr>
          <w:p w:rsidR="000D13EB" w:rsidRPr="00E007CB" w:rsidRDefault="000D13EB" w:rsidP="000D13EB">
            <w:pPr>
              <w:jc w:val="both"/>
              <w:rPr>
                <w:rFonts w:eastAsia="Calibri"/>
                <w:sz w:val="20"/>
              </w:rPr>
            </w:pPr>
          </w:p>
        </w:tc>
        <w:tc>
          <w:tcPr>
            <w:tcW w:w="2330" w:type="pct"/>
          </w:tcPr>
          <w:p w:rsidR="000D13EB" w:rsidRPr="00F77596" w:rsidRDefault="000D13EB" w:rsidP="000D13EB">
            <w:pPr>
              <w:jc w:val="both"/>
              <w:rPr>
                <w:sz w:val="20"/>
              </w:rPr>
            </w:pPr>
            <w:r w:rsidRPr="00F77596">
              <w:rPr>
                <w:sz w:val="20"/>
              </w:rPr>
              <w:t>Applicant’s application for judicial review dismissed</w:t>
            </w:r>
          </w:p>
          <w:p w:rsidR="000D13EB" w:rsidRPr="00F77596" w:rsidRDefault="000D13EB" w:rsidP="000D13EB">
            <w:pPr>
              <w:jc w:val="both"/>
              <w:rPr>
                <w:sz w:val="20"/>
              </w:rPr>
            </w:pPr>
          </w:p>
        </w:tc>
      </w:tr>
      <w:tr w:rsidR="000D13EB" w:rsidRPr="00E007CB" w:rsidTr="00791BDA">
        <w:trPr>
          <w:cantSplit/>
        </w:trPr>
        <w:tc>
          <w:tcPr>
            <w:tcW w:w="2427" w:type="pct"/>
          </w:tcPr>
          <w:p w:rsidR="000D13EB" w:rsidRPr="00F77596" w:rsidRDefault="000D13EB" w:rsidP="000D13EB">
            <w:pPr>
              <w:jc w:val="both"/>
              <w:rPr>
                <w:sz w:val="20"/>
              </w:rPr>
            </w:pPr>
            <w:r w:rsidRPr="00F77596">
              <w:rPr>
                <w:sz w:val="20"/>
              </w:rPr>
              <w:t>December 18, 2014</w:t>
            </w:r>
          </w:p>
          <w:p w:rsidR="000D13EB" w:rsidRPr="00F77596" w:rsidRDefault="000D13EB" w:rsidP="000D13EB">
            <w:pPr>
              <w:jc w:val="both"/>
              <w:rPr>
                <w:sz w:val="20"/>
              </w:rPr>
            </w:pPr>
            <w:r w:rsidRPr="00F77596">
              <w:rPr>
                <w:sz w:val="20"/>
              </w:rPr>
              <w:t xml:space="preserve">Court of Appeal for British Columbia </w:t>
            </w:r>
          </w:p>
          <w:p w:rsidR="000D13EB" w:rsidRPr="00F77596" w:rsidRDefault="000D13EB" w:rsidP="000D13EB">
            <w:pPr>
              <w:jc w:val="both"/>
              <w:rPr>
                <w:sz w:val="20"/>
              </w:rPr>
            </w:pPr>
            <w:r w:rsidRPr="00F77596">
              <w:rPr>
                <w:sz w:val="20"/>
              </w:rPr>
              <w:t>(Vancouver)</w:t>
            </w:r>
          </w:p>
          <w:p w:rsidR="000D13EB" w:rsidRPr="00F77596" w:rsidRDefault="000D13EB" w:rsidP="000D13EB">
            <w:pPr>
              <w:jc w:val="both"/>
              <w:rPr>
                <w:sz w:val="20"/>
              </w:rPr>
            </w:pPr>
            <w:r w:rsidRPr="00F77596">
              <w:rPr>
                <w:sz w:val="20"/>
              </w:rPr>
              <w:t>(Tysoe, Smith and Bennett JJ.A.)</w:t>
            </w:r>
          </w:p>
          <w:p w:rsidR="000D13EB" w:rsidRPr="00F77596" w:rsidRDefault="00EC4FDF" w:rsidP="000D13EB">
            <w:pPr>
              <w:jc w:val="both"/>
              <w:rPr>
                <w:sz w:val="20"/>
              </w:rPr>
            </w:pPr>
            <w:hyperlink r:id="rId39" w:history="1">
              <w:r w:rsidR="000D13EB" w:rsidRPr="00F77596">
                <w:rPr>
                  <w:rStyle w:val="Hyperlink"/>
                  <w:sz w:val="20"/>
                </w:rPr>
                <w:t>2014 BCCA 496</w:t>
              </w:r>
            </w:hyperlink>
            <w:r w:rsidR="000D13EB" w:rsidRPr="00F77596">
              <w:rPr>
                <w:sz w:val="20"/>
              </w:rPr>
              <w:t>; CA041416</w:t>
            </w:r>
          </w:p>
          <w:p w:rsidR="000D13EB" w:rsidRPr="00F77596" w:rsidRDefault="000D13EB" w:rsidP="000D13EB">
            <w:pPr>
              <w:jc w:val="both"/>
              <w:rPr>
                <w:sz w:val="20"/>
              </w:rPr>
            </w:pPr>
          </w:p>
        </w:tc>
        <w:tc>
          <w:tcPr>
            <w:tcW w:w="243" w:type="pct"/>
          </w:tcPr>
          <w:p w:rsidR="000D13EB" w:rsidRPr="00E007CB" w:rsidRDefault="000D13EB" w:rsidP="000D13EB">
            <w:pPr>
              <w:jc w:val="both"/>
              <w:rPr>
                <w:rFonts w:eastAsia="Calibri"/>
                <w:sz w:val="20"/>
              </w:rPr>
            </w:pPr>
          </w:p>
        </w:tc>
        <w:tc>
          <w:tcPr>
            <w:tcW w:w="2330" w:type="pct"/>
          </w:tcPr>
          <w:p w:rsidR="000D13EB" w:rsidRPr="00F77596" w:rsidRDefault="000D13EB" w:rsidP="000D13EB">
            <w:pPr>
              <w:jc w:val="both"/>
              <w:rPr>
                <w:sz w:val="20"/>
              </w:rPr>
            </w:pPr>
            <w:r w:rsidRPr="00F77596">
              <w:rPr>
                <w:sz w:val="20"/>
              </w:rPr>
              <w:t>Appeal dismissed</w:t>
            </w:r>
          </w:p>
          <w:p w:rsidR="000D13EB" w:rsidRPr="00F77596" w:rsidRDefault="000D13EB" w:rsidP="000D13EB">
            <w:pPr>
              <w:jc w:val="both"/>
              <w:rPr>
                <w:sz w:val="20"/>
              </w:rPr>
            </w:pPr>
          </w:p>
        </w:tc>
      </w:tr>
      <w:tr w:rsidR="000D13EB" w:rsidRPr="00E007CB" w:rsidTr="00791BDA">
        <w:trPr>
          <w:cantSplit/>
        </w:trPr>
        <w:tc>
          <w:tcPr>
            <w:tcW w:w="2427" w:type="pct"/>
          </w:tcPr>
          <w:p w:rsidR="000D13EB" w:rsidRPr="00E007CB" w:rsidRDefault="000D13EB" w:rsidP="000D13EB">
            <w:pPr>
              <w:jc w:val="both"/>
              <w:rPr>
                <w:rFonts w:eastAsia="Calibri"/>
                <w:sz w:val="20"/>
              </w:rPr>
            </w:pPr>
            <w:r>
              <w:rPr>
                <w:rFonts w:eastAsia="Calibri"/>
                <w:sz w:val="20"/>
              </w:rPr>
              <w:t>February</w:t>
            </w:r>
            <w:r w:rsidRPr="00E007CB">
              <w:rPr>
                <w:rFonts w:eastAsia="Calibri"/>
                <w:sz w:val="20"/>
              </w:rPr>
              <w:t xml:space="preserve"> </w:t>
            </w:r>
            <w:r>
              <w:rPr>
                <w:rFonts w:eastAsia="Calibri"/>
                <w:sz w:val="20"/>
              </w:rPr>
              <w:t>13,</w:t>
            </w:r>
            <w:r w:rsidRPr="00E007CB">
              <w:rPr>
                <w:rFonts w:eastAsia="Calibri"/>
                <w:sz w:val="20"/>
              </w:rPr>
              <w:t xml:space="preserve"> 201</w:t>
            </w:r>
            <w:r>
              <w:rPr>
                <w:rFonts w:eastAsia="Calibri"/>
                <w:sz w:val="20"/>
              </w:rPr>
              <w:t>5</w:t>
            </w:r>
          </w:p>
          <w:p w:rsidR="000D13EB" w:rsidRPr="00E007CB" w:rsidRDefault="000D13EB" w:rsidP="000D13EB">
            <w:pPr>
              <w:jc w:val="both"/>
              <w:rPr>
                <w:rFonts w:eastAsia="Calibri"/>
                <w:sz w:val="20"/>
              </w:rPr>
            </w:pPr>
            <w:r w:rsidRPr="00E007CB">
              <w:rPr>
                <w:rFonts w:eastAsia="Calibri"/>
                <w:sz w:val="20"/>
              </w:rPr>
              <w:t>Supreme Court of Canada</w:t>
            </w:r>
          </w:p>
        </w:tc>
        <w:tc>
          <w:tcPr>
            <w:tcW w:w="243" w:type="pct"/>
          </w:tcPr>
          <w:p w:rsidR="000D13EB" w:rsidRPr="00E007CB" w:rsidRDefault="000D13EB" w:rsidP="000D13EB">
            <w:pPr>
              <w:jc w:val="both"/>
              <w:rPr>
                <w:rFonts w:eastAsia="Calibri"/>
                <w:sz w:val="20"/>
              </w:rPr>
            </w:pPr>
          </w:p>
        </w:tc>
        <w:tc>
          <w:tcPr>
            <w:tcW w:w="2330" w:type="pct"/>
          </w:tcPr>
          <w:p w:rsidR="000D13EB" w:rsidRPr="00F77596" w:rsidRDefault="000D13EB" w:rsidP="000D13EB">
            <w:pPr>
              <w:jc w:val="both"/>
              <w:rPr>
                <w:sz w:val="20"/>
              </w:rPr>
            </w:pPr>
            <w:r w:rsidRPr="00F77596">
              <w:rPr>
                <w:sz w:val="20"/>
              </w:rPr>
              <w:t>Application for leave to appeal filed</w:t>
            </w:r>
          </w:p>
          <w:p w:rsidR="000D13EB" w:rsidRPr="00F77596" w:rsidRDefault="000D13EB" w:rsidP="000D13EB">
            <w:pPr>
              <w:jc w:val="both"/>
              <w:rPr>
                <w:sz w:val="20"/>
              </w:rPr>
            </w:pPr>
          </w:p>
        </w:tc>
      </w:tr>
    </w:tbl>
    <w:p w:rsidR="002D129E" w:rsidRDefault="002D129E" w:rsidP="002D129E">
      <w:pPr>
        <w:rPr>
          <w:sz w:val="20"/>
          <w:szCs w:val="20"/>
        </w:rPr>
      </w:pPr>
    </w:p>
    <w:p w:rsidR="002D129E" w:rsidRPr="00C50A5C" w:rsidRDefault="00EC4FDF" w:rsidP="002D129E">
      <w:pPr>
        <w:rPr>
          <w:sz w:val="20"/>
          <w:szCs w:val="20"/>
        </w:rPr>
      </w:pPr>
      <w:r>
        <w:rPr>
          <w:sz w:val="20"/>
          <w:szCs w:val="20"/>
          <w:lang w:val="fr-CA"/>
        </w:rPr>
        <w:pict>
          <v:rect id="_x0000_i1043" style="width:2in;height:1pt" o:hrpct="0" o:hralign="center" o:hrstd="t" o:hrnoshade="t" o:hr="t" fillcolor="black [3213]" stroked="f"/>
        </w:pict>
      </w:r>
    </w:p>
    <w:p w:rsidR="002D129E" w:rsidRDefault="002D129E" w:rsidP="002D129E">
      <w:pPr>
        <w:rPr>
          <w:sz w:val="20"/>
          <w:szCs w:val="20"/>
        </w:rPr>
      </w:pPr>
    </w:p>
    <w:p w:rsidR="002D129E" w:rsidRPr="001B157C" w:rsidRDefault="002D129E" w:rsidP="002D129E">
      <w:pPr>
        <w:rPr>
          <w:sz w:val="20"/>
          <w:szCs w:val="20"/>
          <w:u w:val="single"/>
          <w:lang w:val="fr-CA"/>
        </w:rPr>
      </w:pPr>
      <w:r w:rsidRPr="001B157C">
        <w:rPr>
          <w:sz w:val="20"/>
          <w:szCs w:val="20"/>
          <w:u w:val="single"/>
          <w:lang w:val="fr-CA"/>
        </w:rPr>
        <w:t>RÉSUMÉ DE L’AFFAIRE</w:t>
      </w:r>
    </w:p>
    <w:p w:rsidR="002D129E" w:rsidRDefault="002D129E" w:rsidP="002D129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D129E" w:rsidRPr="00002704" w:rsidTr="00791BDA">
        <w:tc>
          <w:tcPr>
            <w:tcW w:w="5000" w:type="pct"/>
            <w:gridSpan w:val="3"/>
          </w:tcPr>
          <w:p w:rsidR="002D129E" w:rsidRDefault="007A76E4" w:rsidP="00791BDA">
            <w:pPr>
              <w:jc w:val="both"/>
              <w:rPr>
                <w:spacing w:val="-1"/>
                <w:sz w:val="20"/>
                <w:lang w:val="fr-CA"/>
              </w:rPr>
            </w:pPr>
            <w:r w:rsidRPr="00F77596">
              <w:rPr>
                <w:sz w:val="20"/>
                <w:lang w:val="fr-CA"/>
              </w:rPr>
              <w:t>Droit administratif – Contrôle judiciaire – Norme de contrôle – Le sens de l’expression [</w:t>
            </w:r>
            <w:r w:rsidRPr="00F77596">
              <w:rPr>
                <w:smallCaps/>
                <w:sz w:val="20"/>
                <w:lang w:val="fr-CA"/>
              </w:rPr>
              <w:t>traduction</w:t>
            </w:r>
            <w:r w:rsidRPr="00F77596">
              <w:rPr>
                <w:sz w:val="20"/>
                <w:lang w:val="fr-CA"/>
              </w:rPr>
              <w:t>] « manifestement déraisonnable » (« </w:t>
            </w:r>
            <w:r w:rsidRPr="00F77596">
              <w:rPr>
                <w:i/>
                <w:spacing w:val="-1"/>
                <w:sz w:val="20"/>
                <w:lang w:val="fr-CA"/>
              </w:rPr>
              <w:t>patently</w:t>
            </w:r>
            <w:r w:rsidRPr="00F77596">
              <w:rPr>
                <w:i/>
                <w:spacing w:val="4"/>
                <w:sz w:val="20"/>
                <w:lang w:val="fr-CA"/>
              </w:rPr>
              <w:t xml:space="preserve"> </w:t>
            </w:r>
            <w:r w:rsidRPr="00F77596">
              <w:rPr>
                <w:i/>
                <w:spacing w:val="-1"/>
                <w:sz w:val="20"/>
                <w:lang w:val="fr-CA"/>
              </w:rPr>
              <w:t>unreasonable</w:t>
            </w:r>
            <w:r w:rsidRPr="00F77596">
              <w:rPr>
                <w:spacing w:val="-1"/>
                <w:sz w:val="20"/>
                <w:lang w:val="fr-CA"/>
              </w:rPr>
              <w:t> ») que l’on trouve</w:t>
            </w:r>
            <w:r w:rsidRPr="00F77596">
              <w:rPr>
                <w:spacing w:val="4"/>
                <w:sz w:val="20"/>
                <w:lang w:val="fr-CA"/>
              </w:rPr>
              <w:t xml:space="preserve"> </w:t>
            </w:r>
            <w:r w:rsidRPr="00F77596">
              <w:rPr>
                <w:sz w:val="20"/>
                <w:lang w:val="fr-CA"/>
              </w:rPr>
              <w:t>dans l’</w:t>
            </w:r>
            <w:r w:rsidRPr="00F77596">
              <w:rPr>
                <w:i/>
                <w:sz w:val="20"/>
                <w:lang w:val="fr-CA"/>
              </w:rPr>
              <w:t>Administrative Tribunals Act</w:t>
            </w:r>
            <w:r w:rsidRPr="00F77596">
              <w:rPr>
                <w:sz w:val="20"/>
                <w:lang w:val="fr-CA"/>
              </w:rPr>
              <w:t xml:space="preserve">, S.B.C. 2004, ch. 45 est-il déterminé et élaboré en fonction des </w:t>
            </w:r>
            <w:r w:rsidRPr="00F77596">
              <w:rPr>
                <w:spacing w:val="-1"/>
                <w:sz w:val="20"/>
                <w:lang w:val="fr-CA"/>
              </w:rPr>
              <w:t xml:space="preserve">évolutions de la </w:t>
            </w:r>
            <w:r w:rsidRPr="00F77596">
              <w:rPr>
                <w:sz w:val="20"/>
                <w:lang w:val="fr-CA"/>
              </w:rPr>
              <w:t>common</w:t>
            </w:r>
            <w:r w:rsidRPr="00F77596">
              <w:rPr>
                <w:spacing w:val="-1"/>
                <w:sz w:val="20"/>
                <w:lang w:val="fr-CA"/>
              </w:rPr>
              <w:t xml:space="preserve"> </w:t>
            </w:r>
            <w:r w:rsidRPr="00F77596">
              <w:rPr>
                <w:sz w:val="20"/>
                <w:lang w:val="fr-CA"/>
              </w:rPr>
              <w:t xml:space="preserve">law? – </w:t>
            </w:r>
            <w:r w:rsidRPr="00F77596">
              <w:rPr>
                <w:spacing w:val="-1"/>
                <w:sz w:val="20"/>
                <w:lang w:val="fr-CA"/>
              </w:rPr>
              <w:t>Comment convient-il d’interpréter des dispositions législatives qui incorporent de la terminologie que l’on trouve en common law?</w:t>
            </w:r>
          </w:p>
          <w:p w:rsidR="007A76E4" w:rsidRPr="00E007CB" w:rsidRDefault="007A76E4" w:rsidP="00791BDA">
            <w:pPr>
              <w:jc w:val="both"/>
              <w:rPr>
                <w:rFonts w:eastAsia="Calibri"/>
                <w:sz w:val="20"/>
                <w:lang w:val="fr-CA"/>
              </w:rPr>
            </w:pPr>
          </w:p>
        </w:tc>
      </w:tr>
      <w:tr w:rsidR="002D129E" w:rsidRPr="00E007CB" w:rsidTr="00791BDA">
        <w:tc>
          <w:tcPr>
            <w:tcW w:w="5000" w:type="pct"/>
            <w:gridSpan w:val="3"/>
          </w:tcPr>
          <w:p w:rsidR="007A76E4" w:rsidRPr="00F77596" w:rsidRDefault="007A76E4" w:rsidP="007A76E4">
            <w:pPr>
              <w:jc w:val="both"/>
              <w:rPr>
                <w:sz w:val="20"/>
                <w:lang w:val="fr-CA"/>
              </w:rPr>
            </w:pPr>
            <w:r w:rsidRPr="00F77596">
              <w:rPr>
                <w:sz w:val="20"/>
                <w:lang w:val="fr-CA"/>
              </w:rPr>
              <w:t xml:space="preserve">Le syndicat intimé a émis une déclaration (la « déclaration ») reprochant à la société Telus et aux sociétés de son groupe (« Telus ») d’être des employeurs injustes. En raison de cette déclaration, les employés de la demanderesse ont refusé de traiter la publicité que Telus avait tenté de faire paraître dans deux journaux de la Colombie-Britannique. La déclaration a été abrogée cinq semaines plus tard lorsque le conflit de travail avec Telus a été réglé. Après la publication de la déclaration, la demanderesse a déposé un grief en dommages-intérêts en application de la convention collective et une demande à la commission des relations de travail de la Colombie-Britannique (la « commission »), fondée sur l’art. 70 de la </w:t>
            </w:r>
            <w:r w:rsidRPr="00F77596">
              <w:rPr>
                <w:i/>
                <w:sz w:val="20"/>
                <w:lang w:val="fr-CA"/>
              </w:rPr>
              <w:t>Labour Relations Code</w:t>
            </w:r>
            <w:r w:rsidRPr="00F77596">
              <w:rPr>
                <w:sz w:val="20"/>
                <w:lang w:val="fr-CA"/>
              </w:rPr>
              <w:t>, R.S.B.C. 1996, ch. 244 (le « </w:t>
            </w:r>
            <w:r w:rsidRPr="00F77596">
              <w:rPr>
                <w:i/>
                <w:sz w:val="20"/>
                <w:lang w:val="fr-CA"/>
              </w:rPr>
              <w:t>Code</w:t>
            </w:r>
            <w:r w:rsidRPr="00F77596">
              <w:rPr>
                <w:sz w:val="20"/>
                <w:lang w:val="fr-CA"/>
              </w:rPr>
              <w:t> »). Cette disposition prévoit que la commission [</w:t>
            </w:r>
            <w:r w:rsidRPr="00F77596">
              <w:rPr>
                <w:smallCaps/>
                <w:sz w:val="20"/>
                <w:lang w:val="fr-CA"/>
              </w:rPr>
              <w:t>traduction</w:t>
            </w:r>
            <w:r w:rsidRPr="00F77596">
              <w:rPr>
                <w:sz w:val="20"/>
                <w:lang w:val="fr-CA"/>
              </w:rPr>
              <w:t xml:space="preserve">] « peut, à sa discrétion, prononcer une opinion déclaratoire » portant que la déclaration était nulle, si la commission est convaincue que la déclaration influe de façon importante sur l’entreprise ou les activités du demandeur. </w:t>
            </w:r>
          </w:p>
          <w:p w:rsidR="007A76E4" w:rsidRPr="00F77596" w:rsidRDefault="007A76E4" w:rsidP="007A76E4">
            <w:pPr>
              <w:jc w:val="both"/>
              <w:rPr>
                <w:sz w:val="20"/>
                <w:lang w:val="fr-CA"/>
              </w:rPr>
            </w:pPr>
          </w:p>
          <w:p w:rsidR="007A76E4" w:rsidRPr="00F77596" w:rsidRDefault="007A76E4" w:rsidP="007A76E4">
            <w:pPr>
              <w:jc w:val="both"/>
              <w:rPr>
                <w:sz w:val="20"/>
                <w:lang w:val="fr-CA"/>
              </w:rPr>
            </w:pPr>
            <w:r w:rsidRPr="00F77596">
              <w:rPr>
                <w:sz w:val="20"/>
                <w:lang w:val="fr-CA"/>
              </w:rPr>
              <w:t xml:space="preserve">La demande a été rejetée, ce qui a entraîné une série de décisions et de réexamens par la commission, des contrôles judiciaires et des appels. Dans une décision rendue à l’issue d’un quatrième réexamen, la commission a conclu qu’elle avait compétence pour exercer son pouvoir discrétionnaire et statuer sur l’opportunité de prononcer ou non une opinion déclaratoire en application de l’art. 70 du </w:t>
            </w:r>
            <w:r w:rsidRPr="00F77596">
              <w:rPr>
                <w:i/>
                <w:sz w:val="20"/>
                <w:lang w:val="fr-CA"/>
              </w:rPr>
              <w:t>Code</w:t>
            </w:r>
            <w:r w:rsidRPr="00F77596">
              <w:rPr>
                <w:sz w:val="20"/>
                <w:lang w:val="fr-CA"/>
              </w:rPr>
              <w:t>. La commission a conclu par ailleurs que l’art. 70 ne lui donnait pas compétence pour prononcer [</w:t>
            </w:r>
            <w:r w:rsidRPr="00F77596">
              <w:rPr>
                <w:smallCaps/>
                <w:sz w:val="20"/>
                <w:lang w:val="fr-CA"/>
              </w:rPr>
              <w:t>traduction</w:t>
            </w:r>
            <w:r w:rsidRPr="00F77596">
              <w:rPr>
                <w:sz w:val="20"/>
                <w:lang w:val="fr-CA"/>
              </w:rPr>
              <w:t xml:space="preserve">] « une ordonnance » ou pour conclure à une contravention du </w:t>
            </w:r>
            <w:r w:rsidRPr="00F77596">
              <w:rPr>
                <w:i/>
                <w:sz w:val="20"/>
                <w:lang w:val="fr-CA"/>
              </w:rPr>
              <w:t>Code</w:t>
            </w:r>
            <w:r w:rsidRPr="00F77596">
              <w:rPr>
                <w:sz w:val="20"/>
                <w:lang w:val="fr-CA"/>
              </w:rPr>
              <w:t xml:space="preserve"> qui pourrait fonder une demande en dommages-intérêts. Prenant en compte la nature de l’art. 70, la commission a fini par confirmer ses décisions antérieures de refuser de prononcer une opinion déclaratoire sur les faits de l’affaire. La Cour suprême de la Colombie-Britannique a rejeté une demande de contrôle judiciaire et la Cour d’appel de la Colombie-Britannique a rejeté un appel.</w:t>
            </w:r>
          </w:p>
          <w:p w:rsidR="002D129E" w:rsidRPr="00E007CB" w:rsidRDefault="002D129E" w:rsidP="00791BDA">
            <w:pPr>
              <w:jc w:val="both"/>
              <w:rPr>
                <w:sz w:val="20"/>
                <w:lang w:val="fr-CA"/>
              </w:rPr>
            </w:pPr>
          </w:p>
        </w:tc>
      </w:tr>
      <w:tr w:rsidR="002D129E" w:rsidRPr="00002704" w:rsidTr="00791BDA">
        <w:trPr>
          <w:cantSplit/>
        </w:trPr>
        <w:tc>
          <w:tcPr>
            <w:tcW w:w="2427" w:type="pct"/>
          </w:tcPr>
          <w:p w:rsidR="0078342A" w:rsidRPr="00F77596" w:rsidRDefault="0078342A" w:rsidP="0078342A">
            <w:pPr>
              <w:jc w:val="both"/>
              <w:rPr>
                <w:sz w:val="20"/>
              </w:rPr>
            </w:pPr>
            <w:r w:rsidRPr="00F77596">
              <w:rPr>
                <w:sz w:val="20"/>
              </w:rPr>
              <w:lastRenderedPageBreak/>
              <w:t>13 février 2012</w:t>
            </w:r>
          </w:p>
          <w:p w:rsidR="0078342A" w:rsidRPr="00F77596" w:rsidRDefault="0078342A" w:rsidP="0078342A">
            <w:pPr>
              <w:jc w:val="both"/>
              <w:rPr>
                <w:sz w:val="20"/>
              </w:rPr>
            </w:pPr>
            <w:r w:rsidRPr="00F77596">
              <w:rPr>
                <w:sz w:val="20"/>
              </w:rPr>
              <w:t>British Columbia Labour Review Board</w:t>
            </w:r>
          </w:p>
          <w:p w:rsidR="0078342A" w:rsidRPr="00F77596" w:rsidRDefault="0078342A" w:rsidP="0078342A">
            <w:pPr>
              <w:jc w:val="both"/>
              <w:rPr>
                <w:sz w:val="20"/>
                <w:lang w:val="fr-CA"/>
              </w:rPr>
            </w:pPr>
            <w:r w:rsidRPr="00F77596">
              <w:rPr>
                <w:sz w:val="20"/>
                <w:lang w:val="fr-CA"/>
              </w:rPr>
              <w:t>(Commissaires Mullin, Fleming et Topalian)</w:t>
            </w:r>
          </w:p>
          <w:p w:rsidR="0078342A" w:rsidRPr="00F77596" w:rsidRDefault="0078342A" w:rsidP="0078342A">
            <w:pPr>
              <w:jc w:val="both"/>
              <w:rPr>
                <w:sz w:val="20"/>
                <w:lang w:val="fr-CA"/>
              </w:rPr>
            </w:pPr>
            <w:r w:rsidRPr="00F77596">
              <w:rPr>
                <w:sz w:val="20"/>
                <w:lang w:val="fr-CA"/>
              </w:rPr>
              <w:t>BCLRB B46/2012</w:t>
            </w:r>
          </w:p>
          <w:p w:rsidR="002D129E" w:rsidRPr="00E007CB" w:rsidRDefault="002D129E" w:rsidP="00791BDA">
            <w:pPr>
              <w:jc w:val="both"/>
              <w:rPr>
                <w:rFonts w:eastAsia="Calibri"/>
                <w:sz w:val="20"/>
                <w:lang w:val="fr-CA"/>
              </w:rPr>
            </w:pPr>
          </w:p>
        </w:tc>
        <w:tc>
          <w:tcPr>
            <w:tcW w:w="243" w:type="pct"/>
          </w:tcPr>
          <w:p w:rsidR="002D129E" w:rsidRPr="00E007CB" w:rsidRDefault="002D129E" w:rsidP="00791BDA">
            <w:pPr>
              <w:jc w:val="both"/>
              <w:rPr>
                <w:rFonts w:eastAsia="Calibri"/>
                <w:sz w:val="20"/>
                <w:lang w:val="fr-CA"/>
              </w:rPr>
            </w:pPr>
          </w:p>
        </w:tc>
        <w:tc>
          <w:tcPr>
            <w:tcW w:w="2330" w:type="pct"/>
          </w:tcPr>
          <w:p w:rsidR="0078342A" w:rsidRPr="00F77596" w:rsidRDefault="0078342A" w:rsidP="0078342A">
            <w:pPr>
              <w:jc w:val="both"/>
              <w:rPr>
                <w:sz w:val="20"/>
                <w:lang w:val="fr-CA"/>
              </w:rPr>
            </w:pPr>
            <w:r w:rsidRPr="00F77596">
              <w:rPr>
                <w:sz w:val="20"/>
                <w:lang w:val="fr-CA"/>
              </w:rPr>
              <w:t xml:space="preserve">Décision statuant que la commission a le pouvoir discrétionnaire de refuser une réparation en application de l’art. 70 du </w:t>
            </w:r>
            <w:r w:rsidRPr="00F77596">
              <w:rPr>
                <w:i/>
                <w:sz w:val="20"/>
                <w:lang w:val="fr-CA"/>
              </w:rPr>
              <w:t>Code</w:t>
            </w:r>
            <w:r w:rsidRPr="00F77596">
              <w:rPr>
                <w:sz w:val="20"/>
                <w:lang w:val="fr-CA"/>
              </w:rPr>
              <w:t xml:space="preserve"> et portant qu’un refus antérieur était bien fondé en l’espèce</w:t>
            </w:r>
          </w:p>
          <w:p w:rsidR="002D129E" w:rsidRPr="00E007CB" w:rsidRDefault="002D129E" w:rsidP="00791BDA">
            <w:pPr>
              <w:jc w:val="both"/>
              <w:rPr>
                <w:rFonts w:eastAsia="Calibri"/>
                <w:sz w:val="20"/>
                <w:lang w:val="fr-CA"/>
              </w:rPr>
            </w:pPr>
          </w:p>
        </w:tc>
      </w:tr>
      <w:tr w:rsidR="002D129E" w:rsidRPr="00002704" w:rsidTr="00791BDA">
        <w:trPr>
          <w:cantSplit/>
        </w:trPr>
        <w:tc>
          <w:tcPr>
            <w:tcW w:w="2427" w:type="pct"/>
          </w:tcPr>
          <w:p w:rsidR="0078342A" w:rsidRPr="00F77596" w:rsidRDefault="0078342A" w:rsidP="0078342A">
            <w:pPr>
              <w:jc w:val="both"/>
              <w:rPr>
                <w:sz w:val="20"/>
                <w:lang w:val="fr-CA"/>
              </w:rPr>
            </w:pPr>
            <w:r w:rsidRPr="00F77596">
              <w:rPr>
                <w:sz w:val="20"/>
                <w:lang w:val="fr-CA"/>
              </w:rPr>
              <w:t>2 décembre 2013</w:t>
            </w:r>
          </w:p>
          <w:p w:rsidR="0078342A" w:rsidRPr="00F77596" w:rsidRDefault="0078342A" w:rsidP="0078342A">
            <w:pPr>
              <w:jc w:val="both"/>
              <w:rPr>
                <w:sz w:val="20"/>
                <w:lang w:val="fr-CA"/>
              </w:rPr>
            </w:pPr>
            <w:r w:rsidRPr="00F77596">
              <w:rPr>
                <w:sz w:val="20"/>
                <w:lang w:val="fr-CA"/>
              </w:rPr>
              <w:t>Cour suprême de la Colombie-Britannique</w:t>
            </w:r>
          </w:p>
          <w:p w:rsidR="0078342A" w:rsidRPr="00F77596" w:rsidRDefault="0078342A" w:rsidP="0078342A">
            <w:pPr>
              <w:jc w:val="both"/>
              <w:rPr>
                <w:sz w:val="20"/>
                <w:lang w:val="fr-CA"/>
              </w:rPr>
            </w:pPr>
            <w:r w:rsidRPr="00F77596">
              <w:rPr>
                <w:sz w:val="20"/>
                <w:lang w:val="fr-CA"/>
              </w:rPr>
              <w:t>(Juge Smith)</w:t>
            </w:r>
          </w:p>
          <w:p w:rsidR="0078342A" w:rsidRPr="00F77596" w:rsidRDefault="00EC4FDF" w:rsidP="0078342A">
            <w:pPr>
              <w:jc w:val="both"/>
              <w:rPr>
                <w:sz w:val="20"/>
                <w:lang w:val="fr-CA"/>
              </w:rPr>
            </w:pPr>
            <w:hyperlink r:id="rId40" w:history="1">
              <w:r w:rsidR="0078342A" w:rsidRPr="00F77596">
                <w:rPr>
                  <w:rStyle w:val="Hyperlink"/>
                  <w:sz w:val="20"/>
                  <w:lang w:val="fr-CA"/>
                </w:rPr>
                <w:t>2013 BCSC 2155</w:t>
              </w:r>
            </w:hyperlink>
          </w:p>
          <w:p w:rsidR="002D129E" w:rsidRPr="00E007CB" w:rsidRDefault="002D129E" w:rsidP="00791BDA">
            <w:pPr>
              <w:jc w:val="both"/>
              <w:rPr>
                <w:rFonts w:eastAsia="Calibri"/>
                <w:sz w:val="20"/>
                <w:lang w:val="fr-CA"/>
              </w:rPr>
            </w:pPr>
          </w:p>
        </w:tc>
        <w:tc>
          <w:tcPr>
            <w:tcW w:w="243" w:type="pct"/>
          </w:tcPr>
          <w:p w:rsidR="002D129E" w:rsidRPr="00E007CB" w:rsidRDefault="002D129E" w:rsidP="00791BDA">
            <w:pPr>
              <w:jc w:val="both"/>
              <w:rPr>
                <w:rFonts w:eastAsia="Calibri"/>
                <w:sz w:val="20"/>
                <w:lang w:val="fr-CA"/>
              </w:rPr>
            </w:pPr>
          </w:p>
        </w:tc>
        <w:tc>
          <w:tcPr>
            <w:tcW w:w="2330" w:type="pct"/>
          </w:tcPr>
          <w:p w:rsidR="0078342A" w:rsidRPr="00F77596" w:rsidRDefault="0078342A" w:rsidP="0078342A">
            <w:pPr>
              <w:jc w:val="both"/>
              <w:rPr>
                <w:sz w:val="20"/>
                <w:lang w:val="fr-CA"/>
              </w:rPr>
            </w:pPr>
            <w:r w:rsidRPr="00F77596">
              <w:rPr>
                <w:sz w:val="20"/>
                <w:lang w:val="fr-CA"/>
              </w:rPr>
              <w:t>Rejet de la demande de contrôle judiciaire de la demanderesse</w:t>
            </w:r>
          </w:p>
          <w:p w:rsidR="002D129E" w:rsidRPr="00F77596" w:rsidRDefault="002D129E" w:rsidP="00791BDA">
            <w:pPr>
              <w:jc w:val="both"/>
              <w:rPr>
                <w:sz w:val="20"/>
              </w:rPr>
            </w:pPr>
          </w:p>
        </w:tc>
      </w:tr>
      <w:tr w:rsidR="0078342A" w:rsidRPr="00E007CB" w:rsidTr="00791BDA">
        <w:trPr>
          <w:cantSplit/>
        </w:trPr>
        <w:tc>
          <w:tcPr>
            <w:tcW w:w="2427" w:type="pct"/>
          </w:tcPr>
          <w:p w:rsidR="0078342A" w:rsidRPr="00F77596" w:rsidRDefault="0078342A" w:rsidP="0078342A">
            <w:pPr>
              <w:jc w:val="both"/>
              <w:rPr>
                <w:sz w:val="20"/>
                <w:lang w:val="fr-CA"/>
              </w:rPr>
            </w:pPr>
            <w:r w:rsidRPr="00F77596">
              <w:rPr>
                <w:sz w:val="20"/>
                <w:lang w:val="fr-CA"/>
              </w:rPr>
              <w:t>18 décembre 2014</w:t>
            </w:r>
          </w:p>
          <w:p w:rsidR="0078342A" w:rsidRPr="00F77596" w:rsidRDefault="0078342A" w:rsidP="0078342A">
            <w:pPr>
              <w:jc w:val="both"/>
              <w:rPr>
                <w:sz w:val="20"/>
                <w:lang w:val="fr-CA"/>
              </w:rPr>
            </w:pPr>
            <w:r w:rsidRPr="00F77596">
              <w:rPr>
                <w:sz w:val="20"/>
                <w:lang w:val="fr-CA"/>
              </w:rPr>
              <w:t>Cour d’appel de la Colombie-Britannique</w:t>
            </w:r>
          </w:p>
          <w:p w:rsidR="0078342A" w:rsidRPr="00F77596" w:rsidRDefault="0078342A" w:rsidP="0078342A">
            <w:pPr>
              <w:jc w:val="both"/>
              <w:rPr>
                <w:sz w:val="20"/>
                <w:lang w:val="fr-CA"/>
              </w:rPr>
            </w:pPr>
            <w:r w:rsidRPr="00F77596">
              <w:rPr>
                <w:sz w:val="20"/>
                <w:lang w:val="fr-CA"/>
              </w:rPr>
              <w:t>(Vancouver)</w:t>
            </w:r>
          </w:p>
          <w:p w:rsidR="0078342A" w:rsidRPr="00F77596" w:rsidRDefault="0078342A" w:rsidP="0078342A">
            <w:pPr>
              <w:jc w:val="both"/>
              <w:rPr>
                <w:sz w:val="20"/>
                <w:lang w:val="fr-CA"/>
              </w:rPr>
            </w:pPr>
            <w:r w:rsidRPr="00F77596">
              <w:rPr>
                <w:sz w:val="20"/>
                <w:lang w:val="fr-CA"/>
              </w:rPr>
              <w:t>(Juges Tysoe, Smith et Bennett)</w:t>
            </w:r>
          </w:p>
          <w:p w:rsidR="0078342A" w:rsidRPr="00F77596" w:rsidRDefault="00EC4FDF" w:rsidP="0078342A">
            <w:pPr>
              <w:jc w:val="both"/>
              <w:rPr>
                <w:sz w:val="20"/>
                <w:lang w:val="fr-CA"/>
              </w:rPr>
            </w:pPr>
            <w:hyperlink r:id="rId41" w:history="1">
              <w:r w:rsidR="0078342A" w:rsidRPr="00F77596">
                <w:rPr>
                  <w:rStyle w:val="Hyperlink"/>
                  <w:sz w:val="20"/>
                  <w:lang w:val="fr-CA"/>
                </w:rPr>
                <w:t>2014 BCCA 496</w:t>
              </w:r>
            </w:hyperlink>
            <w:r w:rsidR="0078342A" w:rsidRPr="00F77596">
              <w:rPr>
                <w:sz w:val="20"/>
                <w:lang w:val="fr-CA"/>
              </w:rPr>
              <w:t>; CA041416</w:t>
            </w:r>
          </w:p>
          <w:p w:rsidR="0078342A" w:rsidRDefault="0078342A" w:rsidP="00791BDA">
            <w:pPr>
              <w:jc w:val="both"/>
              <w:rPr>
                <w:rFonts w:eastAsia="Calibri"/>
                <w:sz w:val="20"/>
                <w:lang w:val="fr-CA"/>
              </w:rPr>
            </w:pPr>
          </w:p>
        </w:tc>
        <w:tc>
          <w:tcPr>
            <w:tcW w:w="243" w:type="pct"/>
          </w:tcPr>
          <w:p w:rsidR="0078342A" w:rsidRPr="00E007CB" w:rsidRDefault="0078342A" w:rsidP="00791BDA">
            <w:pPr>
              <w:jc w:val="both"/>
              <w:rPr>
                <w:rFonts w:eastAsia="Calibri"/>
                <w:sz w:val="20"/>
                <w:lang w:val="fr-CA"/>
              </w:rPr>
            </w:pPr>
          </w:p>
        </w:tc>
        <w:tc>
          <w:tcPr>
            <w:tcW w:w="2330" w:type="pct"/>
          </w:tcPr>
          <w:p w:rsidR="0078342A" w:rsidRPr="00F77596" w:rsidRDefault="0078342A" w:rsidP="0078342A">
            <w:pPr>
              <w:jc w:val="both"/>
              <w:rPr>
                <w:sz w:val="20"/>
                <w:lang w:val="fr-CA"/>
              </w:rPr>
            </w:pPr>
            <w:r w:rsidRPr="00F77596">
              <w:rPr>
                <w:sz w:val="20"/>
                <w:lang w:val="fr-CA"/>
              </w:rPr>
              <w:t>Rejet de l’appel</w:t>
            </w:r>
          </w:p>
          <w:p w:rsidR="0078342A" w:rsidRPr="00F77596" w:rsidRDefault="0078342A" w:rsidP="00791BDA">
            <w:pPr>
              <w:jc w:val="both"/>
              <w:rPr>
                <w:sz w:val="20"/>
              </w:rPr>
            </w:pPr>
          </w:p>
        </w:tc>
      </w:tr>
      <w:tr w:rsidR="002D129E" w:rsidRPr="00E007CB" w:rsidTr="00791BDA">
        <w:trPr>
          <w:cantSplit/>
        </w:trPr>
        <w:tc>
          <w:tcPr>
            <w:tcW w:w="2427" w:type="pct"/>
          </w:tcPr>
          <w:p w:rsidR="002D129E" w:rsidRPr="00E007CB" w:rsidRDefault="002D129E" w:rsidP="00791BDA">
            <w:pPr>
              <w:jc w:val="both"/>
              <w:rPr>
                <w:rFonts w:eastAsia="Calibri"/>
                <w:sz w:val="20"/>
                <w:lang w:val="fr-CA"/>
              </w:rPr>
            </w:pPr>
            <w:r>
              <w:rPr>
                <w:rFonts w:eastAsia="Calibri"/>
                <w:sz w:val="20"/>
                <w:lang w:val="fr-CA"/>
              </w:rPr>
              <w:t xml:space="preserve">Le </w:t>
            </w:r>
            <w:r w:rsidR="0078342A">
              <w:rPr>
                <w:rFonts w:eastAsia="Calibri"/>
                <w:sz w:val="20"/>
                <w:lang w:val="fr-CA"/>
              </w:rPr>
              <w:t>1</w:t>
            </w:r>
            <w:r>
              <w:rPr>
                <w:rFonts w:eastAsia="Calibri"/>
                <w:sz w:val="20"/>
                <w:lang w:val="fr-CA"/>
              </w:rPr>
              <w:t>3 février</w:t>
            </w:r>
            <w:r w:rsidRPr="00E007CB">
              <w:rPr>
                <w:rFonts w:eastAsia="Calibri"/>
                <w:sz w:val="20"/>
                <w:lang w:val="fr-CA"/>
              </w:rPr>
              <w:t xml:space="preserve"> 201</w:t>
            </w:r>
            <w:r>
              <w:rPr>
                <w:rFonts w:eastAsia="Calibri"/>
                <w:sz w:val="20"/>
                <w:lang w:val="fr-CA"/>
              </w:rPr>
              <w:t>5</w:t>
            </w:r>
          </w:p>
          <w:p w:rsidR="002D129E" w:rsidRPr="00E007CB" w:rsidRDefault="002D129E" w:rsidP="00791BDA">
            <w:pPr>
              <w:jc w:val="both"/>
              <w:rPr>
                <w:rFonts w:eastAsia="Calibri"/>
                <w:sz w:val="20"/>
                <w:lang w:val="fr-CA"/>
              </w:rPr>
            </w:pPr>
            <w:r w:rsidRPr="00E007CB">
              <w:rPr>
                <w:rFonts w:eastAsia="Calibri"/>
                <w:sz w:val="20"/>
                <w:lang w:val="fr-CA"/>
              </w:rPr>
              <w:t>Cour suprême du Canada</w:t>
            </w:r>
          </w:p>
        </w:tc>
        <w:tc>
          <w:tcPr>
            <w:tcW w:w="243" w:type="pct"/>
          </w:tcPr>
          <w:p w:rsidR="002D129E" w:rsidRPr="00E007CB" w:rsidRDefault="002D129E" w:rsidP="00791BDA">
            <w:pPr>
              <w:jc w:val="both"/>
              <w:rPr>
                <w:rFonts w:eastAsia="Calibri"/>
                <w:sz w:val="20"/>
                <w:lang w:val="fr-CA"/>
              </w:rPr>
            </w:pPr>
          </w:p>
        </w:tc>
        <w:tc>
          <w:tcPr>
            <w:tcW w:w="2330" w:type="pct"/>
          </w:tcPr>
          <w:p w:rsidR="0078342A" w:rsidRPr="00F77596" w:rsidRDefault="0078342A" w:rsidP="0078342A">
            <w:pPr>
              <w:jc w:val="both"/>
              <w:rPr>
                <w:sz w:val="20"/>
                <w:lang w:val="fr-CA"/>
              </w:rPr>
            </w:pPr>
            <w:r w:rsidRPr="00F77596">
              <w:rPr>
                <w:sz w:val="20"/>
                <w:lang w:val="fr-CA"/>
              </w:rPr>
              <w:t>Dépôt de la demande d’autorisation d’appel</w:t>
            </w:r>
          </w:p>
          <w:p w:rsidR="002D129E" w:rsidRPr="00F77596" w:rsidRDefault="002D129E" w:rsidP="00791BDA">
            <w:pPr>
              <w:jc w:val="both"/>
              <w:rPr>
                <w:sz w:val="20"/>
                <w:lang w:val="fr-CA"/>
              </w:rPr>
            </w:pPr>
          </w:p>
        </w:tc>
      </w:tr>
    </w:tbl>
    <w:p w:rsidR="002D129E" w:rsidRDefault="002D129E" w:rsidP="002D129E">
      <w:pPr>
        <w:rPr>
          <w:sz w:val="20"/>
          <w:szCs w:val="20"/>
        </w:rPr>
      </w:pPr>
    </w:p>
    <w:p w:rsidR="002D129E" w:rsidRDefault="00EC4FDF" w:rsidP="002D129E">
      <w:pPr>
        <w:rPr>
          <w:sz w:val="20"/>
          <w:szCs w:val="20"/>
        </w:rPr>
      </w:pPr>
      <w:r>
        <w:rPr>
          <w:sz w:val="20"/>
          <w:szCs w:val="20"/>
          <w:lang w:val="fr-CA"/>
        </w:rPr>
        <w:pict>
          <v:rect id="_x0000_i1044" style="width:2in;height:1pt" o:hrpct="0" o:hralign="center" o:hrstd="t" o:hrnoshade="t" o:hr="t" fillcolor="black [3213]" stroked="f"/>
        </w:pict>
      </w:r>
    </w:p>
    <w:p w:rsidR="002C75BC" w:rsidRDefault="002C75BC" w:rsidP="002C75B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C75BC" w:rsidRPr="00A73D2C" w:rsidTr="00791BDA">
        <w:trPr>
          <w:cantSplit/>
        </w:trPr>
        <w:tc>
          <w:tcPr>
            <w:tcW w:w="1458" w:type="dxa"/>
          </w:tcPr>
          <w:p w:rsidR="002C75BC" w:rsidRPr="00A73D2C" w:rsidRDefault="002C75BC" w:rsidP="00791BDA">
            <w:pPr>
              <w:rPr>
                <w:sz w:val="20"/>
                <w:szCs w:val="20"/>
              </w:rPr>
            </w:pPr>
            <w:r w:rsidRPr="00A73D2C">
              <w:rPr>
                <w:rStyle w:val="SCCFileNumberChar"/>
                <w:sz w:val="20"/>
                <w:szCs w:val="20"/>
              </w:rPr>
              <w:t>36</w:t>
            </w:r>
            <w:r>
              <w:rPr>
                <w:rStyle w:val="SCCFileNumberChar"/>
                <w:sz w:val="20"/>
                <w:szCs w:val="20"/>
              </w:rPr>
              <w:t>337</w:t>
            </w:r>
          </w:p>
          <w:p w:rsidR="002C75BC" w:rsidRPr="00A73D2C" w:rsidRDefault="002C75BC" w:rsidP="00791BDA">
            <w:pPr>
              <w:rPr>
                <w:b/>
                <w:sz w:val="20"/>
                <w:szCs w:val="20"/>
                <w:lang w:val="fr-CA"/>
              </w:rPr>
            </w:pPr>
          </w:p>
        </w:tc>
        <w:tc>
          <w:tcPr>
            <w:tcW w:w="8118" w:type="dxa"/>
          </w:tcPr>
          <w:p w:rsidR="002C75BC" w:rsidRPr="00A73D2C" w:rsidRDefault="002719EA" w:rsidP="00791BDA">
            <w:pPr>
              <w:rPr>
                <w:sz w:val="20"/>
                <w:szCs w:val="20"/>
              </w:rPr>
            </w:pPr>
            <w:r w:rsidRPr="002719EA">
              <w:rPr>
                <w:rStyle w:val="SCCLsocChar"/>
                <w:sz w:val="20"/>
                <w:szCs w:val="20"/>
                <w:lang w:val="en-CA"/>
              </w:rPr>
              <w:t>Commission scolaire francophone, Territoires du Nord-Ouest</w:t>
            </w:r>
            <w:r w:rsidR="0045796F">
              <w:rPr>
                <w:rStyle w:val="SCCLsocChar"/>
                <w:sz w:val="20"/>
                <w:szCs w:val="20"/>
                <w:lang w:val="en-CA"/>
              </w:rPr>
              <w:t>, Catherine Boulanger et Christian Girard</w:t>
            </w:r>
            <w:r w:rsidRPr="002719EA">
              <w:rPr>
                <w:rStyle w:val="SCCLsocChar"/>
                <w:sz w:val="20"/>
                <w:szCs w:val="20"/>
                <w:lang w:val="en-CA"/>
              </w:rPr>
              <w:t xml:space="preserve"> c. Procureur général des Territoires du Nord-Ouest</w:t>
            </w:r>
            <w:r w:rsidR="0045796F">
              <w:rPr>
                <w:rStyle w:val="SCCLsocChar"/>
                <w:sz w:val="20"/>
                <w:szCs w:val="20"/>
                <w:lang w:val="en-CA"/>
              </w:rPr>
              <w:t xml:space="preserve"> et Commissaire des Territoires du Nord-Ouest</w:t>
            </w:r>
            <w:r w:rsidR="002C75BC" w:rsidRPr="00A73D2C">
              <w:rPr>
                <w:sz w:val="20"/>
                <w:szCs w:val="20"/>
              </w:rPr>
              <w:t xml:space="preserve"> (</w:t>
            </w:r>
            <w:r>
              <w:rPr>
                <w:sz w:val="20"/>
                <w:szCs w:val="20"/>
              </w:rPr>
              <w:t>T</w:t>
            </w:r>
            <w:r w:rsidR="002C75BC">
              <w:rPr>
                <w:sz w:val="20"/>
                <w:szCs w:val="20"/>
              </w:rPr>
              <w:t>.</w:t>
            </w:r>
            <w:r>
              <w:rPr>
                <w:sz w:val="20"/>
                <w:szCs w:val="20"/>
              </w:rPr>
              <w:t>N</w:t>
            </w:r>
            <w:r w:rsidR="002C75BC">
              <w:rPr>
                <w:sz w:val="20"/>
                <w:szCs w:val="20"/>
              </w:rPr>
              <w:t>.</w:t>
            </w:r>
            <w:r>
              <w:rPr>
                <w:sz w:val="20"/>
                <w:szCs w:val="20"/>
              </w:rPr>
              <w:t>-O</w:t>
            </w:r>
            <w:r w:rsidR="002C75BC">
              <w:rPr>
                <w:sz w:val="20"/>
                <w:szCs w:val="20"/>
              </w:rPr>
              <w:t>.</w:t>
            </w:r>
            <w:r w:rsidR="002C75BC" w:rsidRPr="00A73D2C">
              <w:rPr>
                <w:sz w:val="20"/>
                <w:szCs w:val="20"/>
              </w:rPr>
              <w:t>) (C</w:t>
            </w:r>
            <w:r w:rsidR="002C75BC">
              <w:rPr>
                <w:sz w:val="20"/>
                <w:szCs w:val="20"/>
              </w:rPr>
              <w:t>ivil</w:t>
            </w:r>
            <w:r>
              <w:rPr>
                <w:sz w:val="20"/>
                <w:szCs w:val="20"/>
              </w:rPr>
              <w:t>e</w:t>
            </w:r>
            <w:r w:rsidR="002C75BC" w:rsidRPr="00A73D2C">
              <w:rPr>
                <w:sz w:val="20"/>
                <w:szCs w:val="20"/>
              </w:rPr>
              <w:t>) (</w:t>
            </w:r>
            <w:r>
              <w:rPr>
                <w:sz w:val="20"/>
                <w:szCs w:val="20"/>
              </w:rPr>
              <w:t>Autorisation</w:t>
            </w:r>
            <w:r w:rsidR="002C75BC" w:rsidRPr="00A73D2C">
              <w:rPr>
                <w:sz w:val="20"/>
                <w:szCs w:val="20"/>
              </w:rPr>
              <w:t>)</w:t>
            </w:r>
          </w:p>
          <w:p w:rsidR="002C75BC" w:rsidRPr="00A73D2C" w:rsidRDefault="002C75BC" w:rsidP="00791BDA">
            <w:pPr>
              <w:rPr>
                <w:sz w:val="20"/>
                <w:szCs w:val="20"/>
              </w:rPr>
            </w:pPr>
          </w:p>
        </w:tc>
      </w:tr>
      <w:tr w:rsidR="002C75BC" w:rsidRPr="00A73D2C" w:rsidTr="00791BDA">
        <w:trPr>
          <w:cantSplit/>
        </w:trPr>
        <w:tc>
          <w:tcPr>
            <w:tcW w:w="1458" w:type="dxa"/>
          </w:tcPr>
          <w:p w:rsidR="002C75BC" w:rsidRPr="00A73D2C" w:rsidRDefault="002C75BC" w:rsidP="00791BDA">
            <w:pPr>
              <w:rPr>
                <w:sz w:val="20"/>
                <w:szCs w:val="20"/>
              </w:rPr>
            </w:pPr>
            <w:r w:rsidRPr="00A73D2C">
              <w:rPr>
                <w:sz w:val="20"/>
                <w:szCs w:val="20"/>
              </w:rPr>
              <w:t>Coram :</w:t>
            </w:r>
          </w:p>
        </w:tc>
        <w:tc>
          <w:tcPr>
            <w:tcW w:w="8118" w:type="dxa"/>
          </w:tcPr>
          <w:p w:rsidR="002C75BC" w:rsidRDefault="007236CC" w:rsidP="00791BDA">
            <w:pPr>
              <w:rPr>
                <w:rStyle w:val="SCCCoramChar"/>
                <w:sz w:val="20"/>
                <w:szCs w:val="20"/>
                <w:lang w:val="en-CA"/>
              </w:rPr>
            </w:pPr>
            <w:r w:rsidRPr="007236CC">
              <w:rPr>
                <w:rStyle w:val="SCCCoramChar"/>
                <w:sz w:val="20"/>
                <w:szCs w:val="20"/>
                <w:lang w:val="en-CA"/>
              </w:rPr>
              <w:t>Les juges Abella, Karakatsanis et Côté</w:t>
            </w:r>
          </w:p>
          <w:p w:rsidR="007236CC" w:rsidRPr="00A73D2C" w:rsidRDefault="007236CC" w:rsidP="00791BDA">
            <w:pPr>
              <w:rPr>
                <w:sz w:val="20"/>
                <w:szCs w:val="20"/>
                <w:u w:val="single"/>
              </w:rPr>
            </w:pPr>
          </w:p>
        </w:tc>
      </w:tr>
      <w:tr w:rsidR="002C75BC" w:rsidRPr="00002704" w:rsidTr="00791BDA">
        <w:trPr>
          <w:cantSplit/>
        </w:trPr>
        <w:tc>
          <w:tcPr>
            <w:tcW w:w="9576" w:type="dxa"/>
            <w:gridSpan w:val="2"/>
          </w:tcPr>
          <w:p w:rsidR="007236CC" w:rsidRPr="007236CC" w:rsidRDefault="007236CC" w:rsidP="007236CC">
            <w:pPr>
              <w:pStyle w:val="SCCShortJudgment"/>
              <w:rPr>
                <w:szCs w:val="20"/>
              </w:rPr>
            </w:pPr>
            <w:r w:rsidRPr="007236CC">
              <w:rPr>
                <w:szCs w:val="20"/>
              </w:rPr>
              <w:t>La demande d’autorisation d’appel de l’arrêt de la Cour d’appel des Territoires du Nord-Ouest, numéro AIAP 2012-000012, 2015 CATN-O 1, daté du 9 janvier 2015, est rejetée sans dépens.</w:t>
            </w:r>
          </w:p>
          <w:p w:rsidR="007236CC" w:rsidRPr="007236CC" w:rsidRDefault="007236CC" w:rsidP="007236CC">
            <w:pPr>
              <w:pStyle w:val="SCCShortJudgment"/>
              <w:rPr>
                <w:szCs w:val="20"/>
              </w:rPr>
            </w:pPr>
          </w:p>
          <w:p w:rsidR="002C75BC" w:rsidRPr="00A73D2C" w:rsidRDefault="007236CC" w:rsidP="007236CC">
            <w:pPr>
              <w:pStyle w:val="SCCShortJudgment"/>
              <w:rPr>
                <w:szCs w:val="20"/>
                <w:lang w:val="fr-CA"/>
              </w:rPr>
            </w:pPr>
            <w:r w:rsidRPr="007236CC">
              <w:rPr>
                <w:szCs w:val="20"/>
              </w:rPr>
              <w:t>The application for leave to appeal from the judgment of the Court of Appeal for the Northwest Territories, Number AIAP 2012-000012, 2015 NWTCA 1, dated January 9, 2015, is dismissed without costs.</w:t>
            </w:r>
          </w:p>
        </w:tc>
      </w:tr>
    </w:tbl>
    <w:p w:rsidR="002C75BC" w:rsidRPr="0016547E" w:rsidRDefault="002C75BC" w:rsidP="002C75BC">
      <w:pPr>
        <w:rPr>
          <w:sz w:val="20"/>
          <w:szCs w:val="20"/>
          <w:lang w:val="fr-CA"/>
        </w:rPr>
      </w:pPr>
    </w:p>
    <w:p w:rsidR="002C75BC" w:rsidRPr="001B157C" w:rsidRDefault="002C75BC" w:rsidP="002C75BC">
      <w:pPr>
        <w:rPr>
          <w:sz w:val="20"/>
          <w:szCs w:val="20"/>
          <w:u w:val="single"/>
        </w:rPr>
      </w:pPr>
      <w:r w:rsidRPr="001B157C">
        <w:rPr>
          <w:sz w:val="20"/>
          <w:szCs w:val="20"/>
          <w:u w:val="single"/>
        </w:rPr>
        <w:t>CASE SUMMARY</w:t>
      </w:r>
    </w:p>
    <w:p w:rsidR="002C75BC" w:rsidRDefault="002C75BC" w:rsidP="002C75B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75BC" w:rsidRPr="00E007CB" w:rsidTr="00791BDA">
        <w:tc>
          <w:tcPr>
            <w:tcW w:w="5000" w:type="pct"/>
            <w:gridSpan w:val="3"/>
          </w:tcPr>
          <w:p w:rsidR="002C75BC" w:rsidRDefault="00B55CAD" w:rsidP="00791BDA">
            <w:pPr>
              <w:jc w:val="both"/>
              <w:rPr>
                <w:sz w:val="20"/>
              </w:rPr>
            </w:pPr>
            <w:r w:rsidRPr="00F77596">
              <w:rPr>
                <w:i/>
                <w:sz w:val="20"/>
              </w:rPr>
              <w:t>Charter of Rights</w:t>
            </w:r>
            <w:r w:rsidRPr="00F77596">
              <w:rPr>
                <w:sz w:val="20"/>
              </w:rPr>
              <w:t xml:space="preserve"> — Constitutional law — Minority language educational rights — Remedies — Court of Appeal setting aside judgment ordering expansion of school and declaring ministerial directive concerning admissions to minority language schools to be of no force or effect — Whether Court of Appeal changed standard of review applicable to decision of trial court — Whether Court of Appeal erred in interpreting s. 23 of </w:t>
            </w:r>
            <w:r w:rsidRPr="00F77596">
              <w:rPr>
                <w:i/>
                <w:sz w:val="20"/>
              </w:rPr>
              <w:t>Charter</w:t>
            </w:r>
            <w:r w:rsidRPr="00F77596">
              <w:rPr>
                <w:sz w:val="20"/>
              </w:rPr>
              <w:t xml:space="preserve"> — Whether Court of Appeal erred in interpreting minority language group’s powers of management in relation to admissions — Whether Court of Appeal erred in setting aside remedy awarded under s. 24 of </w:t>
            </w:r>
            <w:r w:rsidRPr="00F77596">
              <w:rPr>
                <w:i/>
                <w:sz w:val="20"/>
              </w:rPr>
              <w:t xml:space="preserve">Charter </w:t>
            </w:r>
            <w:r w:rsidRPr="00F77596">
              <w:rPr>
                <w:sz w:val="20"/>
              </w:rPr>
              <w:t xml:space="preserve">— </w:t>
            </w:r>
            <w:r w:rsidRPr="00F77596">
              <w:rPr>
                <w:i/>
                <w:sz w:val="20"/>
              </w:rPr>
              <w:t>Canadian Charter of Rights and Freedoms</w:t>
            </w:r>
            <w:r w:rsidRPr="00F77596">
              <w:rPr>
                <w:sz w:val="20"/>
              </w:rPr>
              <w:t>, ss. 23 and 24.</w:t>
            </w:r>
          </w:p>
          <w:p w:rsidR="00B55CAD" w:rsidRPr="00E007CB" w:rsidRDefault="00B55CAD" w:rsidP="00791BDA">
            <w:pPr>
              <w:jc w:val="both"/>
              <w:rPr>
                <w:rFonts w:eastAsia="Calibri"/>
                <w:sz w:val="20"/>
              </w:rPr>
            </w:pPr>
          </w:p>
        </w:tc>
      </w:tr>
      <w:tr w:rsidR="002C75BC" w:rsidRPr="00E007CB" w:rsidTr="00791BDA">
        <w:tc>
          <w:tcPr>
            <w:tcW w:w="5000" w:type="pct"/>
            <w:gridSpan w:val="3"/>
          </w:tcPr>
          <w:p w:rsidR="00B55CAD" w:rsidRPr="00F77596" w:rsidRDefault="00B55CAD" w:rsidP="00B55CAD">
            <w:pPr>
              <w:jc w:val="both"/>
              <w:rPr>
                <w:sz w:val="20"/>
              </w:rPr>
            </w:pPr>
            <w:r w:rsidRPr="00F77596">
              <w:rPr>
                <w:sz w:val="20"/>
              </w:rPr>
              <w:t>École Boréale, the only French</w:t>
            </w:r>
            <w:r w:rsidRPr="00F77596">
              <w:rPr>
                <w:sz w:val="20"/>
              </w:rPr>
              <w:noBreakHyphen/>
              <w:t xml:space="preserve">language school in Hay River in the Northwest Territories, opened in 2005. The school is for children at the primary and secondary levels. </w:t>
            </w:r>
          </w:p>
          <w:p w:rsidR="00B55CAD" w:rsidRPr="00F77596" w:rsidRDefault="00B55CAD" w:rsidP="00B55CAD">
            <w:pPr>
              <w:jc w:val="both"/>
              <w:rPr>
                <w:sz w:val="20"/>
              </w:rPr>
            </w:pPr>
          </w:p>
          <w:p w:rsidR="00B55CAD" w:rsidRPr="00F77596" w:rsidRDefault="00B55CAD" w:rsidP="00B55CAD">
            <w:pPr>
              <w:jc w:val="both"/>
              <w:rPr>
                <w:sz w:val="20"/>
              </w:rPr>
            </w:pPr>
            <w:r w:rsidRPr="00F77596">
              <w:rPr>
                <w:sz w:val="20"/>
              </w:rPr>
              <w:t>In May 2008, the applicants brought an action concerning the scope of the obligations of the Government of the Northwest Territories (GNWT) as regards French</w:t>
            </w:r>
            <w:r w:rsidRPr="00F77596">
              <w:rPr>
                <w:sz w:val="20"/>
              </w:rPr>
              <w:noBreakHyphen/>
              <w:t>language instruction for the French linguistic minority population of Hay River. Specifically, the dispute concerned the adequacy and quality of the infrastructure provided by the GNWT for the French</w:t>
            </w:r>
            <w:r w:rsidRPr="00F77596">
              <w:rPr>
                <w:sz w:val="20"/>
              </w:rPr>
              <w:noBreakHyphen/>
              <w:t xml:space="preserve">language instruction program offered at École Boréale, the degree of autonomy and control the </w:t>
            </w:r>
            <w:r w:rsidRPr="00F77596">
              <w:rPr>
                <w:sz w:val="20"/>
              </w:rPr>
              <w:lastRenderedPageBreak/>
              <w:t>Commission scolaire francophone des Territoires du Nord</w:t>
            </w:r>
            <w:r w:rsidRPr="00F77596">
              <w:rPr>
                <w:sz w:val="20"/>
              </w:rPr>
              <w:noBreakHyphen/>
              <w:t>Ouest should be able to exercise, and the respective rights of the government and the CSFTN-O regarding the establishment of admission criteria for the French</w:t>
            </w:r>
            <w:r w:rsidRPr="00F77596">
              <w:rPr>
                <w:sz w:val="20"/>
              </w:rPr>
              <w:noBreakHyphen/>
              <w:t>language instruction program.</w:t>
            </w:r>
          </w:p>
          <w:p w:rsidR="00B55CAD" w:rsidRPr="00F77596" w:rsidRDefault="00B55CAD" w:rsidP="00B55CAD">
            <w:pPr>
              <w:jc w:val="both"/>
              <w:rPr>
                <w:sz w:val="20"/>
              </w:rPr>
            </w:pPr>
          </w:p>
          <w:p w:rsidR="00B55CAD" w:rsidRPr="00F77596" w:rsidRDefault="00B55CAD" w:rsidP="00B55CAD">
            <w:pPr>
              <w:jc w:val="both"/>
              <w:rPr>
                <w:sz w:val="20"/>
              </w:rPr>
            </w:pPr>
            <w:r w:rsidRPr="00F77596">
              <w:rPr>
                <w:sz w:val="20"/>
              </w:rPr>
              <w:t xml:space="preserve">As a remedy, the applicants sought an order compelling the GNWT to expand École Boréale and various declarations regarding the scope of the CSFTN-O’s powers of management. They challenged the constitutional validity of the definition of the term “parent” in the </w:t>
            </w:r>
            <w:r w:rsidRPr="00F77596">
              <w:rPr>
                <w:i/>
                <w:sz w:val="20"/>
              </w:rPr>
              <w:t>Education Act</w:t>
            </w:r>
            <w:r w:rsidRPr="00F77596">
              <w:rPr>
                <w:sz w:val="20"/>
              </w:rPr>
              <w:t xml:space="preserve"> and of a 2008 directive from the Minister of Education, Culture and Employment governing admission criteria for the French-language instruction program. That directive provided that the Commission scolaire could not, without the Minister’s authorization, permit the enrolment of a student who did not meet the criteria set out in s. 23 of the </w:t>
            </w:r>
            <w:r w:rsidRPr="00F77596">
              <w:rPr>
                <w:i/>
                <w:sz w:val="20"/>
              </w:rPr>
              <w:t>Charter</w:t>
            </w:r>
            <w:r w:rsidRPr="00F77596">
              <w:rPr>
                <w:sz w:val="20"/>
              </w:rPr>
              <w:t xml:space="preserve"> with regard to minority language educational rights.</w:t>
            </w:r>
          </w:p>
          <w:p w:rsidR="002C75BC" w:rsidRPr="00E007CB" w:rsidRDefault="002C75BC" w:rsidP="00791BDA">
            <w:pPr>
              <w:jc w:val="both"/>
              <w:rPr>
                <w:rFonts w:eastAsia="Calibri"/>
                <w:sz w:val="20"/>
              </w:rPr>
            </w:pPr>
          </w:p>
        </w:tc>
      </w:tr>
      <w:tr w:rsidR="002C75BC" w:rsidRPr="00E007CB" w:rsidTr="00791BDA">
        <w:trPr>
          <w:cantSplit/>
        </w:trPr>
        <w:tc>
          <w:tcPr>
            <w:tcW w:w="2427" w:type="pct"/>
          </w:tcPr>
          <w:p w:rsidR="00F10E4E" w:rsidRPr="00F77596" w:rsidRDefault="00F10E4E" w:rsidP="00F10E4E">
            <w:pPr>
              <w:jc w:val="both"/>
              <w:rPr>
                <w:sz w:val="20"/>
              </w:rPr>
            </w:pPr>
            <w:r w:rsidRPr="00F77596">
              <w:rPr>
                <w:sz w:val="20"/>
              </w:rPr>
              <w:lastRenderedPageBreak/>
              <w:t>June 1, 2012</w:t>
            </w:r>
          </w:p>
          <w:p w:rsidR="00F10E4E" w:rsidRPr="00F77596" w:rsidRDefault="00F10E4E" w:rsidP="00F10E4E">
            <w:pPr>
              <w:jc w:val="both"/>
              <w:rPr>
                <w:sz w:val="20"/>
              </w:rPr>
            </w:pPr>
            <w:r w:rsidRPr="00F77596">
              <w:rPr>
                <w:sz w:val="20"/>
              </w:rPr>
              <w:t>Northwest Territories Supreme Court</w:t>
            </w:r>
          </w:p>
          <w:p w:rsidR="00F10E4E" w:rsidRPr="00F77596" w:rsidRDefault="00F10E4E" w:rsidP="00F10E4E">
            <w:pPr>
              <w:jc w:val="both"/>
              <w:rPr>
                <w:sz w:val="20"/>
              </w:rPr>
            </w:pPr>
            <w:r w:rsidRPr="00F77596">
              <w:rPr>
                <w:sz w:val="20"/>
              </w:rPr>
              <w:t>(Charbonneau J.)</w:t>
            </w:r>
          </w:p>
          <w:p w:rsidR="00F10E4E" w:rsidRPr="00F77596" w:rsidRDefault="00F10E4E" w:rsidP="00F10E4E">
            <w:pPr>
              <w:jc w:val="both"/>
              <w:rPr>
                <w:sz w:val="20"/>
              </w:rPr>
            </w:pPr>
            <w:r w:rsidRPr="00F77596">
              <w:rPr>
                <w:sz w:val="20"/>
              </w:rPr>
              <w:t>File No. S-0001-CV-2008000133</w:t>
            </w:r>
          </w:p>
          <w:p w:rsidR="00F10E4E" w:rsidRPr="00F77596" w:rsidRDefault="00EC4FDF" w:rsidP="00F10E4E">
            <w:pPr>
              <w:jc w:val="both"/>
              <w:rPr>
                <w:sz w:val="20"/>
              </w:rPr>
            </w:pPr>
            <w:hyperlink r:id="rId42" w:history="1">
              <w:r w:rsidR="00F10E4E" w:rsidRPr="00F77596">
                <w:rPr>
                  <w:rStyle w:val="Hyperlink"/>
                  <w:sz w:val="20"/>
                </w:rPr>
                <w:t>2012 CanLII 31411</w:t>
              </w:r>
            </w:hyperlink>
            <w:r w:rsidR="00F10E4E" w:rsidRPr="00F77596">
              <w:rPr>
                <w:sz w:val="20"/>
              </w:rPr>
              <w:t xml:space="preserve"> </w:t>
            </w:r>
          </w:p>
          <w:p w:rsidR="002C75BC" w:rsidRPr="00E007CB" w:rsidRDefault="002C75BC" w:rsidP="00791BDA">
            <w:pPr>
              <w:jc w:val="both"/>
              <w:rPr>
                <w:rFonts w:eastAsia="Calibri"/>
                <w:sz w:val="20"/>
              </w:rPr>
            </w:pPr>
          </w:p>
        </w:tc>
        <w:tc>
          <w:tcPr>
            <w:tcW w:w="243" w:type="pct"/>
          </w:tcPr>
          <w:p w:rsidR="002C75BC" w:rsidRPr="00E007CB" w:rsidRDefault="002C75BC" w:rsidP="00791BDA">
            <w:pPr>
              <w:jc w:val="both"/>
              <w:rPr>
                <w:rFonts w:eastAsia="Calibri"/>
                <w:sz w:val="20"/>
              </w:rPr>
            </w:pPr>
          </w:p>
        </w:tc>
        <w:tc>
          <w:tcPr>
            <w:tcW w:w="2330" w:type="pct"/>
          </w:tcPr>
          <w:p w:rsidR="00F10E4E" w:rsidRDefault="00F10E4E" w:rsidP="00F10E4E">
            <w:pPr>
              <w:jc w:val="both"/>
              <w:rPr>
                <w:sz w:val="20"/>
              </w:rPr>
            </w:pPr>
            <w:r w:rsidRPr="00F77596">
              <w:rPr>
                <w:sz w:val="20"/>
              </w:rPr>
              <w:t>GNWT ordered to expand school to add (i) gymnasium, (ii) spaces and rooms for teaching subjects like music, art, home economics and English as second language, (iii) laboratory for teaching science at secondary level, and (iv) space that could accommodate pre-kindergarten program; GNWT ordered to ensure fair access to space in neighbouring English school for career and technology studies classes; ministerial directive declared to be of no force or effect; order made awarding applicants their costs on solicitor-client basis.</w:t>
            </w:r>
          </w:p>
          <w:p w:rsidR="002C75BC" w:rsidRPr="00F77596" w:rsidRDefault="002C75BC" w:rsidP="00791BDA">
            <w:pPr>
              <w:jc w:val="both"/>
              <w:rPr>
                <w:sz w:val="20"/>
              </w:rPr>
            </w:pPr>
          </w:p>
        </w:tc>
      </w:tr>
      <w:tr w:rsidR="002C75BC" w:rsidRPr="00E007CB" w:rsidTr="00791BDA">
        <w:trPr>
          <w:cantSplit/>
        </w:trPr>
        <w:tc>
          <w:tcPr>
            <w:tcW w:w="2427" w:type="pct"/>
          </w:tcPr>
          <w:p w:rsidR="00F10E4E" w:rsidRPr="00F77596" w:rsidRDefault="00F10E4E" w:rsidP="00F10E4E">
            <w:pPr>
              <w:jc w:val="both"/>
              <w:rPr>
                <w:sz w:val="20"/>
              </w:rPr>
            </w:pPr>
            <w:r w:rsidRPr="00F77596">
              <w:rPr>
                <w:sz w:val="20"/>
              </w:rPr>
              <w:t>January 9, 2015</w:t>
            </w:r>
          </w:p>
          <w:p w:rsidR="00F10E4E" w:rsidRPr="00F77596" w:rsidRDefault="00F10E4E" w:rsidP="00F10E4E">
            <w:pPr>
              <w:jc w:val="both"/>
              <w:rPr>
                <w:sz w:val="20"/>
              </w:rPr>
            </w:pPr>
            <w:r w:rsidRPr="00F77596">
              <w:rPr>
                <w:sz w:val="20"/>
              </w:rPr>
              <w:t>Northwest Territories Court of Appeal</w:t>
            </w:r>
          </w:p>
          <w:p w:rsidR="00F10E4E" w:rsidRPr="00F77596" w:rsidRDefault="00F10E4E" w:rsidP="00F10E4E">
            <w:pPr>
              <w:jc w:val="both"/>
              <w:rPr>
                <w:sz w:val="20"/>
              </w:rPr>
            </w:pPr>
            <w:r w:rsidRPr="00F77596">
              <w:rPr>
                <w:sz w:val="20"/>
              </w:rPr>
              <w:t>(Watson, Slatter and Rowbotham JJ.A.)</w:t>
            </w:r>
          </w:p>
          <w:p w:rsidR="00F10E4E" w:rsidRPr="00F77596" w:rsidRDefault="00F10E4E" w:rsidP="00F10E4E">
            <w:pPr>
              <w:jc w:val="both"/>
              <w:rPr>
                <w:sz w:val="20"/>
              </w:rPr>
            </w:pPr>
            <w:r w:rsidRPr="00F77596">
              <w:rPr>
                <w:sz w:val="20"/>
              </w:rPr>
              <w:t>File No. AIAP 2012-000012</w:t>
            </w:r>
          </w:p>
          <w:p w:rsidR="00F10E4E" w:rsidRPr="00F77596" w:rsidRDefault="00EC4FDF" w:rsidP="00F10E4E">
            <w:pPr>
              <w:jc w:val="both"/>
              <w:rPr>
                <w:sz w:val="20"/>
              </w:rPr>
            </w:pPr>
            <w:hyperlink r:id="rId43" w:history="1">
              <w:r w:rsidR="00F10E4E" w:rsidRPr="00F77596">
                <w:rPr>
                  <w:rStyle w:val="Hyperlink"/>
                  <w:sz w:val="20"/>
                </w:rPr>
                <w:t>2015 CanLII 168</w:t>
              </w:r>
            </w:hyperlink>
            <w:r w:rsidR="00F10E4E" w:rsidRPr="00F77596">
              <w:rPr>
                <w:sz w:val="20"/>
              </w:rPr>
              <w:t xml:space="preserve"> </w:t>
            </w:r>
          </w:p>
          <w:p w:rsidR="002C75BC" w:rsidRPr="00E007CB" w:rsidRDefault="002C75BC" w:rsidP="00791BDA">
            <w:pPr>
              <w:jc w:val="both"/>
              <w:rPr>
                <w:rFonts w:eastAsia="Calibri"/>
                <w:sz w:val="20"/>
              </w:rPr>
            </w:pPr>
          </w:p>
        </w:tc>
        <w:tc>
          <w:tcPr>
            <w:tcW w:w="243" w:type="pct"/>
          </w:tcPr>
          <w:p w:rsidR="002C75BC" w:rsidRPr="00E007CB" w:rsidRDefault="002C75BC" w:rsidP="00791BDA">
            <w:pPr>
              <w:jc w:val="both"/>
              <w:rPr>
                <w:rFonts w:eastAsia="Calibri"/>
                <w:sz w:val="20"/>
              </w:rPr>
            </w:pPr>
          </w:p>
        </w:tc>
        <w:tc>
          <w:tcPr>
            <w:tcW w:w="2330" w:type="pct"/>
          </w:tcPr>
          <w:p w:rsidR="00F10E4E" w:rsidRPr="00F77596" w:rsidRDefault="00F10E4E" w:rsidP="00F10E4E">
            <w:pPr>
              <w:jc w:val="both"/>
              <w:rPr>
                <w:sz w:val="20"/>
              </w:rPr>
            </w:pPr>
            <w:r w:rsidRPr="00F77596">
              <w:rPr>
                <w:sz w:val="20"/>
              </w:rPr>
              <w:t>Appeal allowed; trial judgment set aside; ministerial directive reinstated; cross-appeal dismissed.</w:t>
            </w:r>
          </w:p>
          <w:p w:rsidR="002C75BC" w:rsidRPr="00F77596" w:rsidRDefault="002C75BC" w:rsidP="00791BDA">
            <w:pPr>
              <w:jc w:val="both"/>
              <w:rPr>
                <w:sz w:val="20"/>
              </w:rPr>
            </w:pPr>
          </w:p>
        </w:tc>
      </w:tr>
      <w:tr w:rsidR="002C75BC" w:rsidRPr="00E007CB" w:rsidTr="00791BDA">
        <w:trPr>
          <w:cantSplit/>
        </w:trPr>
        <w:tc>
          <w:tcPr>
            <w:tcW w:w="2427" w:type="pct"/>
          </w:tcPr>
          <w:p w:rsidR="002C75BC" w:rsidRPr="00E007CB" w:rsidRDefault="00F10E4E" w:rsidP="00791BDA">
            <w:pPr>
              <w:jc w:val="both"/>
              <w:rPr>
                <w:rFonts w:eastAsia="Calibri"/>
                <w:sz w:val="20"/>
              </w:rPr>
            </w:pPr>
            <w:r>
              <w:rPr>
                <w:rFonts w:eastAsia="Calibri"/>
                <w:sz w:val="20"/>
              </w:rPr>
              <w:t>March</w:t>
            </w:r>
            <w:r w:rsidR="002C75BC" w:rsidRPr="00E007CB">
              <w:rPr>
                <w:rFonts w:eastAsia="Calibri"/>
                <w:sz w:val="20"/>
              </w:rPr>
              <w:t xml:space="preserve"> </w:t>
            </w:r>
            <w:r w:rsidR="002C75BC">
              <w:rPr>
                <w:rFonts w:eastAsia="Calibri"/>
                <w:sz w:val="20"/>
              </w:rPr>
              <w:t>1</w:t>
            </w:r>
            <w:r>
              <w:rPr>
                <w:rFonts w:eastAsia="Calibri"/>
                <w:sz w:val="20"/>
              </w:rPr>
              <w:t>0</w:t>
            </w:r>
            <w:r w:rsidR="002C75BC">
              <w:rPr>
                <w:rFonts w:eastAsia="Calibri"/>
                <w:sz w:val="20"/>
              </w:rPr>
              <w:t>,</w:t>
            </w:r>
            <w:r w:rsidR="002C75BC" w:rsidRPr="00E007CB">
              <w:rPr>
                <w:rFonts w:eastAsia="Calibri"/>
                <w:sz w:val="20"/>
              </w:rPr>
              <w:t xml:space="preserve"> 201</w:t>
            </w:r>
            <w:r w:rsidR="002C75BC">
              <w:rPr>
                <w:rFonts w:eastAsia="Calibri"/>
                <w:sz w:val="20"/>
              </w:rPr>
              <w:t>5</w:t>
            </w:r>
          </w:p>
          <w:p w:rsidR="002C75BC" w:rsidRPr="00E007CB" w:rsidRDefault="002C75BC" w:rsidP="00791BDA">
            <w:pPr>
              <w:jc w:val="both"/>
              <w:rPr>
                <w:rFonts w:eastAsia="Calibri"/>
                <w:sz w:val="20"/>
              </w:rPr>
            </w:pPr>
            <w:r w:rsidRPr="00E007CB">
              <w:rPr>
                <w:rFonts w:eastAsia="Calibri"/>
                <w:sz w:val="20"/>
              </w:rPr>
              <w:t>Supreme Court of Canada</w:t>
            </w:r>
          </w:p>
        </w:tc>
        <w:tc>
          <w:tcPr>
            <w:tcW w:w="243" w:type="pct"/>
          </w:tcPr>
          <w:p w:rsidR="002C75BC" w:rsidRPr="00E007CB" w:rsidRDefault="002C75BC" w:rsidP="00791BDA">
            <w:pPr>
              <w:jc w:val="both"/>
              <w:rPr>
                <w:rFonts w:eastAsia="Calibri"/>
                <w:sz w:val="20"/>
              </w:rPr>
            </w:pPr>
          </w:p>
        </w:tc>
        <w:tc>
          <w:tcPr>
            <w:tcW w:w="2330" w:type="pct"/>
          </w:tcPr>
          <w:p w:rsidR="002C75BC" w:rsidRPr="00F77596" w:rsidRDefault="002C75BC" w:rsidP="00791BDA">
            <w:pPr>
              <w:jc w:val="both"/>
              <w:rPr>
                <w:sz w:val="20"/>
              </w:rPr>
            </w:pPr>
            <w:r w:rsidRPr="00F77596">
              <w:rPr>
                <w:sz w:val="20"/>
              </w:rPr>
              <w:t>Application for leave to appeal filed</w:t>
            </w:r>
          </w:p>
          <w:p w:rsidR="002C75BC" w:rsidRPr="00F77596" w:rsidRDefault="002C75BC" w:rsidP="00791BDA">
            <w:pPr>
              <w:jc w:val="both"/>
              <w:rPr>
                <w:sz w:val="20"/>
              </w:rPr>
            </w:pPr>
          </w:p>
        </w:tc>
      </w:tr>
    </w:tbl>
    <w:p w:rsidR="002C75BC" w:rsidRDefault="002C75BC" w:rsidP="002C75BC">
      <w:pPr>
        <w:rPr>
          <w:sz w:val="20"/>
          <w:szCs w:val="20"/>
        </w:rPr>
      </w:pPr>
    </w:p>
    <w:p w:rsidR="002C75BC" w:rsidRPr="00C50A5C" w:rsidRDefault="00EC4FDF" w:rsidP="002C75BC">
      <w:pPr>
        <w:rPr>
          <w:sz w:val="20"/>
          <w:szCs w:val="20"/>
        </w:rPr>
      </w:pPr>
      <w:r>
        <w:rPr>
          <w:sz w:val="20"/>
          <w:szCs w:val="20"/>
          <w:lang w:val="fr-CA"/>
        </w:rPr>
        <w:pict>
          <v:rect id="_x0000_i1045" style="width:2in;height:1pt" o:hrpct="0" o:hralign="center" o:hrstd="t" o:hrnoshade="t" o:hr="t" fillcolor="black [3213]" stroked="f"/>
        </w:pict>
      </w:r>
    </w:p>
    <w:p w:rsidR="002C75BC" w:rsidRDefault="002C75BC" w:rsidP="002C75BC">
      <w:pPr>
        <w:rPr>
          <w:sz w:val="20"/>
          <w:szCs w:val="20"/>
        </w:rPr>
      </w:pPr>
    </w:p>
    <w:p w:rsidR="002C75BC" w:rsidRPr="001B157C" w:rsidRDefault="002C75BC" w:rsidP="002C75BC">
      <w:pPr>
        <w:rPr>
          <w:sz w:val="20"/>
          <w:szCs w:val="20"/>
          <w:u w:val="single"/>
          <w:lang w:val="fr-CA"/>
        </w:rPr>
      </w:pPr>
      <w:r w:rsidRPr="001B157C">
        <w:rPr>
          <w:sz w:val="20"/>
          <w:szCs w:val="20"/>
          <w:u w:val="single"/>
          <w:lang w:val="fr-CA"/>
        </w:rPr>
        <w:t>RÉSUMÉ DE L’AFFAIRE</w:t>
      </w:r>
    </w:p>
    <w:p w:rsidR="002C75BC" w:rsidRDefault="002C75BC" w:rsidP="002C75B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75BC" w:rsidRPr="00002704" w:rsidTr="00791BDA">
        <w:tc>
          <w:tcPr>
            <w:tcW w:w="5000" w:type="pct"/>
            <w:gridSpan w:val="3"/>
          </w:tcPr>
          <w:p w:rsidR="002C75BC" w:rsidRDefault="009C1C61" w:rsidP="00791BDA">
            <w:pPr>
              <w:jc w:val="both"/>
              <w:rPr>
                <w:sz w:val="20"/>
                <w:lang w:val="fr-CA"/>
              </w:rPr>
            </w:pPr>
            <w:r w:rsidRPr="00F77596">
              <w:rPr>
                <w:i/>
                <w:sz w:val="20"/>
                <w:lang w:val="fr-CA"/>
              </w:rPr>
              <w:t>Charte des droits</w:t>
            </w:r>
            <w:r w:rsidRPr="00F77596">
              <w:rPr>
                <w:sz w:val="20"/>
                <w:lang w:val="fr-CA"/>
              </w:rPr>
              <w:t xml:space="preserve"> — Droit constitutionnel — Droit à l’instruction dans la langue de la minorité — Réparations — Court d’appel infirmant jugement ordonnant agrandissement d’école et déclarant inopérant directive ministérielle relativement aux admissions aux écoles de la minorité linguistique — Cour d’appel a-t-elle changé la norme de contrôle applicable à une décision d’un tribunal de première instance? — Cour d’appel a-t-elle erré dans son interprétation de l’art. 23 de la </w:t>
            </w:r>
            <w:r w:rsidRPr="00F77596">
              <w:rPr>
                <w:i/>
                <w:sz w:val="20"/>
                <w:lang w:val="fr-CA"/>
              </w:rPr>
              <w:t>Charte</w:t>
            </w:r>
            <w:r w:rsidRPr="00F77596">
              <w:rPr>
                <w:sz w:val="20"/>
                <w:lang w:val="fr-CA"/>
              </w:rPr>
              <w:t xml:space="preserve">? — Cour d’appel a-t-elle erré dans l’interprétation des pouvoirs de gestion de la minorité linguistique en ce qui a trait aux admissions? — Cour d’appel a-t-elle erré en écartant la réparation accordée en vertu de l’art. 24 de la </w:t>
            </w:r>
            <w:r w:rsidRPr="00F77596">
              <w:rPr>
                <w:i/>
                <w:sz w:val="20"/>
                <w:lang w:val="fr-CA"/>
              </w:rPr>
              <w:t>Charte</w:t>
            </w:r>
            <w:r w:rsidRPr="00F77596">
              <w:rPr>
                <w:sz w:val="20"/>
                <w:lang w:val="fr-CA"/>
              </w:rPr>
              <w:t xml:space="preserve"> — </w:t>
            </w:r>
            <w:r w:rsidRPr="00F77596">
              <w:rPr>
                <w:i/>
                <w:sz w:val="20"/>
                <w:lang w:val="fr-CA"/>
              </w:rPr>
              <w:t>Charte canadienne des droits et libertés</w:t>
            </w:r>
            <w:r w:rsidRPr="00F77596">
              <w:rPr>
                <w:sz w:val="20"/>
                <w:lang w:val="fr-CA"/>
              </w:rPr>
              <w:t>, articles 23 et 24.</w:t>
            </w:r>
          </w:p>
          <w:p w:rsidR="009C1C61" w:rsidRPr="00E007CB" w:rsidRDefault="009C1C61" w:rsidP="00791BDA">
            <w:pPr>
              <w:jc w:val="both"/>
              <w:rPr>
                <w:rFonts w:eastAsia="Calibri"/>
                <w:sz w:val="20"/>
                <w:lang w:val="fr-CA"/>
              </w:rPr>
            </w:pPr>
          </w:p>
        </w:tc>
      </w:tr>
      <w:tr w:rsidR="002C75BC" w:rsidRPr="00E007CB" w:rsidTr="00791BDA">
        <w:tc>
          <w:tcPr>
            <w:tcW w:w="5000" w:type="pct"/>
            <w:gridSpan w:val="3"/>
          </w:tcPr>
          <w:p w:rsidR="009C1C61" w:rsidRPr="00F77596" w:rsidRDefault="009C1C61" w:rsidP="009C1C61">
            <w:pPr>
              <w:jc w:val="both"/>
              <w:rPr>
                <w:sz w:val="20"/>
                <w:lang w:val="fr-CA"/>
              </w:rPr>
            </w:pPr>
            <w:r w:rsidRPr="00F77596">
              <w:rPr>
                <w:sz w:val="20"/>
                <w:lang w:val="fr-CA"/>
              </w:rPr>
              <w:t xml:space="preserve">L’École Boréale, l’unique école de langue française à Hay River aux Territoires du Nord-Ouest, a ouvert ses portes en 2005. L’École accueille des enfants du niveau primaire et secondaire.  </w:t>
            </w:r>
          </w:p>
          <w:p w:rsidR="009C1C61" w:rsidRPr="00F77596" w:rsidRDefault="009C1C61" w:rsidP="009C1C61">
            <w:pPr>
              <w:jc w:val="both"/>
              <w:rPr>
                <w:sz w:val="20"/>
                <w:lang w:val="fr-CA"/>
              </w:rPr>
            </w:pPr>
          </w:p>
          <w:p w:rsidR="009C1C61" w:rsidRPr="00F77596" w:rsidRDefault="009C1C61" w:rsidP="009C1C61">
            <w:pPr>
              <w:jc w:val="both"/>
              <w:rPr>
                <w:sz w:val="20"/>
                <w:lang w:val="fr-CA"/>
              </w:rPr>
            </w:pPr>
            <w:r w:rsidRPr="00F77596">
              <w:rPr>
                <w:sz w:val="20"/>
                <w:lang w:val="fr-CA"/>
              </w:rPr>
              <w:t>En mai 2008, les demandeurs ont intenté un recours mettant en en cause l’étendue des obligations du Gouvernement des Territoires du Nord-Ouest (GTN-O) en ce qui a trait à l’éducation en français pour la minorité francophone de Hay River. Plus particulièrement, le litige portait sur la suffisance et la qualité des infrastructures fournies par le GTN-O pour le programme d’éducation en français offert à l’École Boréale; sur le degré d’autonomie et de contrôle dont devrait disposer la Commission scolaire francophone des Territoires du Nord-Ouest et sur les droits respectifs du gouvernement et de la CSFTN-O concernant l’établissement de critères d’admission au programme d’enseignement en français.</w:t>
            </w:r>
          </w:p>
          <w:p w:rsidR="009C1C61" w:rsidRPr="00F77596" w:rsidRDefault="009C1C61" w:rsidP="009C1C61">
            <w:pPr>
              <w:jc w:val="both"/>
              <w:rPr>
                <w:sz w:val="20"/>
                <w:lang w:val="fr-CA"/>
              </w:rPr>
            </w:pPr>
          </w:p>
          <w:p w:rsidR="009C1C61" w:rsidRPr="00F77596" w:rsidRDefault="009C1C61" w:rsidP="009C1C61">
            <w:pPr>
              <w:jc w:val="both"/>
              <w:rPr>
                <w:sz w:val="20"/>
                <w:lang w:val="fr-CA"/>
              </w:rPr>
            </w:pPr>
            <w:r w:rsidRPr="00F77596">
              <w:rPr>
                <w:sz w:val="20"/>
                <w:lang w:val="fr-CA"/>
              </w:rPr>
              <w:t xml:space="preserve">Les demandeurs réclamaient, en guise de réparation, une ordonnance contraignant le GTN-O à agrandir l’École Boréale ainsi que diverses déclarations concernant l’étendue des pouvoirs de gestion de la CSFTN-O. Ils contestaient la validité constitutionnelle de la définition du terme “parent” dans la </w:t>
            </w:r>
            <w:r w:rsidRPr="00F77596">
              <w:rPr>
                <w:i/>
                <w:sz w:val="20"/>
                <w:lang w:val="fr-CA"/>
              </w:rPr>
              <w:t>Loi sur l’Éducation</w:t>
            </w:r>
            <w:r w:rsidRPr="00F77596">
              <w:rPr>
                <w:sz w:val="20"/>
                <w:lang w:val="fr-CA"/>
              </w:rPr>
              <w:t xml:space="preserve">, et d’une directive du ministre de l’Éducation, de la Culture et de l’Emploi émise en 2008 et qui régit les critères d’admission au programme d’enseignement en français. Selon cette directive, la Commission scolaire ne peut permettre, sans autorisation du ministre, l’inscription d’un élève qui ne satisfait pas aux critères énoncés à l’article 23 de la </w:t>
            </w:r>
            <w:r w:rsidRPr="00F77596">
              <w:rPr>
                <w:i/>
                <w:sz w:val="20"/>
                <w:lang w:val="fr-CA"/>
              </w:rPr>
              <w:t>Charte</w:t>
            </w:r>
            <w:r w:rsidRPr="00F77596">
              <w:rPr>
                <w:sz w:val="20"/>
                <w:lang w:val="fr-CA"/>
              </w:rPr>
              <w:t xml:space="preserve"> en ce qui a trait au droit à l’éducation dans la langue de la minorité.</w:t>
            </w:r>
          </w:p>
          <w:p w:rsidR="002C75BC" w:rsidRPr="00E007CB" w:rsidRDefault="002C75BC" w:rsidP="00791BDA">
            <w:pPr>
              <w:jc w:val="both"/>
              <w:rPr>
                <w:sz w:val="20"/>
                <w:lang w:val="fr-CA"/>
              </w:rPr>
            </w:pPr>
          </w:p>
        </w:tc>
      </w:tr>
      <w:tr w:rsidR="002C75BC" w:rsidRPr="00002704" w:rsidTr="00791BDA">
        <w:trPr>
          <w:cantSplit/>
        </w:trPr>
        <w:tc>
          <w:tcPr>
            <w:tcW w:w="2427" w:type="pct"/>
          </w:tcPr>
          <w:p w:rsidR="007E50A6" w:rsidRPr="00F77596" w:rsidRDefault="007E50A6" w:rsidP="007E50A6">
            <w:pPr>
              <w:jc w:val="both"/>
              <w:rPr>
                <w:sz w:val="20"/>
                <w:lang w:val="fr-CA"/>
              </w:rPr>
            </w:pPr>
            <w:r w:rsidRPr="00F77596">
              <w:rPr>
                <w:sz w:val="20"/>
                <w:lang w:val="fr-CA"/>
              </w:rPr>
              <w:lastRenderedPageBreak/>
              <w:t>Le 1 juin 2012</w:t>
            </w:r>
          </w:p>
          <w:p w:rsidR="007E50A6" w:rsidRPr="00F77596" w:rsidRDefault="007E50A6" w:rsidP="007E50A6">
            <w:pPr>
              <w:jc w:val="both"/>
              <w:rPr>
                <w:sz w:val="20"/>
                <w:lang w:val="fr-CA"/>
              </w:rPr>
            </w:pPr>
            <w:r w:rsidRPr="00F77596">
              <w:rPr>
                <w:sz w:val="20"/>
                <w:lang w:val="fr-CA"/>
              </w:rPr>
              <w:t>Cour suprême des Territoires du Nord-Ouest</w:t>
            </w:r>
          </w:p>
          <w:p w:rsidR="007E50A6" w:rsidRPr="00F77596" w:rsidRDefault="007E50A6" w:rsidP="007E50A6">
            <w:pPr>
              <w:jc w:val="both"/>
              <w:rPr>
                <w:sz w:val="20"/>
                <w:lang w:val="fr-CA"/>
              </w:rPr>
            </w:pPr>
            <w:r w:rsidRPr="00F77596">
              <w:rPr>
                <w:sz w:val="20"/>
                <w:lang w:val="fr-CA"/>
              </w:rPr>
              <w:t>(La juge Charbonneau)</w:t>
            </w:r>
          </w:p>
          <w:p w:rsidR="007E50A6" w:rsidRPr="00F77596" w:rsidRDefault="007E50A6" w:rsidP="007E50A6">
            <w:pPr>
              <w:jc w:val="both"/>
              <w:rPr>
                <w:sz w:val="20"/>
                <w:lang w:val="fr-CA"/>
              </w:rPr>
            </w:pPr>
            <w:r w:rsidRPr="00F77596">
              <w:rPr>
                <w:sz w:val="20"/>
                <w:lang w:val="fr-CA"/>
              </w:rPr>
              <w:t>No. de dossier S-0001-CV-2008000133</w:t>
            </w:r>
          </w:p>
          <w:p w:rsidR="007E50A6" w:rsidRPr="00F77596" w:rsidRDefault="00EC4FDF" w:rsidP="007E50A6">
            <w:pPr>
              <w:jc w:val="both"/>
              <w:rPr>
                <w:sz w:val="20"/>
              </w:rPr>
            </w:pPr>
            <w:hyperlink r:id="rId44" w:history="1">
              <w:r w:rsidR="007E50A6" w:rsidRPr="00F77596">
                <w:rPr>
                  <w:rStyle w:val="Hyperlink"/>
                  <w:sz w:val="20"/>
                </w:rPr>
                <w:t>2012 CanLII 31411</w:t>
              </w:r>
            </w:hyperlink>
            <w:r w:rsidR="007E50A6" w:rsidRPr="00F77596">
              <w:rPr>
                <w:sz w:val="20"/>
              </w:rPr>
              <w:t xml:space="preserve"> </w:t>
            </w:r>
          </w:p>
          <w:p w:rsidR="002C75BC" w:rsidRPr="00E007CB" w:rsidRDefault="002C75BC" w:rsidP="00791BDA">
            <w:pPr>
              <w:jc w:val="both"/>
              <w:rPr>
                <w:rFonts w:eastAsia="Calibri"/>
                <w:sz w:val="20"/>
                <w:lang w:val="fr-CA"/>
              </w:rPr>
            </w:pPr>
          </w:p>
        </w:tc>
        <w:tc>
          <w:tcPr>
            <w:tcW w:w="243" w:type="pct"/>
          </w:tcPr>
          <w:p w:rsidR="002C75BC" w:rsidRPr="00E007CB" w:rsidRDefault="002C75BC" w:rsidP="00791BDA">
            <w:pPr>
              <w:jc w:val="both"/>
              <w:rPr>
                <w:rFonts w:eastAsia="Calibri"/>
                <w:sz w:val="20"/>
                <w:lang w:val="fr-CA"/>
              </w:rPr>
            </w:pPr>
          </w:p>
        </w:tc>
        <w:tc>
          <w:tcPr>
            <w:tcW w:w="2330" w:type="pct"/>
          </w:tcPr>
          <w:p w:rsidR="007E50A6" w:rsidRDefault="007E50A6" w:rsidP="007E50A6">
            <w:pPr>
              <w:jc w:val="both"/>
              <w:rPr>
                <w:sz w:val="20"/>
                <w:lang w:val="fr-CA"/>
              </w:rPr>
            </w:pPr>
            <w:r w:rsidRPr="00F77596">
              <w:rPr>
                <w:sz w:val="20"/>
                <w:lang w:val="fr-CA"/>
              </w:rPr>
              <w:t>GTN-O ordonné d’agrandir l’École afin d’y ajouter (i) un gymnase (ii) des espaces et salles pour l’enseignement de matières tels que la musique, les arts, les arts ménagers et l’anglais langue seconde (iii) un laboratoire pour l’enseignement des sciences au niveau secondaire (iv) un espace pouvant accueillir un programme de prématernelle; GTN-O ordonné d’assurer accès équitable à locaux d’école anglophone avoisinante aux fins de cours d’études professionnelles et techniques; Déclaration ministérielle déclarée inopérante; Ordonnance émise accordant aux demandeurs leurs dépens sur une base procureur-client.</w:t>
            </w:r>
          </w:p>
          <w:p w:rsidR="002C75BC" w:rsidRPr="00E007CB" w:rsidRDefault="002C75BC" w:rsidP="00791BDA">
            <w:pPr>
              <w:jc w:val="both"/>
              <w:rPr>
                <w:rFonts w:eastAsia="Calibri"/>
                <w:sz w:val="20"/>
                <w:lang w:val="fr-CA"/>
              </w:rPr>
            </w:pPr>
          </w:p>
        </w:tc>
      </w:tr>
      <w:tr w:rsidR="002C75BC" w:rsidRPr="00002704" w:rsidTr="00791BDA">
        <w:trPr>
          <w:cantSplit/>
        </w:trPr>
        <w:tc>
          <w:tcPr>
            <w:tcW w:w="2427" w:type="pct"/>
          </w:tcPr>
          <w:p w:rsidR="007E50A6" w:rsidRPr="00F77596" w:rsidRDefault="007E50A6" w:rsidP="007E50A6">
            <w:pPr>
              <w:jc w:val="both"/>
              <w:rPr>
                <w:sz w:val="20"/>
                <w:lang w:val="fr-CA"/>
              </w:rPr>
            </w:pPr>
            <w:r w:rsidRPr="00F77596">
              <w:rPr>
                <w:sz w:val="20"/>
                <w:lang w:val="fr-CA"/>
              </w:rPr>
              <w:t>Le 9 janvier 2015</w:t>
            </w:r>
          </w:p>
          <w:p w:rsidR="007E50A6" w:rsidRPr="00F77596" w:rsidRDefault="007E50A6" w:rsidP="007E50A6">
            <w:pPr>
              <w:jc w:val="both"/>
              <w:rPr>
                <w:sz w:val="20"/>
                <w:lang w:val="fr-CA"/>
              </w:rPr>
            </w:pPr>
            <w:r w:rsidRPr="00F77596">
              <w:rPr>
                <w:sz w:val="20"/>
                <w:lang w:val="fr-CA"/>
              </w:rPr>
              <w:t>Cour d’appel des Territoires du Nord-Ouest</w:t>
            </w:r>
          </w:p>
          <w:p w:rsidR="007E50A6" w:rsidRPr="00F77596" w:rsidRDefault="007E50A6" w:rsidP="007E50A6">
            <w:pPr>
              <w:jc w:val="both"/>
              <w:rPr>
                <w:sz w:val="20"/>
                <w:lang w:val="fr-CA"/>
              </w:rPr>
            </w:pPr>
            <w:r w:rsidRPr="00F77596">
              <w:rPr>
                <w:sz w:val="20"/>
                <w:lang w:val="fr-CA"/>
              </w:rPr>
              <w:t>(Les juges Watson, Slatter et Rowbotham)</w:t>
            </w:r>
          </w:p>
          <w:p w:rsidR="007E50A6" w:rsidRPr="00F77596" w:rsidRDefault="007E50A6" w:rsidP="007E50A6">
            <w:pPr>
              <w:jc w:val="both"/>
              <w:rPr>
                <w:sz w:val="20"/>
                <w:lang w:val="fr-CA"/>
              </w:rPr>
            </w:pPr>
            <w:r w:rsidRPr="00F77596">
              <w:rPr>
                <w:sz w:val="20"/>
                <w:lang w:val="fr-CA"/>
              </w:rPr>
              <w:t>No. de dossier AIAP 2012-000012</w:t>
            </w:r>
          </w:p>
          <w:p w:rsidR="007E50A6" w:rsidRPr="00F77596" w:rsidRDefault="00EC4FDF" w:rsidP="007E50A6">
            <w:pPr>
              <w:jc w:val="both"/>
              <w:rPr>
                <w:sz w:val="20"/>
                <w:lang w:val="fr-CA"/>
              </w:rPr>
            </w:pPr>
            <w:hyperlink r:id="rId45" w:history="1">
              <w:r w:rsidR="007E50A6" w:rsidRPr="00F77596">
                <w:rPr>
                  <w:rStyle w:val="Hyperlink"/>
                  <w:sz w:val="20"/>
                  <w:lang w:val="fr-CA"/>
                </w:rPr>
                <w:t>2015 CanLII 168</w:t>
              </w:r>
            </w:hyperlink>
            <w:r w:rsidR="007E50A6" w:rsidRPr="00F77596">
              <w:rPr>
                <w:sz w:val="20"/>
                <w:lang w:val="fr-CA"/>
              </w:rPr>
              <w:t xml:space="preserve"> </w:t>
            </w:r>
          </w:p>
          <w:p w:rsidR="002C75BC" w:rsidRPr="00E007CB" w:rsidRDefault="002C75BC" w:rsidP="00791BDA">
            <w:pPr>
              <w:jc w:val="both"/>
              <w:rPr>
                <w:rFonts w:eastAsia="Calibri"/>
                <w:sz w:val="20"/>
                <w:lang w:val="fr-CA"/>
              </w:rPr>
            </w:pPr>
          </w:p>
        </w:tc>
        <w:tc>
          <w:tcPr>
            <w:tcW w:w="243" w:type="pct"/>
          </w:tcPr>
          <w:p w:rsidR="002C75BC" w:rsidRPr="00E007CB" w:rsidRDefault="002C75BC" w:rsidP="00791BDA">
            <w:pPr>
              <w:jc w:val="both"/>
              <w:rPr>
                <w:rFonts w:eastAsia="Calibri"/>
                <w:sz w:val="20"/>
                <w:lang w:val="fr-CA"/>
              </w:rPr>
            </w:pPr>
          </w:p>
        </w:tc>
        <w:tc>
          <w:tcPr>
            <w:tcW w:w="2330" w:type="pct"/>
          </w:tcPr>
          <w:p w:rsidR="007E50A6" w:rsidRPr="00F77596" w:rsidRDefault="007E50A6" w:rsidP="007E50A6">
            <w:pPr>
              <w:jc w:val="both"/>
              <w:rPr>
                <w:sz w:val="20"/>
                <w:lang w:val="fr-CA"/>
              </w:rPr>
            </w:pPr>
            <w:r w:rsidRPr="00F77596">
              <w:rPr>
                <w:sz w:val="20"/>
                <w:lang w:val="fr-CA"/>
              </w:rPr>
              <w:t>Appel accueilli; Jugement de première instance annulé, Déclaration ministérielle rétablie; Appel incident rejeté.</w:t>
            </w:r>
          </w:p>
          <w:p w:rsidR="002C75BC" w:rsidRPr="00F77596" w:rsidRDefault="002C75BC" w:rsidP="00791BDA">
            <w:pPr>
              <w:jc w:val="both"/>
              <w:rPr>
                <w:sz w:val="20"/>
              </w:rPr>
            </w:pPr>
          </w:p>
        </w:tc>
      </w:tr>
      <w:tr w:rsidR="002C75BC" w:rsidRPr="00E007CB" w:rsidTr="00791BDA">
        <w:trPr>
          <w:cantSplit/>
        </w:trPr>
        <w:tc>
          <w:tcPr>
            <w:tcW w:w="2427" w:type="pct"/>
          </w:tcPr>
          <w:p w:rsidR="002C75BC" w:rsidRPr="00E007CB" w:rsidRDefault="002C75BC" w:rsidP="00791BDA">
            <w:pPr>
              <w:jc w:val="both"/>
              <w:rPr>
                <w:rFonts w:eastAsia="Calibri"/>
                <w:sz w:val="20"/>
                <w:lang w:val="fr-CA"/>
              </w:rPr>
            </w:pPr>
            <w:r>
              <w:rPr>
                <w:rFonts w:eastAsia="Calibri"/>
                <w:sz w:val="20"/>
                <w:lang w:val="fr-CA"/>
              </w:rPr>
              <w:t xml:space="preserve">Le </w:t>
            </w:r>
            <w:r w:rsidR="007E50A6">
              <w:rPr>
                <w:rFonts w:eastAsia="Calibri"/>
                <w:sz w:val="20"/>
                <w:lang w:val="fr-CA"/>
              </w:rPr>
              <w:t>10</w:t>
            </w:r>
            <w:r>
              <w:rPr>
                <w:rFonts w:eastAsia="Calibri"/>
                <w:sz w:val="20"/>
                <w:lang w:val="fr-CA"/>
              </w:rPr>
              <w:t xml:space="preserve"> </w:t>
            </w:r>
            <w:r w:rsidR="007E50A6">
              <w:rPr>
                <w:rFonts w:eastAsia="Calibri"/>
                <w:sz w:val="20"/>
                <w:lang w:val="fr-CA"/>
              </w:rPr>
              <w:t>mars</w:t>
            </w:r>
            <w:r w:rsidRPr="00E007CB">
              <w:rPr>
                <w:rFonts w:eastAsia="Calibri"/>
                <w:sz w:val="20"/>
                <w:lang w:val="fr-CA"/>
              </w:rPr>
              <w:t xml:space="preserve"> 201</w:t>
            </w:r>
            <w:r>
              <w:rPr>
                <w:rFonts w:eastAsia="Calibri"/>
                <w:sz w:val="20"/>
                <w:lang w:val="fr-CA"/>
              </w:rPr>
              <w:t>5</w:t>
            </w:r>
          </w:p>
          <w:p w:rsidR="002C75BC" w:rsidRPr="00E007CB" w:rsidRDefault="002C75BC" w:rsidP="00791BDA">
            <w:pPr>
              <w:jc w:val="both"/>
              <w:rPr>
                <w:rFonts w:eastAsia="Calibri"/>
                <w:sz w:val="20"/>
                <w:lang w:val="fr-CA"/>
              </w:rPr>
            </w:pPr>
            <w:r w:rsidRPr="00E007CB">
              <w:rPr>
                <w:rFonts w:eastAsia="Calibri"/>
                <w:sz w:val="20"/>
                <w:lang w:val="fr-CA"/>
              </w:rPr>
              <w:t>Cour suprême du Canada</w:t>
            </w:r>
          </w:p>
        </w:tc>
        <w:tc>
          <w:tcPr>
            <w:tcW w:w="243" w:type="pct"/>
          </w:tcPr>
          <w:p w:rsidR="002C75BC" w:rsidRPr="00E007CB" w:rsidRDefault="002C75BC" w:rsidP="00791BDA">
            <w:pPr>
              <w:jc w:val="both"/>
              <w:rPr>
                <w:rFonts w:eastAsia="Calibri"/>
                <w:sz w:val="20"/>
                <w:lang w:val="fr-CA"/>
              </w:rPr>
            </w:pPr>
          </w:p>
        </w:tc>
        <w:tc>
          <w:tcPr>
            <w:tcW w:w="2330" w:type="pct"/>
          </w:tcPr>
          <w:p w:rsidR="007E50A6" w:rsidRPr="00F77596" w:rsidRDefault="007E50A6" w:rsidP="007E50A6">
            <w:pPr>
              <w:jc w:val="both"/>
              <w:rPr>
                <w:sz w:val="20"/>
              </w:rPr>
            </w:pPr>
            <w:r w:rsidRPr="00F77596">
              <w:rPr>
                <w:sz w:val="20"/>
              </w:rPr>
              <w:t>Demande d'autorisation d'appel déposée.</w:t>
            </w:r>
          </w:p>
          <w:p w:rsidR="002C75BC" w:rsidRPr="00F77596" w:rsidRDefault="002C75BC" w:rsidP="00791BDA">
            <w:pPr>
              <w:jc w:val="both"/>
              <w:rPr>
                <w:sz w:val="20"/>
                <w:lang w:val="fr-CA"/>
              </w:rPr>
            </w:pPr>
          </w:p>
        </w:tc>
      </w:tr>
    </w:tbl>
    <w:p w:rsidR="002C75BC" w:rsidRDefault="002C75BC" w:rsidP="002C75BC">
      <w:pPr>
        <w:rPr>
          <w:sz w:val="20"/>
          <w:szCs w:val="20"/>
        </w:rPr>
      </w:pPr>
    </w:p>
    <w:p w:rsidR="002C75BC" w:rsidRDefault="00EC4FDF" w:rsidP="002C75BC">
      <w:pPr>
        <w:rPr>
          <w:sz w:val="20"/>
          <w:szCs w:val="20"/>
        </w:rPr>
      </w:pPr>
      <w:r>
        <w:rPr>
          <w:sz w:val="20"/>
          <w:szCs w:val="20"/>
          <w:lang w:val="fr-CA"/>
        </w:rPr>
        <w:pict>
          <v:rect id="_x0000_i1046" style="width:2in;height:1pt" o:hrpct="0" o:hralign="center" o:hrstd="t" o:hrnoshade="t" o:hr="t" fillcolor="black [3213]" stroked="f"/>
        </w:pict>
      </w:r>
    </w:p>
    <w:p w:rsidR="002C75BC" w:rsidRDefault="002C75BC" w:rsidP="002C75B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30BDF" w:rsidRPr="00A73D2C" w:rsidTr="00791BDA">
        <w:trPr>
          <w:cantSplit/>
        </w:trPr>
        <w:tc>
          <w:tcPr>
            <w:tcW w:w="1458" w:type="dxa"/>
          </w:tcPr>
          <w:p w:rsidR="00A30BDF" w:rsidRPr="00A73D2C" w:rsidRDefault="00A30BDF" w:rsidP="00791BDA">
            <w:pPr>
              <w:rPr>
                <w:sz w:val="20"/>
                <w:szCs w:val="20"/>
              </w:rPr>
            </w:pPr>
            <w:r w:rsidRPr="00A73D2C">
              <w:rPr>
                <w:rStyle w:val="SCCFileNumberChar"/>
                <w:sz w:val="20"/>
                <w:szCs w:val="20"/>
              </w:rPr>
              <w:t>36</w:t>
            </w:r>
            <w:r>
              <w:rPr>
                <w:rStyle w:val="SCCFileNumberChar"/>
                <w:sz w:val="20"/>
                <w:szCs w:val="20"/>
              </w:rPr>
              <w:t>338</w:t>
            </w:r>
          </w:p>
          <w:p w:rsidR="00A30BDF" w:rsidRPr="00A73D2C" w:rsidRDefault="00A30BDF" w:rsidP="00791BDA">
            <w:pPr>
              <w:rPr>
                <w:b/>
                <w:sz w:val="20"/>
                <w:szCs w:val="20"/>
                <w:lang w:val="fr-CA"/>
              </w:rPr>
            </w:pPr>
          </w:p>
        </w:tc>
        <w:tc>
          <w:tcPr>
            <w:tcW w:w="8118" w:type="dxa"/>
          </w:tcPr>
          <w:p w:rsidR="00A30BDF" w:rsidRPr="00A73D2C" w:rsidRDefault="00A30BDF" w:rsidP="00791BDA">
            <w:pPr>
              <w:rPr>
                <w:sz w:val="20"/>
                <w:szCs w:val="20"/>
              </w:rPr>
            </w:pPr>
            <w:r w:rsidRPr="00A30BDF">
              <w:rPr>
                <w:rStyle w:val="SCCLsocChar"/>
                <w:sz w:val="20"/>
                <w:szCs w:val="20"/>
                <w:lang w:val="en-CA"/>
              </w:rPr>
              <w:t>Association des parents ayants droit de Yellowknife</w:t>
            </w:r>
            <w:r w:rsidR="002B5141">
              <w:rPr>
                <w:rStyle w:val="SCCLsocChar"/>
                <w:sz w:val="20"/>
                <w:szCs w:val="20"/>
                <w:lang w:val="en-CA"/>
              </w:rPr>
              <w:t>, La Garderie Plein Soleil, Yvonne Careen, Claude St-Pierre et Fédération Franco-Ténoise</w:t>
            </w:r>
            <w:r w:rsidRPr="00A30BDF">
              <w:rPr>
                <w:rStyle w:val="SCCLsocChar"/>
                <w:sz w:val="20"/>
                <w:szCs w:val="20"/>
                <w:lang w:val="en-CA"/>
              </w:rPr>
              <w:t xml:space="preserve"> </w:t>
            </w:r>
            <w:r w:rsidR="00DA4F7F">
              <w:rPr>
                <w:rStyle w:val="SCCLsocChar"/>
                <w:sz w:val="20"/>
                <w:szCs w:val="20"/>
                <w:lang w:val="en-CA"/>
              </w:rPr>
              <w:t>c</w:t>
            </w:r>
            <w:r w:rsidRPr="00A30BDF">
              <w:rPr>
                <w:rStyle w:val="SCCLsocChar"/>
                <w:sz w:val="20"/>
                <w:szCs w:val="20"/>
                <w:lang w:val="en-CA"/>
              </w:rPr>
              <w:t xml:space="preserve">. </w:t>
            </w:r>
            <w:r w:rsidR="00DA4F7F" w:rsidRPr="00DA4F7F">
              <w:rPr>
                <w:rStyle w:val="SCCLsocChar"/>
                <w:sz w:val="20"/>
                <w:szCs w:val="20"/>
                <w:lang w:val="en-CA"/>
              </w:rPr>
              <w:t xml:space="preserve">Procureur général des Territoires du Nord-Ouest </w:t>
            </w:r>
            <w:r w:rsidR="002B5141">
              <w:rPr>
                <w:rStyle w:val="SCCLsocChar"/>
                <w:sz w:val="20"/>
                <w:szCs w:val="20"/>
                <w:lang w:val="en-CA"/>
              </w:rPr>
              <w:t>et Commissaire des Territoires du Nord-Ouest</w:t>
            </w:r>
            <w:r w:rsidRPr="00A73D2C">
              <w:rPr>
                <w:sz w:val="20"/>
                <w:szCs w:val="20"/>
              </w:rPr>
              <w:t xml:space="preserve"> (</w:t>
            </w:r>
            <w:r w:rsidR="00DA4F7F">
              <w:rPr>
                <w:sz w:val="20"/>
                <w:szCs w:val="20"/>
              </w:rPr>
              <w:t>T</w:t>
            </w:r>
            <w:r>
              <w:rPr>
                <w:sz w:val="20"/>
                <w:szCs w:val="20"/>
              </w:rPr>
              <w:t>.</w:t>
            </w:r>
            <w:r w:rsidR="00DA4F7F">
              <w:rPr>
                <w:sz w:val="20"/>
                <w:szCs w:val="20"/>
              </w:rPr>
              <w:t>N</w:t>
            </w:r>
            <w:r>
              <w:rPr>
                <w:sz w:val="20"/>
                <w:szCs w:val="20"/>
              </w:rPr>
              <w:t>.</w:t>
            </w:r>
            <w:r w:rsidR="00DA4F7F">
              <w:rPr>
                <w:sz w:val="20"/>
                <w:szCs w:val="20"/>
              </w:rPr>
              <w:t>-O</w:t>
            </w:r>
            <w:r>
              <w:rPr>
                <w:sz w:val="20"/>
                <w:szCs w:val="20"/>
              </w:rPr>
              <w:t>.</w:t>
            </w:r>
            <w:r w:rsidRPr="00A73D2C">
              <w:rPr>
                <w:sz w:val="20"/>
                <w:szCs w:val="20"/>
              </w:rPr>
              <w:t>) (C</w:t>
            </w:r>
            <w:r>
              <w:rPr>
                <w:sz w:val="20"/>
                <w:szCs w:val="20"/>
              </w:rPr>
              <w:t>ivil</w:t>
            </w:r>
            <w:r w:rsidR="00DA4F7F">
              <w:rPr>
                <w:sz w:val="20"/>
                <w:szCs w:val="20"/>
              </w:rPr>
              <w:t>e</w:t>
            </w:r>
            <w:r w:rsidRPr="00A73D2C">
              <w:rPr>
                <w:sz w:val="20"/>
                <w:szCs w:val="20"/>
              </w:rPr>
              <w:t>) (</w:t>
            </w:r>
            <w:r w:rsidR="00DA4F7F">
              <w:rPr>
                <w:sz w:val="20"/>
                <w:szCs w:val="20"/>
              </w:rPr>
              <w:t>Autorisation</w:t>
            </w:r>
            <w:r w:rsidRPr="00A73D2C">
              <w:rPr>
                <w:sz w:val="20"/>
                <w:szCs w:val="20"/>
              </w:rPr>
              <w:t>)</w:t>
            </w:r>
          </w:p>
          <w:p w:rsidR="00A30BDF" w:rsidRPr="00A73D2C" w:rsidRDefault="00A30BDF" w:rsidP="00791BDA">
            <w:pPr>
              <w:rPr>
                <w:sz w:val="20"/>
                <w:szCs w:val="20"/>
              </w:rPr>
            </w:pPr>
          </w:p>
        </w:tc>
      </w:tr>
      <w:tr w:rsidR="00A30BDF" w:rsidRPr="00A73D2C" w:rsidTr="00791BDA">
        <w:trPr>
          <w:cantSplit/>
        </w:trPr>
        <w:tc>
          <w:tcPr>
            <w:tcW w:w="1458" w:type="dxa"/>
          </w:tcPr>
          <w:p w:rsidR="00A30BDF" w:rsidRPr="00A73D2C" w:rsidRDefault="00A30BDF" w:rsidP="00791BDA">
            <w:pPr>
              <w:rPr>
                <w:sz w:val="20"/>
                <w:szCs w:val="20"/>
              </w:rPr>
            </w:pPr>
            <w:r w:rsidRPr="00A73D2C">
              <w:rPr>
                <w:sz w:val="20"/>
                <w:szCs w:val="20"/>
              </w:rPr>
              <w:t>Coram :</w:t>
            </w:r>
          </w:p>
        </w:tc>
        <w:tc>
          <w:tcPr>
            <w:tcW w:w="8118" w:type="dxa"/>
          </w:tcPr>
          <w:p w:rsidR="00A30BDF" w:rsidRDefault="0087432C" w:rsidP="00791BDA">
            <w:pPr>
              <w:rPr>
                <w:rStyle w:val="SCCCoramChar"/>
                <w:sz w:val="20"/>
                <w:szCs w:val="20"/>
                <w:lang w:val="en-CA"/>
              </w:rPr>
            </w:pPr>
            <w:r w:rsidRPr="0087432C">
              <w:rPr>
                <w:rStyle w:val="SCCCoramChar"/>
                <w:sz w:val="20"/>
                <w:szCs w:val="20"/>
                <w:lang w:val="en-CA"/>
              </w:rPr>
              <w:t>Les juges Abella, Karakatsanis et Côté</w:t>
            </w:r>
          </w:p>
          <w:p w:rsidR="0087432C" w:rsidRPr="00A73D2C" w:rsidRDefault="0087432C" w:rsidP="00791BDA">
            <w:pPr>
              <w:rPr>
                <w:sz w:val="20"/>
                <w:szCs w:val="20"/>
                <w:u w:val="single"/>
              </w:rPr>
            </w:pPr>
          </w:p>
        </w:tc>
      </w:tr>
      <w:tr w:rsidR="00A30BDF" w:rsidRPr="00002704" w:rsidTr="00791BDA">
        <w:trPr>
          <w:cantSplit/>
        </w:trPr>
        <w:tc>
          <w:tcPr>
            <w:tcW w:w="9576" w:type="dxa"/>
            <w:gridSpan w:val="2"/>
          </w:tcPr>
          <w:p w:rsidR="00C45763" w:rsidRPr="00C45763" w:rsidRDefault="00C45763" w:rsidP="00C45763">
            <w:pPr>
              <w:pStyle w:val="SCCShortJudgment"/>
              <w:rPr>
                <w:szCs w:val="20"/>
              </w:rPr>
            </w:pPr>
            <w:r w:rsidRPr="00C45763">
              <w:rPr>
                <w:szCs w:val="20"/>
              </w:rPr>
              <w:t>La demande d’autorisation d’appel de l’arrêt de la Cour d’appel des Territoires du Nord-Ouest, numéro AIAP2012-000011, 2015 CATN-O 2, daté du 9 janvier 2015, est rejetée sans dépens.</w:t>
            </w:r>
          </w:p>
          <w:p w:rsidR="00C45763" w:rsidRPr="00C45763" w:rsidRDefault="00C45763" w:rsidP="00C45763">
            <w:pPr>
              <w:pStyle w:val="SCCShortJudgment"/>
              <w:rPr>
                <w:szCs w:val="20"/>
              </w:rPr>
            </w:pPr>
          </w:p>
          <w:p w:rsidR="00A30BDF" w:rsidRPr="00A73D2C" w:rsidRDefault="00C45763" w:rsidP="00C45763">
            <w:pPr>
              <w:pStyle w:val="SCCShortJudgment"/>
              <w:rPr>
                <w:szCs w:val="20"/>
                <w:lang w:val="fr-CA"/>
              </w:rPr>
            </w:pPr>
            <w:r w:rsidRPr="00C45763">
              <w:rPr>
                <w:szCs w:val="20"/>
              </w:rPr>
              <w:t>The application for leave to appeal from the judgment of the Court of Appeal for the Northwest Territories, Number AIAP2012-000011, 2015 NWTCA 2, dated January 9, 2015, is dismissed without costs.</w:t>
            </w:r>
          </w:p>
        </w:tc>
      </w:tr>
    </w:tbl>
    <w:p w:rsidR="00A30BDF" w:rsidRPr="0016547E" w:rsidRDefault="00A30BDF" w:rsidP="00A30BDF">
      <w:pPr>
        <w:rPr>
          <w:sz w:val="20"/>
          <w:szCs w:val="20"/>
          <w:lang w:val="fr-CA"/>
        </w:rPr>
      </w:pPr>
    </w:p>
    <w:p w:rsidR="00A30BDF" w:rsidRPr="001B157C" w:rsidRDefault="00A30BDF" w:rsidP="00A30BDF">
      <w:pPr>
        <w:rPr>
          <w:sz w:val="20"/>
          <w:szCs w:val="20"/>
          <w:u w:val="single"/>
        </w:rPr>
      </w:pPr>
      <w:r w:rsidRPr="001B157C">
        <w:rPr>
          <w:sz w:val="20"/>
          <w:szCs w:val="20"/>
          <w:u w:val="single"/>
        </w:rPr>
        <w:t>CASE SUMMARY</w:t>
      </w:r>
    </w:p>
    <w:p w:rsidR="00A30BDF" w:rsidRDefault="00A30BDF" w:rsidP="00A30BD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0BDF" w:rsidRPr="00E007CB" w:rsidTr="00791BDA">
        <w:tc>
          <w:tcPr>
            <w:tcW w:w="5000" w:type="pct"/>
            <w:gridSpan w:val="3"/>
          </w:tcPr>
          <w:p w:rsidR="00A30BDF" w:rsidRPr="00F77596" w:rsidRDefault="00A30BDF" w:rsidP="00A30BDF">
            <w:pPr>
              <w:pStyle w:val="SCCBanSummary"/>
              <w:rPr>
                <w:sz w:val="20"/>
                <w:szCs w:val="20"/>
              </w:rPr>
            </w:pPr>
            <w:r w:rsidRPr="00F77596">
              <w:rPr>
                <w:sz w:val="20"/>
                <w:szCs w:val="20"/>
              </w:rPr>
              <w:t>(Publication Ban in Case)</w:t>
            </w:r>
          </w:p>
          <w:p w:rsidR="00A30BDF" w:rsidRPr="00F77596" w:rsidRDefault="00A30BDF" w:rsidP="00A30BDF">
            <w:pPr>
              <w:jc w:val="both"/>
              <w:rPr>
                <w:sz w:val="20"/>
              </w:rPr>
            </w:pPr>
          </w:p>
          <w:p w:rsidR="00A30BDF" w:rsidRDefault="00A30BDF" w:rsidP="00A30BDF">
            <w:pPr>
              <w:jc w:val="both"/>
              <w:rPr>
                <w:sz w:val="20"/>
              </w:rPr>
            </w:pPr>
            <w:r w:rsidRPr="00F77596">
              <w:rPr>
                <w:i/>
                <w:sz w:val="20"/>
              </w:rPr>
              <w:t>Charter of Rights</w:t>
            </w:r>
            <w:r w:rsidRPr="00F77596">
              <w:rPr>
                <w:sz w:val="20"/>
              </w:rPr>
              <w:t xml:space="preserve"> — Constitutional law — Minority language educational rights — Remedies — Court of Appeal setting aside judgment ordering expansion of school — Whether Court of Appeal changed standard of review applicable to </w:t>
            </w:r>
            <w:r w:rsidRPr="00F77596">
              <w:rPr>
                <w:sz w:val="20"/>
              </w:rPr>
              <w:lastRenderedPageBreak/>
              <w:t xml:space="preserve">decision of trial court — Whether Court of Appeal erred in interpreting s. 23 of </w:t>
            </w:r>
            <w:r w:rsidRPr="00F77596">
              <w:rPr>
                <w:i/>
                <w:sz w:val="20"/>
              </w:rPr>
              <w:t>Charter</w:t>
            </w:r>
            <w:r w:rsidRPr="00F77596">
              <w:rPr>
                <w:sz w:val="20"/>
              </w:rPr>
              <w:t xml:space="preserve"> — Whether Court of Appeal erred in interpreting minority language group’s powers of management in relation to admissions — Whether Court of Appeal erred in setting aside remedy awarded under s. 24 of </w:t>
            </w:r>
            <w:r w:rsidRPr="00F77596">
              <w:rPr>
                <w:i/>
                <w:sz w:val="20"/>
              </w:rPr>
              <w:t xml:space="preserve">Charter </w:t>
            </w:r>
            <w:r w:rsidRPr="00F77596">
              <w:rPr>
                <w:sz w:val="20"/>
              </w:rPr>
              <w:t xml:space="preserve">— </w:t>
            </w:r>
            <w:r w:rsidRPr="00F77596">
              <w:rPr>
                <w:i/>
                <w:sz w:val="20"/>
              </w:rPr>
              <w:t>Canadian Charter of Rights and Freedoms</w:t>
            </w:r>
            <w:r w:rsidRPr="00F77596">
              <w:rPr>
                <w:sz w:val="20"/>
              </w:rPr>
              <w:t>, ss. 23 and 24.</w:t>
            </w:r>
          </w:p>
          <w:p w:rsidR="00A30BDF" w:rsidRPr="00E007CB" w:rsidRDefault="00A30BDF" w:rsidP="00A30BDF">
            <w:pPr>
              <w:jc w:val="both"/>
              <w:rPr>
                <w:rFonts w:eastAsia="Calibri"/>
                <w:sz w:val="20"/>
              </w:rPr>
            </w:pPr>
          </w:p>
        </w:tc>
      </w:tr>
      <w:tr w:rsidR="00A30BDF" w:rsidRPr="00E007CB" w:rsidTr="00791BDA">
        <w:tc>
          <w:tcPr>
            <w:tcW w:w="5000" w:type="pct"/>
            <w:gridSpan w:val="3"/>
          </w:tcPr>
          <w:p w:rsidR="00A30BDF" w:rsidRPr="00F77596" w:rsidRDefault="00A30BDF" w:rsidP="00A30BDF">
            <w:pPr>
              <w:jc w:val="both"/>
              <w:rPr>
                <w:sz w:val="20"/>
              </w:rPr>
            </w:pPr>
            <w:r w:rsidRPr="00F77596">
              <w:rPr>
                <w:sz w:val="20"/>
              </w:rPr>
              <w:lastRenderedPageBreak/>
              <w:t xml:space="preserve">The applicants in this case are an association of parents asserting rights under s. 23 of the </w:t>
            </w:r>
            <w:r w:rsidRPr="00F77596">
              <w:rPr>
                <w:i/>
                <w:sz w:val="20"/>
              </w:rPr>
              <w:t>Charter</w:t>
            </w:r>
            <w:r w:rsidRPr="00F77596">
              <w:rPr>
                <w:sz w:val="20"/>
              </w:rPr>
              <w:t>, two rights</w:t>
            </w:r>
            <w:r w:rsidRPr="00F77596">
              <w:rPr>
                <w:sz w:val="20"/>
              </w:rPr>
              <w:noBreakHyphen/>
              <w:t>holder parents, an association that runs the French daycare in Yellowknife and the Fédération Franco</w:t>
            </w:r>
            <w:r w:rsidRPr="00F77596">
              <w:rPr>
                <w:sz w:val="20"/>
              </w:rPr>
              <w:noBreakHyphen/>
              <w:t>Ténoise, a federation of several Francophone associations in the Northwest Territories.</w:t>
            </w:r>
          </w:p>
          <w:p w:rsidR="00A30BDF" w:rsidRPr="00F77596" w:rsidRDefault="00A30BDF" w:rsidP="00A30BDF">
            <w:pPr>
              <w:jc w:val="both"/>
              <w:rPr>
                <w:sz w:val="20"/>
              </w:rPr>
            </w:pPr>
          </w:p>
          <w:p w:rsidR="00A30BDF" w:rsidRPr="00F77596" w:rsidRDefault="00A30BDF" w:rsidP="00A30BDF">
            <w:pPr>
              <w:jc w:val="both"/>
              <w:rPr>
                <w:sz w:val="20"/>
              </w:rPr>
            </w:pPr>
            <w:r w:rsidRPr="00F77596">
              <w:rPr>
                <w:sz w:val="20"/>
              </w:rPr>
              <w:t>Minority language education has been provided at École Allain St</w:t>
            </w:r>
            <w:r w:rsidRPr="00F77596">
              <w:rPr>
                <w:sz w:val="20"/>
              </w:rPr>
              <w:noBreakHyphen/>
              <w:t>Cyr in Yellowknife since 1989. A separate school building was built and opened in 1999. In 2000, the Government of the Northwest Territories (GNWT) gave control of minority language education to the Commission scolaire francophone des Territoires du Nord</w:t>
            </w:r>
            <w:r w:rsidRPr="00F77596">
              <w:rPr>
                <w:sz w:val="20"/>
              </w:rPr>
              <w:noBreakHyphen/>
              <w:t xml:space="preserve">Ouest. </w:t>
            </w:r>
          </w:p>
          <w:p w:rsidR="00A30BDF" w:rsidRPr="00F77596" w:rsidRDefault="00A30BDF" w:rsidP="00A30BDF">
            <w:pPr>
              <w:jc w:val="both"/>
              <w:rPr>
                <w:sz w:val="20"/>
              </w:rPr>
            </w:pPr>
          </w:p>
          <w:p w:rsidR="00A30BDF" w:rsidRPr="00F77596" w:rsidRDefault="00A30BDF" w:rsidP="00A30BDF">
            <w:pPr>
              <w:jc w:val="both"/>
              <w:rPr>
                <w:sz w:val="20"/>
              </w:rPr>
            </w:pPr>
            <w:r w:rsidRPr="00F77596">
              <w:rPr>
                <w:sz w:val="20"/>
              </w:rPr>
              <w:t xml:space="preserve">In 2005, the applicants brought an action alleging that the school facilities fell below the minimum constitutional requirements for minority language educational facilities. The relief sought consisted of an increase in the capacity of École Allain St-Cyr as well as the construction of specific specialized facilities. The dispute also included some fundamental disagreements about the scope and interpretation of s. 23 of the </w:t>
            </w:r>
            <w:r w:rsidRPr="00F77596">
              <w:rPr>
                <w:i/>
                <w:sz w:val="20"/>
              </w:rPr>
              <w:t>Charter</w:t>
            </w:r>
            <w:r w:rsidRPr="00F77596">
              <w:rPr>
                <w:sz w:val="20"/>
              </w:rPr>
              <w:t>. The Commission scolaire did not</w:t>
            </w:r>
            <w:r>
              <w:rPr>
                <w:sz w:val="20"/>
              </w:rPr>
              <w:t xml:space="preserve"> participate in the litigation.</w:t>
            </w:r>
          </w:p>
          <w:p w:rsidR="00A30BDF" w:rsidRPr="00E007CB" w:rsidRDefault="00A30BDF" w:rsidP="00791BDA">
            <w:pPr>
              <w:jc w:val="both"/>
              <w:rPr>
                <w:rFonts w:eastAsia="Calibri"/>
                <w:sz w:val="20"/>
              </w:rPr>
            </w:pPr>
          </w:p>
        </w:tc>
      </w:tr>
      <w:tr w:rsidR="00A30BDF" w:rsidRPr="00E007CB" w:rsidTr="00791BDA">
        <w:trPr>
          <w:cantSplit/>
        </w:trPr>
        <w:tc>
          <w:tcPr>
            <w:tcW w:w="2427" w:type="pct"/>
          </w:tcPr>
          <w:p w:rsidR="002C71A7" w:rsidRPr="00F77596" w:rsidRDefault="002C71A7" w:rsidP="002C71A7">
            <w:pPr>
              <w:jc w:val="both"/>
              <w:rPr>
                <w:sz w:val="20"/>
              </w:rPr>
            </w:pPr>
            <w:r w:rsidRPr="00F77596">
              <w:rPr>
                <w:sz w:val="20"/>
              </w:rPr>
              <w:t>June 1, 2012</w:t>
            </w:r>
          </w:p>
          <w:p w:rsidR="002C71A7" w:rsidRPr="00F77596" w:rsidRDefault="002C71A7" w:rsidP="002C71A7">
            <w:pPr>
              <w:jc w:val="both"/>
              <w:rPr>
                <w:sz w:val="20"/>
              </w:rPr>
            </w:pPr>
            <w:r w:rsidRPr="00F77596">
              <w:rPr>
                <w:sz w:val="20"/>
              </w:rPr>
              <w:t>Northwest Territories Supreme Court</w:t>
            </w:r>
          </w:p>
          <w:p w:rsidR="002C71A7" w:rsidRPr="00F77596" w:rsidRDefault="002C71A7" w:rsidP="002C71A7">
            <w:pPr>
              <w:jc w:val="both"/>
              <w:rPr>
                <w:sz w:val="20"/>
              </w:rPr>
            </w:pPr>
            <w:r w:rsidRPr="00F77596">
              <w:rPr>
                <w:sz w:val="20"/>
              </w:rPr>
              <w:t>(Charbonneau J.)</w:t>
            </w:r>
          </w:p>
          <w:p w:rsidR="002C71A7" w:rsidRPr="00F77596" w:rsidRDefault="002C71A7" w:rsidP="002C71A7">
            <w:pPr>
              <w:jc w:val="both"/>
              <w:rPr>
                <w:sz w:val="20"/>
              </w:rPr>
            </w:pPr>
            <w:r w:rsidRPr="00F77596">
              <w:rPr>
                <w:sz w:val="20"/>
              </w:rPr>
              <w:t>File No. A-1-CV-2005000108</w:t>
            </w:r>
          </w:p>
          <w:p w:rsidR="002C71A7" w:rsidRPr="00F77596" w:rsidRDefault="00EC4FDF" w:rsidP="002C71A7">
            <w:pPr>
              <w:jc w:val="both"/>
              <w:rPr>
                <w:sz w:val="20"/>
              </w:rPr>
            </w:pPr>
            <w:hyperlink r:id="rId46" w:history="1">
              <w:r w:rsidR="002C71A7" w:rsidRPr="00F77596">
                <w:rPr>
                  <w:rStyle w:val="Hyperlink"/>
                  <w:sz w:val="20"/>
                </w:rPr>
                <w:t>2012 CanLII 31380</w:t>
              </w:r>
            </w:hyperlink>
            <w:r w:rsidR="002C71A7" w:rsidRPr="00F77596">
              <w:rPr>
                <w:sz w:val="20"/>
              </w:rPr>
              <w:t xml:space="preserve"> </w:t>
            </w:r>
          </w:p>
          <w:p w:rsidR="00A30BDF" w:rsidRPr="00E007CB" w:rsidRDefault="00A30BDF" w:rsidP="00791BDA">
            <w:pPr>
              <w:jc w:val="both"/>
              <w:rPr>
                <w:rFonts w:eastAsia="Calibri"/>
                <w:sz w:val="20"/>
              </w:rPr>
            </w:pPr>
          </w:p>
        </w:tc>
        <w:tc>
          <w:tcPr>
            <w:tcW w:w="243" w:type="pct"/>
          </w:tcPr>
          <w:p w:rsidR="00A30BDF" w:rsidRPr="00E007CB" w:rsidRDefault="00A30BDF" w:rsidP="00791BDA">
            <w:pPr>
              <w:jc w:val="both"/>
              <w:rPr>
                <w:rFonts w:eastAsia="Calibri"/>
                <w:sz w:val="20"/>
              </w:rPr>
            </w:pPr>
          </w:p>
        </w:tc>
        <w:tc>
          <w:tcPr>
            <w:tcW w:w="2330" w:type="pct"/>
          </w:tcPr>
          <w:p w:rsidR="002C71A7" w:rsidRPr="00F77596" w:rsidRDefault="002C71A7" w:rsidP="002C71A7">
            <w:pPr>
              <w:jc w:val="both"/>
              <w:rPr>
                <w:sz w:val="20"/>
              </w:rPr>
            </w:pPr>
            <w:r w:rsidRPr="00F77596">
              <w:rPr>
                <w:sz w:val="20"/>
              </w:rPr>
              <w:t>GNWT ordered to expand school to add, among other things, (i) gymnasium, (ii) spaces and rooms for teaching subjects like music, art, home economics and English as second language, (iii) laboratory for teaching science at secondary level, (iv) work spaces for staff members, and (v)  space that could accommodate pre</w:t>
            </w:r>
            <w:r w:rsidRPr="00F77596">
              <w:rPr>
                <w:sz w:val="20"/>
              </w:rPr>
              <w:noBreakHyphen/>
              <w:t>kindergarten program as well as extra space for daycare; GNWT ordered to ensure fair access to space for career and technology studies classes; order made awarding applicants their costs on solicitor</w:t>
            </w:r>
            <w:r w:rsidRPr="00F77596">
              <w:rPr>
                <w:sz w:val="20"/>
              </w:rPr>
              <w:noBreakHyphen/>
              <w:t>client basis.</w:t>
            </w:r>
          </w:p>
          <w:p w:rsidR="00A30BDF" w:rsidRPr="00F77596" w:rsidRDefault="00A30BDF" w:rsidP="00791BDA">
            <w:pPr>
              <w:jc w:val="both"/>
              <w:rPr>
                <w:sz w:val="20"/>
              </w:rPr>
            </w:pPr>
          </w:p>
        </w:tc>
      </w:tr>
      <w:tr w:rsidR="00A30BDF" w:rsidRPr="00E007CB" w:rsidTr="00791BDA">
        <w:trPr>
          <w:cantSplit/>
        </w:trPr>
        <w:tc>
          <w:tcPr>
            <w:tcW w:w="2427" w:type="pct"/>
          </w:tcPr>
          <w:p w:rsidR="002C71A7" w:rsidRPr="00F77596" w:rsidRDefault="002C71A7" w:rsidP="002C71A7">
            <w:pPr>
              <w:jc w:val="both"/>
              <w:rPr>
                <w:sz w:val="20"/>
              </w:rPr>
            </w:pPr>
            <w:r w:rsidRPr="00F77596">
              <w:rPr>
                <w:sz w:val="20"/>
              </w:rPr>
              <w:t>January 9, 2015</w:t>
            </w:r>
          </w:p>
          <w:p w:rsidR="002C71A7" w:rsidRPr="00F77596" w:rsidRDefault="002C71A7" w:rsidP="002C71A7">
            <w:pPr>
              <w:jc w:val="both"/>
              <w:rPr>
                <w:sz w:val="20"/>
              </w:rPr>
            </w:pPr>
            <w:r w:rsidRPr="00F77596">
              <w:rPr>
                <w:sz w:val="20"/>
              </w:rPr>
              <w:t>Northwest Territories Court of Appeal</w:t>
            </w:r>
          </w:p>
          <w:p w:rsidR="002C71A7" w:rsidRPr="00F77596" w:rsidRDefault="002C71A7" w:rsidP="002C71A7">
            <w:pPr>
              <w:jc w:val="both"/>
              <w:rPr>
                <w:sz w:val="20"/>
              </w:rPr>
            </w:pPr>
            <w:r w:rsidRPr="00F77596">
              <w:rPr>
                <w:sz w:val="20"/>
              </w:rPr>
              <w:t>(Watson, Slatter and Rowbotham [dissenting] JJ.A.)</w:t>
            </w:r>
          </w:p>
          <w:p w:rsidR="002C71A7" w:rsidRPr="00F77596" w:rsidRDefault="002C71A7" w:rsidP="002C71A7">
            <w:pPr>
              <w:jc w:val="both"/>
              <w:rPr>
                <w:sz w:val="20"/>
              </w:rPr>
            </w:pPr>
            <w:r w:rsidRPr="00F77596">
              <w:rPr>
                <w:sz w:val="20"/>
              </w:rPr>
              <w:t>File No. AIAP2012-000011</w:t>
            </w:r>
          </w:p>
          <w:p w:rsidR="002C71A7" w:rsidRPr="00F77596" w:rsidRDefault="00EC4FDF" w:rsidP="002C71A7">
            <w:pPr>
              <w:jc w:val="both"/>
              <w:rPr>
                <w:sz w:val="20"/>
              </w:rPr>
            </w:pPr>
            <w:hyperlink r:id="rId47" w:history="1">
              <w:r w:rsidR="002C71A7" w:rsidRPr="00F77596">
                <w:rPr>
                  <w:rStyle w:val="Hyperlink"/>
                  <w:sz w:val="20"/>
                </w:rPr>
                <w:t>2015 CanLII 170</w:t>
              </w:r>
            </w:hyperlink>
            <w:r w:rsidR="002C71A7" w:rsidRPr="00F77596">
              <w:rPr>
                <w:sz w:val="20"/>
              </w:rPr>
              <w:t xml:space="preserve"> </w:t>
            </w:r>
          </w:p>
          <w:p w:rsidR="00A30BDF" w:rsidRPr="00E007CB" w:rsidRDefault="00A30BDF" w:rsidP="00791BDA">
            <w:pPr>
              <w:jc w:val="both"/>
              <w:rPr>
                <w:rFonts w:eastAsia="Calibri"/>
                <w:sz w:val="20"/>
              </w:rPr>
            </w:pPr>
          </w:p>
        </w:tc>
        <w:tc>
          <w:tcPr>
            <w:tcW w:w="243" w:type="pct"/>
          </w:tcPr>
          <w:p w:rsidR="00A30BDF" w:rsidRPr="00E007CB" w:rsidRDefault="00A30BDF" w:rsidP="00791BDA">
            <w:pPr>
              <w:jc w:val="both"/>
              <w:rPr>
                <w:rFonts w:eastAsia="Calibri"/>
                <w:sz w:val="20"/>
              </w:rPr>
            </w:pPr>
          </w:p>
        </w:tc>
        <w:tc>
          <w:tcPr>
            <w:tcW w:w="2330" w:type="pct"/>
          </w:tcPr>
          <w:p w:rsidR="002C71A7" w:rsidRPr="00F77596" w:rsidRDefault="002C71A7" w:rsidP="002C71A7">
            <w:pPr>
              <w:jc w:val="both"/>
              <w:rPr>
                <w:sz w:val="20"/>
              </w:rPr>
            </w:pPr>
            <w:r w:rsidRPr="00F77596">
              <w:rPr>
                <w:sz w:val="20"/>
              </w:rPr>
              <w:t>Appeal allowed; declarations made, including (i) that École Allain St-Cyr required gymnasium and  space for teaching students with special needs, (ii) that GNWT had to take steps to ensure access to specialized facilities, (iii) that daycare and pre</w:t>
            </w:r>
            <w:r w:rsidRPr="00F77596">
              <w:rPr>
                <w:sz w:val="20"/>
              </w:rPr>
              <w:noBreakHyphen/>
              <w:t xml:space="preserve">kindergarten not included in expression “primary or secondary school instruction” in s. 23 of </w:t>
            </w:r>
            <w:r w:rsidRPr="00F77596">
              <w:rPr>
                <w:i/>
                <w:sz w:val="20"/>
              </w:rPr>
              <w:t>Charter</w:t>
            </w:r>
            <w:r w:rsidRPr="00F77596">
              <w:rPr>
                <w:sz w:val="20"/>
              </w:rPr>
              <w:t xml:space="preserve">, (iv) that territorial government could exclude from admission persons who were not rights holders under s. 23 of </w:t>
            </w:r>
            <w:r w:rsidRPr="00F77596">
              <w:rPr>
                <w:i/>
                <w:sz w:val="20"/>
              </w:rPr>
              <w:t>Charter</w:t>
            </w:r>
            <w:r w:rsidRPr="00F77596">
              <w:rPr>
                <w:sz w:val="20"/>
              </w:rPr>
              <w:t>, and (v) that children of non</w:t>
            </w:r>
            <w:r w:rsidRPr="00F77596">
              <w:rPr>
                <w:sz w:val="20"/>
              </w:rPr>
              <w:noBreakHyphen/>
              <w:t>rights holders were not to be counted in determining whether numbers warranted educational facilities; cross</w:t>
            </w:r>
            <w:r w:rsidRPr="00F77596">
              <w:rPr>
                <w:sz w:val="20"/>
              </w:rPr>
              <w:noBreakHyphen/>
              <w:t xml:space="preserve">appeal dismissed. </w:t>
            </w:r>
          </w:p>
          <w:p w:rsidR="00A30BDF" w:rsidRPr="00F77596" w:rsidRDefault="00A30BDF" w:rsidP="00791BDA">
            <w:pPr>
              <w:jc w:val="both"/>
              <w:rPr>
                <w:sz w:val="20"/>
              </w:rPr>
            </w:pPr>
          </w:p>
        </w:tc>
      </w:tr>
      <w:tr w:rsidR="00A30BDF" w:rsidRPr="00E007CB" w:rsidTr="00791BDA">
        <w:trPr>
          <w:cantSplit/>
        </w:trPr>
        <w:tc>
          <w:tcPr>
            <w:tcW w:w="2427" w:type="pct"/>
          </w:tcPr>
          <w:p w:rsidR="00A30BDF" w:rsidRPr="00E007CB" w:rsidRDefault="00A30BDF" w:rsidP="00791BDA">
            <w:pPr>
              <w:jc w:val="both"/>
              <w:rPr>
                <w:rFonts w:eastAsia="Calibri"/>
                <w:sz w:val="20"/>
              </w:rPr>
            </w:pPr>
            <w:r>
              <w:rPr>
                <w:rFonts w:eastAsia="Calibri"/>
                <w:sz w:val="20"/>
              </w:rPr>
              <w:t>March</w:t>
            </w:r>
            <w:r w:rsidRPr="00E007CB">
              <w:rPr>
                <w:rFonts w:eastAsia="Calibri"/>
                <w:sz w:val="20"/>
              </w:rPr>
              <w:t xml:space="preserve"> </w:t>
            </w:r>
            <w:r>
              <w:rPr>
                <w:rFonts w:eastAsia="Calibri"/>
                <w:sz w:val="20"/>
              </w:rPr>
              <w:t>10,</w:t>
            </w:r>
            <w:r w:rsidRPr="00E007CB">
              <w:rPr>
                <w:rFonts w:eastAsia="Calibri"/>
                <w:sz w:val="20"/>
              </w:rPr>
              <w:t xml:space="preserve"> 201</w:t>
            </w:r>
            <w:r>
              <w:rPr>
                <w:rFonts w:eastAsia="Calibri"/>
                <w:sz w:val="20"/>
              </w:rPr>
              <w:t>5</w:t>
            </w:r>
          </w:p>
          <w:p w:rsidR="00A30BDF" w:rsidRPr="00E007CB" w:rsidRDefault="00A30BDF" w:rsidP="00791BDA">
            <w:pPr>
              <w:jc w:val="both"/>
              <w:rPr>
                <w:rFonts w:eastAsia="Calibri"/>
                <w:sz w:val="20"/>
              </w:rPr>
            </w:pPr>
            <w:r w:rsidRPr="00E007CB">
              <w:rPr>
                <w:rFonts w:eastAsia="Calibri"/>
                <w:sz w:val="20"/>
              </w:rPr>
              <w:t>Supreme Court of Canada</w:t>
            </w:r>
          </w:p>
        </w:tc>
        <w:tc>
          <w:tcPr>
            <w:tcW w:w="243" w:type="pct"/>
          </w:tcPr>
          <w:p w:rsidR="00A30BDF" w:rsidRPr="00E007CB" w:rsidRDefault="00A30BDF" w:rsidP="00791BDA">
            <w:pPr>
              <w:jc w:val="both"/>
              <w:rPr>
                <w:rFonts w:eastAsia="Calibri"/>
                <w:sz w:val="20"/>
              </w:rPr>
            </w:pPr>
          </w:p>
        </w:tc>
        <w:tc>
          <w:tcPr>
            <w:tcW w:w="2330" w:type="pct"/>
          </w:tcPr>
          <w:p w:rsidR="00A30BDF" w:rsidRPr="00F77596" w:rsidRDefault="00A30BDF" w:rsidP="00791BDA">
            <w:pPr>
              <w:jc w:val="both"/>
              <w:rPr>
                <w:sz w:val="20"/>
              </w:rPr>
            </w:pPr>
            <w:r w:rsidRPr="00F77596">
              <w:rPr>
                <w:sz w:val="20"/>
              </w:rPr>
              <w:t>Application for leave to appeal filed</w:t>
            </w:r>
          </w:p>
          <w:p w:rsidR="00A30BDF" w:rsidRPr="00F77596" w:rsidRDefault="00A30BDF" w:rsidP="00791BDA">
            <w:pPr>
              <w:jc w:val="both"/>
              <w:rPr>
                <w:sz w:val="20"/>
              </w:rPr>
            </w:pPr>
          </w:p>
        </w:tc>
      </w:tr>
    </w:tbl>
    <w:p w:rsidR="00A30BDF" w:rsidRDefault="00A30BDF" w:rsidP="00A30BDF">
      <w:pPr>
        <w:rPr>
          <w:sz w:val="20"/>
          <w:szCs w:val="20"/>
        </w:rPr>
      </w:pPr>
    </w:p>
    <w:p w:rsidR="00A30BDF" w:rsidRPr="00C50A5C" w:rsidRDefault="00EC4FDF" w:rsidP="00A30BDF">
      <w:pPr>
        <w:rPr>
          <w:sz w:val="20"/>
          <w:szCs w:val="20"/>
        </w:rPr>
      </w:pPr>
      <w:r>
        <w:rPr>
          <w:sz w:val="20"/>
          <w:szCs w:val="20"/>
          <w:lang w:val="fr-CA"/>
        </w:rPr>
        <w:pict>
          <v:rect id="_x0000_i1047" style="width:2in;height:1pt" o:hrpct="0" o:hralign="center" o:hrstd="t" o:hrnoshade="t" o:hr="t" fillcolor="black [3213]" stroked="f"/>
        </w:pict>
      </w:r>
    </w:p>
    <w:p w:rsidR="00D56A64" w:rsidRDefault="00D56A64">
      <w:pPr>
        <w:rPr>
          <w:sz w:val="20"/>
          <w:szCs w:val="20"/>
        </w:rPr>
      </w:pPr>
      <w:r>
        <w:rPr>
          <w:sz w:val="20"/>
          <w:szCs w:val="20"/>
        </w:rPr>
        <w:br w:type="page"/>
      </w:r>
    </w:p>
    <w:p w:rsidR="00A30BDF" w:rsidRPr="001B157C" w:rsidRDefault="00A30BDF" w:rsidP="00A30BDF">
      <w:pPr>
        <w:rPr>
          <w:sz w:val="20"/>
          <w:szCs w:val="20"/>
          <w:u w:val="single"/>
          <w:lang w:val="fr-CA"/>
        </w:rPr>
      </w:pPr>
      <w:r w:rsidRPr="001B157C">
        <w:rPr>
          <w:sz w:val="20"/>
          <w:szCs w:val="20"/>
          <w:u w:val="single"/>
          <w:lang w:val="fr-CA"/>
        </w:rPr>
        <w:lastRenderedPageBreak/>
        <w:t>RÉSUMÉ DE L’AFFAIRE</w:t>
      </w:r>
    </w:p>
    <w:p w:rsidR="00A30BDF" w:rsidRDefault="00A30BDF" w:rsidP="00A30BD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0BDF" w:rsidRPr="00002704" w:rsidTr="00791BDA">
        <w:tc>
          <w:tcPr>
            <w:tcW w:w="5000" w:type="pct"/>
            <w:gridSpan w:val="3"/>
          </w:tcPr>
          <w:p w:rsidR="00A628B7" w:rsidRPr="00F77596" w:rsidRDefault="00A628B7" w:rsidP="00A628B7">
            <w:pPr>
              <w:pStyle w:val="SCCBanSummary"/>
              <w:rPr>
                <w:sz w:val="20"/>
                <w:szCs w:val="20"/>
                <w:lang w:val="fr-CA"/>
              </w:rPr>
            </w:pPr>
            <w:r w:rsidRPr="00F77596">
              <w:rPr>
                <w:sz w:val="20"/>
                <w:szCs w:val="20"/>
                <w:lang w:val="fr-CA"/>
              </w:rPr>
              <w:t>(Ordonnance de non-publication dans le dossier)</w:t>
            </w:r>
          </w:p>
          <w:p w:rsidR="00A628B7" w:rsidRPr="00F77596" w:rsidRDefault="00A628B7" w:rsidP="00A628B7">
            <w:pPr>
              <w:jc w:val="both"/>
              <w:rPr>
                <w:sz w:val="20"/>
                <w:lang w:val="fr-CA"/>
              </w:rPr>
            </w:pPr>
          </w:p>
          <w:p w:rsidR="00A30BDF" w:rsidRDefault="00A628B7" w:rsidP="00A628B7">
            <w:pPr>
              <w:jc w:val="both"/>
              <w:rPr>
                <w:sz w:val="20"/>
                <w:lang w:val="fr-CA"/>
              </w:rPr>
            </w:pPr>
            <w:r w:rsidRPr="00F77596">
              <w:rPr>
                <w:i/>
                <w:sz w:val="20"/>
                <w:lang w:val="fr-CA"/>
              </w:rPr>
              <w:t>Charte des droits</w:t>
            </w:r>
            <w:r w:rsidRPr="00F77596">
              <w:rPr>
                <w:sz w:val="20"/>
                <w:lang w:val="fr-CA"/>
              </w:rPr>
              <w:t xml:space="preserve"> — Droit constitutionnel — Droit à l’instruction dans la langue de la minorité — Réparations — Cour d’appel infirmant jugement ordonnant agrandissement d’école — Cour d’appel a-t-elle changé la norme de contrôle applicable à une décision d’un tribunal de première instance? — Cour d’appel a-t-elle erré dans son interprétation de l’art. 23 de la </w:t>
            </w:r>
            <w:r w:rsidRPr="00F77596">
              <w:rPr>
                <w:i/>
                <w:sz w:val="20"/>
                <w:lang w:val="fr-CA"/>
              </w:rPr>
              <w:t>Charte</w:t>
            </w:r>
            <w:r w:rsidRPr="00F77596">
              <w:rPr>
                <w:sz w:val="20"/>
                <w:lang w:val="fr-CA"/>
              </w:rPr>
              <w:t xml:space="preserve">? — Cour d’appel a-t-elle erré dans l’interprétation des pouvoirs de gestion de la minorité linguistique en ce qui a trait aux admissions? — Cour d’appel a-t-elle erré en écartant la réparation accordée en vertu de l’art. 24 de la </w:t>
            </w:r>
            <w:r w:rsidRPr="00F77596">
              <w:rPr>
                <w:i/>
                <w:sz w:val="20"/>
                <w:lang w:val="fr-CA"/>
              </w:rPr>
              <w:t xml:space="preserve">Charte </w:t>
            </w:r>
            <w:r w:rsidRPr="00F77596">
              <w:rPr>
                <w:sz w:val="20"/>
                <w:lang w:val="fr-CA"/>
              </w:rPr>
              <w:t xml:space="preserve">— </w:t>
            </w:r>
            <w:r w:rsidRPr="00F77596">
              <w:rPr>
                <w:i/>
                <w:sz w:val="20"/>
                <w:lang w:val="fr-CA"/>
              </w:rPr>
              <w:t>Charte canadienne des droits et libertés</w:t>
            </w:r>
            <w:r w:rsidRPr="00F77596">
              <w:rPr>
                <w:sz w:val="20"/>
                <w:lang w:val="fr-CA"/>
              </w:rPr>
              <w:t>, articles 23 et 24.</w:t>
            </w:r>
          </w:p>
          <w:p w:rsidR="00A30BDF" w:rsidRPr="00E007CB" w:rsidRDefault="00A30BDF" w:rsidP="00791BDA">
            <w:pPr>
              <w:jc w:val="both"/>
              <w:rPr>
                <w:rFonts w:eastAsia="Calibri"/>
                <w:sz w:val="20"/>
                <w:lang w:val="fr-CA"/>
              </w:rPr>
            </w:pPr>
          </w:p>
        </w:tc>
      </w:tr>
      <w:tr w:rsidR="00A30BDF" w:rsidRPr="00E007CB" w:rsidTr="00791BDA">
        <w:tc>
          <w:tcPr>
            <w:tcW w:w="5000" w:type="pct"/>
            <w:gridSpan w:val="3"/>
          </w:tcPr>
          <w:p w:rsidR="00791BDA" w:rsidRPr="00F77596" w:rsidRDefault="00791BDA" w:rsidP="00791BDA">
            <w:pPr>
              <w:jc w:val="both"/>
              <w:rPr>
                <w:sz w:val="20"/>
                <w:lang w:val="fr-CA"/>
              </w:rPr>
            </w:pPr>
            <w:r w:rsidRPr="00F77596">
              <w:rPr>
                <w:sz w:val="20"/>
                <w:lang w:val="fr-CA"/>
              </w:rPr>
              <w:t xml:space="preserve">Les demandeurs dans cette affaire sont une association de parents faisant valoir leurs droits en vertu de l’article 23 de la </w:t>
            </w:r>
            <w:r w:rsidRPr="00F77596">
              <w:rPr>
                <w:i/>
                <w:sz w:val="20"/>
                <w:lang w:val="fr-CA"/>
              </w:rPr>
              <w:t>Charte</w:t>
            </w:r>
            <w:r w:rsidRPr="00F77596">
              <w:rPr>
                <w:sz w:val="20"/>
                <w:lang w:val="fr-CA"/>
              </w:rPr>
              <w:t>, deux parents ayants droit, une association qui opère la garderie francophone de Yellowknife ainsi que la Fédération franco-ténoise, une société qui regroupe plusieurs associations francophones des Territoires du Nord-Ouest.</w:t>
            </w:r>
          </w:p>
          <w:p w:rsidR="00791BDA" w:rsidRPr="00F77596" w:rsidRDefault="00791BDA" w:rsidP="00791BDA">
            <w:pPr>
              <w:jc w:val="both"/>
              <w:rPr>
                <w:sz w:val="20"/>
                <w:lang w:val="fr-CA"/>
              </w:rPr>
            </w:pPr>
          </w:p>
          <w:p w:rsidR="00791BDA" w:rsidRPr="00F77596" w:rsidRDefault="00791BDA" w:rsidP="00791BDA">
            <w:pPr>
              <w:jc w:val="both"/>
              <w:rPr>
                <w:sz w:val="20"/>
                <w:lang w:val="fr-CA"/>
              </w:rPr>
            </w:pPr>
            <w:r w:rsidRPr="00F77596">
              <w:rPr>
                <w:sz w:val="20"/>
                <w:lang w:val="fr-CA"/>
              </w:rPr>
              <w:t>Depuis 1989, l’enseignement dans la langue de la minorité est offert à l’École Allain St</w:t>
            </w:r>
            <w:r w:rsidRPr="00F77596">
              <w:rPr>
                <w:rFonts w:ascii="MS Mincho" w:eastAsia="MS Mincho" w:hAnsi="MS Mincho" w:cs="MS Mincho"/>
                <w:sz w:val="20"/>
                <w:lang w:val="fr-CA"/>
              </w:rPr>
              <w:t>‑</w:t>
            </w:r>
            <w:r w:rsidRPr="00F77596">
              <w:rPr>
                <w:sz w:val="20"/>
                <w:lang w:val="fr-CA"/>
              </w:rPr>
              <w:t>Cyr à Yellowknife. Un bâtiment scolaire distinct fut construit et a ouvert ses portes en 1999. En 2000, le gouvernement des Territoires du Nord</w:t>
            </w:r>
            <w:r w:rsidRPr="00F77596">
              <w:rPr>
                <w:rFonts w:ascii="MS Mincho" w:eastAsia="MS Mincho" w:hAnsi="MS Mincho" w:cs="MS Mincho"/>
                <w:sz w:val="20"/>
                <w:lang w:val="fr-CA"/>
              </w:rPr>
              <w:t>‑</w:t>
            </w:r>
            <w:r w:rsidRPr="00F77596">
              <w:rPr>
                <w:sz w:val="20"/>
                <w:lang w:val="fr-CA"/>
              </w:rPr>
              <w:t>Ouest (le GTN</w:t>
            </w:r>
            <w:r w:rsidRPr="00F77596">
              <w:rPr>
                <w:rFonts w:ascii="MS Mincho" w:eastAsia="MS Mincho" w:hAnsi="MS Mincho" w:cs="MS Mincho"/>
                <w:sz w:val="20"/>
                <w:lang w:val="fr-CA"/>
              </w:rPr>
              <w:t>‑</w:t>
            </w:r>
            <w:r w:rsidRPr="00F77596">
              <w:rPr>
                <w:sz w:val="20"/>
                <w:lang w:val="fr-CA"/>
              </w:rPr>
              <w:t xml:space="preserve">O) a confié le contrôle de l’enseignement dans la langue de la minorité à la Commission scolaire francophone des Territoires du Nord-Ouest. </w:t>
            </w:r>
          </w:p>
          <w:p w:rsidR="00791BDA" w:rsidRPr="00F77596" w:rsidRDefault="00791BDA" w:rsidP="00791BDA">
            <w:pPr>
              <w:jc w:val="both"/>
              <w:rPr>
                <w:sz w:val="20"/>
                <w:lang w:val="fr-CA"/>
              </w:rPr>
            </w:pPr>
          </w:p>
          <w:p w:rsidR="00791BDA" w:rsidRPr="00F77596" w:rsidRDefault="00791BDA" w:rsidP="00791BDA">
            <w:pPr>
              <w:jc w:val="both"/>
              <w:rPr>
                <w:sz w:val="20"/>
              </w:rPr>
            </w:pPr>
            <w:r w:rsidRPr="00F77596">
              <w:rPr>
                <w:sz w:val="20"/>
                <w:lang w:val="fr-CA"/>
              </w:rPr>
              <w:t xml:space="preserve">En 2005, les demandeurs ont intenté une action alléguant que les installations scolaires ne respectaient pas les exigences constitutionnelles minimales prévues dans le cas des établissements d’enseignement dans la langue de la minorité. La réparation sollicitée consistait en une hausse de la capacité de l’École Allain St-Cyr, ainsi qu’en la construction d’installations spécialisées spécifiques. De plus, le litige s’étendait également à certains désaccords fondamentaux au sujet de la portée et de l’interprétation de l’art. 23 de la </w:t>
            </w:r>
            <w:r w:rsidRPr="00F77596">
              <w:rPr>
                <w:i/>
                <w:sz w:val="20"/>
                <w:lang w:val="fr-CA"/>
              </w:rPr>
              <w:t>Charte</w:t>
            </w:r>
            <w:r w:rsidRPr="00F77596">
              <w:rPr>
                <w:sz w:val="20"/>
                <w:lang w:val="fr-CA"/>
              </w:rPr>
              <w:t xml:space="preserve">. </w:t>
            </w:r>
            <w:r w:rsidRPr="00F77596">
              <w:rPr>
                <w:sz w:val="20"/>
              </w:rPr>
              <w:t>La Commission scolaire n’a pas participé à ce litige.</w:t>
            </w:r>
          </w:p>
          <w:p w:rsidR="00A30BDF" w:rsidRPr="00E007CB" w:rsidRDefault="00A30BDF" w:rsidP="00791BDA">
            <w:pPr>
              <w:jc w:val="both"/>
              <w:rPr>
                <w:sz w:val="20"/>
                <w:lang w:val="fr-CA"/>
              </w:rPr>
            </w:pPr>
          </w:p>
        </w:tc>
      </w:tr>
      <w:tr w:rsidR="00A30BDF" w:rsidRPr="00002704" w:rsidTr="00791BDA">
        <w:trPr>
          <w:cantSplit/>
        </w:trPr>
        <w:tc>
          <w:tcPr>
            <w:tcW w:w="2427" w:type="pct"/>
          </w:tcPr>
          <w:p w:rsidR="00791BDA" w:rsidRPr="00F77596" w:rsidRDefault="00791BDA" w:rsidP="00791BDA">
            <w:pPr>
              <w:jc w:val="both"/>
              <w:rPr>
                <w:sz w:val="20"/>
                <w:lang w:val="fr-CA"/>
              </w:rPr>
            </w:pPr>
            <w:r w:rsidRPr="00F77596">
              <w:rPr>
                <w:sz w:val="20"/>
                <w:lang w:val="fr-CA"/>
              </w:rPr>
              <w:t>Le 1 juin 2012</w:t>
            </w:r>
          </w:p>
          <w:p w:rsidR="00791BDA" w:rsidRPr="00F77596" w:rsidRDefault="00791BDA" w:rsidP="00791BDA">
            <w:pPr>
              <w:jc w:val="both"/>
              <w:rPr>
                <w:sz w:val="20"/>
                <w:lang w:val="fr-CA"/>
              </w:rPr>
            </w:pPr>
            <w:r w:rsidRPr="00F77596">
              <w:rPr>
                <w:sz w:val="20"/>
                <w:lang w:val="fr-CA"/>
              </w:rPr>
              <w:t>Cour suprême des Territoires du Nord-Ouest</w:t>
            </w:r>
          </w:p>
          <w:p w:rsidR="00791BDA" w:rsidRPr="00F77596" w:rsidRDefault="00791BDA" w:rsidP="00791BDA">
            <w:pPr>
              <w:jc w:val="both"/>
              <w:rPr>
                <w:sz w:val="20"/>
                <w:lang w:val="fr-CA"/>
              </w:rPr>
            </w:pPr>
            <w:r w:rsidRPr="00F77596">
              <w:rPr>
                <w:sz w:val="20"/>
                <w:lang w:val="fr-CA"/>
              </w:rPr>
              <w:t>(La juge Charbonneau)</w:t>
            </w:r>
          </w:p>
          <w:p w:rsidR="00791BDA" w:rsidRPr="00F77596" w:rsidRDefault="00791BDA" w:rsidP="00791BDA">
            <w:pPr>
              <w:jc w:val="both"/>
              <w:rPr>
                <w:sz w:val="20"/>
                <w:lang w:val="fr-CA"/>
              </w:rPr>
            </w:pPr>
            <w:r w:rsidRPr="00F77596">
              <w:rPr>
                <w:sz w:val="20"/>
                <w:lang w:val="fr-CA"/>
              </w:rPr>
              <w:t>No. de dossier A-1-CV-2005000108</w:t>
            </w:r>
          </w:p>
          <w:p w:rsidR="00791BDA" w:rsidRPr="00F77596" w:rsidRDefault="00EC4FDF" w:rsidP="00791BDA">
            <w:pPr>
              <w:jc w:val="both"/>
              <w:rPr>
                <w:sz w:val="20"/>
              </w:rPr>
            </w:pPr>
            <w:hyperlink r:id="rId48" w:history="1">
              <w:r w:rsidR="00791BDA" w:rsidRPr="00F77596">
                <w:rPr>
                  <w:rStyle w:val="Hyperlink"/>
                  <w:sz w:val="20"/>
                </w:rPr>
                <w:t>2012 CanLII 31380</w:t>
              </w:r>
            </w:hyperlink>
            <w:r w:rsidR="00791BDA" w:rsidRPr="00F77596">
              <w:rPr>
                <w:sz w:val="20"/>
              </w:rPr>
              <w:t xml:space="preserve"> </w:t>
            </w:r>
          </w:p>
          <w:p w:rsidR="00A30BDF" w:rsidRPr="00E007CB" w:rsidRDefault="00A30BDF" w:rsidP="00791BDA">
            <w:pPr>
              <w:jc w:val="both"/>
              <w:rPr>
                <w:rFonts w:eastAsia="Calibri"/>
                <w:sz w:val="20"/>
                <w:lang w:val="fr-CA"/>
              </w:rPr>
            </w:pPr>
          </w:p>
        </w:tc>
        <w:tc>
          <w:tcPr>
            <w:tcW w:w="243" w:type="pct"/>
          </w:tcPr>
          <w:p w:rsidR="00A30BDF" w:rsidRPr="00E007CB" w:rsidRDefault="00A30BDF" w:rsidP="00791BDA">
            <w:pPr>
              <w:jc w:val="both"/>
              <w:rPr>
                <w:rFonts w:eastAsia="Calibri"/>
                <w:sz w:val="20"/>
                <w:lang w:val="fr-CA"/>
              </w:rPr>
            </w:pPr>
          </w:p>
        </w:tc>
        <w:tc>
          <w:tcPr>
            <w:tcW w:w="2330" w:type="pct"/>
          </w:tcPr>
          <w:p w:rsidR="00C870B1" w:rsidRPr="00F77596" w:rsidRDefault="00C870B1" w:rsidP="00C870B1">
            <w:pPr>
              <w:jc w:val="both"/>
              <w:rPr>
                <w:sz w:val="20"/>
                <w:lang w:val="fr-CA"/>
              </w:rPr>
            </w:pPr>
            <w:r w:rsidRPr="00F77596">
              <w:rPr>
                <w:sz w:val="20"/>
                <w:lang w:val="fr-CA"/>
              </w:rPr>
              <w:t>GTN-O ordonné d’agrandir l’École afin d’y ajouter, entre autres (i) un gymnase (ii) des espaces et salles pour l’enseignement de matières tels que la musique, les arts, les arts ménagers et l’anglais langue seconde (iii) un laboratoire pour l’enseignement des sciences au niveau secondaire (iv) des espaces de travail pour le personnel (v) un espace pouvant accueillir un programme de prématernelle ainsi que de l’espace supplémentaire pour la garderie; GTN-O ordonné d’assurer accès équitable à des espaces pour l’enseignement de cours d’études professionnelles et techniques; Ordonnance émise accordant aux demandeurs leurs dépens sur une base procureur-client.</w:t>
            </w:r>
          </w:p>
          <w:p w:rsidR="00A30BDF" w:rsidRPr="00E007CB" w:rsidRDefault="00A30BDF" w:rsidP="00791BDA">
            <w:pPr>
              <w:jc w:val="both"/>
              <w:rPr>
                <w:rFonts w:eastAsia="Calibri"/>
                <w:sz w:val="20"/>
                <w:lang w:val="fr-CA"/>
              </w:rPr>
            </w:pPr>
          </w:p>
        </w:tc>
      </w:tr>
      <w:tr w:rsidR="00A30BDF" w:rsidRPr="00002704" w:rsidTr="00791BDA">
        <w:trPr>
          <w:cantSplit/>
        </w:trPr>
        <w:tc>
          <w:tcPr>
            <w:tcW w:w="2427" w:type="pct"/>
          </w:tcPr>
          <w:p w:rsidR="00C870B1" w:rsidRPr="00F77596" w:rsidRDefault="00C870B1" w:rsidP="00C870B1">
            <w:pPr>
              <w:jc w:val="both"/>
              <w:rPr>
                <w:sz w:val="20"/>
                <w:lang w:val="fr-CA"/>
              </w:rPr>
            </w:pPr>
            <w:r w:rsidRPr="00F77596">
              <w:rPr>
                <w:sz w:val="20"/>
                <w:lang w:val="fr-CA"/>
              </w:rPr>
              <w:lastRenderedPageBreak/>
              <w:t>Le 9 janvier 2015</w:t>
            </w:r>
          </w:p>
          <w:p w:rsidR="00C870B1" w:rsidRPr="00F77596" w:rsidRDefault="00C870B1" w:rsidP="00C870B1">
            <w:pPr>
              <w:jc w:val="both"/>
              <w:rPr>
                <w:sz w:val="20"/>
                <w:lang w:val="fr-CA"/>
              </w:rPr>
            </w:pPr>
            <w:r w:rsidRPr="00F77596">
              <w:rPr>
                <w:sz w:val="20"/>
                <w:lang w:val="fr-CA"/>
              </w:rPr>
              <w:t>Cour d’appel des Territoires du Nord-Ouest</w:t>
            </w:r>
          </w:p>
          <w:p w:rsidR="00C870B1" w:rsidRPr="00F77596" w:rsidRDefault="00C870B1" w:rsidP="00C870B1">
            <w:pPr>
              <w:jc w:val="both"/>
              <w:rPr>
                <w:sz w:val="20"/>
                <w:lang w:val="fr-CA"/>
              </w:rPr>
            </w:pPr>
            <w:r w:rsidRPr="00F77596">
              <w:rPr>
                <w:sz w:val="20"/>
                <w:lang w:val="fr-CA"/>
              </w:rPr>
              <w:t>(Les juges Watson, Slatter et Rowbotham [dissidente])</w:t>
            </w:r>
          </w:p>
          <w:p w:rsidR="00C870B1" w:rsidRPr="00F77596" w:rsidRDefault="00C870B1" w:rsidP="00C870B1">
            <w:pPr>
              <w:jc w:val="both"/>
              <w:rPr>
                <w:sz w:val="20"/>
                <w:lang w:val="fr-CA"/>
              </w:rPr>
            </w:pPr>
            <w:r w:rsidRPr="00F77596">
              <w:rPr>
                <w:sz w:val="20"/>
                <w:lang w:val="fr-CA"/>
              </w:rPr>
              <w:t>No. de dossier AIAP2012-000011</w:t>
            </w:r>
          </w:p>
          <w:p w:rsidR="00C870B1" w:rsidRPr="00F77596" w:rsidRDefault="00EC4FDF" w:rsidP="00C870B1">
            <w:pPr>
              <w:jc w:val="both"/>
              <w:rPr>
                <w:sz w:val="20"/>
                <w:lang w:val="fr-CA"/>
              </w:rPr>
            </w:pPr>
            <w:hyperlink r:id="rId49" w:history="1">
              <w:r w:rsidR="00C870B1" w:rsidRPr="00F77596">
                <w:rPr>
                  <w:rStyle w:val="Hyperlink"/>
                  <w:sz w:val="20"/>
                  <w:lang w:val="fr-CA"/>
                </w:rPr>
                <w:t>2015 CanLII 170</w:t>
              </w:r>
            </w:hyperlink>
            <w:r w:rsidR="00C870B1" w:rsidRPr="00F77596">
              <w:rPr>
                <w:sz w:val="20"/>
                <w:lang w:val="fr-CA"/>
              </w:rPr>
              <w:t xml:space="preserve"> </w:t>
            </w:r>
          </w:p>
          <w:p w:rsidR="00A30BDF" w:rsidRPr="00E007CB" w:rsidRDefault="00A30BDF" w:rsidP="00791BDA">
            <w:pPr>
              <w:jc w:val="both"/>
              <w:rPr>
                <w:rFonts w:eastAsia="Calibri"/>
                <w:sz w:val="20"/>
                <w:lang w:val="fr-CA"/>
              </w:rPr>
            </w:pPr>
          </w:p>
        </w:tc>
        <w:tc>
          <w:tcPr>
            <w:tcW w:w="243" w:type="pct"/>
          </w:tcPr>
          <w:p w:rsidR="00A30BDF" w:rsidRPr="00E007CB" w:rsidRDefault="00A30BDF" w:rsidP="00791BDA">
            <w:pPr>
              <w:jc w:val="both"/>
              <w:rPr>
                <w:rFonts w:eastAsia="Calibri"/>
                <w:sz w:val="20"/>
                <w:lang w:val="fr-CA"/>
              </w:rPr>
            </w:pPr>
          </w:p>
        </w:tc>
        <w:tc>
          <w:tcPr>
            <w:tcW w:w="2330" w:type="pct"/>
          </w:tcPr>
          <w:p w:rsidR="00C870B1" w:rsidRPr="00F77596" w:rsidRDefault="00C870B1" w:rsidP="00C870B1">
            <w:pPr>
              <w:jc w:val="both"/>
              <w:rPr>
                <w:sz w:val="20"/>
                <w:lang w:val="fr-CA"/>
              </w:rPr>
            </w:pPr>
            <w:r w:rsidRPr="00F77596">
              <w:rPr>
                <w:sz w:val="20"/>
                <w:lang w:val="fr-CA"/>
              </w:rPr>
              <w:t xml:space="preserve">Appel accueilli; Déclarations émises, y inclus (i) que l’École Allain St-Cyr requiert un gymnase et des espaces pour enseigner aux élèves ayant des besoins spéciaux (ii) que le GTN-O doit prendre des mesures pour assurer un accès à des espaces spécialisées (iii) qu’une garderie et une prématernelle ne répondent pas à la définition d’ « instruction primaire et secondaire » à l’art. 23 de la </w:t>
            </w:r>
            <w:r w:rsidRPr="00F77596">
              <w:rPr>
                <w:i/>
                <w:sz w:val="20"/>
                <w:lang w:val="fr-CA"/>
              </w:rPr>
              <w:t>Charte</w:t>
            </w:r>
            <w:r w:rsidRPr="00F77596">
              <w:rPr>
                <w:sz w:val="20"/>
                <w:lang w:val="fr-CA"/>
              </w:rPr>
              <w:t xml:space="preserve"> (iv) que le gouvernement territorial peut refuser l’admission aux personnes qui ne sont pas ayant droits au sens de l’art. 23 de la </w:t>
            </w:r>
            <w:r w:rsidRPr="00F77596">
              <w:rPr>
                <w:i/>
                <w:sz w:val="20"/>
                <w:lang w:val="fr-CA"/>
              </w:rPr>
              <w:t>Charte</w:t>
            </w:r>
            <w:r w:rsidRPr="00F77596">
              <w:rPr>
                <w:sz w:val="20"/>
                <w:lang w:val="fr-CA"/>
              </w:rPr>
              <w:t xml:space="preserve"> et (v) que l’on ne doit pas tenir compte d’enfants de non ayant droits pour déterminer si le nombre justifie des installations scolaires; Appel incident rejeté.</w:t>
            </w:r>
          </w:p>
          <w:p w:rsidR="00A30BDF" w:rsidRPr="00F77596" w:rsidRDefault="00A30BDF" w:rsidP="00791BDA">
            <w:pPr>
              <w:jc w:val="both"/>
              <w:rPr>
                <w:sz w:val="20"/>
              </w:rPr>
            </w:pPr>
          </w:p>
        </w:tc>
      </w:tr>
      <w:tr w:rsidR="00A30BDF" w:rsidRPr="00E007CB" w:rsidTr="00791BDA">
        <w:trPr>
          <w:cantSplit/>
        </w:trPr>
        <w:tc>
          <w:tcPr>
            <w:tcW w:w="2427" w:type="pct"/>
          </w:tcPr>
          <w:p w:rsidR="00A30BDF" w:rsidRPr="00E007CB" w:rsidRDefault="00A30BDF" w:rsidP="00791BDA">
            <w:pPr>
              <w:jc w:val="both"/>
              <w:rPr>
                <w:rFonts w:eastAsia="Calibri"/>
                <w:sz w:val="20"/>
                <w:lang w:val="fr-CA"/>
              </w:rPr>
            </w:pPr>
            <w:r>
              <w:rPr>
                <w:rFonts w:eastAsia="Calibri"/>
                <w:sz w:val="20"/>
                <w:lang w:val="fr-CA"/>
              </w:rPr>
              <w:t>Le 10 mars</w:t>
            </w:r>
            <w:r w:rsidRPr="00E007CB">
              <w:rPr>
                <w:rFonts w:eastAsia="Calibri"/>
                <w:sz w:val="20"/>
                <w:lang w:val="fr-CA"/>
              </w:rPr>
              <w:t xml:space="preserve"> 201</w:t>
            </w:r>
            <w:r>
              <w:rPr>
                <w:rFonts w:eastAsia="Calibri"/>
                <w:sz w:val="20"/>
                <w:lang w:val="fr-CA"/>
              </w:rPr>
              <w:t>5</w:t>
            </w:r>
          </w:p>
          <w:p w:rsidR="00A30BDF" w:rsidRPr="00E007CB" w:rsidRDefault="00A30BDF" w:rsidP="00791BDA">
            <w:pPr>
              <w:jc w:val="both"/>
              <w:rPr>
                <w:rFonts w:eastAsia="Calibri"/>
                <w:sz w:val="20"/>
                <w:lang w:val="fr-CA"/>
              </w:rPr>
            </w:pPr>
            <w:r w:rsidRPr="00E007CB">
              <w:rPr>
                <w:rFonts w:eastAsia="Calibri"/>
                <w:sz w:val="20"/>
                <w:lang w:val="fr-CA"/>
              </w:rPr>
              <w:t>Cour suprême du Canada</w:t>
            </w:r>
          </w:p>
        </w:tc>
        <w:tc>
          <w:tcPr>
            <w:tcW w:w="243" w:type="pct"/>
          </w:tcPr>
          <w:p w:rsidR="00A30BDF" w:rsidRPr="00E007CB" w:rsidRDefault="00A30BDF" w:rsidP="00791BDA">
            <w:pPr>
              <w:jc w:val="both"/>
              <w:rPr>
                <w:rFonts w:eastAsia="Calibri"/>
                <w:sz w:val="20"/>
                <w:lang w:val="fr-CA"/>
              </w:rPr>
            </w:pPr>
          </w:p>
        </w:tc>
        <w:tc>
          <w:tcPr>
            <w:tcW w:w="2330" w:type="pct"/>
          </w:tcPr>
          <w:p w:rsidR="00A30BDF" w:rsidRPr="00F77596" w:rsidRDefault="00A30BDF" w:rsidP="00791BDA">
            <w:pPr>
              <w:jc w:val="both"/>
              <w:rPr>
                <w:sz w:val="20"/>
              </w:rPr>
            </w:pPr>
            <w:r w:rsidRPr="00F77596">
              <w:rPr>
                <w:sz w:val="20"/>
              </w:rPr>
              <w:t>Demande d'autorisation d'appel déposée.</w:t>
            </w:r>
          </w:p>
          <w:p w:rsidR="00A30BDF" w:rsidRPr="00F77596" w:rsidRDefault="00A30BDF" w:rsidP="00791BDA">
            <w:pPr>
              <w:jc w:val="both"/>
              <w:rPr>
                <w:sz w:val="20"/>
                <w:lang w:val="fr-CA"/>
              </w:rPr>
            </w:pPr>
          </w:p>
        </w:tc>
      </w:tr>
    </w:tbl>
    <w:p w:rsidR="00A30BDF" w:rsidRDefault="00A30BDF" w:rsidP="00A30BDF">
      <w:pPr>
        <w:rPr>
          <w:sz w:val="20"/>
          <w:szCs w:val="20"/>
        </w:rPr>
      </w:pPr>
    </w:p>
    <w:p w:rsidR="00A30BDF" w:rsidRDefault="00EC4FDF" w:rsidP="00A30BDF">
      <w:pPr>
        <w:rPr>
          <w:sz w:val="20"/>
          <w:szCs w:val="20"/>
        </w:rPr>
      </w:pPr>
      <w:r>
        <w:rPr>
          <w:sz w:val="20"/>
          <w:szCs w:val="20"/>
          <w:lang w:val="fr-CA"/>
        </w:rPr>
        <w:pict>
          <v:rect id="_x0000_i1048" style="width:2in;height:1pt" o:hrpct="0" o:hralign="center" o:hrstd="t" o:hrnoshade="t" o:hr="t" fillcolor="black [3213]" stroked="f"/>
        </w:pict>
      </w:r>
    </w:p>
    <w:p w:rsidR="0095301E" w:rsidRDefault="0095301E" w:rsidP="0095301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5301E" w:rsidRPr="00A73D2C" w:rsidTr="00B77038">
        <w:trPr>
          <w:cantSplit/>
        </w:trPr>
        <w:tc>
          <w:tcPr>
            <w:tcW w:w="1458" w:type="dxa"/>
          </w:tcPr>
          <w:p w:rsidR="0095301E" w:rsidRPr="00A73D2C" w:rsidRDefault="0095301E" w:rsidP="00B77038">
            <w:pPr>
              <w:rPr>
                <w:sz w:val="20"/>
                <w:szCs w:val="20"/>
              </w:rPr>
            </w:pPr>
            <w:r w:rsidRPr="00A73D2C">
              <w:rPr>
                <w:rStyle w:val="SCCFileNumberChar"/>
                <w:sz w:val="20"/>
                <w:szCs w:val="20"/>
              </w:rPr>
              <w:t>36</w:t>
            </w:r>
            <w:r>
              <w:rPr>
                <w:rStyle w:val="SCCFileNumberChar"/>
                <w:sz w:val="20"/>
                <w:szCs w:val="20"/>
              </w:rPr>
              <w:t>380</w:t>
            </w:r>
          </w:p>
          <w:p w:rsidR="0095301E" w:rsidRPr="00A73D2C" w:rsidRDefault="0095301E" w:rsidP="00B77038">
            <w:pPr>
              <w:rPr>
                <w:b/>
                <w:sz w:val="20"/>
                <w:szCs w:val="20"/>
                <w:lang w:val="fr-CA"/>
              </w:rPr>
            </w:pPr>
          </w:p>
        </w:tc>
        <w:tc>
          <w:tcPr>
            <w:tcW w:w="8118" w:type="dxa"/>
          </w:tcPr>
          <w:p w:rsidR="0095301E" w:rsidRPr="00A73D2C" w:rsidRDefault="0095301E" w:rsidP="00B77038">
            <w:pPr>
              <w:rPr>
                <w:sz w:val="20"/>
                <w:szCs w:val="20"/>
              </w:rPr>
            </w:pPr>
            <w:r w:rsidRPr="0095301E">
              <w:rPr>
                <w:rStyle w:val="SCCLsocChar"/>
                <w:sz w:val="20"/>
                <w:szCs w:val="20"/>
                <w:lang w:val="en-CA"/>
              </w:rPr>
              <w:t>Scott &amp; Associates Engineering Ltd. v. Finavera Renewables Inc.</w:t>
            </w:r>
            <w:r w:rsidRPr="00A73D2C">
              <w:rPr>
                <w:sz w:val="20"/>
                <w:szCs w:val="20"/>
              </w:rPr>
              <w:t xml:space="preserve"> (</w:t>
            </w:r>
            <w:r>
              <w:rPr>
                <w:sz w:val="20"/>
                <w:szCs w:val="20"/>
              </w:rPr>
              <w:t>Alta.</w:t>
            </w:r>
            <w:r w:rsidRPr="00A73D2C">
              <w:rPr>
                <w:sz w:val="20"/>
                <w:szCs w:val="20"/>
              </w:rPr>
              <w:t>) (C</w:t>
            </w:r>
            <w:r>
              <w:rPr>
                <w:sz w:val="20"/>
                <w:szCs w:val="20"/>
              </w:rPr>
              <w:t>ivil</w:t>
            </w:r>
            <w:r w:rsidRPr="00A73D2C">
              <w:rPr>
                <w:sz w:val="20"/>
                <w:szCs w:val="20"/>
              </w:rPr>
              <w:t>) (By Leave)</w:t>
            </w:r>
          </w:p>
          <w:p w:rsidR="0095301E" w:rsidRPr="00A73D2C" w:rsidRDefault="0095301E" w:rsidP="00B77038">
            <w:pPr>
              <w:rPr>
                <w:sz w:val="20"/>
                <w:szCs w:val="20"/>
              </w:rPr>
            </w:pPr>
          </w:p>
        </w:tc>
      </w:tr>
      <w:tr w:rsidR="0095301E" w:rsidRPr="00A73D2C" w:rsidTr="00B77038">
        <w:trPr>
          <w:cantSplit/>
        </w:trPr>
        <w:tc>
          <w:tcPr>
            <w:tcW w:w="1458" w:type="dxa"/>
          </w:tcPr>
          <w:p w:rsidR="0095301E" w:rsidRPr="00A73D2C" w:rsidRDefault="0095301E" w:rsidP="00B77038">
            <w:pPr>
              <w:rPr>
                <w:sz w:val="20"/>
                <w:szCs w:val="20"/>
              </w:rPr>
            </w:pPr>
            <w:r w:rsidRPr="00A73D2C">
              <w:rPr>
                <w:sz w:val="20"/>
                <w:szCs w:val="20"/>
              </w:rPr>
              <w:t>Coram :</w:t>
            </w:r>
          </w:p>
        </w:tc>
        <w:tc>
          <w:tcPr>
            <w:tcW w:w="8118" w:type="dxa"/>
          </w:tcPr>
          <w:p w:rsidR="0095301E" w:rsidRDefault="00550215" w:rsidP="00B77038">
            <w:pPr>
              <w:rPr>
                <w:rStyle w:val="SCCCoramChar"/>
                <w:sz w:val="20"/>
                <w:szCs w:val="20"/>
                <w:lang w:val="en-CA"/>
              </w:rPr>
            </w:pPr>
            <w:r w:rsidRPr="00550215">
              <w:rPr>
                <w:rStyle w:val="SCCCoramChar"/>
                <w:sz w:val="20"/>
                <w:szCs w:val="20"/>
                <w:lang w:val="en-CA"/>
              </w:rPr>
              <w:t>Abella, Karakatsanis and Côté JJ.</w:t>
            </w:r>
          </w:p>
          <w:p w:rsidR="00550215" w:rsidRPr="00A73D2C" w:rsidRDefault="00550215" w:rsidP="00B77038">
            <w:pPr>
              <w:rPr>
                <w:sz w:val="20"/>
                <w:szCs w:val="20"/>
                <w:u w:val="single"/>
              </w:rPr>
            </w:pPr>
          </w:p>
        </w:tc>
      </w:tr>
      <w:tr w:rsidR="0095301E" w:rsidRPr="00002704" w:rsidTr="00B77038">
        <w:trPr>
          <w:cantSplit/>
        </w:trPr>
        <w:tc>
          <w:tcPr>
            <w:tcW w:w="9576" w:type="dxa"/>
            <w:gridSpan w:val="2"/>
          </w:tcPr>
          <w:p w:rsidR="00550215" w:rsidRPr="00550215" w:rsidRDefault="00550215" w:rsidP="00550215">
            <w:pPr>
              <w:pStyle w:val="SCCShortJudgment"/>
              <w:rPr>
                <w:szCs w:val="20"/>
              </w:rPr>
            </w:pPr>
            <w:r w:rsidRPr="00550215">
              <w:rPr>
                <w:szCs w:val="20"/>
              </w:rPr>
              <w:t>The application for leave to appeal from the judgment of the Court of Appeal of Alberta (Calgary), Number 1301-0333-AC, 2015 ABCA 51, dated February 9, 2015, is dismissed with costs.</w:t>
            </w:r>
          </w:p>
          <w:p w:rsidR="00550215" w:rsidRPr="00550215" w:rsidRDefault="00550215" w:rsidP="00550215">
            <w:pPr>
              <w:pStyle w:val="SCCShortJudgment"/>
              <w:rPr>
                <w:szCs w:val="20"/>
              </w:rPr>
            </w:pPr>
          </w:p>
          <w:p w:rsidR="0095301E" w:rsidRPr="00A73D2C" w:rsidRDefault="00550215" w:rsidP="00550215">
            <w:pPr>
              <w:pStyle w:val="SCCShortJudgment"/>
              <w:rPr>
                <w:szCs w:val="20"/>
                <w:lang w:val="fr-CA"/>
              </w:rPr>
            </w:pPr>
            <w:r w:rsidRPr="00550215">
              <w:rPr>
                <w:szCs w:val="20"/>
              </w:rPr>
              <w:t>La demande d’autorisation d’appel de l’arrêt de la Cour d'appel de l’Alberta (Calgary), numéro 1301-0333-AC, 2015 ABCA 51, daté du 9 février 2015, est rejetée avec dépens.</w:t>
            </w:r>
          </w:p>
        </w:tc>
      </w:tr>
    </w:tbl>
    <w:p w:rsidR="0095301E" w:rsidRPr="0016547E" w:rsidRDefault="0095301E" w:rsidP="0095301E">
      <w:pPr>
        <w:rPr>
          <w:sz w:val="20"/>
          <w:szCs w:val="20"/>
          <w:lang w:val="fr-CA"/>
        </w:rPr>
      </w:pPr>
    </w:p>
    <w:p w:rsidR="0095301E" w:rsidRPr="001B157C" w:rsidRDefault="0095301E" w:rsidP="0095301E">
      <w:pPr>
        <w:rPr>
          <w:sz w:val="20"/>
          <w:szCs w:val="20"/>
          <w:u w:val="single"/>
        </w:rPr>
      </w:pPr>
      <w:r w:rsidRPr="001B157C">
        <w:rPr>
          <w:sz w:val="20"/>
          <w:szCs w:val="20"/>
          <w:u w:val="single"/>
        </w:rPr>
        <w:t>CASE SUMMARY</w:t>
      </w:r>
    </w:p>
    <w:p w:rsidR="0095301E" w:rsidRDefault="0095301E" w:rsidP="0095301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5301E" w:rsidRPr="00E007CB" w:rsidTr="00B77038">
        <w:tc>
          <w:tcPr>
            <w:tcW w:w="5000" w:type="pct"/>
            <w:gridSpan w:val="3"/>
          </w:tcPr>
          <w:p w:rsidR="0096684C" w:rsidRDefault="0096684C" w:rsidP="0096684C">
            <w:pPr>
              <w:jc w:val="both"/>
              <w:rPr>
                <w:sz w:val="20"/>
              </w:rPr>
            </w:pPr>
            <w:r w:rsidRPr="00F77596">
              <w:rPr>
                <w:sz w:val="20"/>
              </w:rPr>
              <w:t>Unjust enrichment — Equitable remedies — Constructive trust — The scope of the exercise of judicial discretion in selecting the appropriate equitable remedy for an unjust enrichment in a commercial relationship — Whether the exercise of judicial discretion in granting an equitable award or a monetary remedy in the context of a commercial relationship should be fair and just when the probability of recovery is remote and when the alternative remedy of a constructive trust is available — Whether an existing fiduciary relationship is a prerequisite to a declaration of a constructive trust for a wrongful act in a commercial relationship — What constitutes dishonesty when there is a breach of an implied duty to act honestly — When a constructive trust can both recognize and create a right to property — The rights of third parties in the selection of an equitable remedy when there has been an unjust enrichment — When the remedy for unjust enrichment arises.</w:t>
            </w:r>
          </w:p>
          <w:p w:rsidR="0095301E" w:rsidRPr="00E007CB" w:rsidRDefault="0095301E" w:rsidP="00B77038">
            <w:pPr>
              <w:jc w:val="both"/>
              <w:rPr>
                <w:rFonts w:eastAsia="Calibri"/>
                <w:sz w:val="20"/>
              </w:rPr>
            </w:pPr>
          </w:p>
        </w:tc>
      </w:tr>
      <w:tr w:rsidR="0096684C" w:rsidRPr="00E007CB" w:rsidTr="00B77038">
        <w:trPr>
          <w:cantSplit/>
        </w:trPr>
        <w:tc>
          <w:tcPr>
            <w:tcW w:w="2427" w:type="pct"/>
          </w:tcPr>
          <w:p w:rsidR="0096684C" w:rsidRPr="00F77596" w:rsidRDefault="0096684C" w:rsidP="0096684C">
            <w:pPr>
              <w:jc w:val="both"/>
              <w:rPr>
                <w:sz w:val="20"/>
              </w:rPr>
            </w:pPr>
            <w:r w:rsidRPr="00F77596">
              <w:rPr>
                <w:sz w:val="20"/>
              </w:rPr>
              <w:t>May 14, 2013</w:t>
            </w:r>
          </w:p>
          <w:p w:rsidR="0096684C" w:rsidRPr="00F77596" w:rsidRDefault="0096684C" w:rsidP="0096684C">
            <w:pPr>
              <w:jc w:val="both"/>
              <w:rPr>
                <w:sz w:val="20"/>
              </w:rPr>
            </w:pPr>
            <w:r w:rsidRPr="00F77596">
              <w:rPr>
                <w:sz w:val="20"/>
              </w:rPr>
              <w:t>Court of Queen’s Bench of Alberta</w:t>
            </w:r>
          </w:p>
          <w:p w:rsidR="0096684C" w:rsidRPr="00F77596" w:rsidRDefault="0096684C" w:rsidP="0096684C">
            <w:pPr>
              <w:jc w:val="both"/>
              <w:rPr>
                <w:sz w:val="20"/>
              </w:rPr>
            </w:pPr>
            <w:r w:rsidRPr="00F77596">
              <w:rPr>
                <w:sz w:val="20"/>
              </w:rPr>
              <w:t>(Martin J.)</w:t>
            </w:r>
          </w:p>
          <w:p w:rsidR="0096684C" w:rsidRPr="00F77596" w:rsidRDefault="00EC4FDF" w:rsidP="0096684C">
            <w:pPr>
              <w:jc w:val="both"/>
              <w:rPr>
                <w:sz w:val="20"/>
              </w:rPr>
            </w:pPr>
            <w:hyperlink r:id="rId50" w:history="1">
              <w:r w:rsidR="0096684C" w:rsidRPr="00F77596">
                <w:rPr>
                  <w:rStyle w:val="Hyperlink"/>
                  <w:sz w:val="20"/>
                </w:rPr>
                <w:t>2013 ABQB 273</w:t>
              </w:r>
            </w:hyperlink>
          </w:p>
          <w:p w:rsidR="0096684C" w:rsidRPr="00E007CB" w:rsidRDefault="0096684C" w:rsidP="0096684C">
            <w:pPr>
              <w:jc w:val="both"/>
              <w:rPr>
                <w:rFonts w:eastAsia="Calibri"/>
                <w:sz w:val="20"/>
              </w:rPr>
            </w:pPr>
          </w:p>
        </w:tc>
        <w:tc>
          <w:tcPr>
            <w:tcW w:w="243" w:type="pct"/>
          </w:tcPr>
          <w:p w:rsidR="0096684C" w:rsidRPr="00E007CB" w:rsidRDefault="0096684C" w:rsidP="0096684C">
            <w:pPr>
              <w:jc w:val="both"/>
              <w:rPr>
                <w:rFonts w:eastAsia="Calibri"/>
                <w:sz w:val="20"/>
              </w:rPr>
            </w:pPr>
          </w:p>
        </w:tc>
        <w:tc>
          <w:tcPr>
            <w:tcW w:w="2330" w:type="pct"/>
          </w:tcPr>
          <w:p w:rsidR="0096684C" w:rsidRPr="00F77596" w:rsidRDefault="0096684C" w:rsidP="0096684C">
            <w:pPr>
              <w:jc w:val="both"/>
              <w:rPr>
                <w:sz w:val="20"/>
              </w:rPr>
            </w:pPr>
            <w:r w:rsidRPr="00F77596">
              <w:rPr>
                <w:sz w:val="20"/>
              </w:rPr>
              <w:t>Damages of $600,000 plus GST granted to Scott &amp; Associates Engineering Ltd. for unjust enrichment; claim of breach of duty of confidence and counterclaim dismissed</w:t>
            </w:r>
          </w:p>
        </w:tc>
      </w:tr>
      <w:tr w:rsidR="0096684C" w:rsidRPr="00E007CB" w:rsidTr="00B77038">
        <w:trPr>
          <w:cantSplit/>
        </w:trPr>
        <w:tc>
          <w:tcPr>
            <w:tcW w:w="2427" w:type="pct"/>
          </w:tcPr>
          <w:p w:rsidR="0096684C" w:rsidRPr="00F77596" w:rsidRDefault="0096684C" w:rsidP="0096684C">
            <w:pPr>
              <w:jc w:val="both"/>
              <w:rPr>
                <w:sz w:val="20"/>
              </w:rPr>
            </w:pPr>
            <w:r w:rsidRPr="00F77596">
              <w:rPr>
                <w:sz w:val="20"/>
              </w:rPr>
              <w:lastRenderedPageBreak/>
              <w:t>February 9, 2015</w:t>
            </w:r>
          </w:p>
          <w:p w:rsidR="0096684C" w:rsidRPr="00F77596" w:rsidRDefault="0096684C" w:rsidP="0096684C">
            <w:pPr>
              <w:jc w:val="both"/>
              <w:rPr>
                <w:sz w:val="20"/>
              </w:rPr>
            </w:pPr>
            <w:r w:rsidRPr="00F77596">
              <w:rPr>
                <w:sz w:val="20"/>
              </w:rPr>
              <w:t>Court of Appeal of Alberta (Calgary)</w:t>
            </w:r>
          </w:p>
          <w:p w:rsidR="0096684C" w:rsidRPr="00F77596" w:rsidRDefault="0096684C" w:rsidP="0096684C">
            <w:pPr>
              <w:jc w:val="both"/>
              <w:rPr>
                <w:sz w:val="20"/>
              </w:rPr>
            </w:pPr>
            <w:r w:rsidRPr="00F77596">
              <w:rPr>
                <w:sz w:val="20"/>
              </w:rPr>
              <w:t>(Rowbotham, O’Ferrall, Veldhuis JJ.A.)</w:t>
            </w:r>
          </w:p>
          <w:p w:rsidR="0096684C" w:rsidRPr="00F77596" w:rsidRDefault="00EC4FDF" w:rsidP="0096684C">
            <w:pPr>
              <w:jc w:val="both"/>
              <w:rPr>
                <w:sz w:val="20"/>
              </w:rPr>
            </w:pPr>
            <w:hyperlink r:id="rId51" w:history="1">
              <w:r w:rsidR="0096684C" w:rsidRPr="00F77596">
                <w:rPr>
                  <w:rStyle w:val="Hyperlink"/>
                  <w:sz w:val="20"/>
                </w:rPr>
                <w:t>2015 ABCA 51</w:t>
              </w:r>
            </w:hyperlink>
          </w:p>
          <w:p w:rsidR="0096684C" w:rsidRPr="00E007CB" w:rsidRDefault="0096684C" w:rsidP="0096684C">
            <w:pPr>
              <w:jc w:val="both"/>
              <w:rPr>
                <w:rFonts w:eastAsia="Calibri"/>
                <w:sz w:val="20"/>
              </w:rPr>
            </w:pPr>
          </w:p>
        </w:tc>
        <w:tc>
          <w:tcPr>
            <w:tcW w:w="243" w:type="pct"/>
          </w:tcPr>
          <w:p w:rsidR="0096684C" w:rsidRPr="00E007CB" w:rsidRDefault="0096684C" w:rsidP="0096684C">
            <w:pPr>
              <w:jc w:val="both"/>
              <w:rPr>
                <w:rFonts w:eastAsia="Calibri"/>
                <w:sz w:val="20"/>
              </w:rPr>
            </w:pPr>
          </w:p>
        </w:tc>
        <w:tc>
          <w:tcPr>
            <w:tcW w:w="2330" w:type="pct"/>
          </w:tcPr>
          <w:p w:rsidR="0096684C" w:rsidRPr="00F77596" w:rsidRDefault="0096684C" w:rsidP="0096684C">
            <w:pPr>
              <w:jc w:val="both"/>
              <w:rPr>
                <w:sz w:val="20"/>
              </w:rPr>
            </w:pPr>
            <w:r w:rsidRPr="00F77596">
              <w:rPr>
                <w:sz w:val="20"/>
              </w:rPr>
              <w:t>Appeal dismissed</w:t>
            </w:r>
          </w:p>
          <w:p w:rsidR="0096684C" w:rsidRPr="00F77596" w:rsidRDefault="0096684C" w:rsidP="0096684C">
            <w:pPr>
              <w:jc w:val="both"/>
              <w:rPr>
                <w:sz w:val="20"/>
              </w:rPr>
            </w:pPr>
          </w:p>
        </w:tc>
      </w:tr>
      <w:tr w:rsidR="0096684C" w:rsidRPr="00E007CB" w:rsidTr="00B77038">
        <w:trPr>
          <w:cantSplit/>
        </w:trPr>
        <w:tc>
          <w:tcPr>
            <w:tcW w:w="2427" w:type="pct"/>
          </w:tcPr>
          <w:p w:rsidR="0096684C" w:rsidRPr="00E007CB" w:rsidRDefault="0096684C" w:rsidP="0096684C">
            <w:pPr>
              <w:jc w:val="both"/>
              <w:rPr>
                <w:rFonts w:eastAsia="Calibri"/>
                <w:sz w:val="20"/>
              </w:rPr>
            </w:pPr>
            <w:r>
              <w:rPr>
                <w:rFonts w:eastAsia="Calibri"/>
                <w:sz w:val="20"/>
              </w:rPr>
              <w:t>April</w:t>
            </w:r>
            <w:r w:rsidRPr="00E007CB">
              <w:rPr>
                <w:rFonts w:eastAsia="Calibri"/>
                <w:sz w:val="20"/>
              </w:rPr>
              <w:t xml:space="preserve"> </w:t>
            </w:r>
            <w:r>
              <w:rPr>
                <w:rFonts w:eastAsia="Calibri"/>
                <w:sz w:val="20"/>
              </w:rPr>
              <w:t>7,</w:t>
            </w:r>
            <w:r w:rsidRPr="00E007CB">
              <w:rPr>
                <w:rFonts w:eastAsia="Calibri"/>
                <w:sz w:val="20"/>
              </w:rPr>
              <w:t xml:space="preserve"> 201</w:t>
            </w:r>
            <w:r>
              <w:rPr>
                <w:rFonts w:eastAsia="Calibri"/>
                <w:sz w:val="20"/>
              </w:rPr>
              <w:t>5</w:t>
            </w:r>
          </w:p>
          <w:p w:rsidR="0096684C" w:rsidRPr="00E007CB" w:rsidRDefault="0096684C" w:rsidP="0096684C">
            <w:pPr>
              <w:jc w:val="both"/>
              <w:rPr>
                <w:rFonts w:eastAsia="Calibri"/>
                <w:sz w:val="20"/>
              </w:rPr>
            </w:pPr>
            <w:r w:rsidRPr="00E007CB">
              <w:rPr>
                <w:rFonts w:eastAsia="Calibri"/>
                <w:sz w:val="20"/>
              </w:rPr>
              <w:t>Supreme Court of Canada</w:t>
            </w:r>
          </w:p>
        </w:tc>
        <w:tc>
          <w:tcPr>
            <w:tcW w:w="243" w:type="pct"/>
          </w:tcPr>
          <w:p w:rsidR="0096684C" w:rsidRPr="00E007CB" w:rsidRDefault="0096684C" w:rsidP="0096684C">
            <w:pPr>
              <w:jc w:val="both"/>
              <w:rPr>
                <w:rFonts w:eastAsia="Calibri"/>
                <w:sz w:val="20"/>
              </w:rPr>
            </w:pPr>
          </w:p>
        </w:tc>
        <w:tc>
          <w:tcPr>
            <w:tcW w:w="2330" w:type="pct"/>
          </w:tcPr>
          <w:p w:rsidR="0096684C" w:rsidRPr="00F77596" w:rsidRDefault="0096684C" w:rsidP="0096684C">
            <w:pPr>
              <w:jc w:val="both"/>
              <w:rPr>
                <w:sz w:val="20"/>
              </w:rPr>
            </w:pPr>
            <w:r w:rsidRPr="00F77596">
              <w:rPr>
                <w:sz w:val="20"/>
              </w:rPr>
              <w:t>Application for leave to appeal filed</w:t>
            </w:r>
          </w:p>
          <w:p w:rsidR="0096684C" w:rsidRPr="00F77596" w:rsidRDefault="0096684C" w:rsidP="0096684C">
            <w:pPr>
              <w:jc w:val="both"/>
              <w:rPr>
                <w:sz w:val="20"/>
              </w:rPr>
            </w:pPr>
          </w:p>
        </w:tc>
      </w:tr>
    </w:tbl>
    <w:p w:rsidR="0095301E" w:rsidRDefault="0095301E" w:rsidP="0095301E">
      <w:pPr>
        <w:rPr>
          <w:sz w:val="20"/>
          <w:szCs w:val="20"/>
        </w:rPr>
      </w:pPr>
    </w:p>
    <w:p w:rsidR="0095301E" w:rsidRPr="00C50A5C" w:rsidRDefault="00EC4FDF" w:rsidP="0095301E">
      <w:pPr>
        <w:rPr>
          <w:sz w:val="20"/>
          <w:szCs w:val="20"/>
        </w:rPr>
      </w:pPr>
      <w:r>
        <w:rPr>
          <w:sz w:val="20"/>
          <w:szCs w:val="20"/>
          <w:lang w:val="fr-CA"/>
        </w:rPr>
        <w:pict>
          <v:rect id="_x0000_i1049" style="width:2in;height:1pt" o:hrpct="0" o:hralign="center" o:hrstd="t" o:hrnoshade="t" o:hr="t" fillcolor="black [3213]" stroked="f"/>
        </w:pict>
      </w:r>
    </w:p>
    <w:p w:rsidR="0095301E" w:rsidRDefault="0095301E" w:rsidP="0095301E">
      <w:pPr>
        <w:rPr>
          <w:sz w:val="20"/>
          <w:szCs w:val="20"/>
        </w:rPr>
      </w:pPr>
    </w:p>
    <w:p w:rsidR="0095301E" w:rsidRPr="001B157C" w:rsidRDefault="0095301E" w:rsidP="0095301E">
      <w:pPr>
        <w:rPr>
          <w:sz w:val="20"/>
          <w:szCs w:val="20"/>
          <w:u w:val="single"/>
          <w:lang w:val="fr-CA"/>
        </w:rPr>
      </w:pPr>
      <w:r w:rsidRPr="001B157C">
        <w:rPr>
          <w:sz w:val="20"/>
          <w:szCs w:val="20"/>
          <w:u w:val="single"/>
          <w:lang w:val="fr-CA"/>
        </w:rPr>
        <w:t>RÉSUMÉ DE L’AFFAIRE</w:t>
      </w:r>
    </w:p>
    <w:p w:rsidR="0095301E" w:rsidRDefault="0095301E" w:rsidP="0095301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5301E" w:rsidRPr="00002704" w:rsidTr="00B77038">
        <w:tc>
          <w:tcPr>
            <w:tcW w:w="5000" w:type="pct"/>
            <w:gridSpan w:val="3"/>
          </w:tcPr>
          <w:p w:rsidR="008205CC" w:rsidRDefault="008205CC" w:rsidP="008205CC">
            <w:pPr>
              <w:jc w:val="both"/>
              <w:rPr>
                <w:sz w:val="20"/>
                <w:lang w:val="fr-CA"/>
              </w:rPr>
            </w:pPr>
            <w:r w:rsidRPr="00F77596">
              <w:rPr>
                <w:sz w:val="20"/>
                <w:lang w:val="fr-CA"/>
              </w:rPr>
              <w:t>Enrichissement injustifié — Mesures de réparations reconnues en equity — Fiducie par interprétation — Portée de l’exercice du pouvoir discrétionnaire judiciaire dans le choix de la mesure de réparation reconnue en equity qu’il convient d’accorder pour enrichissement injustifié dans une relation commerciale — L’exercice du pouvoir discrétionnaire judiciaire d’accorder une réparation pécuniaire fondée sur l’equity dans le contexte d’une relation commerciale doit-il être équitable et juste lorsque la probabilité de recouvrement est faible et lorsqu’il existe une autre réparation, à savoir la fiducie par interprétation? — Faut-il qu’une relation fiduciaire existe déjà pour faire une déclaration de fiducie par interprétation relativement à un acte fautif dans une relation commerciale? — En quoi consiste la malhonnêteté lorsqu’il y a un manquement à l’obligation implicite d’agir honnêtement? — Cas où une fiducie par interprétation peut à la fois reconnaître et créer un droit de propriété — Droits des tiers dans le choix d’une réparation en equity lorsqu’il y a eu enrichissement sans cause — Cas où la réparation pour enrichissement sans cause peut être accordée.</w:t>
            </w:r>
          </w:p>
          <w:p w:rsidR="0095301E" w:rsidRPr="00E007CB" w:rsidRDefault="0095301E" w:rsidP="00B77038">
            <w:pPr>
              <w:jc w:val="both"/>
              <w:rPr>
                <w:rFonts w:eastAsia="Calibri"/>
                <w:sz w:val="20"/>
                <w:lang w:val="fr-CA"/>
              </w:rPr>
            </w:pPr>
          </w:p>
        </w:tc>
      </w:tr>
      <w:tr w:rsidR="0095301E" w:rsidRPr="00002704" w:rsidTr="00B77038">
        <w:trPr>
          <w:cantSplit/>
        </w:trPr>
        <w:tc>
          <w:tcPr>
            <w:tcW w:w="2427" w:type="pct"/>
          </w:tcPr>
          <w:p w:rsidR="008205CC" w:rsidRPr="00F77596" w:rsidRDefault="008205CC" w:rsidP="008205CC">
            <w:pPr>
              <w:jc w:val="both"/>
              <w:rPr>
                <w:sz w:val="20"/>
                <w:lang w:val="fr-CA"/>
              </w:rPr>
            </w:pPr>
            <w:r w:rsidRPr="00F77596">
              <w:rPr>
                <w:sz w:val="20"/>
                <w:lang w:val="fr-CA"/>
              </w:rPr>
              <w:t>14 mai 2013</w:t>
            </w:r>
          </w:p>
          <w:p w:rsidR="008205CC" w:rsidRPr="00F77596" w:rsidRDefault="008205CC" w:rsidP="008205CC">
            <w:pPr>
              <w:jc w:val="both"/>
              <w:rPr>
                <w:sz w:val="20"/>
                <w:lang w:val="fr-CA"/>
              </w:rPr>
            </w:pPr>
            <w:r w:rsidRPr="00F77596">
              <w:rPr>
                <w:sz w:val="20"/>
                <w:lang w:val="fr-CA"/>
              </w:rPr>
              <w:t>Cour du Banc de la Reine de l’Alberta</w:t>
            </w:r>
          </w:p>
          <w:p w:rsidR="008205CC" w:rsidRPr="00F77596" w:rsidRDefault="008205CC" w:rsidP="008205CC">
            <w:pPr>
              <w:jc w:val="both"/>
              <w:rPr>
                <w:sz w:val="20"/>
                <w:lang w:val="fr-CA"/>
              </w:rPr>
            </w:pPr>
            <w:r w:rsidRPr="00F77596">
              <w:rPr>
                <w:sz w:val="20"/>
                <w:lang w:val="fr-CA"/>
              </w:rPr>
              <w:t>(Juge Martin)</w:t>
            </w:r>
          </w:p>
          <w:p w:rsidR="008205CC" w:rsidRPr="00F77596" w:rsidRDefault="00EC4FDF" w:rsidP="008205CC">
            <w:pPr>
              <w:jc w:val="both"/>
              <w:rPr>
                <w:sz w:val="20"/>
                <w:lang w:val="fr-CA"/>
              </w:rPr>
            </w:pPr>
            <w:hyperlink r:id="rId52" w:history="1">
              <w:r w:rsidR="008205CC" w:rsidRPr="00F77596">
                <w:rPr>
                  <w:rStyle w:val="Hyperlink"/>
                  <w:sz w:val="20"/>
                  <w:lang w:val="fr-CA"/>
                </w:rPr>
                <w:t>2013 ABQB 273</w:t>
              </w:r>
            </w:hyperlink>
          </w:p>
          <w:p w:rsidR="0095301E" w:rsidRPr="00E007CB" w:rsidRDefault="0095301E" w:rsidP="00B77038">
            <w:pPr>
              <w:jc w:val="both"/>
              <w:rPr>
                <w:rFonts w:eastAsia="Calibri"/>
                <w:sz w:val="20"/>
                <w:lang w:val="fr-CA"/>
              </w:rPr>
            </w:pPr>
          </w:p>
        </w:tc>
        <w:tc>
          <w:tcPr>
            <w:tcW w:w="243" w:type="pct"/>
          </w:tcPr>
          <w:p w:rsidR="0095301E" w:rsidRPr="00E007CB" w:rsidRDefault="0095301E" w:rsidP="00B77038">
            <w:pPr>
              <w:jc w:val="both"/>
              <w:rPr>
                <w:rFonts w:eastAsia="Calibri"/>
                <w:sz w:val="20"/>
                <w:lang w:val="fr-CA"/>
              </w:rPr>
            </w:pPr>
          </w:p>
        </w:tc>
        <w:tc>
          <w:tcPr>
            <w:tcW w:w="2330" w:type="pct"/>
          </w:tcPr>
          <w:p w:rsidR="008205CC" w:rsidRDefault="008205CC" w:rsidP="008205CC">
            <w:pPr>
              <w:jc w:val="both"/>
              <w:rPr>
                <w:sz w:val="20"/>
                <w:lang w:val="fr-CA"/>
              </w:rPr>
            </w:pPr>
            <w:r w:rsidRPr="00F77596">
              <w:rPr>
                <w:sz w:val="20"/>
                <w:lang w:val="fr-CA"/>
              </w:rPr>
              <w:t>Jugement accordant 600 000 $ plus la TPS à Scott &amp; Associates Engineering Ltd. pour enrichissement injustifié; rejet de l’allégation de manquement à l’obligation de confidentialité et de la demande reconventionnelle</w:t>
            </w:r>
          </w:p>
          <w:p w:rsidR="0095301E" w:rsidRPr="00E007CB" w:rsidRDefault="0095301E" w:rsidP="00B77038">
            <w:pPr>
              <w:jc w:val="both"/>
              <w:rPr>
                <w:rFonts w:eastAsia="Calibri"/>
                <w:sz w:val="20"/>
                <w:lang w:val="fr-CA"/>
              </w:rPr>
            </w:pPr>
          </w:p>
        </w:tc>
      </w:tr>
      <w:tr w:rsidR="0095301E" w:rsidRPr="00002704" w:rsidTr="00B77038">
        <w:trPr>
          <w:cantSplit/>
        </w:trPr>
        <w:tc>
          <w:tcPr>
            <w:tcW w:w="2427" w:type="pct"/>
          </w:tcPr>
          <w:p w:rsidR="008205CC" w:rsidRPr="00F77596" w:rsidRDefault="008205CC" w:rsidP="008205CC">
            <w:pPr>
              <w:jc w:val="both"/>
              <w:rPr>
                <w:sz w:val="20"/>
                <w:lang w:val="fr-CA"/>
              </w:rPr>
            </w:pPr>
            <w:r w:rsidRPr="00F77596">
              <w:rPr>
                <w:sz w:val="20"/>
                <w:lang w:val="fr-CA"/>
              </w:rPr>
              <w:t>9 février 2015</w:t>
            </w:r>
          </w:p>
          <w:p w:rsidR="008205CC" w:rsidRPr="00F77596" w:rsidRDefault="008205CC" w:rsidP="008205CC">
            <w:pPr>
              <w:jc w:val="both"/>
              <w:rPr>
                <w:sz w:val="20"/>
                <w:lang w:val="fr-CA"/>
              </w:rPr>
            </w:pPr>
            <w:r w:rsidRPr="00F77596">
              <w:rPr>
                <w:sz w:val="20"/>
                <w:lang w:val="fr-CA"/>
              </w:rPr>
              <w:t>Cour d’appel de l’Alberta (Calgary)</w:t>
            </w:r>
          </w:p>
          <w:p w:rsidR="008205CC" w:rsidRPr="00F77596" w:rsidRDefault="008205CC" w:rsidP="008205CC">
            <w:pPr>
              <w:jc w:val="both"/>
              <w:rPr>
                <w:sz w:val="20"/>
                <w:lang w:val="fr-CA"/>
              </w:rPr>
            </w:pPr>
            <w:r w:rsidRPr="00F77596">
              <w:rPr>
                <w:sz w:val="20"/>
                <w:lang w:val="fr-CA"/>
              </w:rPr>
              <w:t>(Juges Rowbotham, O’Ferrall et Veldhuis)</w:t>
            </w:r>
          </w:p>
          <w:p w:rsidR="008205CC" w:rsidRPr="00F77596" w:rsidRDefault="00EC4FDF" w:rsidP="008205CC">
            <w:pPr>
              <w:jc w:val="both"/>
              <w:rPr>
                <w:sz w:val="20"/>
                <w:lang w:val="fr-CA"/>
              </w:rPr>
            </w:pPr>
            <w:hyperlink r:id="rId53" w:history="1">
              <w:r w:rsidR="008205CC" w:rsidRPr="00F77596">
                <w:rPr>
                  <w:rStyle w:val="Hyperlink"/>
                  <w:sz w:val="20"/>
                  <w:lang w:val="fr-CA"/>
                </w:rPr>
                <w:t>2015 ABCA 51</w:t>
              </w:r>
            </w:hyperlink>
          </w:p>
          <w:p w:rsidR="0095301E" w:rsidRPr="00E007CB" w:rsidRDefault="0095301E" w:rsidP="00B77038">
            <w:pPr>
              <w:jc w:val="both"/>
              <w:rPr>
                <w:rFonts w:eastAsia="Calibri"/>
                <w:sz w:val="20"/>
                <w:lang w:val="fr-CA"/>
              </w:rPr>
            </w:pPr>
          </w:p>
        </w:tc>
        <w:tc>
          <w:tcPr>
            <w:tcW w:w="243" w:type="pct"/>
          </w:tcPr>
          <w:p w:rsidR="0095301E" w:rsidRPr="00E007CB" w:rsidRDefault="0095301E" w:rsidP="00B77038">
            <w:pPr>
              <w:jc w:val="both"/>
              <w:rPr>
                <w:rFonts w:eastAsia="Calibri"/>
                <w:sz w:val="20"/>
                <w:lang w:val="fr-CA"/>
              </w:rPr>
            </w:pPr>
          </w:p>
        </w:tc>
        <w:tc>
          <w:tcPr>
            <w:tcW w:w="2330" w:type="pct"/>
          </w:tcPr>
          <w:p w:rsidR="008205CC" w:rsidRPr="00F77596" w:rsidRDefault="008205CC" w:rsidP="008205CC">
            <w:pPr>
              <w:jc w:val="both"/>
              <w:rPr>
                <w:sz w:val="20"/>
                <w:lang w:val="fr-CA"/>
              </w:rPr>
            </w:pPr>
            <w:r w:rsidRPr="00F77596">
              <w:rPr>
                <w:sz w:val="20"/>
                <w:lang w:val="fr-CA"/>
              </w:rPr>
              <w:t>Rejet de l’appel</w:t>
            </w:r>
          </w:p>
          <w:p w:rsidR="0095301E" w:rsidRPr="00F77596" w:rsidRDefault="0095301E" w:rsidP="00B77038">
            <w:pPr>
              <w:jc w:val="both"/>
              <w:rPr>
                <w:sz w:val="20"/>
              </w:rPr>
            </w:pPr>
          </w:p>
        </w:tc>
      </w:tr>
      <w:tr w:rsidR="008205CC" w:rsidRPr="00E007CB" w:rsidTr="00B77038">
        <w:trPr>
          <w:cantSplit/>
        </w:trPr>
        <w:tc>
          <w:tcPr>
            <w:tcW w:w="2427" w:type="pct"/>
          </w:tcPr>
          <w:p w:rsidR="008205CC" w:rsidRPr="00E007CB" w:rsidRDefault="008205CC" w:rsidP="008205CC">
            <w:pPr>
              <w:jc w:val="both"/>
              <w:rPr>
                <w:rFonts w:eastAsia="Calibri"/>
                <w:sz w:val="20"/>
                <w:lang w:val="fr-CA"/>
              </w:rPr>
            </w:pPr>
            <w:r>
              <w:rPr>
                <w:rFonts w:eastAsia="Calibri"/>
                <w:sz w:val="20"/>
                <w:lang w:val="fr-CA"/>
              </w:rPr>
              <w:t>7 avril</w:t>
            </w:r>
            <w:r w:rsidRPr="00E007CB">
              <w:rPr>
                <w:rFonts w:eastAsia="Calibri"/>
                <w:sz w:val="20"/>
                <w:lang w:val="fr-CA"/>
              </w:rPr>
              <w:t xml:space="preserve"> 201</w:t>
            </w:r>
            <w:r>
              <w:rPr>
                <w:rFonts w:eastAsia="Calibri"/>
                <w:sz w:val="20"/>
                <w:lang w:val="fr-CA"/>
              </w:rPr>
              <w:t>5</w:t>
            </w:r>
          </w:p>
          <w:p w:rsidR="008205CC" w:rsidRPr="00E007CB" w:rsidRDefault="008205CC" w:rsidP="008205CC">
            <w:pPr>
              <w:jc w:val="both"/>
              <w:rPr>
                <w:rFonts w:eastAsia="Calibri"/>
                <w:sz w:val="20"/>
                <w:lang w:val="fr-CA"/>
              </w:rPr>
            </w:pPr>
            <w:r w:rsidRPr="00E007CB">
              <w:rPr>
                <w:rFonts w:eastAsia="Calibri"/>
                <w:sz w:val="20"/>
                <w:lang w:val="fr-CA"/>
              </w:rPr>
              <w:t>Cour suprême du Canada</w:t>
            </w:r>
          </w:p>
        </w:tc>
        <w:tc>
          <w:tcPr>
            <w:tcW w:w="243" w:type="pct"/>
          </w:tcPr>
          <w:p w:rsidR="008205CC" w:rsidRPr="00E007CB" w:rsidRDefault="008205CC" w:rsidP="008205CC">
            <w:pPr>
              <w:jc w:val="both"/>
              <w:rPr>
                <w:rFonts w:eastAsia="Calibri"/>
                <w:sz w:val="20"/>
                <w:lang w:val="fr-CA"/>
              </w:rPr>
            </w:pPr>
          </w:p>
        </w:tc>
        <w:tc>
          <w:tcPr>
            <w:tcW w:w="2330" w:type="pct"/>
          </w:tcPr>
          <w:p w:rsidR="008205CC" w:rsidRPr="00F77596" w:rsidRDefault="008205CC" w:rsidP="008205CC">
            <w:pPr>
              <w:jc w:val="both"/>
              <w:rPr>
                <w:sz w:val="20"/>
                <w:lang w:val="fr-CA"/>
              </w:rPr>
            </w:pPr>
            <w:r w:rsidRPr="00F77596">
              <w:rPr>
                <w:sz w:val="20"/>
                <w:lang w:val="fr-CA"/>
              </w:rPr>
              <w:t>Dépôt de la demande d’autorisation d’appel</w:t>
            </w:r>
          </w:p>
        </w:tc>
      </w:tr>
    </w:tbl>
    <w:p w:rsidR="0095301E" w:rsidRDefault="0095301E" w:rsidP="0095301E">
      <w:pPr>
        <w:rPr>
          <w:sz w:val="20"/>
          <w:szCs w:val="20"/>
        </w:rPr>
      </w:pPr>
    </w:p>
    <w:p w:rsidR="0095301E" w:rsidRDefault="00EC4FDF" w:rsidP="0095301E">
      <w:pPr>
        <w:rPr>
          <w:sz w:val="20"/>
          <w:szCs w:val="20"/>
        </w:rPr>
      </w:pPr>
      <w:r>
        <w:rPr>
          <w:sz w:val="20"/>
          <w:szCs w:val="20"/>
          <w:lang w:val="fr-CA"/>
        </w:rPr>
        <w:pict>
          <v:rect id="_x0000_i1050" style="width:2in;height:1pt" o:hrpct="0" o:hralign="center" o:hrstd="t" o:hrnoshade="t" o:hr="t" fillcolor="black [3213]" stroked="f"/>
        </w:pict>
      </w:r>
    </w:p>
    <w:p w:rsidR="0095301E" w:rsidRDefault="0095301E" w:rsidP="0095301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A2D7E" w:rsidRPr="00A73D2C" w:rsidTr="00B77038">
        <w:trPr>
          <w:cantSplit/>
        </w:trPr>
        <w:tc>
          <w:tcPr>
            <w:tcW w:w="1458" w:type="dxa"/>
          </w:tcPr>
          <w:p w:rsidR="003A2D7E" w:rsidRPr="00A73D2C" w:rsidRDefault="003A2D7E" w:rsidP="00B77038">
            <w:pPr>
              <w:rPr>
                <w:sz w:val="20"/>
                <w:szCs w:val="20"/>
              </w:rPr>
            </w:pPr>
            <w:r w:rsidRPr="00A73D2C">
              <w:rPr>
                <w:rStyle w:val="SCCFileNumberChar"/>
                <w:sz w:val="20"/>
                <w:szCs w:val="20"/>
              </w:rPr>
              <w:t>36</w:t>
            </w:r>
            <w:r>
              <w:rPr>
                <w:rStyle w:val="SCCFileNumberChar"/>
                <w:sz w:val="20"/>
                <w:szCs w:val="20"/>
              </w:rPr>
              <w:t>393</w:t>
            </w:r>
          </w:p>
          <w:p w:rsidR="003A2D7E" w:rsidRPr="00A73D2C" w:rsidRDefault="003A2D7E" w:rsidP="00B77038">
            <w:pPr>
              <w:rPr>
                <w:b/>
                <w:sz w:val="20"/>
                <w:szCs w:val="20"/>
                <w:lang w:val="fr-CA"/>
              </w:rPr>
            </w:pPr>
          </w:p>
        </w:tc>
        <w:tc>
          <w:tcPr>
            <w:tcW w:w="8118" w:type="dxa"/>
          </w:tcPr>
          <w:p w:rsidR="003A2D7E" w:rsidRPr="00A73D2C" w:rsidRDefault="00D3497A" w:rsidP="003A2D7E">
            <w:pPr>
              <w:rPr>
                <w:sz w:val="20"/>
                <w:szCs w:val="20"/>
              </w:rPr>
            </w:pPr>
            <w:r w:rsidRPr="00D3497A">
              <w:rPr>
                <w:rStyle w:val="SCCLsocChar"/>
                <w:sz w:val="20"/>
                <w:szCs w:val="20"/>
                <w:lang w:val="en-CA"/>
              </w:rPr>
              <w:t>Peterborough Regional Health Centre v. Heike Hesse and Erkenraadje Wensvoort on behalf of themselves and all others similarly situated AND BETWEEN Mandy Edgerton Reid v. Heike Hesse and Erkenraadje Wensvoort on behalf of themselves and all others similarly situated</w:t>
            </w:r>
            <w:r w:rsidR="003A2D7E" w:rsidRPr="00A73D2C">
              <w:rPr>
                <w:sz w:val="20"/>
                <w:szCs w:val="20"/>
              </w:rPr>
              <w:t xml:space="preserve"> (</w:t>
            </w:r>
            <w:r w:rsidR="003A2D7E">
              <w:rPr>
                <w:sz w:val="20"/>
                <w:szCs w:val="20"/>
              </w:rPr>
              <w:t>Ont.</w:t>
            </w:r>
            <w:r w:rsidR="003A2D7E" w:rsidRPr="00A73D2C">
              <w:rPr>
                <w:sz w:val="20"/>
                <w:szCs w:val="20"/>
              </w:rPr>
              <w:t>) (C</w:t>
            </w:r>
            <w:r w:rsidR="003A2D7E">
              <w:rPr>
                <w:sz w:val="20"/>
                <w:szCs w:val="20"/>
              </w:rPr>
              <w:t>ivil</w:t>
            </w:r>
            <w:r w:rsidR="003A2D7E" w:rsidRPr="00A73D2C">
              <w:rPr>
                <w:sz w:val="20"/>
                <w:szCs w:val="20"/>
              </w:rPr>
              <w:t>) (By Leave)</w:t>
            </w:r>
          </w:p>
          <w:p w:rsidR="003A2D7E" w:rsidRPr="00A73D2C" w:rsidRDefault="003A2D7E" w:rsidP="00B77038">
            <w:pPr>
              <w:rPr>
                <w:sz w:val="20"/>
                <w:szCs w:val="20"/>
              </w:rPr>
            </w:pPr>
          </w:p>
        </w:tc>
      </w:tr>
      <w:tr w:rsidR="003A2D7E" w:rsidRPr="00A73D2C" w:rsidTr="00B77038">
        <w:trPr>
          <w:cantSplit/>
        </w:trPr>
        <w:tc>
          <w:tcPr>
            <w:tcW w:w="1458" w:type="dxa"/>
          </w:tcPr>
          <w:p w:rsidR="003A2D7E" w:rsidRPr="00A73D2C" w:rsidRDefault="003A2D7E" w:rsidP="00B77038">
            <w:pPr>
              <w:rPr>
                <w:sz w:val="20"/>
                <w:szCs w:val="20"/>
              </w:rPr>
            </w:pPr>
            <w:r w:rsidRPr="00A73D2C">
              <w:rPr>
                <w:sz w:val="20"/>
                <w:szCs w:val="20"/>
              </w:rPr>
              <w:t>Coram :</w:t>
            </w:r>
          </w:p>
        </w:tc>
        <w:tc>
          <w:tcPr>
            <w:tcW w:w="8118" w:type="dxa"/>
          </w:tcPr>
          <w:p w:rsidR="003A2D7E" w:rsidRDefault="0064430A" w:rsidP="00B77038">
            <w:pPr>
              <w:rPr>
                <w:rStyle w:val="SCCCoramChar"/>
                <w:sz w:val="20"/>
                <w:szCs w:val="20"/>
                <w:lang w:val="en-CA"/>
              </w:rPr>
            </w:pPr>
            <w:r w:rsidRPr="0064430A">
              <w:rPr>
                <w:rStyle w:val="SCCCoramChar"/>
                <w:sz w:val="20"/>
                <w:szCs w:val="20"/>
                <w:lang w:val="en-CA"/>
              </w:rPr>
              <w:t>Abella, Karakatsanis and Côté JJ.</w:t>
            </w:r>
          </w:p>
          <w:p w:rsidR="0064430A" w:rsidRPr="00A73D2C" w:rsidRDefault="0064430A" w:rsidP="00B77038">
            <w:pPr>
              <w:rPr>
                <w:sz w:val="20"/>
                <w:szCs w:val="20"/>
                <w:u w:val="single"/>
              </w:rPr>
            </w:pPr>
          </w:p>
        </w:tc>
      </w:tr>
      <w:tr w:rsidR="003A2D7E" w:rsidRPr="00002704" w:rsidTr="00B77038">
        <w:trPr>
          <w:cantSplit/>
        </w:trPr>
        <w:tc>
          <w:tcPr>
            <w:tcW w:w="9576" w:type="dxa"/>
            <w:gridSpan w:val="2"/>
          </w:tcPr>
          <w:p w:rsidR="0064430A" w:rsidRPr="0064430A" w:rsidRDefault="0064430A" w:rsidP="0064430A">
            <w:pPr>
              <w:pStyle w:val="SCCShortJudgment"/>
              <w:rPr>
                <w:szCs w:val="20"/>
              </w:rPr>
            </w:pPr>
            <w:r w:rsidRPr="0064430A">
              <w:rPr>
                <w:szCs w:val="20"/>
              </w:rPr>
              <w:lastRenderedPageBreak/>
              <w:t>The applications for leave to appeal from the judgment of the Court of Appeal for Ontario, Number C58403, 2015 ONCA 112, dated February 18, 2015, are dismissed without costs.</w:t>
            </w:r>
          </w:p>
          <w:p w:rsidR="0064430A" w:rsidRPr="0064430A" w:rsidRDefault="0064430A" w:rsidP="0064430A">
            <w:pPr>
              <w:pStyle w:val="SCCShortJudgment"/>
              <w:rPr>
                <w:szCs w:val="20"/>
              </w:rPr>
            </w:pPr>
          </w:p>
          <w:p w:rsidR="003A2D7E" w:rsidRPr="00A73D2C" w:rsidRDefault="0064430A" w:rsidP="0064430A">
            <w:pPr>
              <w:pStyle w:val="SCCShortJudgment"/>
              <w:rPr>
                <w:szCs w:val="20"/>
                <w:lang w:val="fr-CA"/>
              </w:rPr>
            </w:pPr>
            <w:r w:rsidRPr="0064430A">
              <w:rPr>
                <w:szCs w:val="20"/>
              </w:rPr>
              <w:t>Les demandes d’autorisation d’appel de l’arrêt de la Cour d’appel de l’Ontario, numéro C58403, 2015 ONCA 112, daté du 18 février 2015, sont rejetées sans dépens.</w:t>
            </w:r>
          </w:p>
        </w:tc>
      </w:tr>
    </w:tbl>
    <w:p w:rsidR="003A2D7E" w:rsidRPr="0016547E" w:rsidRDefault="003A2D7E" w:rsidP="003A2D7E">
      <w:pPr>
        <w:rPr>
          <w:sz w:val="20"/>
          <w:szCs w:val="20"/>
          <w:lang w:val="fr-CA"/>
        </w:rPr>
      </w:pPr>
    </w:p>
    <w:p w:rsidR="003A2D7E" w:rsidRPr="001B157C" w:rsidRDefault="003A2D7E" w:rsidP="003A2D7E">
      <w:pPr>
        <w:rPr>
          <w:sz w:val="20"/>
          <w:szCs w:val="20"/>
          <w:u w:val="single"/>
        </w:rPr>
      </w:pPr>
      <w:r w:rsidRPr="001B157C">
        <w:rPr>
          <w:sz w:val="20"/>
          <w:szCs w:val="20"/>
          <w:u w:val="single"/>
        </w:rPr>
        <w:t>CASE SUMMARY</w:t>
      </w:r>
    </w:p>
    <w:p w:rsidR="003A2D7E" w:rsidRDefault="003A2D7E" w:rsidP="003A2D7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2D7E" w:rsidRPr="00E007CB" w:rsidTr="00B77038">
        <w:tc>
          <w:tcPr>
            <w:tcW w:w="5000" w:type="pct"/>
            <w:gridSpan w:val="3"/>
          </w:tcPr>
          <w:p w:rsidR="003A2D7E" w:rsidRDefault="00F701D6" w:rsidP="00B77038">
            <w:pPr>
              <w:jc w:val="both"/>
              <w:rPr>
                <w:sz w:val="20"/>
              </w:rPr>
            </w:pPr>
            <w:r w:rsidRPr="00F77596">
              <w:rPr>
                <w:sz w:val="20"/>
              </w:rPr>
              <w:t>Privacy law – Breach of privacy rights – Statutory interpretation – Legislative intention to create complete code – Tort law – Intrusion upon seclusion – Whether the Ontario</w:t>
            </w:r>
            <w:r w:rsidRPr="00F77596">
              <w:rPr>
                <w:i/>
                <w:sz w:val="20"/>
              </w:rPr>
              <w:t xml:space="preserve"> Personal Health Information Protection Act</w:t>
            </w:r>
            <w:r w:rsidRPr="00F77596">
              <w:rPr>
                <w:sz w:val="20"/>
              </w:rPr>
              <w:t>, S.O. 2004, c. 3, Sch. A, creates an exhaustive code governing patient records that precludes common law claims for breach of privacy and ousts the jurisdiction of the Superior Court – Does the new tort of intrusion upon seclusion allow the court to ignore comprehensive legislative codes affording remedies for breach of privacy? – When a comprehensive statutory scheme administered by an expert decision-maker provides adequate and effective remedies, must the court defer adjudication of disputes whose essential character relates to that scheme until the statutory remedies are exhausted?</w:t>
            </w:r>
          </w:p>
          <w:p w:rsidR="00F701D6" w:rsidRPr="00E007CB" w:rsidRDefault="00F701D6" w:rsidP="00B77038">
            <w:pPr>
              <w:jc w:val="both"/>
              <w:rPr>
                <w:rFonts w:eastAsia="Calibri"/>
                <w:sz w:val="20"/>
              </w:rPr>
            </w:pPr>
          </w:p>
        </w:tc>
      </w:tr>
      <w:tr w:rsidR="00F701D6" w:rsidRPr="00E007CB" w:rsidTr="00B77038">
        <w:tc>
          <w:tcPr>
            <w:tcW w:w="5000" w:type="pct"/>
            <w:gridSpan w:val="3"/>
          </w:tcPr>
          <w:p w:rsidR="00F701D6" w:rsidRPr="00F77596" w:rsidRDefault="00F701D6" w:rsidP="00F701D6">
            <w:pPr>
              <w:jc w:val="both"/>
              <w:rPr>
                <w:sz w:val="20"/>
              </w:rPr>
            </w:pPr>
            <w:r w:rsidRPr="00F77596">
              <w:rPr>
                <w:sz w:val="20"/>
              </w:rPr>
              <w:t>Erkenraadje Wensvoort is a representative plaintiff in a proposed class action. She and 280 other patients of the Peterborough Regional Health Centre (“the Hospital”) received notices from the Hospital, as required by the Ontario</w:t>
            </w:r>
            <w:r w:rsidRPr="00F77596">
              <w:rPr>
                <w:i/>
                <w:sz w:val="20"/>
              </w:rPr>
              <w:t xml:space="preserve"> Personal Health Information Protection Act</w:t>
            </w:r>
            <w:r w:rsidRPr="00F77596">
              <w:rPr>
                <w:sz w:val="20"/>
              </w:rPr>
              <w:t xml:space="preserve">, S.O. 2004, c. 3, Sch. A (“PHIPA”), indicating that the privacy of her personal health information had been breached. Mandy Edgerton Reid, is a registered practical nurse who worked at the Hospital. The statement of claim states that she and other individual defendants, who were all Hospital employees when the breaches occurred, improperly accessed and disclosed patient records. Ms. Wensvoort initially relied on breaches of PHIPA to assert a cause of action. The statement of claim was subsequently amended to contain only the common law tort of intrusion upon seclusion (breach of privacy), recognized by the Ontario Court of Appeal in </w:t>
            </w:r>
            <w:r w:rsidRPr="00F77596">
              <w:rPr>
                <w:i/>
                <w:sz w:val="20"/>
              </w:rPr>
              <w:t>Jones v. Tsige</w:t>
            </w:r>
            <w:r w:rsidRPr="00F77596">
              <w:rPr>
                <w:sz w:val="20"/>
              </w:rPr>
              <w:t>, 2012 ONCA 32, 108 O.R. (3d) 241. The Hospital brought a motion to strike the claim and dismiss the action, on the ground that PHIPA is an exhaustive code that ousts the jurisdiction of the Superior Court to entertain any common law claim for invasion of privacy rights in relation to patient records.</w:t>
            </w:r>
          </w:p>
          <w:p w:rsidR="00F701D6" w:rsidRPr="00F77596" w:rsidRDefault="00F701D6" w:rsidP="00B77038">
            <w:pPr>
              <w:jc w:val="both"/>
              <w:rPr>
                <w:sz w:val="20"/>
              </w:rPr>
            </w:pPr>
          </w:p>
        </w:tc>
      </w:tr>
      <w:tr w:rsidR="003A2D7E" w:rsidRPr="00E007CB" w:rsidTr="00B77038">
        <w:trPr>
          <w:cantSplit/>
        </w:trPr>
        <w:tc>
          <w:tcPr>
            <w:tcW w:w="2427" w:type="pct"/>
          </w:tcPr>
          <w:p w:rsidR="00EA2AEE" w:rsidRPr="00F77596" w:rsidRDefault="00EA2AEE" w:rsidP="00EA2AEE">
            <w:pPr>
              <w:jc w:val="both"/>
              <w:rPr>
                <w:sz w:val="20"/>
              </w:rPr>
            </w:pPr>
            <w:r w:rsidRPr="00F77596">
              <w:rPr>
                <w:sz w:val="20"/>
              </w:rPr>
              <w:t>January 31, 2014</w:t>
            </w:r>
          </w:p>
          <w:p w:rsidR="00EA2AEE" w:rsidRPr="00F77596" w:rsidRDefault="00EA2AEE" w:rsidP="00EA2AEE">
            <w:pPr>
              <w:jc w:val="both"/>
              <w:rPr>
                <w:sz w:val="20"/>
              </w:rPr>
            </w:pPr>
            <w:r w:rsidRPr="00F77596">
              <w:rPr>
                <w:sz w:val="20"/>
              </w:rPr>
              <w:t>Ontario Superior Court of Justice</w:t>
            </w:r>
          </w:p>
          <w:p w:rsidR="00EA2AEE" w:rsidRPr="00F77596" w:rsidRDefault="00EA2AEE" w:rsidP="00EA2AEE">
            <w:pPr>
              <w:jc w:val="both"/>
              <w:rPr>
                <w:sz w:val="20"/>
              </w:rPr>
            </w:pPr>
            <w:r w:rsidRPr="00F77596">
              <w:rPr>
                <w:sz w:val="20"/>
              </w:rPr>
              <w:t>(Edwards J.)</w:t>
            </w:r>
          </w:p>
          <w:p w:rsidR="003A2D7E" w:rsidRPr="00E007CB" w:rsidRDefault="003A2D7E" w:rsidP="00B77038">
            <w:pPr>
              <w:jc w:val="both"/>
              <w:rPr>
                <w:rFonts w:eastAsia="Calibri"/>
                <w:sz w:val="20"/>
              </w:rPr>
            </w:pPr>
          </w:p>
        </w:tc>
        <w:tc>
          <w:tcPr>
            <w:tcW w:w="243" w:type="pct"/>
          </w:tcPr>
          <w:p w:rsidR="003A2D7E" w:rsidRPr="00E007CB" w:rsidRDefault="003A2D7E" w:rsidP="00B77038">
            <w:pPr>
              <w:jc w:val="both"/>
              <w:rPr>
                <w:rFonts w:eastAsia="Calibri"/>
                <w:sz w:val="20"/>
              </w:rPr>
            </w:pPr>
          </w:p>
        </w:tc>
        <w:tc>
          <w:tcPr>
            <w:tcW w:w="2330" w:type="pct"/>
          </w:tcPr>
          <w:p w:rsidR="00EA2AEE" w:rsidRPr="00F77596" w:rsidRDefault="00EA2AEE" w:rsidP="00EA2AEE">
            <w:pPr>
              <w:jc w:val="both"/>
              <w:rPr>
                <w:sz w:val="20"/>
              </w:rPr>
            </w:pPr>
            <w:r w:rsidRPr="00F77596">
              <w:rPr>
                <w:sz w:val="20"/>
              </w:rPr>
              <w:t>Motion of the applicant, Peterborough Regional Health Centre, to strike the claim and dismiss action, dismissed.</w:t>
            </w:r>
          </w:p>
          <w:p w:rsidR="003A2D7E" w:rsidRPr="00F77596" w:rsidRDefault="003A2D7E" w:rsidP="00B77038">
            <w:pPr>
              <w:jc w:val="both"/>
              <w:rPr>
                <w:sz w:val="20"/>
              </w:rPr>
            </w:pPr>
          </w:p>
        </w:tc>
      </w:tr>
      <w:tr w:rsidR="003A2D7E" w:rsidRPr="00E007CB" w:rsidTr="00B77038">
        <w:trPr>
          <w:cantSplit/>
        </w:trPr>
        <w:tc>
          <w:tcPr>
            <w:tcW w:w="2427" w:type="pct"/>
          </w:tcPr>
          <w:p w:rsidR="00EA2AEE" w:rsidRPr="00F77596" w:rsidRDefault="00EA2AEE" w:rsidP="00EA2AEE">
            <w:pPr>
              <w:jc w:val="both"/>
              <w:rPr>
                <w:sz w:val="20"/>
              </w:rPr>
            </w:pPr>
            <w:r w:rsidRPr="00F77596">
              <w:rPr>
                <w:sz w:val="20"/>
              </w:rPr>
              <w:t>February 18, 2015</w:t>
            </w:r>
          </w:p>
          <w:p w:rsidR="00EA2AEE" w:rsidRPr="00F77596" w:rsidRDefault="00EA2AEE" w:rsidP="00EA2AEE">
            <w:pPr>
              <w:jc w:val="both"/>
              <w:rPr>
                <w:sz w:val="20"/>
              </w:rPr>
            </w:pPr>
            <w:r w:rsidRPr="00F77596">
              <w:rPr>
                <w:sz w:val="20"/>
              </w:rPr>
              <w:t>Court of Appeal for Ontario</w:t>
            </w:r>
          </w:p>
          <w:p w:rsidR="00EA2AEE" w:rsidRPr="00F77596" w:rsidRDefault="00EA2AEE" w:rsidP="00EA2AEE">
            <w:pPr>
              <w:jc w:val="both"/>
              <w:rPr>
                <w:sz w:val="20"/>
              </w:rPr>
            </w:pPr>
            <w:r w:rsidRPr="00F77596">
              <w:rPr>
                <w:sz w:val="20"/>
              </w:rPr>
              <w:t>(Sharp, van Rensburg and Pardu JJ.A.)</w:t>
            </w:r>
          </w:p>
          <w:p w:rsidR="00EA2AEE" w:rsidRPr="00F77596" w:rsidRDefault="00EC4FDF" w:rsidP="00EA2AEE">
            <w:pPr>
              <w:jc w:val="both"/>
              <w:rPr>
                <w:sz w:val="20"/>
              </w:rPr>
            </w:pPr>
            <w:hyperlink r:id="rId54" w:history="1">
              <w:r w:rsidR="00EA2AEE" w:rsidRPr="00F77596">
                <w:rPr>
                  <w:rStyle w:val="Hyperlink"/>
                  <w:sz w:val="20"/>
                </w:rPr>
                <w:t>2015 ONCA 112</w:t>
              </w:r>
            </w:hyperlink>
          </w:p>
          <w:p w:rsidR="003A2D7E" w:rsidRPr="00E007CB" w:rsidRDefault="003A2D7E" w:rsidP="00B77038">
            <w:pPr>
              <w:jc w:val="both"/>
              <w:rPr>
                <w:rFonts w:eastAsia="Calibri"/>
                <w:sz w:val="20"/>
              </w:rPr>
            </w:pPr>
          </w:p>
        </w:tc>
        <w:tc>
          <w:tcPr>
            <w:tcW w:w="243" w:type="pct"/>
          </w:tcPr>
          <w:p w:rsidR="003A2D7E" w:rsidRPr="00E007CB" w:rsidRDefault="003A2D7E" w:rsidP="00B77038">
            <w:pPr>
              <w:jc w:val="both"/>
              <w:rPr>
                <w:rFonts w:eastAsia="Calibri"/>
                <w:sz w:val="20"/>
              </w:rPr>
            </w:pPr>
          </w:p>
        </w:tc>
        <w:tc>
          <w:tcPr>
            <w:tcW w:w="2330" w:type="pct"/>
          </w:tcPr>
          <w:p w:rsidR="00EA2AEE" w:rsidRPr="00F77596" w:rsidRDefault="00EA2AEE" w:rsidP="00EA2AEE">
            <w:pPr>
              <w:jc w:val="both"/>
              <w:rPr>
                <w:sz w:val="20"/>
              </w:rPr>
            </w:pPr>
            <w:r w:rsidRPr="00F77596">
              <w:rPr>
                <w:sz w:val="20"/>
              </w:rPr>
              <w:t>Appeal of the applicant, Peterborough Regional Health Centre, dismissed.</w:t>
            </w:r>
          </w:p>
          <w:p w:rsidR="003A2D7E" w:rsidRPr="00F77596" w:rsidRDefault="003A2D7E" w:rsidP="00B77038">
            <w:pPr>
              <w:jc w:val="both"/>
              <w:rPr>
                <w:sz w:val="20"/>
              </w:rPr>
            </w:pPr>
          </w:p>
        </w:tc>
      </w:tr>
      <w:tr w:rsidR="003A2D7E" w:rsidRPr="00E007CB" w:rsidTr="00B77038">
        <w:trPr>
          <w:cantSplit/>
        </w:trPr>
        <w:tc>
          <w:tcPr>
            <w:tcW w:w="2427" w:type="pct"/>
          </w:tcPr>
          <w:p w:rsidR="003A2D7E" w:rsidRPr="00E007CB" w:rsidRDefault="003A2D7E" w:rsidP="00B77038">
            <w:pPr>
              <w:jc w:val="both"/>
              <w:rPr>
                <w:rFonts w:eastAsia="Calibri"/>
                <w:sz w:val="20"/>
              </w:rPr>
            </w:pPr>
            <w:r>
              <w:rPr>
                <w:rFonts w:eastAsia="Calibri"/>
                <w:sz w:val="20"/>
              </w:rPr>
              <w:t>April</w:t>
            </w:r>
            <w:r w:rsidRPr="00E007CB">
              <w:rPr>
                <w:rFonts w:eastAsia="Calibri"/>
                <w:sz w:val="20"/>
              </w:rPr>
              <w:t xml:space="preserve"> </w:t>
            </w:r>
            <w:r w:rsidR="004E024F">
              <w:rPr>
                <w:rFonts w:eastAsia="Calibri"/>
                <w:sz w:val="20"/>
              </w:rPr>
              <w:t>20</w:t>
            </w:r>
            <w:r>
              <w:rPr>
                <w:rFonts w:eastAsia="Calibri"/>
                <w:sz w:val="20"/>
              </w:rPr>
              <w:t>,</w:t>
            </w:r>
            <w:r w:rsidRPr="00E007CB">
              <w:rPr>
                <w:rFonts w:eastAsia="Calibri"/>
                <w:sz w:val="20"/>
              </w:rPr>
              <w:t xml:space="preserve"> 201</w:t>
            </w:r>
            <w:r>
              <w:rPr>
                <w:rFonts w:eastAsia="Calibri"/>
                <w:sz w:val="20"/>
              </w:rPr>
              <w:t>5</w:t>
            </w:r>
          </w:p>
          <w:p w:rsidR="003A2D7E" w:rsidRPr="00E007CB" w:rsidRDefault="003A2D7E" w:rsidP="00B77038">
            <w:pPr>
              <w:jc w:val="both"/>
              <w:rPr>
                <w:rFonts w:eastAsia="Calibri"/>
                <w:sz w:val="20"/>
              </w:rPr>
            </w:pPr>
            <w:r w:rsidRPr="00E007CB">
              <w:rPr>
                <w:rFonts w:eastAsia="Calibri"/>
                <w:sz w:val="20"/>
              </w:rPr>
              <w:t>Supreme Court of Canada</w:t>
            </w:r>
          </w:p>
        </w:tc>
        <w:tc>
          <w:tcPr>
            <w:tcW w:w="243" w:type="pct"/>
          </w:tcPr>
          <w:p w:rsidR="003A2D7E" w:rsidRPr="00E007CB" w:rsidRDefault="003A2D7E" w:rsidP="00B77038">
            <w:pPr>
              <w:jc w:val="both"/>
              <w:rPr>
                <w:rFonts w:eastAsia="Calibri"/>
                <w:sz w:val="20"/>
              </w:rPr>
            </w:pPr>
          </w:p>
        </w:tc>
        <w:tc>
          <w:tcPr>
            <w:tcW w:w="2330" w:type="pct"/>
          </w:tcPr>
          <w:p w:rsidR="003A2D7E" w:rsidRPr="00F77596" w:rsidRDefault="003A2D7E" w:rsidP="00B77038">
            <w:pPr>
              <w:jc w:val="both"/>
              <w:rPr>
                <w:sz w:val="20"/>
              </w:rPr>
            </w:pPr>
            <w:r w:rsidRPr="00F77596">
              <w:rPr>
                <w:sz w:val="20"/>
              </w:rPr>
              <w:t>Application for leave to appeal</w:t>
            </w:r>
            <w:r w:rsidR="004E024F">
              <w:rPr>
                <w:sz w:val="20"/>
              </w:rPr>
              <w:t>,</w:t>
            </w:r>
            <w:r w:rsidRPr="00F77596">
              <w:rPr>
                <w:sz w:val="20"/>
              </w:rPr>
              <w:t xml:space="preserve"> filed</w:t>
            </w:r>
          </w:p>
          <w:p w:rsidR="003A2D7E" w:rsidRPr="00F77596" w:rsidRDefault="003A2D7E" w:rsidP="00B77038">
            <w:pPr>
              <w:jc w:val="both"/>
              <w:rPr>
                <w:sz w:val="20"/>
              </w:rPr>
            </w:pPr>
          </w:p>
        </w:tc>
      </w:tr>
    </w:tbl>
    <w:p w:rsidR="003A2D7E" w:rsidRDefault="003A2D7E" w:rsidP="003A2D7E">
      <w:pPr>
        <w:rPr>
          <w:sz w:val="20"/>
          <w:szCs w:val="20"/>
        </w:rPr>
      </w:pPr>
    </w:p>
    <w:p w:rsidR="003A2D7E" w:rsidRPr="00C50A5C" w:rsidRDefault="00EC4FDF" w:rsidP="003A2D7E">
      <w:pPr>
        <w:rPr>
          <w:sz w:val="20"/>
          <w:szCs w:val="20"/>
        </w:rPr>
      </w:pPr>
      <w:r>
        <w:rPr>
          <w:sz w:val="20"/>
          <w:szCs w:val="20"/>
          <w:lang w:val="fr-CA"/>
        </w:rPr>
        <w:pict>
          <v:rect id="_x0000_i1051" style="width:2in;height:1pt" o:hrpct="0" o:hralign="center" o:hrstd="t" o:hrnoshade="t" o:hr="t" fillcolor="black [3213]" stroked="f"/>
        </w:pict>
      </w:r>
    </w:p>
    <w:p w:rsidR="003A2D7E" w:rsidRDefault="003A2D7E" w:rsidP="003A2D7E">
      <w:pPr>
        <w:rPr>
          <w:sz w:val="20"/>
          <w:szCs w:val="20"/>
        </w:rPr>
      </w:pPr>
    </w:p>
    <w:p w:rsidR="003A2D7E" w:rsidRPr="001B157C" w:rsidRDefault="003A2D7E" w:rsidP="003A2D7E">
      <w:pPr>
        <w:rPr>
          <w:sz w:val="20"/>
          <w:szCs w:val="20"/>
          <w:u w:val="single"/>
          <w:lang w:val="fr-CA"/>
        </w:rPr>
      </w:pPr>
      <w:r w:rsidRPr="001B157C">
        <w:rPr>
          <w:sz w:val="20"/>
          <w:szCs w:val="20"/>
          <w:u w:val="single"/>
          <w:lang w:val="fr-CA"/>
        </w:rPr>
        <w:t>RÉSUMÉ DE L’AFFAIRE</w:t>
      </w:r>
    </w:p>
    <w:p w:rsidR="003A2D7E" w:rsidRDefault="003A2D7E" w:rsidP="003A2D7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2D7E" w:rsidRPr="00002704" w:rsidTr="00B77038">
        <w:tc>
          <w:tcPr>
            <w:tcW w:w="5000" w:type="pct"/>
            <w:gridSpan w:val="3"/>
          </w:tcPr>
          <w:p w:rsidR="003A2D7E" w:rsidRDefault="00D175E3" w:rsidP="00B77038">
            <w:pPr>
              <w:jc w:val="both"/>
              <w:rPr>
                <w:sz w:val="20"/>
                <w:lang w:val="fr-CA"/>
              </w:rPr>
            </w:pPr>
            <w:r w:rsidRPr="00F77596">
              <w:rPr>
                <w:sz w:val="20"/>
                <w:lang w:val="fr-CA"/>
              </w:rPr>
              <w:t xml:space="preserve">Vie privée – Atteinte aux droits à la vie privée – Interprétation législative – Intention du législateur de créer un code complet– Responsabilité délictuelle – Intrusion dans l’intimité – La </w:t>
            </w:r>
            <w:r w:rsidRPr="00F77596">
              <w:rPr>
                <w:i/>
                <w:sz w:val="20"/>
                <w:lang w:val="fr-CA"/>
              </w:rPr>
              <w:t>Loi de 2004 sur la protection des renseignements personnels sur la santé</w:t>
            </w:r>
            <w:r w:rsidRPr="00F77596">
              <w:rPr>
                <w:sz w:val="20"/>
                <w:lang w:val="fr-CA"/>
              </w:rPr>
              <w:t xml:space="preserve">, L.O. 2004, c. 3, ann. A, une loi de l’Ontario, crée-t-elle un code complet régissant les dossiers des patients qui fait obstacle aux actions pour atteinte à la vie privée fondées sur la common law et qui ôte à la Cour supérieure compétence en la matière? – Le tribunal peut-il, dans le cas du nouveau délit civil d’intrusion dans l’intimité, faire fi de codes législatifs complets qui prévoient des recours en cas d’atteintes à la vie privée? – S’il existe un régime </w:t>
            </w:r>
            <w:r w:rsidRPr="00F77596">
              <w:rPr>
                <w:sz w:val="20"/>
                <w:lang w:val="fr-CA"/>
              </w:rPr>
              <w:lastRenderedPageBreak/>
              <w:t>légal exhaustif, administré par un décideur expert, qui prévoit des recours adéquats et utiles, le tribunal doit-il reporter le règlement des litiges qui intéressent essentiellement ce régime jusqu’à l’épuisement de tous les recours légaux?</w:t>
            </w:r>
          </w:p>
          <w:p w:rsidR="00D175E3" w:rsidRPr="00E007CB" w:rsidRDefault="00D175E3" w:rsidP="00B77038">
            <w:pPr>
              <w:jc w:val="both"/>
              <w:rPr>
                <w:rFonts w:eastAsia="Calibri"/>
                <w:sz w:val="20"/>
                <w:lang w:val="fr-CA"/>
              </w:rPr>
            </w:pPr>
          </w:p>
        </w:tc>
      </w:tr>
      <w:tr w:rsidR="00D175E3" w:rsidRPr="00002704" w:rsidTr="00B77038">
        <w:tc>
          <w:tcPr>
            <w:tcW w:w="5000" w:type="pct"/>
            <w:gridSpan w:val="3"/>
          </w:tcPr>
          <w:p w:rsidR="00D175E3" w:rsidRPr="00F77596" w:rsidRDefault="00D175E3" w:rsidP="00D175E3">
            <w:pPr>
              <w:jc w:val="both"/>
              <w:rPr>
                <w:sz w:val="20"/>
                <w:lang w:val="fr-CA"/>
              </w:rPr>
            </w:pPr>
            <w:r w:rsidRPr="00F77596">
              <w:rPr>
                <w:sz w:val="20"/>
                <w:lang w:val="fr-CA"/>
              </w:rPr>
              <w:lastRenderedPageBreak/>
              <w:t xml:space="preserve">Erkenraadje Wensvoort est la représentante du groupe dans un recours collectif proposé. Elle a reçu, de même que 280 autres patients du Peterborough Regional Health Centre (l’« hôpital »), un avis, conformément à la </w:t>
            </w:r>
            <w:r w:rsidRPr="00F77596">
              <w:rPr>
                <w:i/>
                <w:sz w:val="20"/>
                <w:lang w:val="fr-CA"/>
              </w:rPr>
              <w:t>Loi de 2004 sur la protection des renseignements personnels sur la santé</w:t>
            </w:r>
            <w:r w:rsidRPr="00F77596">
              <w:rPr>
                <w:sz w:val="20"/>
                <w:lang w:val="fr-CA"/>
              </w:rPr>
              <w:t xml:space="preserve">, L.O. 2004, c.3, ann. A (la « LPRPS »), de l’hôpital lui révélant que ses renseignements personnels sur la santé avaient été compromis. Mandy Edgerton Reid est une infirmière auxiliaire autorisée qui travaillait à l’hôpital. Selon la demande, Mme Reid et d’autres défendeurs, tous des employés de l’hôpital au moment des atteintes, auraient consulté et révélé sans autorisation les dossiers des patients. Mme Wensvoort avait commencé par invoquer les contraventions à la LPRPS comme cause d’action, mais a modifié sa demande par la suite pour n’y inclure que le délit civil d’intrusion dans l’intimité (atteinte à la vie privée) reconnu par la Cour d’appel de l’Ontario dans l’arrêt </w:t>
            </w:r>
            <w:r w:rsidRPr="00F77596">
              <w:rPr>
                <w:i/>
                <w:sz w:val="20"/>
                <w:lang w:val="fr-CA"/>
              </w:rPr>
              <w:t>Jones c. Tsige</w:t>
            </w:r>
            <w:r w:rsidRPr="00F77596">
              <w:rPr>
                <w:sz w:val="20"/>
                <w:lang w:val="fr-CA"/>
              </w:rPr>
              <w:t>, 2012 ONCA 32. L’hôpital a présenté une motion en radiation de la demande et en rejet de l’action, au motif que la LPRPS constitue un code complet qui ôte à la Cour supérieure toute compétence à l’égard d’actions fondées sur la common law pour atteinte à la vie privée relativement à des dossiers médicaux.</w:t>
            </w:r>
          </w:p>
          <w:p w:rsidR="00D175E3" w:rsidRPr="00F77596" w:rsidRDefault="00D175E3" w:rsidP="00B77038">
            <w:pPr>
              <w:jc w:val="both"/>
              <w:rPr>
                <w:sz w:val="20"/>
                <w:lang w:val="fr-CA"/>
              </w:rPr>
            </w:pPr>
          </w:p>
        </w:tc>
      </w:tr>
      <w:tr w:rsidR="003A2D7E" w:rsidRPr="00002704" w:rsidTr="00B77038">
        <w:trPr>
          <w:cantSplit/>
        </w:trPr>
        <w:tc>
          <w:tcPr>
            <w:tcW w:w="2427" w:type="pct"/>
          </w:tcPr>
          <w:p w:rsidR="009145B4" w:rsidRPr="00F77596" w:rsidRDefault="009145B4" w:rsidP="009145B4">
            <w:pPr>
              <w:jc w:val="both"/>
              <w:rPr>
                <w:sz w:val="20"/>
                <w:lang w:val="fr-CA"/>
              </w:rPr>
            </w:pPr>
            <w:r w:rsidRPr="00F77596">
              <w:rPr>
                <w:sz w:val="20"/>
                <w:lang w:val="fr-CA"/>
              </w:rPr>
              <w:t>31 janvier 2014</w:t>
            </w:r>
          </w:p>
          <w:p w:rsidR="009145B4" w:rsidRPr="00F77596" w:rsidRDefault="009145B4" w:rsidP="009145B4">
            <w:pPr>
              <w:jc w:val="both"/>
              <w:rPr>
                <w:sz w:val="20"/>
                <w:lang w:val="fr-CA"/>
              </w:rPr>
            </w:pPr>
            <w:r w:rsidRPr="00F77596">
              <w:rPr>
                <w:sz w:val="20"/>
                <w:lang w:val="fr-CA"/>
              </w:rPr>
              <w:t>Cour supérieure de justice de l’Ontario</w:t>
            </w:r>
          </w:p>
          <w:p w:rsidR="009145B4" w:rsidRPr="00F77596" w:rsidRDefault="009145B4" w:rsidP="009145B4">
            <w:pPr>
              <w:jc w:val="both"/>
              <w:rPr>
                <w:sz w:val="20"/>
                <w:lang w:val="fr-CA"/>
              </w:rPr>
            </w:pPr>
            <w:r w:rsidRPr="00F77596">
              <w:rPr>
                <w:sz w:val="20"/>
                <w:lang w:val="fr-CA"/>
              </w:rPr>
              <w:t>(Juge Edwards)</w:t>
            </w:r>
          </w:p>
          <w:p w:rsidR="003A2D7E" w:rsidRPr="00E007CB" w:rsidRDefault="003A2D7E" w:rsidP="00B77038">
            <w:pPr>
              <w:jc w:val="both"/>
              <w:rPr>
                <w:rFonts w:eastAsia="Calibri"/>
                <w:sz w:val="20"/>
                <w:lang w:val="fr-CA"/>
              </w:rPr>
            </w:pPr>
          </w:p>
        </w:tc>
        <w:tc>
          <w:tcPr>
            <w:tcW w:w="243" w:type="pct"/>
          </w:tcPr>
          <w:p w:rsidR="003A2D7E" w:rsidRPr="00E007CB" w:rsidRDefault="003A2D7E" w:rsidP="00B77038">
            <w:pPr>
              <w:jc w:val="both"/>
              <w:rPr>
                <w:rFonts w:eastAsia="Calibri"/>
                <w:sz w:val="20"/>
                <w:lang w:val="fr-CA"/>
              </w:rPr>
            </w:pPr>
          </w:p>
        </w:tc>
        <w:tc>
          <w:tcPr>
            <w:tcW w:w="2330" w:type="pct"/>
          </w:tcPr>
          <w:p w:rsidR="009145B4" w:rsidRPr="00F77596" w:rsidRDefault="009145B4" w:rsidP="009145B4">
            <w:pPr>
              <w:jc w:val="both"/>
              <w:rPr>
                <w:sz w:val="20"/>
                <w:lang w:val="fr-CA"/>
              </w:rPr>
            </w:pPr>
            <w:r w:rsidRPr="00F77596">
              <w:rPr>
                <w:sz w:val="20"/>
                <w:lang w:val="fr-CA"/>
              </w:rPr>
              <w:t>Rejet de la motion en radiation de la demande et en rejet de l’action présentée par la demanderesse, le Peterborough Regional Health Centre.</w:t>
            </w:r>
          </w:p>
          <w:p w:rsidR="003A2D7E" w:rsidRPr="00E007CB" w:rsidRDefault="003A2D7E" w:rsidP="00B77038">
            <w:pPr>
              <w:jc w:val="both"/>
              <w:rPr>
                <w:rFonts w:eastAsia="Calibri"/>
                <w:sz w:val="20"/>
                <w:lang w:val="fr-CA"/>
              </w:rPr>
            </w:pPr>
          </w:p>
        </w:tc>
      </w:tr>
      <w:tr w:rsidR="003A2D7E" w:rsidRPr="00002704" w:rsidTr="00B77038">
        <w:trPr>
          <w:cantSplit/>
        </w:trPr>
        <w:tc>
          <w:tcPr>
            <w:tcW w:w="2427" w:type="pct"/>
          </w:tcPr>
          <w:p w:rsidR="009145B4" w:rsidRPr="00F77596" w:rsidRDefault="009145B4" w:rsidP="009145B4">
            <w:pPr>
              <w:jc w:val="both"/>
              <w:rPr>
                <w:sz w:val="20"/>
                <w:lang w:val="fr-CA"/>
              </w:rPr>
            </w:pPr>
            <w:r w:rsidRPr="00F77596">
              <w:rPr>
                <w:sz w:val="20"/>
                <w:lang w:val="fr-CA"/>
              </w:rPr>
              <w:t>18 février 2015</w:t>
            </w:r>
          </w:p>
          <w:p w:rsidR="009145B4" w:rsidRPr="00F77596" w:rsidRDefault="009145B4" w:rsidP="009145B4">
            <w:pPr>
              <w:jc w:val="both"/>
              <w:rPr>
                <w:sz w:val="20"/>
                <w:lang w:val="fr-CA"/>
              </w:rPr>
            </w:pPr>
            <w:r w:rsidRPr="00F77596">
              <w:rPr>
                <w:sz w:val="20"/>
                <w:lang w:val="fr-CA"/>
              </w:rPr>
              <w:t>Cour d’appel de l’Ontario</w:t>
            </w:r>
          </w:p>
          <w:p w:rsidR="009145B4" w:rsidRPr="00F77596" w:rsidRDefault="009145B4" w:rsidP="009145B4">
            <w:pPr>
              <w:jc w:val="both"/>
              <w:rPr>
                <w:sz w:val="20"/>
                <w:lang w:val="fr-CA"/>
              </w:rPr>
            </w:pPr>
            <w:r w:rsidRPr="00F77596">
              <w:rPr>
                <w:sz w:val="20"/>
                <w:lang w:val="fr-CA"/>
              </w:rPr>
              <w:t>(Juges Sharp, van Rensburg et Pardu)</w:t>
            </w:r>
          </w:p>
          <w:p w:rsidR="009145B4" w:rsidRPr="00F77596" w:rsidRDefault="00EC4FDF" w:rsidP="009145B4">
            <w:pPr>
              <w:jc w:val="both"/>
              <w:rPr>
                <w:sz w:val="20"/>
                <w:lang w:val="fr-CA"/>
              </w:rPr>
            </w:pPr>
            <w:hyperlink r:id="rId55" w:history="1">
              <w:r w:rsidR="009145B4" w:rsidRPr="00F77596">
                <w:rPr>
                  <w:rStyle w:val="Hyperlink"/>
                  <w:sz w:val="20"/>
                  <w:lang w:val="fr-CA"/>
                </w:rPr>
                <w:t>2015 ONCA 112</w:t>
              </w:r>
            </w:hyperlink>
          </w:p>
          <w:p w:rsidR="003A2D7E" w:rsidRPr="00E007CB" w:rsidRDefault="003A2D7E" w:rsidP="00B77038">
            <w:pPr>
              <w:jc w:val="both"/>
              <w:rPr>
                <w:rFonts w:eastAsia="Calibri"/>
                <w:sz w:val="20"/>
                <w:lang w:val="fr-CA"/>
              </w:rPr>
            </w:pPr>
          </w:p>
        </w:tc>
        <w:tc>
          <w:tcPr>
            <w:tcW w:w="243" w:type="pct"/>
          </w:tcPr>
          <w:p w:rsidR="003A2D7E" w:rsidRPr="00E007CB" w:rsidRDefault="003A2D7E" w:rsidP="00B77038">
            <w:pPr>
              <w:jc w:val="both"/>
              <w:rPr>
                <w:rFonts w:eastAsia="Calibri"/>
                <w:sz w:val="20"/>
                <w:lang w:val="fr-CA"/>
              </w:rPr>
            </w:pPr>
          </w:p>
        </w:tc>
        <w:tc>
          <w:tcPr>
            <w:tcW w:w="2330" w:type="pct"/>
          </w:tcPr>
          <w:p w:rsidR="009145B4" w:rsidRPr="00F77596" w:rsidRDefault="009145B4" w:rsidP="009145B4">
            <w:pPr>
              <w:jc w:val="both"/>
              <w:rPr>
                <w:sz w:val="20"/>
                <w:lang w:val="fr-CA"/>
              </w:rPr>
            </w:pPr>
            <w:r w:rsidRPr="00F77596">
              <w:rPr>
                <w:sz w:val="20"/>
                <w:lang w:val="fr-CA"/>
              </w:rPr>
              <w:t>Rejet de l’appel interjeté par la demanderesse, le Peterborough Regional Health Centre.</w:t>
            </w:r>
          </w:p>
          <w:p w:rsidR="003A2D7E" w:rsidRPr="00F77596" w:rsidRDefault="003A2D7E" w:rsidP="00B77038">
            <w:pPr>
              <w:jc w:val="both"/>
              <w:rPr>
                <w:sz w:val="20"/>
              </w:rPr>
            </w:pPr>
          </w:p>
        </w:tc>
      </w:tr>
      <w:tr w:rsidR="003A2D7E" w:rsidRPr="00E007CB" w:rsidTr="00B77038">
        <w:trPr>
          <w:cantSplit/>
        </w:trPr>
        <w:tc>
          <w:tcPr>
            <w:tcW w:w="2427" w:type="pct"/>
          </w:tcPr>
          <w:p w:rsidR="003A2D7E" w:rsidRPr="00E007CB" w:rsidRDefault="009145B4" w:rsidP="00B77038">
            <w:pPr>
              <w:jc w:val="both"/>
              <w:rPr>
                <w:rFonts w:eastAsia="Calibri"/>
                <w:sz w:val="20"/>
                <w:lang w:val="fr-CA"/>
              </w:rPr>
            </w:pPr>
            <w:r>
              <w:rPr>
                <w:rFonts w:eastAsia="Calibri"/>
                <w:sz w:val="20"/>
                <w:lang w:val="fr-CA"/>
              </w:rPr>
              <w:t>20</w:t>
            </w:r>
            <w:r w:rsidR="003A2D7E">
              <w:rPr>
                <w:rFonts w:eastAsia="Calibri"/>
                <w:sz w:val="20"/>
                <w:lang w:val="fr-CA"/>
              </w:rPr>
              <w:t xml:space="preserve"> avril</w:t>
            </w:r>
            <w:r w:rsidR="003A2D7E" w:rsidRPr="00E007CB">
              <w:rPr>
                <w:rFonts w:eastAsia="Calibri"/>
                <w:sz w:val="20"/>
                <w:lang w:val="fr-CA"/>
              </w:rPr>
              <w:t xml:space="preserve"> 201</w:t>
            </w:r>
            <w:r w:rsidR="003A2D7E">
              <w:rPr>
                <w:rFonts w:eastAsia="Calibri"/>
                <w:sz w:val="20"/>
                <w:lang w:val="fr-CA"/>
              </w:rPr>
              <w:t>5</w:t>
            </w:r>
          </w:p>
          <w:p w:rsidR="003A2D7E" w:rsidRPr="00E007CB" w:rsidRDefault="003A2D7E" w:rsidP="00B77038">
            <w:pPr>
              <w:jc w:val="both"/>
              <w:rPr>
                <w:rFonts w:eastAsia="Calibri"/>
                <w:sz w:val="20"/>
                <w:lang w:val="fr-CA"/>
              </w:rPr>
            </w:pPr>
            <w:r w:rsidRPr="00E007CB">
              <w:rPr>
                <w:rFonts w:eastAsia="Calibri"/>
                <w:sz w:val="20"/>
                <w:lang w:val="fr-CA"/>
              </w:rPr>
              <w:t>Cour suprême du Canada</w:t>
            </w:r>
          </w:p>
        </w:tc>
        <w:tc>
          <w:tcPr>
            <w:tcW w:w="243" w:type="pct"/>
          </w:tcPr>
          <w:p w:rsidR="003A2D7E" w:rsidRPr="00E007CB" w:rsidRDefault="003A2D7E" w:rsidP="00B77038">
            <w:pPr>
              <w:jc w:val="both"/>
              <w:rPr>
                <w:rFonts w:eastAsia="Calibri"/>
                <w:sz w:val="20"/>
                <w:lang w:val="fr-CA"/>
              </w:rPr>
            </w:pPr>
          </w:p>
        </w:tc>
        <w:tc>
          <w:tcPr>
            <w:tcW w:w="2330" w:type="pct"/>
          </w:tcPr>
          <w:p w:rsidR="009145B4" w:rsidRPr="00F77596" w:rsidRDefault="009145B4" w:rsidP="009145B4">
            <w:pPr>
              <w:jc w:val="both"/>
              <w:rPr>
                <w:sz w:val="20"/>
                <w:lang w:val="fr-CA"/>
              </w:rPr>
            </w:pPr>
            <w:r w:rsidRPr="00F77596">
              <w:rPr>
                <w:sz w:val="20"/>
                <w:lang w:val="fr-CA"/>
              </w:rPr>
              <w:t>Dépôt des demandes d’autorisation d’appel.</w:t>
            </w:r>
          </w:p>
          <w:p w:rsidR="003A2D7E" w:rsidRPr="00F77596" w:rsidRDefault="003A2D7E" w:rsidP="00B77038">
            <w:pPr>
              <w:jc w:val="both"/>
              <w:rPr>
                <w:sz w:val="20"/>
                <w:lang w:val="fr-CA"/>
              </w:rPr>
            </w:pPr>
          </w:p>
        </w:tc>
      </w:tr>
    </w:tbl>
    <w:p w:rsidR="003A2D7E" w:rsidRDefault="003A2D7E" w:rsidP="003A2D7E">
      <w:pPr>
        <w:rPr>
          <w:sz w:val="20"/>
          <w:szCs w:val="20"/>
        </w:rPr>
      </w:pPr>
    </w:p>
    <w:p w:rsidR="003A2D7E" w:rsidRDefault="00EC4FDF" w:rsidP="003A2D7E">
      <w:pPr>
        <w:rPr>
          <w:sz w:val="20"/>
          <w:szCs w:val="20"/>
        </w:rPr>
      </w:pPr>
      <w:r>
        <w:rPr>
          <w:sz w:val="20"/>
          <w:szCs w:val="20"/>
          <w:lang w:val="fr-CA"/>
        </w:rPr>
        <w:pict>
          <v:rect id="_x0000_i1052" style="width:2in;height:1pt" o:hrpct="0" o:hralign="center" o:hrstd="t" o:hrnoshade="t" o:hr="t" fillcolor="black [3213]" stroked="f"/>
        </w:pict>
      </w:r>
    </w:p>
    <w:p w:rsidR="003A2D7E" w:rsidRDefault="003A2D7E" w:rsidP="003A2D7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01EA9" w:rsidRPr="00A73D2C" w:rsidTr="00B77038">
        <w:trPr>
          <w:cantSplit/>
        </w:trPr>
        <w:tc>
          <w:tcPr>
            <w:tcW w:w="1458" w:type="dxa"/>
          </w:tcPr>
          <w:p w:rsidR="00201EA9" w:rsidRPr="00A73D2C" w:rsidRDefault="00201EA9" w:rsidP="00B77038">
            <w:pPr>
              <w:rPr>
                <w:sz w:val="20"/>
                <w:szCs w:val="20"/>
              </w:rPr>
            </w:pPr>
            <w:r w:rsidRPr="00A73D2C">
              <w:rPr>
                <w:rStyle w:val="SCCFileNumberChar"/>
                <w:sz w:val="20"/>
                <w:szCs w:val="20"/>
              </w:rPr>
              <w:t>36</w:t>
            </w:r>
            <w:r>
              <w:rPr>
                <w:rStyle w:val="SCCFileNumberChar"/>
                <w:sz w:val="20"/>
                <w:szCs w:val="20"/>
              </w:rPr>
              <w:t>425</w:t>
            </w:r>
          </w:p>
          <w:p w:rsidR="00201EA9" w:rsidRPr="00A73D2C" w:rsidRDefault="00201EA9" w:rsidP="00B77038">
            <w:pPr>
              <w:rPr>
                <w:b/>
                <w:sz w:val="20"/>
                <w:szCs w:val="20"/>
                <w:lang w:val="fr-CA"/>
              </w:rPr>
            </w:pPr>
          </w:p>
        </w:tc>
        <w:tc>
          <w:tcPr>
            <w:tcW w:w="8118" w:type="dxa"/>
          </w:tcPr>
          <w:p w:rsidR="00201EA9" w:rsidRPr="00A73D2C" w:rsidRDefault="00201EA9" w:rsidP="00B77038">
            <w:pPr>
              <w:rPr>
                <w:sz w:val="20"/>
                <w:szCs w:val="20"/>
              </w:rPr>
            </w:pPr>
            <w:r w:rsidRPr="00201EA9">
              <w:rPr>
                <w:rStyle w:val="SCCLsocChar"/>
                <w:sz w:val="20"/>
                <w:szCs w:val="20"/>
                <w:lang w:val="en-CA"/>
              </w:rPr>
              <w:t>Sylvain Lambert v. Whirlpool Canada LP</w:t>
            </w:r>
            <w:r w:rsidR="00E81D07">
              <w:rPr>
                <w:rStyle w:val="SCCLsocChar"/>
                <w:sz w:val="20"/>
                <w:szCs w:val="20"/>
                <w:lang w:val="en-CA"/>
              </w:rPr>
              <w:t>, Whirlpool Canada Inc. and Whirlpool Corporation</w:t>
            </w:r>
            <w:r w:rsidRPr="00A73D2C">
              <w:rPr>
                <w:sz w:val="20"/>
                <w:szCs w:val="20"/>
              </w:rPr>
              <w:t xml:space="preserve"> (</w:t>
            </w:r>
            <w:r>
              <w:rPr>
                <w:sz w:val="20"/>
                <w:szCs w:val="20"/>
              </w:rPr>
              <w:t>Que.</w:t>
            </w:r>
            <w:r w:rsidRPr="00A73D2C">
              <w:rPr>
                <w:sz w:val="20"/>
                <w:szCs w:val="20"/>
              </w:rPr>
              <w:t>) (C</w:t>
            </w:r>
            <w:r>
              <w:rPr>
                <w:sz w:val="20"/>
                <w:szCs w:val="20"/>
              </w:rPr>
              <w:t>ivil</w:t>
            </w:r>
            <w:r w:rsidRPr="00A73D2C">
              <w:rPr>
                <w:sz w:val="20"/>
                <w:szCs w:val="20"/>
              </w:rPr>
              <w:t>) (By Leave)</w:t>
            </w:r>
          </w:p>
          <w:p w:rsidR="00201EA9" w:rsidRPr="00A73D2C" w:rsidRDefault="00201EA9" w:rsidP="00B77038">
            <w:pPr>
              <w:rPr>
                <w:sz w:val="20"/>
                <w:szCs w:val="20"/>
              </w:rPr>
            </w:pPr>
          </w:p>
        </w:tc>
      </w:tr>
      <w:tr w:rsidR="00201EA9" w:rsidRPr="00A73D2C" w:rsidTr="00B77038">
        <w:trPr>
          <w:cantSplit/>
        </w:trPr>
        <w:tc>
          <w:tcPr>
            <w:tcW w:w="1458" w:type="dxa"/>
          </w:tcPr>
          <w:p w:rsidR="00201EA9" w:rsidRPr="00A73D2C" w:rsidRDefault="00201EA9" w:rsidP="00B77038">
            <w:pPr>
              <w:rPr>
                <w:sz w:val="20"/>
                <w:szCs w:val="20"/>
              </w:rPr>
            </w:pPr>
            <w:r w:rsidRPr="00A73D2C">
              <w:rPr>
                <w:sz w:val="20"/>
                <w:szCs w:val="20"/>
              </w:rPr>
              <w:t>Coram :</w:t>
            </w:r>
          </w:p>
        </w:tc>
        <w:tc>
          <w:tcPr>
            <w:tcW w:w="8118" w:type="dxa"/>
          </w:tcPr>
          <w:p w:rsidR="00201EA9" w:rsidRDefault="003C4E4A" w:rsidP="00B77038">
            <w:pPr>
              <w:rPr>
                <w:rStyle w:val="SCCCoramChar"/>
                <w:sz w:val="20"/>
                <w:szCs w:val="20"/>
                <w:lang w:val="en-CA"/>
              </w:rPr>
            </w:pPr>
            <w:r w:rsidRPr="003C4E4A">
              <w:rPr>
                <w:rStyle w:val="SCCCoramChar"/>
                <w:sz w:val="20"/>
                <w:szCs w:val="20"/>
                <w:lang w:val="en-CA"/>
              </w:rPr>
              <w:t>Cromwell, Wagner and Côté JJ.</w:t>
            </w:r>
          </w:p>
          <w:p w:rsidR="003C4E4A" w:rsidRPr="00A73D2C" w:rsidRDefault="003C4E4A" w:rsidP="00B77038">
            <w:pPr>
              <w:rPr>
                <w:sz w:val="20"/>
                <w:szCs w:val="20"/>
                <w:u w:val="single"/>
              </w:rPr>
            </w:pPr>
          </w:p>
        </w:tc>
      </w:tr>
      <w:tr w:rsidR="00201EA9" w:rsidRPr="00002704" w:rsidTr="00B77038">
        <w:trPr>
          <w:cantSplit/>
        </w:trPr>
        <w:tc>
          <w:tcPr>
            <w:tcW w:w="9576" w:type="dxa"/>
            <w:gridSpan w:val="2"/>
          </w:tcPr>
          <w:p w:rsidR="00E81D07" w:rsidRPr="00E81D07" w:rsidRDefault="00E81D07" w:rsidP="00E81D07">
            <w:pPr>
              <w:pStyle w:val="SCCShortJudgment"/>
              <w:rPr>
                <w:szCs w:val="20"/>
              </w:rPr>
            </w:pPr>
            <w:r w:rsidRPr="00E81D07">
              <w:rPr>
                <w:szCs w:val="20"/>
              </w:rPr>
              <w:t>The application for leave to appeal from the judgment of the Court of Appeal of Quebec (Montréal), Number 500-09-024118-135, 2015 QCCA 433, dated March 11, 2015, is dismissed with costs.</w:t>
            </w:r>
          </w:p>
          <w:p w:rsidR="00E81D07" w:rsidRPr="00E81D07" w:rsidRDefault="00E81D07" w:rsidP="00E81D07">
            <w:pPr>
              <w:pStyle w:val="SCCShortJudgment"/>
              <w:rPr>
                <w:szCs w:val="20"/>
              </w:rPr>
            </w:pPr>
          </w:p>
          <w:p w:rsidR="00201EA9" w:rsidRPr="00A73D2C" w:rsidRDefault="00E81D07" w:rsidP="00E81D07">
            <w:pPr>
              <w:pStyle w:val="SCCShortJudgment"/>
              <w:rPr>
                <w:szCs w:val="20"/>
                <w:lang w:val="fr-CA"/>
              </w:rPr>
            </w:pPr>
            <w:r w:rsidRPr="00E81D07">
              <w:rPr>
                <w:szCs w:val="20"/>
              </w:rPr>
              <w:t>La demande d’autorisation d’appel de l’arrêt de la Cour d’appel du Québec (Montréal), numéro 500-09-024118-135, 2015 QCCA 433, daté du 11 mars 2015, est rejetée avec dépens.</w:t>
            </w:r>
          </w:p>
        </w:tc>
      </w:tr>
    </w:tbl>
    <w:p w:rsidR="00201EA9" w:rsidRPr="0016547E" w:rsidRDefault="00201EA9" w:rsidP="00201EA9">
      <w:pPr>
        <w:rPr>
          <w:sz w:val="20"/>
          <w:szCs w:val="20"/>
          <w:lang w:val="fr-CA"/>
        </w:rPr>
      </w:pPr>
    </w:p>
    <w:p w:rsidR="00201EA9" w:rsidRPr="001B157C" w:rsidRDefault="00201EA9" w:rsidP="00201EA9">
      <w:pPr>
        <w:rPr>
          <w:sz w:val="20"/>
          <w:szCs w:val="20"/>
          <w:u w:val="single"/>
        </w:rPr>
      </w:pPr>
      <w:r w:rsidRPr="001B157C">
        <w:rPr>
          <w:sz w:val="20"/>
          <w:szCs w:val="20"/>
          <w:u w:val="single"/>
        </w:rPr>
        <w:t>CASE SUMMARY</w:t>
      </w:r>
    </w:p>
    <w:p w:rsidR="00201EA9" w:rsidRDefault="00201EA9" w:rsidP="00201EA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01EA9" w:rsidRPr="00E007CB" w:rsidTr="00B77038">
        <w:tc>
          <w:tcPr>
            <w:tcW w:w="5000" w:type="pct"/>
            <w:gridSpan w:val="3"/>
          </w:tcPr>
          <w:p w:rsidR="00201EA9" w:rsidRDefault="00BA3198" w:rsidP="00B77038">
            <w:pPr>
              <w:jc w:val="both"/>
              <w:rPr>
                <w:sz w:val="20"/>
              </w:rPr>
            </w:pPr>
            <w:r w:rsidRPr="00F77596">
              <w:rPr>
                <w:iCs/>
                <w:sz w:val="20"/>
                <w:lang w:val="en"/>
              </w:rPr>
              <w:t xml:space="preserve">Civil procedure – Class actions </w:t>
            </w:r>
            <w:r w:rsidRPr="00F77596">
              <w:rPr>
                <w:i/>
                <w:iCs/>
                <w:sz w:val="20"/>
                <w:lang w:val="en"/>
              </w:rPr>
              <w:t xml:space="preserve">– </w:t>
            </w:r>
            <w:r w:rsidRPr="00F77596">
              <w:rPr>
                <w:iCs/>
                <w:sz w:val="20"/>
                <w:lang w:val="en"/>
              </w:rPr>
              <w:t xml:space="preserve">Conditions for authorizing action – </w:t>
            </w:r>
            <w:r w:rsidRPr="00F77596">
              <w:rPr>
                <w:sz w:val="20"/>
              </w:rPr>
              <w:t xml:space="preserve">What is the appropriate level of analysis regarding prescription/statute of limitations at the authorization/certification stage? What is the appropriate level of scrutiny thereof at the appeal level? </w:t>
            </w:r>
            <w:r w:rsidRPr="00F77596">
              <w:rPr>
                <w:iCs/>
                <w:sz w:val="20"/>
                <w:lang w:val="en"/>
              </w:rPr>
              <w:t xml:space="preserve">– </w:t>
            </w:r>
            <w:r w:rsidRPr="00F77596">
              <w:rPr>
                <w:sz w:val="20"/>
              </w:rPr>
              <w:t xml:space="preserve">When does prescription/statute of limitations begin to run in a civil action where the problems relating to a design defect appear, are resolved, and then re-occur again? </w:t>
            </w:r>
            <w:r w:rsidRPr="00F77596">
              <w:rPr>
                <w:iCs/>
                <w:sz w:val="20"/>
                <w:lang w:val="en"/>
              </w:rPr>
              <w:t xml:space="preserve">– </w:t>
            </w:r>
            <w:r w:rsidRPr="00F77596">
              <w:rPr>
                <w:sz w:val="20"/>
              </w:rPr>
              <w:t xml:space="preserve">When should a reasonably prudent person be deemed to be aware of all of the essential elements of a right of action? At what point should this same person conclude that what he thought was a maintenance issue is really a design defect? </w:t>
            </w:r>
            <w:r w:rsidRPr="00F77596">
              <w:rPr>
                <w:iCs/>
                <w:sz w:val="20"/>
                <w:lang w:val="en"/>
              </w:rPr>
              <w:t xml:space="preserve">– </w:t>
            </w:r>
            <w:r w:rsidRPr="00F77596">
              <w:rPr>
                <w:sz w:val="20"/>
              </w:rPr>
              <w:t xml:space="preserve">How does the doctrine of fraudulent concealment of the part of the Respondents (or their agents) affect the above determinations? </w:t>
            </w:r>
            <w:r w:rsidRPr="00F77596">
              <w:rPr>
                <w:iCs/>
                <w:sz w:val="20"/>
                <w:lang w:val="en"/>
              </w:rPr>
              <w:t xml:space="preserve">– </w:t>
            </w:r>
            <w:r w:rsidRPr="00F77596">
              <w:rPr>
                <w:sz w:val="20"/>
              </w:rPr>
              <w:t xml:space="preserve">Are all of the provinces applying this doctrine consistently? </w:t>
            </w:r>
            <w:r w:rsidRPr="00F77596">
              <w:rPr>
                <w:iCs/>
                <w:sz w:val="20"/>
                <w:lang w:val="en"/>
              </w:rPr>
              <w:t xml:space="preserve">– </w:t>
            </w:r>
            <w:r w:rsidRPr="00F77596">
              <w:rPr>
                <w:sz w:val="20"/>
              </w:rPr>
              <w:t xml:space="preserve">If a representative plaintiff is adjudged to be inadequate, what is the appropriate </w:t>
            </w:r>
            <w:r w:rsidRPr="00F77596">
              <w:rPr>
                <w:sz w:val="20"/>
              </w:rPr>
              <w:lastRenderedPageBreak/>
              <w:t xml:space="preserve">procedure? Is there a less draconian remedy other than a complete dismissal of the class proceeding where there is evidence that the problem is widespread and several hundred other class members have been identified? </w:t>
            </w:r>
            <w:r w:rsidRPr="00F77596">
              <w:rPr>
                <w:iCs/>
                <w:sz w:val="20"/>
                <w:lang w:val="en"/>
              </w:rPr>
              <w:t xml:space="preserve">– </w:t>
            </w:r>
            <w:r w:rsidRPr="00F77596">
              <w:rPr>
                <w:sz w:val="20"/>
              </w:rPr>
              <w:t xml:space="preserve">What deference should the appeal court give to the motion judge’s determinations of fact where no </w:t>
            </w:r>
            <w:r w:rsidRPr="00F77596">
              <w:rPr>
                <w:i/>
                <w:iCs/>
                <w:sz w:val="20"/>
              </w:rPr>
              <w:t xml:space="preserve">viva voce </w:t>
            </w:r>
            <w:r w:rsidRPr="00F77596">
              <w:rPr>
                <w:sz w:val="20"/>
              </w:rPr>
              <w:t xml:space="preserve">evidence was ever adduced and all the proof was made by out-of-court examinations and the production of documents only? </w:t>
            </w:r>
            <w:r w:rsidRPr="00F77596">
              <w:rPr>
                <w:iCs/>
                <w:sz w:val="20"/>
                <w:lang w:val="en"/>
              </w:rPr>
              <w:t xml:space="preserve">– </w:t>
            </w:r>
            <w:r w:rsidRPr="00F77596">
              <w:rPr>
                <w:i/>
                <w:iCs/>
                <w:sz w:val="20"/>
              </w:rPr>
              <w:t>Code of Civil Procedure</w:t>
            </w:r>
            <w:r w:rsidRPr="00F77596">
              <w:rPr>
                <w:sz w:val="20"/>
              </w:rPr>
              <w:t>, CQLR, c. C-25, art. 1003.</w:t>
            </w:r>
          </w:p>
          <w:p w:rsidR="00BA3198" w:rsidRPr="00E007CB" w:rsidRDefault="00BA3198" w:rsidP="00B77038">
            <w:pPr>
              <w:jc w:val="both"/>
              <w:rPr>
                <w:rFonts w:eastAsia="Calibri"/>
                <w:sz w:val="20"/>
              </w:rPr>
            </w:pPr>
          </w:p>
        </w:tc>
      </w:tr>
      <w:tr w:rsidR="00201EA9" w:rsidRPr="00E007CB" w:rsidTr="00B77038">
        <w:tc>
          <w:tcPr>
            <w:tcW w:w="5000" w:type="pct"/>
            <w:gridSpan w:val="3"/>
          </w:tcPr>
          <w:p w:rsidR="00BA3198" w:rsidRPr="00F77596" w:rsidRDefault="00BA3198" w:rsidP="00BA3198">
            <w:pPr>
              <w:jc w:val="both"/>
              <w:rPr>
                <w:sz w:val="20"/>
              </w:rPr>
            </w:pPr>
            <w:r w:rsidRPr="00F77596">
              <w:rPr>
                <w:sz w:val="20"/>
              </w:rPr>
              <w:lastRenderedPageBreak/>
              <w:t>The Applicant bought a Whirlpool front-loading washing machine in April 2004. In 2005, he began to notice foul odours emanating from the machine and complained to the Respondents, who advised him to contact the retailer. The latter provided maintenance instructions and sold him a five-year extended warranty. On 21 December 2009, the Consumer Law Group, through an initial proposed representative, acting as petitioner, launched a class action against the Respondents patterned after similar class actions in other jurisdictions. The Applicant replaced that initial proposed representative on February 14, 2013.</w:t>
            </w:r>
          </w:p>
          <w:p w:rsidR="00201EA9" w:rsidRPr="00F77596" w:rsidRDefault="00201EA9" w:rsidP="00B77038">
            <w:pPr>
              <w:jc w:val="both"/>
              <w:rPr>
                <w:sz w:val="20"/>
              </w:rPr>
            </w:pPr>
          </w:p>
        </w:tc>
      </w:tr>
      <w:tr w:rsidR="00201EA9" w:rsidRPr="00E007CB" w:rsidTr="00B77038">
        <w:trPr>
          <w:cantSplit/>
        </w:trPr>
        <w:tc>
          <w:tcPr>
            <w:tcW w:w="2427" w:type="pct"/>
          </w:tcPr>
          <w:p w:rsidR="00C46C3C" w:rsidRPr="00F77596" w:rsidRDefault="00C46C3C" w:rsidP="00C46C3C">
            <w:pPr>
              <w:jc w:val="both"/>
              <w:rPr>
                <w:sz w:val="20"/>
              </w:rPr>
            </w:pPr>
            <w:r w:rsidRPr="00F77596">
              <w:rPr>
                <w:sz w:val="20"/>
              </w:rPr>
              <w:t>November 19, 2013</w:t>
            </w:r>
          </w:p>
          <w:p w:rsidR="00C46C3C" w:rsidRPr="00F77596" w:rsidRDefault="00C46C3C" w:rsidP="00C46C3C">
            <w:pPr>
              <w:jc w:val="both"/>
              <w:rPr>
                <w:sz w:val="20"/>
              </w:rPr>
            </w:pPr>
            <w:r w:rsidRPr="00F77596">
              <w:rPr>
                <w:sz w:val="20"/>
              </w:rPr>
              <w:t>Superior Court of Quebec</w:t>
            </w:r>
          </w:p>
          <w:p w:rsidR="00C46C3C" w:rsidRPr="00F77596" w:rsidRDefault="00C46C3C" w:rsidP="00C46C3C">
            <w:pPr>
              <w:jc w:val="both"/>
              <w:rPr>
                <w:sz w:val="20"/>
              </w:rPr>
            </w:pPr>
            <w:r w:rsidRPr="00F77596">
              <w:rPr>
                <w:sz w:val="20"/>
              </w:rPr>
              <w:t>(Mayrand J.)</w:t>
            </w:r>
          </w:p>
          <w:p w:rsidR="00C46C3C" w:rsidRPr="00F77596" w:rsidRDefault="00C46C3C" w:rsidP="00C46C3C">
            <w:pPr>
              <w:jc w:val="both"/>
              <w:rPr>
                <w:sz w:val="20"/>
              </w:rPr>
            </w:pPr>
            <w:r w:rsidRPr="00F77596">
              <w:rPr>
                <w:sz w:val="20"/>
              </w:rPr>
              <w:t>No. 500-06-000493-094</w:t>
            </w:r>
          </w:p>
          <w:p w:rsidR="00C46C3C" w:rsidRPr="00F77596" w:rsidRDefault="00EC4FDF" w:rsidP="00C46C3C">
            <w:pPr>
              <w:jc w:val="both"/>
              <w:rPr>
                <w:sz w:val="20"/>
              </w:rPr>
            </w:pPr>
            <w:hyperlink r:id="rId56" w:history="1">
              <w:r w:rsidR="00C46C3C" w:rsidRPr="00F77596">
                <w:rPr>
                  <w:rStyle w:val="Hyperlink"/>
                  <w:sz w:val="20"/>
                </w:rPr>
                <w:t>2013 QCCS 5688</w:t>
              </w:r>
            </w:hyperlink>
          </w:p>
          <w:p w:rsidR="00201EA9" w:rsidRPr="00E007CB" w:rsidRDefault="00201EA9" w:rsidP="00B77038">
            <w:pPr>
              <w:jc w:val="both"/>
              <w:rPr>
                <w:rFonts w:eastAsia="Calibri"/>
                <w:sz w:val="20"/>
              </w:rPr>
            </w:pPr>
          </w:p>
        </w:tc>
        <w:tc>
          <w:tcPr>
            <w:tcW w:w="243" w:type="pct"/>
          </w:tcPr>
          <w:p w:rsidR="00201EA9" w:rsidRPr="00E007CB" w:rsidRDefault="00201EA9" w:rsidP="00B77038">
            <w:pPr>
              <w:jc w:val="both"/>
              <w:rPr>
                <w:rFonts w:eastAsia="Calibri"/>
                <w:sz w:val="20"/>
              </w:rPr>
            </w:pPr>
          </w:p>
        </w:tc>
        <w:tc>
          <w:tcPr>
            <w:tcW w:w="2330" w:type="pct"/>
          </w:tcPr>
          <w:p w:rsidR="00C46C3C" w:rsidRPr="00F77596" w:rsidRDefault="00C46C3C" w:rsidP="00C46C3C">
            <w:pPr>
              <w:jc w:val="both"/>
              <w:rPr>
                <w:sz w:val="20"/>
              </w:rPr>
            </w:pPr>
            <w:r w:rsidRPr="00F77596">
              <w:rPr>
                <w:sz w:val="20"/>
              </w:rPr>
              <w:t>Motion for authorization to institute class action denied.</w:t>
            </w:r>
          </w:p>
          <w:p w:rsidR="00201EA9" w:rsidRPr="00F77596" w:rsidRDefault="00201EA9" w:rsidP="00B77038">
            <w:pPr>
              <w:jc w:val="both"/>
              <w:rPr>
                <w:sz w:val="20"/>
              </w:rPr>
            </w:pPr>
          </w:p>
        </w:tc>
      </w:tr>
      <w:tr w:rsidR="00201EA9" w:rsidRPr="00E007CB" w:rsidTr="00B77038">
        <w:trPr>
          <w:cantSplit/>
        </w:trPr>
        <w:tc>
          <w:tcPr>
            <w:tcW w:w="2427" w:type="pct"/>
          </w:tcPr>
          <w:p w:rsidR="00C46C3C" w:rsidRPr="00F77596" w:rsidRDefault="00C46C3C" w:rsidP="00C46C3C">
            <w:pPr>
              <w:jc w:val="both"/>
              <w:rPr>
                <w:sz w:val="20"/>
              </w:rPr>
            </w:pPr>
            <w:r w:rsidRPr="00F77596">
              <w:rPr>
                <w:sz w:val="20"/>
              </w:rPr>
              <w:t>March 11, 2015</w:t>
            </w:r>
          </w:p>
          <w:p w:rsidR="00C46C3C" w:rsidRPr="00F77596" w:rsidRDefault="00C46C3C" w:rsidP="00C46C3C">
            <w:pPr>
              <w:jc w:val="both"/>
              <w:rPr>
                <w:sz w:val="20"/>
              </w:rPr>
            </w:pPr>
            <w:r w:rsidRPr="00F77596">
              <w:rPr>
                <w:sz w:val="20"/>
              </w:rPr>
              <w:t>Court of Appeal of Quebec (Montréal)</w:t>
            </w:r>
          </w:p>
          <w:p w:rsidR="00C46C3C" w:rsidRPr="00F77596" w:rsidRDefault="00C46C3C" w:rsidP="00C46C3C">
            <w:pPr>
              <w:jc w:val="both"/>
              <w:rPr>
                <w:sz w:val="20"/>
              </w:rPr>
            </w:pPr>
            <w:r w:rsidRPr="00F77596">
              <w:rPr>
                <w:sz w:val="20"/>
              </w:rPr>
              <w:t xml:space="preserve">(Duval Hesler, Vézina (dissenting) and </w:t>
            </w:r>
          </w:p>
          <w:p w:rsidR="00C46C3C" w:rsidRPr="00F77596" w:rsidRDefault="00C46C3C" w:rsidP="00C46C3C">
            <w:pPr>
              <w:jc w:val="both"/>
              <w:rPr>
                <w:sz w:val="20"/>
              </w:rPr>
            </w:pPr>
            <w:r w:rsidRPr="00F77596">
              <w:rPr>
                <w:sz w:val="20"/>
              </w:rPr>
              <w:t>Vauclair JJ.A.)</w:t>
            </w:r>
          </w:p>
          <w:p w:rsidR="00C46C3C" w:rsidRPr="00F77596" w:rsidRDefault="00C46C3C" w:rsidP="00C46C3C">
            <w:pPr>
              <w:jc w:val="both"/>
              <w:rPr>
                <w:sz w:val="20"/>
              </w:rPr>
            </w:pPr>
            <w:r w:rsidRPr="00F77596">
              <w:rPr>
                <w:sz w:val="20"/>
              </w:rPr>
              <w:t xml:space="preserve">No. </w:t>
            </w:r>
            <w:bookmarkStart w:id="2" w:name="NoDossier"/>
            <w:r w:rsidRPr="00F77596">
              <w:rPr>
                <w:sz w:val="20"/>
              </w:rPr>
              <w:t>500-09-024118-135</w:t>
            </w:r>
            <w:bookmarkEnd w:id="2"/>
          </w:p>
          <w:p w:rsidR="00C46C3C" w:rsidRPr="00F77596" w:rsidRDefault="00EC4FDF" w:rsidP="00C46C3C">
            <w:pPr>
              <w:jc w:val="both"/>
              <w:rPr>
                <w:sz w:val="20"/>
              </w:rPr>
            </w:pPr>
            <w:hyperlink r:id="rId57" w:history="1">
              <w:r w:rsidR="00C46C3C" w:rsidRPr="00F77596">
                <w:rPr>
                  <w:rStyle w:val="Hyperlink"/>
                  <w:sz w:val="20"/>
                </w:rPr>
                <w:t>2015 QCCA 433</w:t>
              </w:r>
            </w:hyperlink>
          </w:p>
          <w:p w:rsidR="00201EA9" w:rsidRPr="00E007CB" w:rsidRDefault="00201EA9" w:rsidP="00B77038">
            <w:pPr>
              <w:jc w:val="both"/>
              <w:rPr>
                <w:rFonts w:eastAsia="Calibri"/>
                <w:sz w:val="20"/>
              </w:rPr>
            </w:pPr>
          </w:p>
        </w:tc>
        <w:tc>
          <w:tcPr>
            <w:tcW w:w="243" w:type="pct"/>
          </w:tcPr>
          <w:p w:rsidR="00201EA9" w:rsidRPr="00E007CB" w:rsidRDefault="00201EA9" w:rsidP="00B77038">
            <w:pPr>
              <w:jc w:val="both"/>
              <w:rPr>
                <w:rFonts w:eastAsia="Calibri"/>
                <w:sz w:val="20"/>
              </w:rPr>
            </w:pPr>
          </w:p>
        </w:tc>
        <w:tc>
          <w:tcPr>
            <w:tcW w:w="2330" w:type="pct"/>
          </w:tcPr>
          <w:p w:rsidR="00C46C3C" w:rsidRPr="00F77596" w:rsidRDefault="00C46C3C" w:rsidP="00C46C3C">
            <w:pPr>
              <w:jc w:val="both"/>
              <w:rPr>
                <w:sz w:val="20"/>
              </w:rPr>
            </w:pPr>
            <w:r w:rsidRPr="00F77596">
              <w:rPr>
                <w:sz w:val="20"/>
              </w:rPr>
              <w:t>Appeal dismissed.</w:t>
            </w:r>
          </w:p>
          <w:p w:rsidR="00201EA9" w:rsidRPr="00F77596" w:rsidRDefault="00201EA9" w:rsidP="00B77038">
            <w:pPr>
              <w:jc w:val="both"/>
              <w:rPr>
                <w:sz w:val="20"/>
              </w:rPr>
            </w:pPr>
          </w:p>
        </w:tc>
      </w:tr>
      <w:tr w:rsidR="00201EA9" w:rsidRPr="00E007CB" w:rsidTr="00B77038">
        <w:trPr>
          <w:cantSplit/>
        </w:trPr>
        <w:tc>
          <w:tcPr>
            <w:tcW w:w="2427" w:type="pct"/>
          </w:tcPr>
          <w:p w:rsidR="00201EA9" w:rsidRPr="00E007CB" w:rsidRDefault="00C46C3C" w:rsidP="00B77038">
            <w:pPr>
              <w:jc w:val="both"/>
              <w:rPr>
                <w:rFonts w:eastAsia="Calibri"/>
                <w:sz w:val="20"/>
              </w:rPr>
            </w:pPr>
            <w:r>
              <w:rPr>
                <w:rFonts w:eastAsia="Calibri"/>
                <w:sz w:val="20"/>
              </w:rPr>
              <w:t>May 8</w:t>
            </w:r>
            <w:r w:rsidR="00201EA9">
              <w:rPr>
                <w:rFonts w:eastAsia="Calibri"/>
                <w:sz w:val="20"/>
              </w:rPr>
              <w:t>,</w:t>
            </w:r>
            <w:r w:rsidR="00201EA9" w:rsidRPr="00E007CB">
              <w:rPr>
                <w:rFonts w:eastAsia="Calibri"/>
                <w:sz w:val="20"/>
              </w:rPr>
              <w:t xml:space="preserve"> 201</w:t>
            </w:r>
            <w:r w:rsidR="00201EA9">
              <w:rPr>
                <w:rFonts w:eastAsia="Calibri"/>
                <w:sz w:val="20"/>
              </w:rPr>
              <w:t>5</w:t>
            </w:r>
          </w:p>
          <w:p w:rsidR="00201EA9" w:rsidRPr="00E007CB" w:rsidRDefault="00201EA9" w:rsidP="00B77038">
            <w:pPr>
              <w:jc w:val="both"/>
              <w:rPr>
                <w:rFonts w:eastAsia="Calibri"/>
                <w:sz w:val="20"/>
              </w:rPr>
            </w:pPr>
            <w:r w:rsidRPr="00E007CB">
              <w:rPr>
                <w:rFonts w:eastAsia="Calibri"/>
                <w:sz w:val="20"/>
              </w:rPr>
              <w:t>Supreme Court of Canada</w:t>
            </w:r>
          </w:p>
        </w:tc>
        <w:tc>
          <w:tcPr>
            <w:tcW w:w="243" w:type="pct"/>
          </w:tcPr>
          <w:p w:rsidR="00201EA9" w:rsidRPr="00E007CB" w:rsidRDefault="00201EA9" w:rsidP="00B77038">
            <w:pPr>
              <w:jc w:val="both"/>
              <w:rPr>
                <w:rFonts w:eastAsia="Calibri"/>
                <w:sz w:val="20"/>
              </w:rPr>
            </w:pPr>
          </w:p>
        </w:tc>
        <w:tc>
          <w:tcPr>
            <w:tcW w:w="2330" w:type="pct"/>
          </w:tcPr>
          <w:p w:rsidR="00201EA9" w:rsidRPr="00F77596" w:rsidRDefault="00201EA9" w:rsidP="00B77038">
            <w:pPr>
              <w:jc w:val="both"/>
              <w:rPr>
                <w:sz w:val="20"/>
              </w:rPr>
            </w:pPr>
            <w:r w:rsidRPr="00F77596">
              <w:rPr>
                <w:sz w:val="20"/>
              </w:rPr>
              <w:t>Application for leave to appeal filed</w:t>
            </w:r>
          </w:p>
          <w:p w:rsidR="00201EA9" w:rsidRPr="00F77596" w:rsidRDefault="00201EA9" w:rsidP="00B77038">
            <w:pPr>
              <w:jc w:val="both"/>
              <w:rPr>
                <w:sz w:val="20"/>
              </w:rPr>
            </w:pPr>
          </w:p>
        </w:tc>
      </w:tr>
    </w:tbl>
    <w:p w:rsidR="00201EA9" w:rsidRDefault="00201EA9" w:rsidP="00201EA9">
      <w:pPr>
        <w:rPr>
          <w:sz w:val="20"/>
          <w:szCs w:val="20"/>
        </w:rPr>
      </w:pPr>
    </w:p>
    <w:p w:rsidR="00201EA9" w:rsidRPr="00C50A5C" w:rsidRDefault="00EC4FDF" w:rsidP="00201EA9">
      <w:pPr>
        <w:rPr>
          <w:sz w:val="20"/>
          <w:szCs w:val="20"/>
        </w:rPr>
      </w:pPr>
      <w:r>
        <w:rPr>
          <w:sz w:val="20"/>
          <w:szCs w:val="20"/>
          <w:lang w:val="fr-CA"/>
        </w:rPr>
        <w:pict>
          <v:rect id="_x0000_i1053" style="width:2in;height:1pt" o:hrpct="0" o:hralign="center" o:hrstd="t" o:hrnoshade="t" o:hr="t" fillcolor="black [3213]" stroked="f"/>
        </w:pict>
      </w:r>
    </w:p>
    <w:p w:rsidR="00201EA9" w:rsidRDefault="00201EA9" w:rsidP="00201EA9">
      <w:pPr>
        <w:rPr>
          <w:sz w:val="20"/>
          <w:szCs w:val="20"/>
        </w:rPr>
      </w:pPr>
    </w:p>
    <w:p w:rsidR="00201EA9" w:rsidRPr="001B157C" w:rsidRDefault="00201EA9" w:rsidP="00201EA9">
      <w:pPr>
        <w:rPr>
          <w:sz w:val="20"/>
          <w:szCs w:val="20"/>
          <w:u w:val="single"/>
          <w:lang w:val="fr-CA"/>
        </w:rPr>
      </w:pPr>
      <w:r w:rsidRPr="001B157C">
        <w:rPr>
          <w:sz w:val="20"/>
          <w:szCs w:val="20"/>
          <w:u w:val="single"/>
          <w:lang w:val="fr-CA"/>
        </w:rPr>
        <w:t>RÉSUMÉ DE L’AFFAIRE</w:t>
      </w:r>
    </w:p>
    <w:p w:rsidR="00201EA9" w:rsidRDefault="00201EA9" w:rsidP="00201EA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01EA9" w:rsidRPr="00002704" w:rsidTr="00B77038">
        <w:tc>
          <w:tcPr>
            <w:tcW w:w="5000" w:type="pct"/>
            <w:gridSpan w:val="3"/>
          </w:tcPr>
          <w:p w:rsidR="00201EA9" w:rsidRDefault="00C92B48" w:rsidP="00B77038">
            <w:pPr>
              <w:jc w:val="both"/>
              <w:rPr>
                <w:sz w:val="20"/>
                <w:lang w:val="fr-FR"/>
              </w:rPr>
            </w:pPr>
            <w:r w:rsidRPr="00F77596">
              <w:rPr>
                <w:iCs/>
                <w:sz w:val="20"/>
                <w:lang w:val="fr-FR"/>
              </w:rPr>
              <w:t xml:space="preserve">Procédure civile – Recours collectifs </w:t>
            </w:r>
            <w:r w:rsidRPr="00F77596">
              <w:rPr>
                <w:i/>
                <w:iCs/>
                <w:sz w:val="20"/>
                <w:lang w:val="fr-FR"/>
              </w:rPr>
              <w:t xml:space="preserve">– </w:t>
            </w:r>
            <w:r w:rsidRPr="00F77596">
              <w:rPr>
                <w:iCs/>
                <w:sz w:val="20"/>
                <w:lang w:val="fr-FR"/>
              </w:rPr>
              <w:t xml:space="preserve">Conditions d’autorisation du recours </w:t>
            </w:r>
            <w:r w:rsidRPr="00F77596">
              <w:rPr>
                <w:i/>
                <w:iCs/>
                <w:sz w:val="20"/>
                <w:lang w:val="fr-FR"/>
              </w:rPr>
              <w:t xml:space="preserve">– </w:t>
            </w:r>
            <w:r w:rsidRPr="00F77596">
              <w:rPr>
                <w:iCs/>
                <w:sz w:val="20"/>
                <w:lang w:val="fr-FR"/>
              </w:rPr>
              <w:t>Quel le niveau d’analyse approprié en ce qui concerne la</w:t>
            </w:r>
            <w:r w:rsidRPr="00F77596">
              <w:rPr>
                <w:sz w:val="20"/>
                <w:lang w:val="fr-FR"/>
              </w:rPr>
              <w:t xml:space="preserve"> prescription / loi sur les prescriptions à l’étape de l’autorisation / la certification? Quel est le niveau d’examen approprié à l’étape de l’appel? </w:t>
            </w:r>
            <w:r w:rsidRPr="00F77596">
              <w:rPr>
                <w:iCs/>
                <w:sz w:val="20"/>
                <w:lang w:val="fr-FR"/>
              </w:rPr>
              <w:t xml:space="preserve">– </w:t>
            </w:r>
            <w:r w:rsidRPr="00F77596">
              <w:rPr>
                <w:sz w:val="20"/>
                <w:lang w:val="fr-FR"/>
              </w:rPr>
              <w:t xml:space="preserve">À quel moment la prescription / loi sur les prescriptions commence-t-elle à courir en matière civile lorsque les problèmes découlant d’un vice de conception surgissent, sont résolus, puis réapparaissent? </w:t>
            </w:r>
            <w:r w:rsidRPr="00F77596">
              <w:rPr>
                <w:iCs/>
                <w:sz w:val="20"/>
                <w:lang w:val="fr-FR"/>
              </w:rPr>
              <w:t xml:space="preserve">– À quel moment une personne raisonnablement prudente devrait-elle être présumée connaître tous les éléments </w:t>
            </w:r>
            <w:r w:rsidRPr="00F77596">
              <w:rPr>
                <w:sz w:val="20"/>
                <w:lang w:val="fr-FR"/>
              </w:rPr>
              <w:t xml:space="preserve">essentiels d’un droit d’action? À quel moment cette même personne devrait-elle conclure que ce qu’elle croyait être un problème d’entretien constitue en réalité un vice de conception? </w:t>
            </w:r>
            <w:r w:rsidRPr="00F77596">
              <w:rPr>
                <w:iCs/>
                <w:sz w:val="20"/>
                <w:lang w:val="fr-FR"/>
              </w:rPr>
              <w:t xml:space="preserve">– Dans quelle mesure la doctrine de la dissimulation frauduleuse par les intimés </w:t>
            </w:r>
            <w:r w:rsidRPr="00F77596">
              <w:rPr>
                <w:sz w:val="20"/>
                <w:lang w:val="fr-FR"/>
              </w:rPr>
              <w:t xml:space="preserve">(ou leurs représentants) influe-t-elle sur ces conclusions? </w:t>
            </w:r>
            <w:r w:rsidRPr="00F77596">
              <w:rPr>
                <w:iCs/>
                <w:sz w:val="20"/>
                <w:lang w:val="fr-FR"/>
              </w:rPr>
              <w:t>– Les provinces appliquent-elles toutes cette doctrine de façon uniforme</w:t>
            </w:r>
            <w:r w:rsidRPr="00F77596">
              <w:rPr>
                <w:sz w:val="20"/>
                <w:lang w:val="fr-FR"/>
              </w:rPr>
              <w:t xml:space="preserve">? </w:t>
            </w:r>
            <w:r w:rsidRPr="00F77596">
              <w:rPr>
                <w:iCs/>
                <w:sz w:val="20"/>
                <w:lang w:val="fr-FR"/>
              </w:rPr>
              <w:t xml:space="preserve">– </w:t>
            </w:r>
            <w:r w:rsidRPr="00F77596">
              <w:rPr>
                <w:sz w:val="20"/>
                <w:lang w:val="fr-FR"/>
              </w:rPr>
              <w:t>Quelle est la procédure appropriée</w:t>
            </w:r>
            <w:r w:rsidRPr="00F77596">
              <w:rPr>
                <w:iCs/>
                <w:sz w:val="20"/>
                <w:lang w:val="fr-FR"/>
              </w:rPr>
              <w:t xml:space="preserve"> lorsque le représentant des demandeurs est jugé inadéquat</w:t>
            </w:r>
            <w:r w:rsidRPr="00F77596">
              <w:rPr>
                <w:sz w:val="20"/>
                <w:lang w:val="fr-FR"/>
              </w:rPr>
              <w:t xml:space="preserve">? Existe-t-il une réparation moins draconienne que le rejet complet du recours collectif en présence d’une preuve que le problème est répandu et que plusieurs centaines d’autres membres du groupe sont connus? </w:t>
            </w:r>
            <w:r w:rsidRPr="00F77596">
              <w:rPr>
                <w:iCs/>
                <w:sz w:val="20"/>
                <w:lang w:val="fr-FR"/>
              </w:rPr>
              <w:t>– Quel est le degré de déférence dont la cour d’appel devrait faire preuve à l’égard des conclusions de fait du juge des requêtes lorsqu’aucun témoignage de vive voix n’a été produit et que l’ensemble de la preuve était constitué uniquement d’</w:t>
            </w:r>
            <w:r w:rsidRPr="00F77596">
              <w:rPr>
                <w:sz w:val="20"/>
                <w:lang w:val="fr-FR"/>
              </w:rPr>
              <w:t xml:space="preserve">interrogatoires hors cours et de documents déposés? </w:t>
            </w:r>
            <w:r w:rsidRPr="00F77596">
              <w:rPr>
                <w:iCs/>
                <w:sz w:val="20"/>
                <w:lang w:val="fr-FR"/>
              </w:rPr>
              <w:t xml:space="preserve">– </w:t>
            </w:r>
            <w:r w:rsidRPr="00F77596">
              <w:rPr>
                <w:i/>
                <w:iCs/>
                <w:sz w:val="20"/>
                <w:lang w:val="fr-FR"/>
              </w:rPr>
              <w:t>Code de procédure civile</w:t>
            </w:r>
            <w:r w:rsidRPr="00F77596">
              <w:rPr>
                <w:sz w:val="20"/>
                <w:lang w:val="fr-FR"/>
              </w:rPr>
              <w:t>, RLRQ, c. C-25, art. 1003.</w:t>
            </w:r>
          </w:p>
          <w:p w:rsidR="00C92B48" w:rsidRPr="00E007CB" w:rsidRDefault="00C92B48" w:rsidP="00B77038">
            <w:pPr>
              <w:jc w:val="both"/>
              <w:rPr>
                <w:rFonts w:eastAsia="Calibri"/>
                <w:sz w:val="20"/>
                <w:lang w:val="fr-CA"/>
              </w:rPr>
            </w:pPr>
          </w:p>
        </w:tc>
      </w:tr>
      <w:tr w:rsidR="00201EA9" w:rsidRPr="00002704" w:rsidTr="00B77038">
        <w:tc>
          <w:tcPr>
            <w:tcW w:w="5000" w:type="pct"/>
            <w:gridSpan w:val="3"/>
          </w:tcPr>
          <w:p w:rsidR="00C92B48" w:rsidRPr="00F77596" w:rsidRDefault="00C92B48" w:rsidP="00C92B48">
            <w:pPr>
              <w:jc w:val="both"/>
              <w:rPr>
                <w:sz w:val="20"/>
                <w:lang w:val="fr-FR"/>
              </w:rPr>
            </w:pPr>
            <w:r w:rsidRPr="00F77596">
              <w:rPr>
                <w:sz w:val="20"/>
                <w:lang w:val="fr-FR"/>
              </w:rPr>
              <w:t xml:space="preserve">En avril 2004, le demandeur a acheté une laveuse à chargement frontal Whirlpool. </w:t>
            </w:r>
            <w:r w:rsidRPr="00F77596">
              <w:rPr>
                <w:sz w:val="20"/>
                <w:lang w:val="fr-CA"/>
              </w:rPr>
              <w:t xml:space="preserve">En 2005, il a commencé à remarquer que des odeurs nauséabondes se dégageaient de la machine et s’en est plaint auprès des intimées, lesquelles lui ont conseillé de communiquer avec le détaillant. Ce dernier lui a fourni des instructions d’entretien et lui a vendu une </w:t>
            </w:r>
            <w:r w:rsidRPr="00F77596">
              <w:rPr>
                <w:sz w:val="20"/>
                <w:lang w:val="fr-FR"/>
              </w:rPr>
              <w:lastRenderedPageBreak/>
              <w:t>garantie prolongée de cinq ans. Le 21 décembre 2009, le Consumer Law Group, a, par l’entremise d’un représentant initial proposé qui agissait à titre requérant, intenté contre les intimées un recours collectif inspiré d’autres recours semblables dans d’autres ressorts. Le 14 février 2013, le demandeur a remplacé le représentant initial proposé.</w:t>
            </w:r>
          </w:p>
          <w:p w:rsidR="00201EA9" w:rsidRPr="00F77596" w:rsidRDefault="00201EA9" w:rsidP="00B77038">
            <w:pPr>
              <w:jc w:val="both"/>
              <w:rPr>
                <w:sz w:val="20"/>
                <w:lang w:val="fr-CA"/>
              </w:rPr>
            </w:pPr>
          </w:p>
        </w:tc>
      </w:tr>
      <w:tr w:rsidR="00201EA9" w:rsidRPr="00002704" w:rsidTr="00B77038">
        <w:trPr>
          <w:cantSplit/>
        </w:trPr>
        <w:tc>
          <w:tcPr>
            <w:tcW w:w="2427" w:type="pct"/>
          </w:tcPr>
          <w:p w:rsidR="00C92B48" w:rsidRPr="00F77596" w:rsidRDefault="00C92B48" w:rsidP="00C92B48">
            <w:pPr>
              <w:jc w:val="both"/>
              <w:rPr>
                <w:sz w:val="20"/>
                <w:lang w:val="fr-FR"/>
              </w:rPr>
            </w:pPr>
            <w:r w:rsidRPr="00F77596">
              <w:rPr>
                <w:sz w:val="20"/>
                <w:lang w:val="fr-FR"/>
              </w:rPr>
              <w:lastRenderedPageBreak/>
              <w:t>19 novembre 2013</w:t>
            </w:r>
          </w:p>
          <w:p w:rsidR="00C92B48" w:rsidRPr="00F77596" w:rsidRDefault="00C92B48" w:rsidP="00C92B48">
            <w:pPr>
              <w:jc w:val="both"/>
              <w:rPr>
                <w:sz w:val="20"/>
                <w:lang w:val="fr-FR"/>
              </w:rPr>
            </w:pPr>
            <w:r w:rsidRPr="00F77596">
              <w:rPr>
                <w:sz w:val="20"/>
                <w:lang w:val="fr-FR"/>
              </w:rPr>
              <w:t>Cour supérieure du Québec</w:t>
            </w:r>
          </w:p>
          <w:p w:rsidR="00C92B48" w:rsidRPr="00F77596" w:rsidRDefault="00C92B48" w:rsidP="00C92B48">
            <w:pPr>
              <w:jc w:val="both"/>
              <w:rPr>
                <w:sz w:val="20"/>
                <w:lang w:val="fr-FR"/>
              </w:rPr>
            </w:pPr>
            <w:r w:rsidRPr="00F77596">
              <w:rPr>
                <w:sz w:val="20"/>
                <w:lang w:val="fr-FR"/>
              </w:rPr>
              <w:t>(Juge Mayrand)</w:t>
            </w:r>
          </w:p>
          <w:p w:rsidR="00C92B48" w:rsidRPr="00F77596" w:rsidRDefault="00C92B48" w:rsidP="00C92B48">
            <w:pPr>
              <w:jc w:val="both"/>
              <w:rPr>
                <w:sz w:val="20"/>
                <w:lang w:val="fr-FR"/>
              </w:rPr>
            </w:pPr>
            <w:r w:rsidRPr="00F77596">
              <w:rPr>
                <w:sz w:val="20"/>
                <w:lang w:val="fr-FR"/>
              </w:rPr>
              <w:t>N</w:t>
            </w:r>
            <w:r w:rsidRPr="00F77596">
              <w:rPr>
                <w:sz w:val="20"/>
                <w:vertAlign w:val="superscript"/>
                <w:lang w:val="fr-FR"/>
              </w:rPr>
              <w:t>o</w:t>
            </w:r>
            <w:r w:rsidRPr="00F77596">
              <w:rPr>
                <w:sz w:val="20"/>
                <w:lang w:val="fr-FR"/>
              </w:rPr>
              <w:t>500-06-000493-094</w:t>
            </w:r>
          </w:p>
          <w:p w:rsidR="00C92B48" w:rsidRPr="00F77596" w:rsidRDefault="00EC4FDF" w:rsidP="00C92B48">
            <w:pPr>
              <w:jc w:val="both"/>
              <w:rPr>
                <w:sz w:val="20"/>
                <w:lang w:val="fr-FR"/>
              </w:rPr>
            </w:pPr>
            <w:hyperlink r:id="rId58" w:history="1">
              <w:r w:rsidR="00C92B48" w:rsidRPr="00F77596">
                <w:rPr>
                  <w:rStyle w:val="Hyperlink"/>
                  <w:sz w:val="20"/>
                  <w:lang w:val="fr-FR"/>
                </w:rPr>
                <w:t>2013 QCCS 5688</w:t>
              </w:r>
            </w:hyperlink>
          </w:p>
          <w:p w:rsidR="00201EA9" w:rsidRPr="00E007CB" w:rsidRDefault="00201EA9" w:rsidP="00B77038">
            <w:pPr>
              <w:jc w:val="both"/>
              <w:rPr>
                <w:rFonts w:eastAsia="Calibri"/>
                <w:sz w:val="20"/>
                <w:lang w:val="fr-CA"/>
              </w:rPr>
            </w:pPr>
          </w:p>
        </w:tc>
        <w:tc>
          <w:tcPr>
            <w:tcW w:w="243" w:type="pct"/>
          </w:tcPr>
          <w:p w:rsidR="00201EA9" w:rsidRPr="00E007CB" w:rsidRDefault="00201EA9" w:rsidP="00B77038">
            <w:pPr>
              <w:jc w:val="both"/>
              <w:rPr>
                <w:rFonts w:eastAsia="Calibri"/>
                <w:sz w:val="20"/>
                <w:lang w:val="fr-CA"/>
              </w:rPr>
            </w:pPr>
          </w:p>
        </w:tc>
        <w:tc>
          <w:tcPr>
            <w:tcW w:w="2330" w:type="pct"/>
          </w:tcPr>
          <w:p w:rsidR="00C92B48" w:rsidRPr="00F77596" w:rsidRDefault="00C92B48" w:rsidP="00C92B48">
            <w:pPr>
              <w:jc w:val="both"/>
              <w:rPr>
                <w:sz w:val="20"/>
                <w:lang w:val="fr-FR"/>
              </w:rPr>
            </w:pPr>
            <w:r w:rsidRPr="00F77596">
              <w:rPr>
                <w:sz w:val="20"/>
                <w:lang w:val="fr-FR"/>
              </w:rPr>
              <w:t>Rejet de la requête en autorisation d’intenter un recours collectif.</w:t>
            </w:r>
          </w:p>
          <w:p w:rsidR="00201EA9" w:rsidRPr="00E007CB" w:rsidRDefault="00201EA9" w:rsidP="00B77038">
            <w:pPr>
              <w:jc w:val="both"/>
              <w:rPr>
                <w:rFonts w:eastAsia="Calibri"/>
                <w:sz w:val="20"/>
                <w:lang w:val="fr-CA"/>
              </w:rPr>
            </w:pPr>
          </w:p>
        </w:tc>
      </w:tr>
      <w:tr w:rsidR="00201EA9" w:rsidRPr="00002704" w:rsidTr="00B77038">
        <w:trPr>
          <w:cantSplit/>
        </w:trPr>
        <w:tc>
          <w:tcPr>
            <w:tcW w:w="2427" w:type="pct"/>
          </w:tcPr>
          <w:p w:rsidR="00C92B48" w:rsidRPr="00F77596" w:rsidRDefault="00C92B48" w:rsidP="00C92B48">
            <w:pPr>
              <w:jc w:val="both"/>
              <w:rPr>
                <w:sz w:val="20"/>
                <w:lang w:val="fr-FR"/>
              </w:rPr>
            </w:pPr>
            <w:r w:rsidRPr="00F77596">
              <w:rPr>
                <w:sz w:val="20"/>
                <w:lang w:val="fr-FR"/>
              </w:rPr>
              <w:t>11 mars 2015</w:t>
            </w:r>
          </w:p>
          <w:p w:rsidR="00C92B48" w:rsidRPr="00F77596" w:rsidRDefault="00C92B48" w:rsidP="00C92B48">
            <w:pPr>
              <w:jc w:val="both"/>
              <w:rPr>
                <w:sz w:val="20"/>
                <w:lang w:val="fr-FR"/>
              </w:rPr>
            </w:pPr>
            <w:r w:rsidRPr="00F77596">
              <w:rPr>
                <w:sz w:val="20"/>
                <w:lang w:val="fr-FR"/>
              </w:rPr>
              <w:t>Cour d’appel du Québec (Montréal)</w:t>
            </w:r>
          </w:p>
          <w:p w:rsidR="00C92B48" w:rsidRPr="00F77596" w:rsidRDefault="00C92B48" w:rsidP="00C92B48">
            <w:pPr>
              <w:jc w:val="both"/>
              <w:rPr>
                <w:sz w:val="20"/>
                <w:lang w:val="fr-FR"/>
              </w:rPr>
            </w:pPr>
            <w:r w:rsidRPr="00F77596">
              <w:rPr>
                <w:sz w:val="20"/>
                <w:lang w:val="fr-FR"/>
              </w:rPr>
              <w:t xml:space="preserve">(Juges Duval Hesler, Vézina (dissident) et </w:t>
            </w:r>
          </w:p>
          <w:p w:rsidR="00C92B48" w:rsidRPr="00F77596" w:rsidRDefault="00C92B48" w:rsidP="00C92B48">
            <w:pPr>
              <w:jc w:val="both"/>
              <w:rPr>
                <w:sz w:val="20"/>
                <w:lang w:val="fr-FR"/>
              </w:rPr>
            </w:pPr>
            <w:r w:rsidRPr="00F77596">
              <w:rPr>
                <w:sz w:val="20"/>
                <w:lang w:val="fr-FR"/>
              </w:rPr>
              <w:t>Vauclair)</w:t>
            </w:r>
          </w:p>
          <w:p w:rsidR="00C92B48" w:rsidRPr="00F77596" w:rsidRDefault="00C92B48" w:rsidP="00C92B48">
            <w:pPr>
              <w:jc w:val="both"/>
              <w:rPr>
                <w:sz w:val="20"/>
                <w:lang w:val="fr-FR"/>
              </w:rPr>
            </w:pPr>
            <w:r w:rsidRPr="00F77596">
              <w:rPr>
                <w:sz w:val="20"/>
                <w:lang w:val="fr-FR"/>
              </w:rPr>
              <w:t>N</w:t>
            </w:r>
            <w:r w:rsidRPr="00F77596">
              <w:rPr>
                <w:sz w:val="20"/>
                <w:vertAlign w:val="superscript"/>
                <w:lang w:val="fr-FR"/>
              </w:rPr>
              <w:t>o</w:t>
            </w:r>
            <w:r w:rsidRPr="00F77596">
              <w:rPr>
                <w:sz w:val="20"/>
                <w:lang w:val="fr-FR"/>
              </w:rPr>
              <w:t xml:space="preserve"> 500-09-024118-135</w:t>
            </w:r>
          </w:p>
          <w:p w:rsidR="00C92B48" w:rsidRPr="00F77596" w:rsidRDefault="00EC4FDF" w:rsidP="00C92B48">
            <w:pPr>
              <w:jc w:val="both"/>
              <w:rPr>
                <w:sz w:val="20"/>
                <w:lang w:val="fr-FR"/>
              </w:rPr>
            </w:pPr>
            <w:hyperlink r:id="rId59" w:history="1">
              <w:r w:rsidR="00C92B48" w:rsidRPr="00F77596">
                <w:rPr>
                  <w:rStyle w:val="Hyperlink"/>
                  <w:sz w:val="20"/>
                  <w:lang w:val="fr-FR"/>
                </w:rPr>
                <w:t>2015 QCCA 433</w:t>
              </w:r>
            </w:hyperlink>
          </w:p>
          <w:p w:rsidR="00201EA9" w:rsidRPr="00E007CB" w:rsidRDefault="00201EA9" w:rsidP="00B77038">
            <w:pPr>
              <w:jc w:val="both"/>
              <w:rPr>
                <w:rFonts w:eastAsia="Calibri"/>
                <w:sz w:val="20"/>
                <w:lang w:val="fr-CA"/>
              </w:rPr>
            </w:pPr>
          </w:p>
        </w:tc>
        <w:tc>
          <w:tcPr>
            <w:tcW w:w="243" w:type="pct"/>
          </w:tcPr>
          <w:p w:rsidR="00201EA9" w:rsidRPr="00E007CB" w:rsidRDefault="00201EA9" w:rsidP="00B77038">
            <w:pPr>
              <w:jc w:val="both"/>
              <w:rPr>
                <w:rFonts w:eastAsia="Calibri"/>
                <w:sz w:val="20"/>
                <w:lang w:val="fr-CA"/>
              </w:rPr>
            </w:pPr>
          </w:p>
        </w:tc>
        <w:tc>
          <w:tcPr>
            <w:tcW w:w="2330" w:type="pct"/>
          </w:tcPr>
          <w:p w:rsidR="00C92B48" w:rsidRPr="00F77596" w:rsidRDefault="00C92B48" w:rsidP="00C92B48">
            <w:pPr>
              <w:jc w:val="both"/>
              <w:rPr>
                <w:sz w:val="20"/>
                <w:lang w:val="fr-FR"/>
              </w:rPr>
            </w:pPr>
            <w:r w:rsidRPr="00F77596">
              <w:rPr>
                <w:sz w:val="20"/>
                <w:lang w:val="fr-FR"/>
              </w:rPr>
              <w:t>Rejet de l’appel.</w:t>
            </w:r>
          </w:p>
          <w:p w:rsidR="00201EA9" w:rsidRPr="00F77596" w:rsidRDefault="00201EA9" w:rsidP="00B77038">
            <w:pPr>
              <w:jc w:val="both"/>
              <w:rPr>
                <w:sz w:val="20"/>
              </w:rPr>
            </w:pPr>
          </w:p>
        </w:tc>
      </w:tr>
      <w:tr w:rsidR="00201EA9" w:rsidRPr="00E007CB" w:rsidTr="00B77038">
        <w:trPr>
          <w:cantSplit/>
        </w:trPr>
        <w:tc>
          <w:tcPr>
            <w:tcW w:w="2427" w:type="pct"/>
          </w:tcPr>
          <w:p w:rsidR="00201EA9" w:rsidRPr="00E007CB" w:rsidRDefault="00C92B48" w:rsidP="00B77038">
            <w:pPr>
              <w:jc w:val="both"/>
              <w:rPr>
                <w:rFonts w:eastAsia="Calibri"/>
                <w:sz w:val="20"/>
                <w:lang w:val="fr-CA"/>
              </w:rPr>
            </w:pPr>
            <w:r>
              <w:rPr>
                <w:rFonts w:eastAsia="Calibri"/>
                <w:sz w:val="20"/>
                <w:lang w:val="fr-CA"/>
              </w:rPr>
              <w:t>8 mai</w:t>
            </w:r>
            <w:r w:rsidR="00201EA9" w:rsidRPr="00E007CB">
              <w:rPr>
                <w:rFonts w:eastAsia="Calibri"/>
                <w:sz w:val="20"/>
                <w:lang w:val="fr-CA"/>
              </w:rPr>
              <w:t xml:space="preserve"> 201</w:t>
            </w:r>
            <w:r w:rsidR="00201EA9">
              <w:rPr>
                <w:rFonts w:eastAsia="Calibri"/>
                <w:sz w:val="20"/>
                <w:lang w:val="fr-CA"/>
              </w:rPr>
              <w:t>5</w:t>
            </w:r>
          </w:p>
          <w:p w:rsidR="00201EA9" w:rsidRPr="00E007CB" w:rsidRDefault="00201EA9" w:rsidP="00B77038">
            <w:pPr>
              <w:jc w:val="both"/>
              <w:rPr>
                <w:rFonts w:eastAsia="Calibri"/>
                <w:sz w:val="20"/>
                <w:lang w:val="fr-CA"/>
              </w:rPr>
            </w:pPr>
            <w:r w:rsidRPr="00E007CB">
              <w:rPr>
                <w:rFonts w:eastAsia="Calibri"/>
                <w:sz w:val="20"/>
                <w:lang w:val="fr-CA"/>
              </w:rPr>
              <w:t>Cour suprême du Canada</w:t>
            </w:r>
          </w:p>
        </w:tc>
        <w:tc>
          <w:tcPr>
            <w:tcW w:w="243" w:type="pct"/>
          </w:tcPr>
          <w:p w:rsidR="00201EA9" w:rsidRPr="00E007CB" w:rsidRDefault="00201EA9" w:rsidP="00B77038">
            <w:pPr>
              <w:jc w:val="both"/>
              <w:rPr>
                <w:rFonts w:eastAsia="Calibri"/>
                <w:sz w:val="20"/>
                <w:lang w:val="fr-CA"/>
              </w:rPr>
            </w:pPr>
          </w:p>
        </w:tc>
        <w:tc>
          <w:tcPr>
            <w:tcW w:w="2330" w:type="pct"/>
          </w:tcPr>
          <w:p w:rsidR="00201EA9" w:rsidRPr="00F77596" w:rsidRDefault="00201EA9" w:rsidP="00B77038">
            <w:pPr>
              <w:jc w:val="both"/>
              <w:rPr>
                <w:sz w:val="20"/>
                <w:lang w:val="fr-CA"/>
              </w:rPr>
            </w:pPr>
            <w:r w:rsidRPr="00F77596">
              <w:rPr>
                <w:sz w:val="20"/>
                <w:lang w:val="fr-CA"/>
              </w:rPr>
              <w:t>Dépôt de</w:t>
            </w:r>
            <w:r w:rsidR="00C92B48">
              <w:rPr>
                <w:sz w:val="20"/>
                <w:lang w:val="fr-CA"/>
              </w:rPr>
              <w:t xml:space="preserve"> la</w:t>
            </w:r>
            <w:r w:rsidRPr="00F77596">
              <w:rPr>
                <w:sz w:val="20"/>
                <w:lang w:val="fr-CA"/>
              </w:rPr>
              <w:t xml:space="preserve"> demande d’autorisation d’appel.</w:t>
            </w:r>
          </w:p>
          <w:p w:rsidR="00201EA9" w:rsidRPr="00F77596" w:rsidRDefault="00201EA9" w:rsidP="00B77038">
            <w:pPr>
              <w:jc w:val="both"/>
              <w:rPr>
                <w:sz w:val="20"/>
                <w:lang w:val="fr-CA"/>
              </w:rPr>
            </w:pPr>
          </w:p>
        </w:tc>
      </w:tr>
    </w:tbl>
    <w:p w:rsidR="00201EA9" w:rsidRDefault="00201EA9" w:rsidP="00201EA9">
      <w:pPr>
        <w:rPr>
          <w:sz w:val="20"/>
          <w:szCs w:val="20"/>
        </w:rPr>
      </w:pPr>
    </w:p>
    <w:p w:rsidR="00201EA9" w:rsidRDefault="00EC4FDF" w:rsidP="00201EA9">
      <w:pPr>
        <w:rPr>
          <w:sz w:val="20"/>
          <w:szCs w:val="20"/>
        </w:rPr>
      </w:pPr>
      <w:r>
        <w:rPr>
          <w:sz w:val="20"/>
          <w:szCs w:val="20"/>
          <w:lang w:val="fr-CA"/>
        </w:rPr>
        <w:pict>
          <v:rect id="_x0000_i1054" style="width:2in;height:1pt" o:hrpct="0" o:hralign="center" o:hrstd="t" o:hrnoshade="t" o:hr="t" fillcolor="black [3213]" stroked="f"/>
        </w:pict>
      </w:r>
    </w:p>
    <w:p w:rsidR="00201EA9" w:rsidRDefault="00201EA9" w:rsidP="00201EA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9794C" w:rsidRPr="00A73D2C" w:rsidTr="00B77038">
        <w:trPr>
          <w:cantSplit/>
        </w:trPr>
        <w:tc>
          <w:tcPr>
            <w:tcW w:w="1458" w:type="dxa"/>
          </w:tcPr>
          <w:p w:rsidR="0009794C" w:rsidRPr="00A73D2C" w:rsidRDefault="0009794C" w:rsidP="00B77038">
            <w:pPr>
              <w:rPr>
                <w:sz w:val="20"/>
                <w:szCs w:val="20"/>
              </w:rPr>
            </w:pPr>
            <w:r w:rsidRPr="00A73D2C">
              <w:rPr>
                <w:rStyle w:val="SCCFileNumberChar"/>
                <w:sz w:val="20"/>
                <w:szCs w:val="20"/>
              </w:rPr>
              <w:t>36</w:t>
            </w:r>
            <w:r>
              <w:rPr>
                <w:rStyle w:val="SCCFileNumberChar"/>
                <w:sz w:val="20"/>
                <w:szCs w:val="20"/>
              </w:rPr>
              <w:t>436</w:t>
            </w:r>
          </w:p>
          <w:p w:rsidR="0009794C" w:rsidRPr="00A73D2C" w:rsidRDefault="0009794C" w:rsidP="00B77038">
            <w:pPr>
              <w:rPr>
                <w:b/>
                <w:sz w:val="20"/>
                <w:szCs w:val="20"/>
                <w:lang w:val="fr-CA"/>
              </w:rPr>
            </w:pPr>
          </w:p>
        </w:tc>
        <w:tc>
          <w:tcPr>
            <w:tcW w:w="8118" w:type="dxa"/>
          </w:tcPr>
          <w:p w:rsidR="0009794C" w:rsidRPr="00A73D2C" w:rsidRDefault="0009794C" w:rsidP="00B77038">
            <w:pPr>
              <w:rPr>
                <w:sz w:val="20"/>
                <w:szCs w:val="20"/>
              </w:rPr>
            </w:pPr>
            <w:r w:rsidRPr="0009794C">
              <w:rPr>
                <w:rStyle w:val="SCCLsocChar"/>
                <w:sz w:val="20"/>
                <w:szCs w:val="20"/>
                <w:lang w:val="en-CA"/>
              </w:rPr>
              <w:t xml:space="preserve">Stéphane Marleau </w:t>
            </w:r>
            <w:r>
              <w:rPr>
                <w:rStyle w:val="SCCLsocChar"/>
                <w:sz w:val="20"/>
                <w:szCs w:val="20"/>
                <w:lang w:val="en-CA"/>
              </w:rPr>
              <w:t>c</w:t>
            </w:r>
            <w:r w:rsidRPr="0009794C">
              <w:rPr>
                <w:rStyle w:val="SCCLsocChar"/>
                <w:sz w:val="20"/>
                <w:szCs w:val="20"/>
                <w:lang w:val="en-CA"/>
              </w:rPr>
              <w:t xml:space="preserve">. </w:t>
            </w:r>
            <w:r>
              <w:rPr>
                <w:rStyle w:val="SCCLsocChar"/>
                <w:sz w:val="20"/>
                <w:szCs w:val="20"/>
                <w:lang w:val="en-CA"/>
              </w:rPr>
              <w:t>Sa Majesté la Reine</w:t>
            </w:r>
            <w:r w:rsidRPr="0009794C">
              <w:rPr>
                <w:rStyle w:val="SCCLsocChar"/>
                <w:sz w:val="20"/>
                <w:szCs w:val="20"/>
                <w:u w:val="none"/>
                <w:lang w:val="en-CA"/>
              </w:rPr>
              <w:t xml:space="preserve"> </w:t>
            </w:r>
            <w:r w:rsidRPr="00A73D2C">
              <w:rPr>
                <w:sz w:val="20"/>
                <w:szCs w:val="20"/>
              </w:rPr>
              <w:t>(</w:t>
            </w:r>
            <w:r>
              <w:rPr>
                <w:sz w:val="20"/>
                <w:szCs w:val="20"/>
              </w:rPr>
              <w:t>Qc</w:t>
            </w:r>
            <w:r w:rsidRPr="00A73D2C">
              <w:rPr>
                <w:sz w:val="20"/>
                <w:szCs w:val="20"/>
              </w:rPr>
              <w:t>) (C</w:t>
            </w:r>
            <w:r>
              <w:rPr>
                <w:sz w:val="20"/>
                <w:szCs w:val="20"/>
              </w:rPr>
              <w:t>riminelle</w:t>
            </w:r>
            <w:r w:rsidRPr="00A73D2C">
              <w:rPr>
                <w:sz w:val="20"/>
                <w:szCs w:val="20"/>
              </w:rPr>
              <w:t>) (</w:t>
            </w:r>
            <w:r>
              <w:rPr>
                <w:sz w:val="20"/>
                <w:szCs w:val="20"/>
              </w:rPr>
              <w:t>Autorisation</w:t>
            </w:r>
            <w:r w:rsidRPr="00A73D2C">
              <w:rPr>
                <w:sz w:val="20"/>
                <w:szCs w:val="20"/>
              </w:rPr>
              <w:t>)</w:t>
            </w:r>
          </w:p>
          <w:p w:rsidR="0009794C" w:rsidRPr="00A73D2C" w:rsidRDefault="0009794C" w:rsidP="00B77038">
            <w:pPr>
              <w:rPr>
                <w:sz w:val="20"/>
                <w:szCs w:val="20"/>
              </w:rPr>
            </w:pPr>
          </w:p>
        </w:tc>
      </w:tr>
      <w:tr w:rsidR="0009794C" w:rsidRPr="00A73D2C" w:rsidTr="00B77038">
        <w:trPr>
          <w:cantSplit/>
        </w:trPr>
        <w:tc>
          <w:tcPr>
            <w:tcW w:w="1458" w:type="dxa"/>
          </w:tcPr>
          <w:p w:rsidR="0009794C" w:rsidRPr="00A73D2C" w:rsidRDefault="0009794C" w:rsidP="00B77038">
            <w:pPr>
              <w:rPr>
                <w:sz w:val="20"/>
                <w:szCs w:val="20"/>
              </w:rPr>
            </w:pPr>
            <w:r w:rsidRPr="00A73D2C">
              <w:rPr>
                <w:sz w:val="20"/>
                <w:szCs w:val="20"/>
              </w:rPr>
              <w:t>Coram :</w:t>
            </w:r>
          </w:p>
        </w:tc>
        <w:tc>
          <w:tcPr>
            <w:tcW w:w="8118" w:type="dxa"/>
          </w:tcPr>
          <w:p w:rsidR="0009794C" w:rsidRDefault="00EC2CC5" w:rsidP="00B77038">
            <w:pPr>
              <w:rPr>
                <w:rStyle w:val="SCCCoramChar"/>
                <w:sz w:val="20"/>
                <w:szCs w:val="20"/>
                <w:lang w:val="en-CA"/>
              </w:rPr>
            </w:pPr>
            <w:r w:rsidRPr="00EC2CC5">
              <w:rPr>
                <w:rStyle w:val="SCCCoramChar"/>
                <w:sz w:val="20"/>
                <w:szCs w:val="20"/>
                <w:lang w:val="en-CA"/>
              </w:rPr>
              <w:t>Les juges Abella, Karakatsanis et Côté</w:t>
            </w:r>
          </w:p>
          <w:p w:rsidR="00EC2CC5" w:rsidRPr="00A73D2C" w:rsidRDefault="00EC2CC5" w:rsidP="00B77038">
            <w:pPr>
              <w:rPr>
                <w:sz w:val="20"/>
                <w:szCs w:val="20"/>
                <w:u w:val="single"/>
              </w:rPr>
            </w:pPr>
          </w:p>
        </w:tc>
      </w:tr>
      <w:tr w:rsidR="0009794C" w:rsidRPr="00002704" w:rsidTr="00B77038">
        <w:trPr>
          <w:cantSplit/>
        </w:trPr>
        <w:tc>
          <w:tcPr>
            <w:tcW w:w="9576" w:type="dxa"/>
            <w:gridSpan w:val="2"/>
          </w:tcPr>
          <w:p w:rsidR="00F0729F" w:rsidRPr="00F0729F" w:rsidRDefault="00F0729F" w:rsidP="00F0729F">
            <w:pPr>
              <w:pStyle w:val="SCCShortJudgment"/>
              <w:rPr>
                <w:szCs w:val="20"/>
              </w:rPr>
            </w:pPr>
            <w:r w:rsidRPr="00F0729F">
              <w:rPr>
                <w:szCs w:val="20"/>
              </w:rPr>
              <w:t>La requête en prorogation du délai de signification et de dépôt de la demande d’autorisation d’appel est accueillie. La demande d’autorisation d’appel de l’arrêt de la Cour d’appel du Québec (Montréal), numéro 500-10-004890-115, 2012 QCCA 78, daté du 20 janvier 2012, est rejetée.</w:t>
            </w:r>
          </w:p>
          <w:p w:rsidR="00F0729F" w:rsidRPr="00F0729F" w:rsidRDefault="00F0729F" w:rsidP="00F0729F">
            <w:pPr>
              <w:pStyle w:val="SCCShortJudgment"/>
              <w:rPr>
                <w:szCs w:val="20"/>
              </w:rPr>
            </w:pPr>
          </w:p>
          <w:p w:rsidR="0009794C" w:rsidRPr="00A73D2C" w:rsidRDefault="00F0729F" w:rsidP="00F0729F">
            <w:pPr>
              <w:pStyle w:val="SCCShortJudgment"/>
              <w:rPr>
                <w:szCs w:val="20"/>
                <w:lang w:val="fr-CA"/>
              </w:rPr>
            </w:pPr>
            <w:r w:rsidRPr="00F0729F">
              <w:rPr>
                <w:szCs w:val="20"/>
              </w:rPr>
              <w:t>The motion for an extension of time to serve and file the application for leave to appeal is granted. The application for leave to appeal from the judgment of the Court of Appeal of Quebec (Montréal), Number 500-10-004890-115, 2012 QCCA 78, dated January 20, 2012, is dismissed.</w:t>
            </w:r>
          </w:p>
        </w:tc>
      </w:tr>
    </w:tbl>
    <w:p w:rsidR="0009794C" w:rsidRPr="0016547E" w:rsidRDefault="0009794C" w:rsidP="0009794C">
      <w:pPr>
        <w:rPr>
          <w:sz w:val="20"/>
          <w:szCs w:val="20"/>
          <w:lang w:val="fr-CA"/>
        </w:rPr>
      </w:pPr>
    </w:p>
    <w:p w:rsidR="0009794C" w:rsidRPr="001B157C" w:rsidRDefault="0009794C" w:rsidP="0009794C">
      <w:pPr>
        <w:rPr>
          <w:sz w:val="20"/>
          <w:szCs w:val="20"/>
          <w:u w:val="single"/>
        </w:rPr>
      </w:pPr>
      <w:r w:rsidRPr="001B157C">
        <w:rPr>
          <w:sz w:val="20"/>
          <w:szCs w:val="20"/>
          <w:u w:val="single"/>
        </w:rPr>
        <w:t>CASE SUMMARY</w:t>
      </w:r>
    </w:p>
    <w:p w:rsidR="0009794C" w:rsidRDefault="0009794C" w:rsidP="000979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794C" w:rsidRPr="00E007CB" w:rsidTr="00B77038">
        <w:tc>
          <w:tcPr>
            <w:tcW w:w="5000" w:type="pct"/>
            <w:gridSpan w:val="3"/>
          </w:tcPr>
          <w:p w:rsidR="0009794C" w:rsidRDefault="0009794C" w:rsidP="00B77038">
            <w:pPr>
              <w:jc w:val="both"/>
              <w:rPr>
                <w:sz w:val="20"/>
              </w:rPr>
            </w:pPr>
            <w:r w:rsidRPr="00F77596">
              <w:rPr>
                <w:i/>
                <w:sz w:val="20"/>
              </w:rPr>
              <w:t>Charter of Rights</w:t>
            </w:r>
            <w:r w:rsidRPr="00F77596">
              <w:rPr>
                <w:sz w:val="20"/>
              </w:rPr>
              <w:t xml:space="preserve"> – Criminal law – Sentencing – Cruel and unusual treatment or punishment – Mandatory minimum sentence – Firearms – Using imitation firearm – Whether mandatory minimum sentence under s. 85(3)(</w:t>
            </w:r>
            <w:r w:rsidRPr="00F77596">
              <w:rPr>
                <w:i/>
                <w:sz w:val="20"/>
              </w:rPr>
              <w:t>b</w:t>
            </w:r>
            <w:r w:rsidRPr="00F77596">
              <w:rPr>
                <w:sz w:val="20"/>
              </w:rPr>
              <w:t xml:space="preserve">) of the </w:t>
            </w:r>
            <w:r w:rsidRPr="00F77596">
              <w:rPr>
                <w:i/>
                <w:sz w:val="20"/>
              </w:rPr>
              <w:t>Criminal Code</w:t>
            </w:r>
            <w:r w:rsidRPr="00F77596">
              <w:rPr>
                <w:sz w:val="20"/>
              </w:rPr>
              <w:t xml:space="preserve"> violates ss. 7 and 12 of the </w:t>
            </w:r>
            <w:r w:rsidRPr="00F77596">
              <w:rPr>
                <w:i/>
                <w:sz w:val="20"/>
              </w:rPr>
              <w:t>Charter</w:t>
            </w:r>
            <w:r w:rsidRPr="00F77596">
              <w:rPr>
                <w:sz w:val="20"/>
              </w:rPr>
              <w:t xml:space="preserve"> – </w:t>
            </w:r>
            <w:r w:rsidRPr="00F77596">
              <w:rPr>
                <w:i/>
                <w:sz w:val="20"/>
              </w:rPr>
              <w:t>Criminal Code</w:t>
            </w:r>
            <w:r w:rsidRPr="00F77596">
              <w:rPr>
                <w:sz w:val="20"/>
              </w:rPr>
              <w:t>, R.S.C. 1985, c. C-46, s. 85(3)(</w:t>
            </w:r>
            <w:r w:rsidRPr="00F77596">
              <w:rPr>
                <w:i/>
                <w:sz w:val="20"/>
              </w:rPr>
              <w:t>b</w:t>
            </w:r>
            <w:r w:rsidRPr="00F77596">
              <w:rPr>
                <w:sz w:val="20"/>
              </w:rPr>
              <w:t xml:space="preserve">) – </w:t>
            </w:r>
            <w:r w:rsidRPr="00F77596">
              <w:rPr>
                <w:i/>
                <w:sz w:val="20"/>
              </w:rPr>
              <w:t>Canadian Charter of Rights and Freedoms</w:t>
            </w:r>
            <w:r w:rsidRPr="00F77596">
              <w:rPr>
                <w:sz w:val="20"/>
              </w:rPr>
              <w:t>, ss. 7, 12.</w:t>
            </w:r>
          </w:p>
          <w:p w:rsidR="0009794C" w:rsidRPr="00E007CB" w:rsidRDefault="0009794C" w:rsidP="00B77038">
            <w:pPr>
              <w:jc w:val="both"/>
              <w:rPr>
                <w:rFonts w:eastAsia="Calibri"/>
                <w:sz w:val="20"/>
              </w:rPr>
            </w:pPr>
          </w:p>
        </w:tc>
      </w:tr>
      <w:tr w:rsidR="0009794C" w:rsidRPr="00E007CB" w:rsidTr="00B77038">
        <w:tc>
          <w:tcPr>
            <w:tcW w:w="5000" w:type="pct"/>
            <w:gridSpan w:val="3"/>
          </w:tcPr>
          <w:p w:rsidR="0009794C" w:rsidRPr="00F77596" w:rsidRDefault="0009794C" w:rsidP="0009794C">
            <w:pPr>
              <w:jc w:val="both"/>
              <w:rPr>
                <w:sz w:val="20"/>
              </w:rPr>
            </w:pPr>
            <w:r w:rsidRPr="00F77596">
              <w:rPr>
                <w:sz w:val="20"/>
              </w:rPr>
              <w:t xml:space="preserve">In 2009, the Court of Québec sentenced Mr. Marleau, the applicant, to concurrent seven-year terms of imprisonment for 28 counts of armed robbery, and to a consecutive three-year term of imprisonment for one count of using an imitation firearm. In January 2012, following a facilitation conference, the Court of Appeal reduced Mr. Marleau’s seven-year sentence to five years for the 28 counts of armed robbery to which he had pleaded guilty so that it reflected the joint submission made by the parties at trial. In the Court of Appeal, Mr. Marleau did not challenge the minimum three-year sentence. He now asks the Court to grant him leave to appeal the Court of Appeal judgment and to reduce the three-year sentence on the basis that it violates ss. 7 and 12 of the </w:t>
            </w:r>
            <w:r w:rsidRPr="00F77596">
              <w:rPr>
                <w:i/>
                <w:sz w:val="20"/>
              </w:rPr>
              <w:t>Canadian Charter of Rights and Freedoms</w:t>
            </w:r>
            <w:r w:rsidRPr="00F77596">
              <w:rPr>
                <w:sz w:val="20"/>
              </w:rPr>
              <w:t>.</w:t>
            </w:r>
          </w:p>
          <w:p w:rsidR="0009794C" w:rsidRPr="00F77596" w:rsidRDefault="0009794C" w:rsidP="00B77038">
            <w:pPr>
              <w:jc w:val="both"/>
              <w:rPr>
                <w:sz w:val="20"/>
              </w:rPr>
            </w:pPr>
          </w:p>
        </w:tc>
      </w:tr>
      <w:tr w:rsidR="0009794C" w:rsidRPr="00E007CB" w:rsidTr="00B77038">
        <w:trPr>
          <w:cantSplit/>
        </w:trPr>
        <w:tc>
          <w:tcPr>
            <w:tcW w:w="2427" w:type="pct"/>
          </w:tcPr>
          <w:p w:rsidR="00B3434E" w:rsidRPr="00F77596" w:rsidRDefault="00B3434E" w:rsidP="00B3434E">
            <w:pPr>
              <w:jc w:val="both"/>
              <w:rPr>
                <w:sz w:val="20"/>
              </w:rPr>
            </w:pPr>
            <w:r w:rsidRPr="00F77596">
              <w:rPr>
                <w:sz w:val="20"/>
              </w:rPr>
              <w:lastRenderedPageBreak/>
              <w:t>April 6, 2009</w:t>
            </w:r>
          </w:p>
          <w:p w:rsidR="00B3434E" w:rsidRPr="00F77596" w:rsidRDefault="00B3434E" w:rsidP="00B3434E">
            <w:pPr>
              <w:jc w:val="both"/>
              <w:rPr>
                <w:sz w:val="20"/>
              </w:rPr>
            </w:pPr>
            <w:r w:rsidRPr="00F77596">
              <w:rPr>
                <w:sz w:val="20"/>
              </w:rPr>
              <w:t>Court of Québec</w:t>
            </w:r>
          </w:p>
          <w:p w:rsidR="00B3434E" w:rsidRPr="00F77596" w:rsidRDefault="00B3434E" w:rsidP="00B3434E">
            <w:pPr>
              <w:jc w:val="both"/>
              <w:rPr>
                <w:sz w:val="20"/>
              </w:rPr>
            </w:pPr>
            <w:r w:rsidRPr="00F77596">
              <w:rPr>
                <w:sz w:val="20"/>
              </w:rPr>
              <w:t>(Wilhelmy J.C.Q.)</w:t>
            </w:r>
          </w:p>
          <w:p w:rsidR="0009794C" w:rsidRPr="00E007CB" w:rsidRDefault="0009794C" w:rsidP="00B77038">
            <w:pPr>
              <w:jc w:val="both"/>
              <w:rPr>
                <w:rFonts w:eastAsia="Calibri"/>
                <w:sz w:val="20"/>
              </w:rPr>
            </w:pPr>
          </w:p>
        </w:tc>
        <w:tc>
          <w:tcPr>
            <w:tcW w:w="243" w:type="pct"/>
          </w:tcPr>
          <w:p w:rsidR="0009794C" w:rsidRPr="00E007CB" w:rsidRDefault="0009794C" w:rsidP="00B77038">
            <w:pPr>
              <w:jc w:val="both"/>
              <w:rPr>
                <w:rFonts w:eastAsia="Calibri"/>
                <w:sz w:val="20"/>
              </w:rPr>
            </w:pPr>
          </w:p>
        </w:tc>
        <w:tc>
          <w:tcPr>
            <w:tcW w:w="2330" w:type="pct"/>
          </w:tcPr>
          <w:p w:rsidR="00B3434E" w:rsidRPr="00F77596" w:rsidRDefault="00B3434E" w:rsidP="00B3434E">
            <w:pPr>
              <w:jc w:val="both"/>
              <w:rPr>
                <w:sz w:val="20"/>
              </w:rPr>
            </w:pPr>
            <w:r w:rsidRPr="00F77596">
              <w:rPr>
                <w:sz w:val="20"/>
              </w:rPr>
              <w:t xml:space="preserve">Applicant sentenced to concurrent seven-year terms of imprisonment for 28 counts of armed robbery and to three years’ imprisonment (to be served consecutively) for one count of using an imitation firearm </w:t>
            </w:r>
          </w:p>
          <w:p w:rsidR="0009794C" w:rsidRPr="00F77596" w:rsidRDefault="0009794C" w:rsidP="00B77038">
            <w:pPr>
              <w:jc w:val="both"/>
              <w:rPr>
                <w:sz w:val="20"/>
              </w:rPr>
            </w:pPr>
          </w:p>
        </w:tc>
      </w:tr>
      <w:tr w:rsidR="0009794C" w:rsidRPr="00E007CB" w:rsidTr="00B77038">
        <w:trPr>
          <w:cantSplit/>
        </w:trPr>
        <w:tc>
          <w:tcPr>
            <w:tcW w:w="2427" w:type="pct"/>
          </w:tcPr>
          <w:p w:rsidR="00B3434E" w:rsidRPr="00F77596" w:rsidRDefault="00B3434E" w:rsidP="00B3434E">
            <w:pPr>
              <w:jc w:val="both"/>
              <w:rPr>
                <w:sz w:val="20"/>
              </w:rPr>
            </w:pPr>
            <w:r w:rsidRPr="00F77596">
              <w:rPr>
                <w:sz w:val="20"/>
              </w:rPr>
              <w:t>January 20, 2012</w:t>
            </w:r>
          </w:p>
          <w:p w:rsidR="00B3434E" w:rsidRPr="00F77596" w:rsidRDefault="00B3434E" w:rsidP="00B3434E">
            <w:pPr>
              <w:jc w:val="both"/>
              <w:rPr>
                <w:sz w:val="20"/>
              </w:rPr>
            </w:pPr>
            <w:r w:rsidRPr="00F77596">
              <w:rPr>
                <w:sz w:val="20"/>
              </w:rPr>
              <w:t>Quebec Court of Appeal (Montréal)</w:t>
            </w:r>
          </w:p>
          <w:p w:rsidR="00B3434E" w:rsidRPr="00F77596" w:rsidRDefault="00B3434E" w:rsidP="00B3434E">
            <w:pPr>
              <w:jc w:val="both"/>
              <w:rPr>
                <w:sz w:val="20"/>
              </w:rPr>
            </w:pPr>
            <w:r w:rsidRPr="00F77596">
              <w:rPr>
                <w:sz w:val="20"/>
              </w:rPr>
              <w:t>(Doyon, Bich and Dufresne JJ.A.)</w:t>
            </w:r>
          </w:p>
          <w:p w:rsidR="00B3434E" w:rsidRPr="00F77596" w:rsidRDefault="00EC4FDF" w:rsidP="00B3434E">
            <w:pPr>
              <w:jc w:val="both"/>
              <w:rPr>
                <w:sz w:val="20"/>
              </w:rPr>
            </w:pPr>
            <w:hyperlink r:id="rId60" w:history="1">
              <w:r w:rsidR="00B3434E" w:rsidRPr="00F77596">
                <w:rPr>
                  <w:rStyle w:val="Hyperlink"/>
                  <w:sz w:val="20"/>
                </w:rPr>
                <w:t>2012 QCCA 78</w:t>
              </w:r>
            </w:hyperlink>
          </w:p>
          <w:p w:rsidR="0009794C" w:rsidRDefault="0009794C" w:rsidP="00B77038">
            <w:pPr>
              <w:jc w:val="both"/>
              <w:rPr>
                <w:rFonts w:eastAsia="Calibri"/>
                <w:sz w:val="20"/>
              </w:rPr>
            </w:pPr>
          </w:p>
        </w:tc>
        <w:tc>
          <w:tcPr>
            <w:tcW w:w="243" w:type="pct"/>
          </w:tcPr>
          <w:p w:rsidR="0009794C" w:rsidRPr="00E007CB" w:rsidRDefault="0009794C" w:rsidP="00B77038">
            <w:pPr>
              <w:jc w:val="both"/>
              <w:rPr>
                <w:rFonts w:eastAsia="Calibri"/>
                <w:sz w:val="20"/>
              </w:rPr>
            </w:pPr>
          </w:p>
        </w:tc>
        <w:tc>
          <w:tcPr>
            <w:tcW w:w="2330" w:type="pct"/>
          </w:tcPr>
          <w:p w:rsidR="00B3434E" w:rsidRPr="00F77596" w:rsidRDefault="00B3434E" w:rsidP="00B3434E">
            <w:pPr>
              <w:jc w:val="both"/>
              <w:rPr>
                <w:sz w:val="20"/>
              </w:rPr>
            </w:pPr>
            <w:r w:rsidRPr="00F77596">
              <w:rPr>
                <w:sz w:val="20"/>
              </w:rPr>
              <w:t>Motions for extension of time and for leave to appeal the sentences allowed; seven-year sentence reduced to five years</w:t>
            </w:r>
          </w:p>
          <w:p w:rsidR="0009794C" w:rsidRPr="00F77596" w:rsidRDefault="0009794C" w:rsidP="00B77038">
            <w:pPr>
              <w:jc w:val="both"/>
              <w:rPr>
                <w:sz w:val="20"/>
              </w:rPr>
            </w:pPr>
          </w:p>
        </w:tc>
      </w:tr>
      <w:tr w:rsidR="0009794C" w:rsidRPr="00E007CB" w:rsidTr="00B77038">
        <w:trPr>
          <w:cantSplit/>
        </w:trPr>
        <w:tc>
          <w:tcPr>
            <w:tcW w:w="2427" w:type="pct"/>
          </w:tcPr>
          <w:p w:rsidR="0009794C" w:rsidRPr="00F77596" w:rsidRDefault="00B3434E" w:rsidP="00B77038">
            <w:pPr>
              <w:jc w:val="both"/>
              <w:rPr>
                <w:sz w:val="20"/>
              </w:rPr>
            </w:pPr>
            <w:r>
              <w:rPr>
                <w:sz w:val="20"/>
              </w:rPr>
              <w:t>May 14</w:t>
            </w:r>
            <w:r w:rsidR="0009794C" w:rsidRPr="00F77596">
              <w:rPr>
                <w:sz w:val="20"/>
              </w:rPr>
              <w:t>, 2015</w:t>
            </w:r>
          </w:p>
          <w:p w:rsidR="0009794C" w:rsidRDefault="0009794C" w:rsidP="00B77038">
            <w:pPr>
              <w:jc w:val="both"/>
              <w:rPr>
                <w:rFonts w:eastAsia="Calibri"/>
                <w:sz w:val="20"/>
              </w:rPr>
            </w:pPr>
            <w:r w:rsidRPr="00F77596">
              <w:rPr>
                <w:sz w:val="20"/>
              </w:rPr>
              <w:t>Supreme Court of Canada</w:t>
            </w:r>
          </w:p>
          <w:p w:rsidR="0009794C" w:rsidRDefault="0009794C" w:rsidP="00B77038">
            <w:pPr>
              <w:jc w:val="both"/>
              <w:rPr>
                <w:rFonts w:eastAsia="Calibri"/>
                <w:sz w:val="20"/>
              </w:rPr>
            </w:pPr>
          </w:p>
        </w:tc>
        <w:tc>
          <w:tcPr>
            <w:tcW w:w="243" w:type="pct"/>
          </w:tcPr>
          <w:p w:rsidR="0009794C" w:rsidRPr="00E007CB" w:rsidRDefault="0009794C" w:rsidP="00B77038">
            <w:pPr>
              <w:jc w:val="both"/>
              <w:rPr>
                <w:rFonts w:eastAsia="Calibri"/>
                <w:sz w:val="20"/>
              </w:rPr>
            </w:pPr>
          </w:p>
        </w:tc>
        <w:tc>
          <w:tcPr>
            <w:tcW w:w="2330" w:type="pct"/>
          </w:tcPr>
          <w:p w:rsidR="00B3434E" w:rsidRPr="00F77596" w:rsidRDefault="00B3434E" w:rsidP="00B3434E">
            <w:pPr>
              <w:jc w:val="both"/>
              <w:rPr>
                <w:sz w:val="20"/>
              </w:rPr>
            </w:pPr>
            <w:r w:rsidRPr="00F77596">
              <w:rPr>
                <w:sz w:val="20"/>
              </w:rPr>
              <w:t>Motion for extension of time and application for leave to appeal filed</w:t>
            </w:r>
          </w:p>
          <w:p w:rsidR="0009794C" w:rsidRPr="00F77596" w:rsidRDefault="0009794C" w:rsidP="00B77038">
            <w:pPr>
              <w:jc w:val="both"/>
              <w:rPr>
                <w:sz w:val="20"/>
              </w:rPr>
            </w:pPr>
          </w:p>
        </w:tc>
      </w:tr>
    </w:tbl>
    <w:p w:rsidR="0009794C" w:rsidRDefault="0009794C" w:rsidP="0009794C">
      <w:pPr>
        <w:rPr>
          <w:sz w:val="20"/>
          <w:szCs w:val="20"/>
        </w:rPr>
      </w:pPr>
    </w:p>
    <w:p w:rsidR="0009794C" w:rsidRPr="00C50A5C" w:rsidRDefault="00EC4FDF" w:rsidP="0009794C">
      <w:pPr>
        <w:rPr>
          <w:sz w:val="20"/>
          <w:szCs w:val="20"/>
        </w:rPr>
      </w:pPr>
      <w:r>
        <w:rPr>
          <w:sz w:val="20"/>
          <w:szCs w:val="20"/>
          <w:lang w:val="fr-CA"/>
        </w:rPr>
        <w:pict>
          <v:rect id="_x0000_i1055" style="width:2in;height:1pt" o:hrpct="0" o:hralign="center" o:hrstd="t" o:hrnoshade="t" o:hr="t" fillcolor="black [3213]" stroked="f"/>
        </w:pict>
      </w:r>
    </w:p>
    <w:p w:rsidR="0009794C" w:rsidRDefault="0009794C" w:rsidP="0009794C">
      <w:pPr>
        <w:rPr>
          <w:sz w:val="20"/>
          <w:szCs w:val="20"/>
        </w:rPr>
      </w:pPr>
    </w:p>
    <w:p w:rsidR="0009794C" w:rsidRPr="001B157C" w:rsidRDefault="0009794C" w:rsidP="0009794C">
      <w:pPr>
        <w:rPr>
          <w:sz w:val="20"/>
          <w:szCs w:val="20"/>
          <w:u w:val="single"/>
          <w:lang w:val="fr-CA"/>
        </w:rPr>
      </w:pPr>
      <w:r w:rsidRPr="001B157C">
        <w:rPr>
          <w:sz w:val="20"/>
          <w:szCs w:val="20"/>
          <w:u w:val="single"/>
          <w:lang w:val="fr-CA"/>
        </w:rPr>
        <w:t>RÉSUMÉ DE L’AFFAIRE</w:t>
      </w:r>
    </w:p>
    <w:p w:rsidR="0009794C" w:rsidRDefault="0009794C" w:rsidP="000979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794C" w:rsidRPr="00002704" w:rsidTr="00B77038">
        <w:tc>
          <w:tcPr>
            <w:tcW w:w="5000" w:type="pct"/>
            <w:gridSpan w:val="3"/>
          </w:tcPr>
          <w:p w:rsidR="0009794C" w:rsidRDefault="00B3434E" w:rsidP="00B77038">
            <w:pPr>
              <w:jc w:val="both"/>
              <w:rPr>
                <w:sz w:val="20"/>
                <w:lang w:val="fr-CA"/>
              </w:rPr>
            </w:pPr>
            <w:r w:rsidRPr="00F77596">
              <w:rPr>
                <w:i/>
                <w:sz w:val="20"/>
                <w:lang w:val="fr-CA"/>
              </w:rPr>
              <w:t>Charte des droits</w:t>
            </w:r>
            <w:r w:rsidRPr="00F77596">
              <w:rPr>
                <w:sz w:val="20"/>
                <w:lang w:val="fr-CA"/>
              </w:rPr>
              <w:t xml:space="preserve"> – Droit criminel – Détermination de la peine – Traitements ou peines cruels et inusités – Peine minimale obligatoire – Armes à feu – Utilisation d’une fausse arme à feu – La peine minimale obligatoire prévue à l’art. 85(3)</w:t>
            </w:r>
            <w:r w:rsidRPr="00F77596">
              <w:rPr>
                <w:i/>
                <w:sz w:val="20"/>
                <w:lang w:val="fr-CA"/>
              </w:rPr>
              <w:t>b</w:t>
            </w:r>
            <w:r w:rsidRPr="00F77596">
              <w:rPr>
                <w:sz w:val="20"/>
                <w:lang w:val="fr-CA"/>
              </w:rPr>
              <w:t xml:space="preserve">) du </w:t>
            </w:r>
            <w:r w:rsidRPr="00F77596">
              <w:rPr>
                <w:i/>
                <w:sz w:val="20"/>
                <w:lang w:val="fr-CA"/>
              </w:rPr>
              <w:t>Code criminel</w:t>
            </w:r>
            <w:r w:rsidRPr="00F77596">
              <w:rPr>
                <w:sz w:val="20"/>
                <w:lang w:val="fr-CA"/>
              </w:rPr>
              <w:t xml:space="preserve"> viole-t-elle les art. 7 et 12 de la </w:t>
            </w:r>
            <w:r w:rsidRPr="00F77596">
              <w:rPr>
                <w:i/>
                <w:sz w:val="20"/>
                <w:lang w:val="fr-CA"/>
              </w:rPr>
              <w:t>Charte</w:t>
            </w:r>
            <w:r w:rsidRPr="00F77596">
              <w:rPr>
                <w:sz w:val="20"/>
                <w:lang w:val="fr-CA"/>
              </w:rPr>
              <w:t xml:space="preserve">? – </w:t>
            </w:r>
            <w:r w:rsidRPr="00F77596">
              <w:rPr>
                <w:i/>
                <w:sz w:val="20"/>
                <w:lang w:val="fr-CA"/>
              </w:rPr>
              <w:t>Code criminel</w:t>
            </w:r>
            <w:r w:rsidRPr="00F77596">
              <w:rPr>
                <w:sz w:val="20"/>
                <w:lang w:val="fr-CA"/>
              </w:rPr>
              <w:t>, L.R.C. 1985, c. C-46, art. 85(3)</w:t>
            </w:r>
            <w:r w:rsidRPr="00F77596">
              <w:rPr>
                <w:i/>
                <w:sz w:val="20"/>
                <w:lang w:val="fr-CA"/>
              </w:rPr>
              <w:t>b</w:t>
            </w:r>
            <w:r w:rsidRPr="00F77596">
              <w:rPr>
                <w:sz w:val="20"/>
                <w:lang w:val="fr-CA"/>
              </w:rPr>
              <w:t xml:space="preserve">) – </w:t>
            </w:r>
            <w:r w:rsidRPr="00F77596">
              <w:rPr>
                <w:i/>
                <w:sz w:val="20"/>
                <w:lang w:val="fr-CA"/>
              </w:rPr>
              <w:t>Charte canadienne des droits et libertés</w:t>
            </w:r>
            <w:r w:rsidRPr="00F77596">
              <w:rPr>
                <w:sz w:val="20"/>
                <w:lang w:val="fr-CA"/>
              </w:rPr>
              <w:t>, art. 7, 12.</w:t>
            </w:r>
          </w:p>
          <w:p w:rsidR="00B3434E" w:rsidRPr="00E007CB" w:rsidRDefault="00B3434E" w:rsidP="00B77038">
            <w:pPr>
              <w:jc w:val="both"/>
              <w:rPr>
                <w:rFonts w:eastAsia="Calibri"/>
                <w:sz w:val="20"/>
                <w:lang w:val="fr-CA"/>
              </w:rPr>
            </w:pPr>
          </w:p>
        </w:tc>
      </w:tr>
      <w:tr w:rsidR="0009794C" w:rsidRPr="00002704" w:rsidTr="00B77038">
        <w:tc>
          <w:tcPr>
            <w:tcW w:w="5000" w:type="pct"/>
            <w:gridSpan w:val="3"/>
          </w:tcPr>
          <w:p w:rsidR="00B3434E" w:rsidRPr="00F77596" w:rsidRDefault="00B3434E" w:rsidP="00B3434E">
            <w:pPr>
              <w:jc w:val="both"/>
              <w:rPr>
                <w:sz w:val="20"/>
                <w:lang w:val="fr-CA"/>
              </w:rPr>
            </w:pPr>
            <w:r w:rsidRPr="00F77596">
              <w:rPr>
                <w:sz w:val="20"/>
                <w:lang w:val="fr-CA"/>
              </w:rPr>
              <w:t xml:space="preserve">En 2009, la Cour du Québec a condamné M. Marleau, demandeur, à des peines concurrentes de 7 ans d’emprisonnement pour 28 chefs d’accusation de vol qualifié et de 3 ans pour un chef d’accusation d’utilisation d’une fausse arme à feu, cette dernière devant être purgée de manière consécutive. En janvier 2012, suite à une séance de facilitation, la Cour d’appel a réduit de 7 ans à 5 ans la peine de M. Marleau pour les 28 chefs de vol qualifié auxquels il avait plaidé coupable, pour qu’elle soit représentative de la suggestion commune faite par les parties en première instance. En Cour d’appel, M. Marleau n’a pas contesté la peine minimale obligatoire de 3 ans imposée. Il demande maintenant à la Cour d’accorder la permission d’appeler du jugement de la Cour d’appel et de réduire la peine de 3 ans imposée, au motif qu’elle viole les art. 7 et 12 de la </w:t>
            </w:r>
            <w:r w:rsidRPr="00F77596">
              <w:rPr>
                <w:i/>
                <w:sz w:val="20"/>
                <w:lang w:val="fr-CA"/>
              </w:rPr>
              <w:t>Charte canadienne des droits et libertés</w:t>
            </w:r>
            <w:r w:rsidRPr="00F77596">
              <w:rPr>
                <w:sz w:val="20"/>
                <w:lang w:val="fr-CA"/>
              </w:rPr>
              <w:t>.</w:t>
            </w:r>
          </w:p>
          <w:p w:rsidR="0009794C" w:rsidRPr="00F77596" w:rsidRDefault="0009794C" w:rsidP="00B77038">
            <w:pPr>
              <w:jc w:val="both"/>
              <w:rPr>
                <w:sz w:val="20"/>
                <w:lang w:val="fr-CA"/>
              </w:rPr>
            </w:pPr>
          </w:p>
        </w:tc>
      </w:tr>
      <w:tr w:rsidR="0009794C" w:rsidRPr="00002704" w:rsidTr="00B77038">
        <w:trPr>
          <w:cantSplit/>
        </w:trPr>
        <w:tc>
          <w:tcPr>
            <w:tcW w:w="2427" w:type="pct"/>
          </w:tcPr>
          <w:p w:rsidR="00C11281" w:rsidRPr="00F77596" w:rsidRDefault="00C11281" w:rsidP="00C11281">
            <w:pPr>
              <w:jc w:val="both"/>
              <w:rPr>
                <w:sz w:val="20"/>
                <w:lang w:val="fr-CA"/>
              </w:rPr>
            </w:pPr>
            <w:r w:rsidRPr="00F77596">
              <w:rPr>
                <w:sz w:val="20"/>
                <w:lang w:val="fr-CA"/>
              </w:rPr>
              <w:t>Le 6 avril 2009</w:t>
            </w:r>
          </w:p>
          <w:p w:rsidR="00C11281" w:rsidRPr="00F77596" w:rsidRDefault="00C11281" w:rsidP="00C11281">
            <w:pPr>
              <w:jc w:val="both"/>
              <w:rPr>
                <w:sz w:val="20"/>
                <w:lang w:val="fr-CA"/>
              </w:rPr>
            </w:pPr>
            <w:r w:rsidRPr="00F77596">
              <w:rPr>
                <w:sz w:val="20"/>
                <w:lang w:val="fr-CA"/>
              </w:rPr>
              <w:t>Cour du Québec</w:t>
            </w:r>
          </w:p>
          <w:p w:rsidR="00C11281" w:rsidRPr="00F77596" w:rsidRDefault="00C11281" w:rsidP="00C11281">
            <w:pPr>
              <w:jc w:val="both"/>
              <w:rPr>
                <w:sz w:val="20"/>
                <w:lang w:val="fr-CA"/>
              </w:rPr>
            </w:pPr>
            <w:r w:rsidRPr="00F77596">
              <w:rPr>
                <w:sz w:val="20"/>
                <w:lang w:val="fr-CA"/>
              </w:rPr>
              <w:t>(La juge Wilhelmy)</w:t>
            </w:r>
          </w:p>
          <w:p w:rsidR="0009794C" w:rsidRPr="00E007CB" w:rsidRDefault="0009794C" w:rsidP="00B77038">
            <w:pPr>
              <w:jc w:val="both"/>
              <w:rPr>
                <w:rFonts w:eastAsia="Calibri"/>
                <w:sz w:val="20"/>
                <w:lang w:val="fr-CA"/>
              </w:rPr>
            </w:pPr>
          </w:p>
        </w:tc>
        <w:tc>
          <w:tcPr>
            <w:tcW w:w="243" w:type="pct"/>
          </w:tcPr>
          <w:p w:rsidR="0009794C" w:rsidRPr="00E007CB" w:rsidRDefault="0009794C" w:rsidP="00B77038">
            <w:pPr>
              <w:jc w:val="both"/>
              <w:rPr>
                <w:rFonts w:eastAsia="Calibri"/>
                <w:sz w:val="20"/>
                <w:lang w:val="fr-CA"/>
              </w:rPr>
            </w:pPr>
          </w:p>
        </w:tc>
        <w:tc>
          <w:tcPr>
            <w:tcW w:w="2330" w:type="pct"/>
          </w:tcPr>
          <w:p w:rsidR="00C11281" w:rsidRPr="00F77596" w:rsidRDefault="00C11281" w:rsidP="00C11281">
            <w:pPr>
              <w:jc w:val="both"/>
              <w:rPr>
                <w:sz w:val="20"/>
                <w:lang w:val="fr-CA"/>
              </w:rPr>
            </w:pPr>
            <w:r w:rsidRPr="00F77596">
              <w:rPr>
                <w:sz w:val="20"/>
                <w:lang w:val="fr-CA"/>
              </w:rPr>
              <w:t>Demandeur condamné à des peines concurrentes de 7 ans d’emprisonnement pour les 28 chefs d’accusation de vol qualifié et de 3 ans d’emprisonnement (purgée de façon consécutive) pour un chef d’utilisation d’une fausse arme à feu</w:t>
            </w:r>
          </w:p>
          <w:p w:rsidR="0009794C" w:rsidRPr="00F77596" w:rsidRDefault="0009794C" w:rsidP="00B77038">
            <w:pPr>
              <w:jc w:val="both"/>
              <w:rPr>
                <w:sz w:val="20"/>
                <w:lang w:val="fr-CA"/>
              </w:rPr>
            </w:pPr>
          </w:p>
        </w:tc>
      </w:tr>
      <w:tr w:rsidR="0009794C" w:rsidRPr="00E007CB" w:rsidTr="00B77038">
        <w:trPr>
          <w:cantSplit/>
        </w:trPr>
        <w:tc>
          <w:tcPr>
            <w:tcW w:w="2427" w:type="pct"/>
          </w:tcPr>
          <w:p w:rsidR="00C11281" w:rsidRPr="00F77596" w:rsidRDefault="00C11281" w:rsidP="00C11281">
            <w:pPr>
              <w:jc w:val="both"/>
              <w:rPr>
                <w:sz w:val="20"/>
                <w:lang w:val="fr-CA"/>
              </w:rPr>
            </w:pPr>
            <w:r w:rsidRPr="00F77596">
              <w:rPr>
                <w:sz w:val="20"/>
                <w:lang w:val="fr-CA"/>
              </w:rPr>
              <w:t>Le 20 janvier 2012</w:t>
            </w:r>
          </w:p>
          <w:p w:rsidR="00C11281" w:rsidRPr="00F77596" w:rsidRDefault="00C11281" w:rsidP="00C11281">
            <w:pPr>
              <w:jc w:val="both"/>
              <w:rPr>
                <w:sz w:val="20"/>
                <w:lang w:val="fr-CA"/>
              </w:rPr>
            </w:pPr>
            <w:r w:rsidRPr="00F77596">
              <w:rPr>
                <w:sz w:val="20"/>
                <w:lang w:val="fr-CA"/>
              </w:rPr>
              <w:t>Cour d’appel du Québec (Montréal)</w:t>
            </w:r>
          </w:p>
          <w:p w:rsidR="00C11281" w:rsidRPr="00F77596" w:rsidRDefault="00C11281" w:rsidP="00C11281">
            <w:pPr>
              <w:jc w:val="both"/>
              <w:rPr>
                <w:sz w:val="20"/>
                <w:lang w:val="fr-CA"/>
              </w:rPr>
            </w:pPr>
            <w:r w:rsidRPr="00F77596">
              <w:rPr>
                <w:sz w:val="20"/>
                <w:lang w:val="fr-CA"/>
              </w:rPr>
              <w:t>(Les juges Doyon, Bich et Dufresne)</w:t>
            </w:r>
          </w:p>
          <w:p w:rsidR="00C11281" w:rsidRPr="00F77596" w:rsidRDefault="00EC4FDF" w:rsidP="00C11281">
            <w:pPr>
              <w:jc w:val="both"/>
              <w:rPr>
                <w:sz w:val="20"/>
              </w:rPr>
            </w:pPr>
            <w:hyperlink r:id="rId61" w:history="1">
              <w:r w:rsidR="00C11281" w:rsidRPr="00F77596">
                <w:rPr>
                  <w:rStyle w:val="Hyperlink"/>
                  <w:sz w:val="20"/>
                </w:rPr>
                <w:t>2012 QCCA 78</w:t>
              </w:r>
            </w:hyperlink>
          </w:p>
          <w:p w:rsidR="0009794C" w:rsidRDefault="0009794C" w:rsidP="00B77038">
            <w:pPr>
              <w:jc w:val="both"/>
              <w:rPr>
                <w:rFonts w:eastAsia="Calibri"/>
                <w:sz w:val="20"/>
                <w:lang w:val="fr-CA"/>
              </w:rPr>
            </w:pPr>
          </w:p>
        </w:tc>
        <w:tc>
          <w:tcPr>
            <w:tcW w:w="243" w:type="pct"/>
          </w:tcPr>
          <w:p w:rsidR="0009794C" w:rsidRPr="00E007CB" w:rsidRDefault="0009794C" w:rsidP="00B77038">
            <w:pPr>
              <w:jc w:val="both"/>
              <w:rPr>
                <w:rFonts w:eastAsia="Calibri"/>
                <w:sz w:val="20"/>
                <w:lang w:val="fr-CA"/>
              </w:rPr>
            </w:pPr>
          </w:p>
        </w:tc>
        <w:tc>
          <w:tcPr>
            <w:tcW w:w="2330" w:type="pct"/>
          </w:tcPr>
          <w:p w:rsidR="00C11281" w:rsidRPr="00F77596" w:rsidRDefault="00C11281" w:rsidP="00C11281">
            <w:pPr>
              <w:jc w:val="both"/>
              <w:rPr>
                <w:sz w:val="20"/>
                <w:lang w:val="fr-CA"/>
              </w:rPr>
            </w:pPr>
            <w:r w:rsidRPr="00F77596">
              <w:rPr>
                <w:sz w:val="20"/>
                <w:lang w:val="fr-CA"/>
              </w:rPr>
              <w:t>Requêtes en prorogation de délai et pour permission d’appeler des peines accueillies; peine de 7 ans réduite à 5 ans</w:t>
            </w:r>
          </w:p>
          <w:p w:rsidR="0009794C" w:rsidRPr="00F77596" w:rsidRDefault="0009794C" w:rsidP="00B77038">
            <w:pPr>
              <w:jc w:val="both"/>
              <w:rPr>
                <w:sz w:val="20"/>
                <w:lang w:val="fr-CA"/>
              </w:rPr>
            </w:pPr>
          </w:p>
        </w:tc>
      </w:tr>
      <w:tr w:rsidR="0009794C" w:rsidRPr="00E007CB" w:rsidTr="00B77038">
        <w:trPr>
          <w:cantSplit/>
        </w:trPr>
        <w:tc>
          <w:tcPr>
            <w:tcW w:w="2427" w:type="pct"/>
          </w:tcPr>
          <w:p w:rsidR="0009794C" w:rsidRPr="00F77596" w:rsidRDefault="0009794C" w:rsidP="00B77038">
            <w:pPr>
              <w:jc w:val="both"/>
              <w:rPr>
                <w:sz w:val="20"/>
              </w:rPr>
            </w:pPr>
            <w:r>
              <w:rPr>
                <w:sz w:val="20"/>
              </w:rPr>
              <w:t xml:space="preserve">Le </w:t>
            </w:r>
            <w:r w:rsidR="00C11281">
              <w:rPr>
                <w:sz w:val="20"/>
              </w:rPr>
              <w:t>14</w:t>
            </w:r>
            <w:r w:rsidRPr="00F77596">
              <w:rPr>
                <w:sz w:val="20"/>
              </w:rPr>
              <w:t xml:space="preserve"> </w:t>
            </w:r>
            <w:r w:rsidR="00C11281">
              <w:rPr>
                <w:sz w:val="20"/>
              </w:rPr>
              <w:t>mai</w:t>
            </w:r>
            <w:r w:rsidRPr="00F77596">
              <w:rPr>
                <w:sz w:val="20"/>
              </w:rPr>
              <w:t xml:space="preserve"> 2015</w:t>
            </w:r>
          </w:p>
          <w:p w:rsidR="0009794C" w:rsidRPr="00F77596" w:rsidRDefault="0009794C" w:rsidP="00B77038">
            <w:pPr>
              <w:jc w:val="both"/>
              <w:rPr>
                <w:sz w:val="20"/>
              </w:rPr>
            </w:pPr>
            <w:r w:rsidRPr="00F77596">
              <w:rPr>
                <w:sz w:val="20"/>
              </w:rPr>
              <w:t>Cour suprême du Canada</w:t>
            </w:r>
          </w:p>
          <w:p w:rsidR="0009794C" w:rsidRDefault="0009794C" w:rsidP="00B77038">
            <w:pPr>
              <w:jc w:val="both"/>
              <w:rPr>
                <w:rFonts w:eastAsia="Calibri"/>
                <w:sz w:val="20"/>
                <w:lang w:val="fr-CA"/>
              </w:rPr>
            </w:pPr>
          </w:p>
        </w:tc>
        <w:tc>
          <w:tcPr>
            <w:tcW w:w="243" w:type="pct"/>
          </w:tcPr>
          <w:p w:rsidR="0009794C" w:rsidRPr="00E007CB" w:rsidRDefault="0009794C" w:rsidP="00B77038">
            <w:pPr>
              <w:jc w:val="both"/>
              <w:rPr>
                <w:rFonts w:eastAsia="Calibri"/>
                <w:sz w:val="20"/>
                <w:lang w:val="fr-CA"/>
              </w:rPr>
            </w:pPr>
          </w:p>
        </w:tc>
        <w:tc>
          <w:tcPr>
            <w:tcW w:w="2330" w:type="pct"/>
          </w:tcPr>
          <w:p w:rsidR="00C11281" w:rsidRPr="00F77596" w:rsidRDefault="00C11281" w:rsidP="00C11281">
            <w:pPr>
              <w:jc w:val="both"/>
              <w:rPr>
                <w:sz w:val="20"/>
                <w:lang w:val="fr-CA"/>
              </w:rPr>
            </w:pPr>
            <w:r w:rsidRPr="00F77596">
              <w:rPr>
                <w:sz w:val="20"/>
                <w:lang w:val="fr-CA"/>
              </w:rPr>
              <w:t>Requête en prorogation de délai et demande d’autorisation d’appel déposées</w:t>
            </w:r>
          </w:p>
          <w:p w:rsidR="0009794C" w:rsidRPr="00F77596" w:rsidRDefault="0009794C" w:rsidP="00B77038">
            <w:pPr>
              <w:jc w:val="both"/>
              <w:rPr>
                <w:sz w:val="20"/>
                <w:lang w:val="fr-CA"/>
              </w:rPr>
            </w:pPr>
          </w:p>
        </w:tc>
      </w:tr>
    </w:tbl>
    <w:p w:rsidR="0009794C" w:rsidRDefault="0009794C" w:rsidP="0009794C">
      <w:pPr>
        <w:rPr>
          <w:sz w:val="20"/>
          <w:szCs w:val="20"/>
        </w:rPr>
      </w:pPr>
    </w:p>
    <w:p w:rsidR="0009794C" w:rsidRDefault="00EC4FDF" w:rsidP="0009794C">
      <w:pPr>
        <w:rPr>
          <w:sz w:val="20"/>
          <w:szCs w:val="20"/>
        </w:rPr>
      </w:pPr>
      <w:r>
        <w:rPr>
          <w:sz w:val="20"/>
          <w:szCs w:val="20"/>
          <w:lang w:val="fr-CA"/>
        </w:rPr>
        <w:pict>
          <v:rect id="_x0000_i1056" style="width:2in;height:1pt" o:hrpct="0" o:hralign="center" o:hrstd="t" o:hrnoshade="t" o:hr="t" fillcolor="black [3213]" stroked="f"/>
        </w:pict>
      </w:r>
    </w:p>
    <w:p w:rsidR="0009794C" w:rsidRDefault="0009794C" w:rsidP="0009794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04061" w:rsidRPr="00A73D2C" w:rsidTr="00B77038">
        <w:trPr>
          <w:cantSplit/>
        </w:trPr>
        <w:tc>
          <w:tcPr>
            <w:tcW w:w="1458" w:type="dxa"/>
          </w:tcPr>
          <w:p w:rsidR="00404061" w:rsidRPr="00A73D2C" w:rsidRDefault="00404061" w:rsidP="00B77038">
            <w:pPr>
              <w:rPr>
                <w:sz w:val="20"/>
                <w:szCs w:val="20"/>
              </w:rPr>
            </w:pPr>
            <w:r w:rsidRPr="00A73D2C">
              <w:rPr>
                <w:rStyle w:val="SCCFileNumberChar"/>
                <w:sz w:val="20"/>
                <w:szCs w:val="20"/>
              </w:rPr>
              <w:lastRenderedPageBreak/>
              <w:t>36</w:t>
            </w:r>
            <w:r>
              <w:rPr>
                <w:rStyle w:val="SCCFileNumberChar"/>
                <w:sz w:val="20"/>
                <w:szCs w:val="20"/>
              </w:rPr>
              <w:t>442</w:t>
            </w:r>
          </w:p>
          <w:p w:rsidR="00404061" w:rsidRPr="00A73D2C" w:rsidRDefault="00404061" w:rsidP="00B77038">
            <w:pPr>
              <w:rPr>
                <w:b/>
                <w:sz w:val="20"/>
                <w:szCs w:val="20"/>
                <w:lang w:val="fr-CA"/>
              </w:rPr>
            </w:pPr>
          </w:p>
        </w:tc>
        <w:tc>
          <w:tcPr>
            <w:tcW w:w="8118" w:type="dxa"/>
          </w:tcPr>
          <w:p w:rsidR="00404061" w:rsidRPr="00A73D2C" w:rsidRDefault="00404061" w:rsidP="00B77038">
            <w:pPr>
              <w:rPr>
                <w:sz w:val="20"/>
                <w:szCs w:val="20"/>
              </w:rPr>
            </w:pPr>
            <w:r w:rsidRPr="00404061">
              <w:rPr>
                <w:rStyle w:val="SCCLsocChar"/>
                <w:sz w:val="20"/>
                <w:szCs w:val="20"/>
                <w:lang w:val="en-CA"/>
              </w:rPr>
              <w:t>Attorney General of British Columbia v. Provincial Court Judges' Association of British Columbia</w:t>
            </w:r>
            <w:r w:rsidRPr="00A73D2C">
              <w:rPr>
                <w:sz w:val="20"/>
                <w:szCs w:val="20"/>
              </w:rPr>
              <w:t xml:space="preserve"> (</w:t>
            </w:r>
            <w:r>
              <w:rPr>
                <w:sz w:val="20"/>
                <w:szCs w:val="20"/>
              </w:rPr>
              <w:t>B.C.</w:t>
            </w:r>
            <w:r w:rsidRPr="00A73D2C">
              <w:rPr>
                <w:sz w:val="20"/>
                <w:szCs w:val="20"/>
              </w:rPr>
              <w:t>) (C</w:t>
            </w:r>
            <w:r>
              <w:rPr>
                <w:sz w:val="20"/>
                <w:szCs w:val="20"/>
              </w:rPr>
              <w:t>ivil</w:t>
            </w:r>
            <w:r w:rsidRPr="00A73D2C">
              <w:rPr>
                <w:sz w:val="20"/>
                <w:szCs w:val="20"/>
              </w:rPr>
              <w:t>) (By Leave)</w:t>
            </w:r>
          </w:p>
          <w:p w:rsidR="00404061" w:rsidRPr="00A73D2C" w:rsidRDefault="00404061" w:rsidP="00B77038">
            <w:pPr>
              <w:rPr>
                <w:sz w:val="20"/>
                <w:szCs w:val="20"/>
              </w:rPr>
            </w:pPr>
          </w:p>
        </w:tc>
      </w:tr>
      <w:tr w:rsidR="00404061" w:rsidRPr="00A73D2C" w:rsidTr="00B77038">
        <w:trPr>
          <w:cantSplit/>
        </w:trPr>
        <w:tc>
          <w:tcPr>
            <w:tcW w:w="1458" w:type="dxa"/>
          </w:tcPr>
          <w:p w:rsidR="00404061" w:rsidRPr="00A73D2C" w:rsidRDefault="00404061" w:rsidP="00B77038">
            <w:pPr>
              <w:rPr>
                <w:sz w:val="20"/>
                <w:szCs w:val="20"/>
              </w:rPr>
            </w:pPr>
            <w:r w:rsidRPr="00A73D2C">
              <w:rPr>
                <w:sz w:val="20"/>
                <w:szCs w:val="20"/>
              </w:rPr>
              <w:t>Coram :</w:t>
            </w:r>
          </w:p>
        </w:tc>
        <w:tc>
          <w:tcPr>
            <w:tcW w:w="8118" w:type="dxa"/>
          </w:tcPr>
          <w:p w:rsidR="00404061" w:rsidRDefault="00DE25C2" w:rsidP="00B77038">
            <w:pPr>
              <w:rPr>
                <w:rStyle w:val="SCCCoramChar"/>
                <w:sz w:val="20"/>
                <w:szCs w:val="20"/>
                <w:lang w:val="en-CA"/>
              </w:rPr>
            </w:pPr>
            <w:r w:rsidRPr="00DE25C2">
              <w:rPr>
                <w:rStyle w:val="SCCCoramChar"/>
                <w:sz w:val="20"/>
                <w:szCs w:val="20"/>
                <w:lang w:val="en-CA"/>
              </w:rPr>
              <w:t>Abella, Karakatsanis and Côté JJ.</w:t>
            </w:r>
          </w:p>
          <w:p w:rsidR="00DE25C2" w:rsidRPr="00A73D2C" w:rsidRDefault="00DE25C2" w:rsidP="00B77038">
            <w:pPr>
              <w:rPr>
                <w:sz w:val="20"/>
                <w:szCs w:val="20"/>
                <w:u w:val="single"/>
              </w:rPr>
            </w:pPr>
          </w:p>
        </w:tc>
      </w:tr>
      <w:tr w:rsidR="00404061" w:rsidRPr="00002704" w:rsidTr="00B77038">
        <w:trPr>
          <w:cantSplit/>
        </w:trPr>
        <w:tc>
          <w:tcPr>
            <w:tcW w:w="9576" w:type="dxa"/>
            <w:gridSpan w:val="2"/>
          </w:tcPr>
          <w:p w:rsidR="00DE25C2" w:rsidRPr="00DE25C2" w:rsidRDefault="00DE25C2" w:rsidP="00DE25C2">
            <w:pPr>
              <w:pStyle w:val="SCCShortJudgment"/>
              <w:rPr>
                <w:szCs w:val="20"/>
              </w:rPr>
            </w:pPr>
            <w:r w:rsidRPr="00DE25C2">
              <w:rPr>
                <w:szCs w:val="20"/>
              </w:rPr>
              <w:t>The application for leave to appeal from the judgment of the Court of Appeal for British Columbia (Vancouver), Number CA041691, 2015 BCCA 136, dated March 27, 2015, is dismissed with costs.</w:t>
            </w:r>
          </w:p>
          <w:p w:rsidR="00DE25C2" w:rsidRPr="00DE25C2" w:rsidRDefault="00DE25C2" w:rsidP="00DE25C2">
            <w:pPr>
              <w:pStyle w:val="SCCShortJudgment"/>
              <w:rPr>
                <w:szCs w:val="20"/>
              </w:rPr>
            </w:pPr>
          </w:p>
          <w:p w:rsidR="00404061" w:rsidRPr="00A73D2C" w:rsidRDefault="00DE25C2" w:rsidP="00DE25C2">
            <w:pPr>
              <w:pStyle w:val="SCCShortJudgment"/>
              <w:rPr>
                <w:szCs w:val="20"/>
                <w:lang w:val="fr-CA"/>
              </w:rPr>
            </w:pPr>
            <w:r w:rsidRPr="00DE25C2">
              <w:rPr>
                <w:szCs w:val="20"/>
              </w:rPr>
              <w:t>La demande d’autorisation d’appel de l’arrêt de la Cour d’appel de la Colombie-Britannique (Vancouver), numéro CA041691, 2015 BCCA 136, daté du 27 mars 2015, est rejetée avec dépens.</w:t>
            </w:r>
          </w:p>
        </w:tc>
      </w:tr>
    </w:tbl>
    <w:p w:rsidR="00404061" w:rsidRPr="0016547E" w:rsidRDefault="00404061" w:rsidP="00404061">
      <w:pPr>
        <w:rPr>
          <w:sz w:val="20"/>
          <w:szCs w:val="20"/>
          <w:lang w:val="fr-CA"/>
        </w:rPr>
      </w:pPr>
    </w:p>
    <w:p w:rsidR="00404061" w:rsidRPr="001B157C" w:rsidRDefault="00404061" w:rsidP="00404061">
      <w:pPr>
        <w:rPr>
          <w:sz w:val="20"/>
          <w:szCs w:val="20"/>
          <w:u w:val="single"/>
        </w:rPr>
      </w:pPr>
      <w:r w:rsidRPr="001B157C">
        <w:rPr>
          <w:sz w:val="20"/>
          <w:szCs w:val="20"/>
          <w:u w:val="single"/>
        </w:rPr>
        <w:t>CASE SUMMARY</w:t>
      </w:r>
    </w:p>
    <w:p w:rsidR="00404061" w:rsidRDefault="00404061" w:rsidP="0040406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061" w:rsidRPr="00E007CB" w:rsidTr="00B77038">
        <w:tc>
          <w:tcPr>
            <w:tcW w:w="5000" w:type="pct"/>
            <w:gridSpan w:val="3"/>
          </w:tcPr>
          <w:p w:rsidR="00404061" w:rsidRDefault="008D1326" w:rsidP="00B77038">
            <w:pPr>
              <w:jc w:val="both"/>
              <w:rPr>
                <w:sz w:val="20"/>
              </w:rPr>
            </w:pPr>
            <w:r w:rsidRPr="00F77596">
              <w:rPr>
                <w:sz w:val="20"/>
              </w:rPr>
              <w:t xml:space="preserve">Constitutional Law – Division of powers – Administrative law – Judicial Review – Remedies – Extent to which a court can address substantive reasons for a fiscal decision by the Legislative Assembly of British Columbia in a judicial review – Whether Legislative Assembly is prohibited from advancing new arguments or reiterating prior arguments or from considering current fiscal context while conducting a court-ordered reconsideration of a Judges Compensation Commission report – Constitutional limits on court-ordered remedies upon judicial review of Legislative Assembly’s response to Judges Compensation Commission recommendations – </w:t>
            </w:r>
            <w:r w:rsidRPr="00F77596">
              <w:rPr>
                <w:i/>
                <w:iCs/>
                <w:sz w:val="20"/>
              </w:rPr>
              <w:t xml:space="preserve">Judicial Compensation Act, </w:t>
            </w:r>
            <w:r w:rsidRPr="00F77596">
              <w:rPr>
                <w:sz w:val="20"/>
              </w:rPr>
              <w:t>S.B.C. 2003 c. 59.</w:t>
            </w:r>
          </w:p>
          <w:p w:rsidR="008D1326" w:rsidRPr="00E007CB" w:rsidRDefault="008D1326" w:rsidP="00B77038">
            <w:pPr>
              <w:jc w:val="both"/>
              <w:rPr>
                <w:rFonts w:eastAsia="Calibri"/>
                <w:sz w:val="20"/>
              </w:rPr>
            </w:pPr>
          </w:p>
        </w:tc>
      </w:tr>
      <w:tr w:rsidR="00404061" w:rsidRPr="00E007CB" w:rsidTr="00B77038">
        <w:tc>
          <w:tcPr>
            <w:tcW w:w="5000" w:type="pct"/>
            <w:gridSpan w:val="3"/>
          </w:tcPr>
          <w:p w:rsidR="008D1326" w:rsidRPr="00F77596" w:rsidRDefault="008D1326" w:rsidP="008D1326">
            <w:pPr>
              <w:autoSpaceDE w:val="0"/>
              <w:autoSpaceDN w:val="0"/>
              <w:adjustRightInd w:val="0"/>
              <w:jc w:val="both"/>
              <w:rPr>
                <w:sz w:val="20"/>
              </w:rPr>
            </w:pPr>
            <w:r w:rsidRPr="00F77596">
              <w:rPr>
                <w:sz w:val="20"/>
              </w:rPr>
              <w:t xml:space="preserve">Pursuant to the </w:t>
            </w:r>
            <w:r w:rsidRPr="00F77596">
              <w:rPr>
                <w:i/>
                <w:iCs/>
                <w:sz w:val="20"/>
              </w:rPr>
              <w:t xml:space="preserve">Judicial Compensation Act, </w:t>
            </w:r>
            <w:r w:rsidRPr="00F77596">
              <w:rPr>
                <w:sz w:val="20"/>
              </w:rPr>
              <w:t>S.B.C. 2003 c. 59, a Judges Compensation Commission’s (“JCC”) report in 2010 (the “2010 Report”) was put before the Legislative Assembly of British Columbia. Three of 15 recommendations for Provincial Court Judges’ compensation set out in the 2010 Report are in issue: a salary increase compounded annually over  fiscal years 2011-12, 2012-13 and 2013-14; an increase in the Judges’ pension accrual rate from 3% to 3.5%; and, an extension of the pension contribution period from age 71 to age 75. These three recommendations and one that is not in issue were rejected by the Legislative Assembly’s 2011 Response. On an application for judicial review, Macaulay J. ordered the Legislative Assembly to reconsider its 2011 Response, finding that it had wrongly diverted its attention from the evidence and conclusions of the Commission as they related to the applicable constitutional requirements.</w:t>
            </w:r>
            <w:r w:rsidRPr="00F77596">
              <w:rPr>
                <w:color w:val="000000"/>
                <w:sz w:val="20"/>
              </w:rPr>
              <w:t xml:space="preserve"> </w:t>
            </w:r>
            <w:r w:rsidRPr="00F77596">
              <w:rPr>
                <w:sz w:val="20"/>
              </w:rPr>
              <w:t>In 2013, the Legislative Assembly issued a second response, its 2013 Response. It approved only a 1.5% salary increase in fiscal year 2013-2014. It made no change to the pension accrual rate or the pension contribution period.  The Provincial Court Judges’ Association of British Columbia unsuccessfully applied for judicial review of the 2013 Response. A majority of the Court of Appeal granted an appeal and set aside the 2013 Response.</w:t>
            </w:r>
          </w:p>
          <w:p w:rsidR="00404061" w:rsidRPr="00F77596" w:rsidRDefault="00404061" w:rsidP="00B77038">
            <w:pPr>
              <w:jc w:val="both"/>
              <w:rPr>
                <w:sz w:val="20"/>
              </w:rPr>
            </w:pPr>
          </w:p>
        </w:tc>
      </w:tr>
      <w:tr w:rsidR="00404061" w:rsidRPr="00E007CB" w:rsidTr="00B77038">
        <w:trPr>
          <w:cantSplit/>
        </w:trPr>
        <w:tc>
          <w:tcPr>
            <w:tcW w:w="2427" w:type="pct"/>
          </w:tcPr>
          <w:p w:rsidR="00101FE3" w:rsidRPr="00F77596" w:rsidRDefault="00101FE3" w:rsidP="00101FE3">
            <w:pPr>
              <w:jc w:val="both"/>
              <w:rPr>
                <w:sz w:val="20"/>
              </w:rPr>
            </w:pPr>
            <w:r w:rsidRPr="00F77596">
              <w:rPr>
                <w:sz w:val="20"/>
              </w:rPr>
              <w:t>March 3, 2014</w:t>
            </w:r>
          </w:p>
          <w:p w:rsidR="00101FE3" w:rsidRPr="00F77596" w:rsidRDefault="00101FE3" w:rsidP="00101FE3">
            <w:pPr>
              <w:jc w:val="both"/>
              <w:rPr>
                <w:sz w:val="20"/>
              </w:rPr>
            </w:pPr>
            <w:r w:rsidRPr="00F77596">
              <w:rPr>
                <w:sz w:val="20"/>
              </w:rPr>
              <w:t>Supreme Court of British Columbia</w:t>
            </w:r>
          </w:p>
          <w:p w:rsidR="00101FE3" w:rsidRPr="00F77596" w:rsidRDefault="00101FE3" w:rsidP="00101FE3">
            <w:pPr>
              <w:jc w:val="both"/>
              <w:rPr>
                <w:sz w:val="20"/>
              </w:rPr>
            </w:pPr>
            <w:r w:rsidRPr="00F77596">
              <w:rPr>
                <w:sz w:val="20"/>
              </w:rPr>
              <w:t>(Savage J.)</w:t>
            </w:r>
          </w:p>
          <w:p w:rsidR="00101FE3" w:rsidRPr="00F77596" w:rsidRDefault="00EC4FDF" w:rsidP="00101FE3">
            <w:pPr>
              <w:jc w:val="both"/>
              <w:rPr>
                <w:sz w:val="20"/>
              </w:rPr>
            </w:pPr>
            <w:hyperlink r:id="rId62" w:history="1">
              <w:r w:rsidR="00101FE3" w:rsidRPr="00F77596">
                <w:rPr>
                  <w:rStyle w:val="Hyperlink"/>
                  <w:sz w:val="20"/>
                </w:rPr>
                <w:t>2014 BCSC 336</w:t>
              </w:r>
            </w:hyperlink>
          </w:p>
          <w:p w:rsidR="00404061" w:rsidRPr="00E007CB" w:rsidRDefault="00404061" w:rsidP="00B77038">
            <w:pPr>
              <w:jc w:val="both"/>
              <w:rPr>
                <w:rFonts w:eastAsia="Calibri"/>
                <w:sz w:val="20"/>
              </w:rPr>
            </w:pPr>
          </w:p>
        </w:tc>
        <w:tc>
          <w:tcPr>
            <w:tcW w:w="243" w:type="pct"/>
          </w:tcPr>
          <w:p w:rsidR="00404061" w:rsidRPr="00E007CB" w:rsidRDefault="00404061" w:rsidP="00B77038">
            <w:pPr>
              <w:jc w:val="both"/>
              <w:rPr>
                <w:rFonts w:eastAsia="Calibri"/>
                <w:sz w:val="20"/>
              </w:rPr>
            </w:pPr>
          </w:p>
        </w:tc>
        <w:tc>
          <w:tcPr>
            <w:tcW w:w="2330" w:type="pct"/>
          </w:tcPr>
          <w:p w:rsidR="00101FE3" w:rsidRPr="00F77596" w:rsidRDefault="00101FE3" w:rsidP="00101FE3">
            <w:pPr>
              <w:jc w:val="both"/>
              <w:rPr>
                <w:sz w:val="20"/>
              </w:rPr>
            </w:pPr>
            <w:r w:rsidRPr="00F77596">
              <w:rPr>
                <w:sz w:val="20"/>
              </w:rPr>
              <w:t>Application for judicial review dismissed</w:t>
            </w:r>
          </w:p>
          <w:p w:rsidR="00404061" w:rsidRPr="00F77596" w:rsidRDefault="00404061" w:rsidP="00B77038">
            <w:pPr>
              <w:jc w:val="both"/>
              <w:rPr>
                <w:sz w:val="20"/>
              </w:rPr>
            </w:pPr>
          </w:p>
        </w:tc>
      </w:tr>
      <w:tr w:rsidR="00404061" w:rsidRPr="00E007CB" w:rsidTr="00B77038">
        <w:trPr>
          <w:cantSplit/>
        </w:trPr>
        <w:tc>
          <w:tcPr>
            <w:tcW w:w="2427" w:type="pct"/>
          </w:tcPr>
          <w:p w:rsidR="00101FE3" w:rsidRPr="00F77596" w:rsidRDefault="00101FE3" w:rsidP="00101FE3">
            <w:pPr>
              <w:jc w:val="both"/>
              <w:rPr>
                <w:sz w:val="20"/>
              </w:rPr>
            </w:pPr>
            <w:r w:rsidRPr="00F77596">
              <w:rPr>
                <w:sz w:val="20"/>
              </w:rPr>
              <w:t>March 27, 2015</w:t>
            </w:r>
          </w:p>
          <w:p w:rsidR="00101FE3" w:rsidRPr="00F77596" w:rsidRDefault="00101FE3" w:rsidP="00101FE3">
            <w:pPr>
              <w:jc w:val="both"/>
              <w:rPr>
                <w:sz w:val="20"/>
              </w:rPr>
            </w:pPr>
            <w:r w:rsidRPr="00F77596">
              <w:rPr>
                <w:sz w:val="20"/>
              </w:rPr>
              <w:t>Court of Appeal for British Columbia (Vancouver)</w:t>
            </w:r>
          </w:p>
          <w:p w:rsidR="00101FE3" w:rsidRPr="00F77596" w:rsidRDefault="00101FE3" w:rsidP="00101FE3">
            <w:pPr>
              <w:jc w:val="both"/>
              <w:rPr>
                <w:sz w:val="20"/>
              </w:rPr>
            </w:pPr>
            <w:r w:rsidRPr="00F77596">
              <w:rPr>
                <w:sz w:val="20"/>
              </w:rPr>
              <w:t>(Chiasson, Frankel, Harris [dissenting] JJ.A.)</w:t>
            </w:r>
          </w:p>
          <w:p w:rsidR="00101FE3" w:rsidRPr="00F77596" w:rsidRDefault="00101FE3" w:rsidP="00101FE3">
            <w:pPr>
              <w:jc w:val="both"/>
              <w:rPr>
                <w:sz w:val="20"/>
              </w:rPr>
            </w:pPr>
            <w:r w:rsidRPr="00F77596">
              <w:rPr>
                <w:sz w:val="20"/>
              </w:rPr>
              <w:t xml:space="preserve">13-1714; </w:t>
            </w:r>
            <w:hyperlink r:id="rId63" w:history="1">
              <w:r w:rsidRPr="00F77596">
                <w:rPr>
                  <w:rStyle w:val="Hyperlink"/>
                  <w:sz w:val="20"/>
                </w:rPr>
                <w:t>2015 BCCA 136</w:t>
              </w:r>
            </w:hyperlink>
          </w:p>
          <w:p w:rsidR="00404061" w:rsidRPr="00E007CB" w:rsidRDefault="00404061" w:rsidP="00B77038">
            <w:pPr>
              <w:jc w:val="both"/>
              <w:rPr>
                <w:rFonts w:eastAsia="Calibri"/>
                <w:sz w:val="20"/>
              </w:rPr>
            </w:pPr>
          </w:p>
        </w:tc>
        <w:tc>
          <w:tcPr>
            <w:tcW w:w="243" w:type="pct"/>
          </w:tcPr>
          <w:p w:rsidR="00404061" w:rsidRPr="00E007CB" w:rsidRDefault="00404061" w:rsidP="00B77038">
            <w:pPr>
              <w:jc w:val="both"/>
              <w:rPr>
                <w:rFonts w:eastAsia="Calibri"/>
                <w:sz w:val="20"/>
              </w:rPr>
            </w:pPr>
          </w:p>
        </w:tc>
        <w:tc>
          <w:tcPr>
            <w:tcW w:w="2330" w:type="pct"/>
          </w:tcPr>
          <w:p w:rsidR="00101FE3" w:rsidRPr="00F77596" w:rsidRDefault="00101FE3" w:rsidP="00101FE3">
            <w:pPr>
              <w:jc w:val="both"/>
              <w:rPr>
                <w:sz w:val="20"/>
              </w:rPr>
            </w:pPr>
            <w:r w:rsidRPr="00F77596">
              <w:rPr>
                <w:sz w:val="20"/>
              </w:rPr>
              <w:t>Appeal allowed, Judicial review decision quashed, Declaration granted</w:t>
            </w:r>
          </w:p>
          <w:p w:rsidR="00404061" w:rsidRPr="00F77596" w:rsidRDefault="00404061" w:rsidP="00B77038">
            <w:pPr>
              <w:jc w:val="both"/>
              <w:rPr>
                <w:sz w:val="20"/>
              </w:rPr>
            </w:pPr>
          </w:p>
        </w:tc>
      </w:tr>
      <w:tr w:rsidR="00404061" w:rsidRPr="00E007CB" w:rsidTr="00B77038">
        <w:trPr>
          <w:cantSplit/>
        </w:trPr>
        <w:tc>
          <w:tcPr>
            <w:tcW w:w="2427" w:type="pct"/>
          </w:tcPr>
          <w:p w:rsidR="00404061" w:rsidRPr="00E007CB" w:rsidRDefault="00404061" w:rsidP="00B77038">
            <w:pPr>
              <w:jc w:val="both"/>
              <w:rPr>
                <w:rFonts w:eastAsia="Calibri"/>
                <w:sz w:val="20"/>
              </w:rPr>
            </w:pPr>
            <w:r>
              <w:rPr>
                <w:rFonts w:eastAsia="Calibri"/>
                <w:sz w:val="20"/>
              </w:rPr>
              <w:t xml:space="preserve">May </w:t>
            </w:r>
            <w:r w:rsidR="00101FE3">
              <w:rPr>
                <w:rFonts w:eastAsia="Calibri"/>
                <w:sz w:val="20"/>
              </w:rPr>
              <w:t>22</w:t>
            </w:r>
            <w:r>
              <w:rPr>
                <w:rFonts w:eastAsia="Calibri"/>
                <w:sz w:val="20"/>
              </w:rPr>
              <w:t>,</w:t>
            </w:r>
            <w:r w:rsidRPr="00E007CB">
              <w:rPr>
                <w:rFonts w:eastAsia="Calibri"/>
                <w:sz w:val="20"/>
              </w:rPr>
              <w:t xml:space="preserve"> 201</w:t>
            </w:r>
            <w:r>
              <w:rPr>
                <w:rFonts w:eastAsia="Calibri"/>
                <w:sz w:val="20"/>
              </w:rPr>
              <w:t>5</w:t>
            </w:r>
          </w:p>
          <w:p w:rsidR="00404061" w:rsidRPr="00E007CB" w:rsidRDefault="00404061" w:rsidP="00B77038">
            <w:pPr>
              <w:jc w:val="both"/>
              <w:rPr>
                <w:rFonts w:eastAsia="Calibri"/>
                <w:sz w:val="20"/>
              </w:rPr>
            </w:pPr>
            <w:r w:rsidRPr="00E007CB">
              <w:rPr>
                <w:rFonts w:eastAsia="Calibri"/>
                <w:sz w:val="20"/>
              </w:rPr>
              <w:t>Supreme Court of Canada</w:t>
            </w:r>
          </w:p>
        </w:tc>
        <w:tc>
          <w:tcPr>
            <w:tcW w:w="243" w:type="pct"/>
          </w:tcPr>
          <w:p w:rsidR="00404061" w:rsidRPr="00E007CB" w:rsidRDefault="00404061" w:rsidP="00B77038">
            <w:pPr>
              <w:jc w:val="both"/>
              <w:rPr>
                <w:rFonts w:eastAsia="Calibri"/>
                <w:sz w:val="20"/>
              </w:rPr>
            </w:pPr>
          </w:p>
        </w:tc>
        <w:tc>
          <w:tcPr>
            <w:tcW w:w="2330" w:type="pct"/>
          </w:tcPr>
          <w:p w:rsidR="00404061" w:rsidRPr="00F77596" w:rsidRDefault="00404061" w:rsidP="00B77038">
            <w:pPr>
              <w:jc w:val="both"/>
              <w:rPr>
                <w:sz w:val="20"/>
              </w:rPr>
            </w:pPr>
            <w:r w:rsidRPr="00F77596">
              <w:rPr>
                <w:sz w:val="20"/>
              </w:rPr>
              <w:t>Application for leave to appeal filed</w:t>
            </w:r>
          </w:p>
          <w:p w:rsidR="00404061" w:rsidRPr="00F77596" w:rsidRDefault="00404061" w:rsidP="00B77038">
            <w:pPr>
              <w:jc w:val="both"/>
              <w:rPr>
                <w:sz w:val="20"/>
              </w:rPr>
            </w:pPr>
          </w:p>
        </w:tc>
      </w:tr>
    </w:tbl>
    <w:p w:rsidR="00404061" w:rsidRDefault="00404061" w:rsidP="00404061">
      <w:pPr>
        <w:rPr>
          <w:sz w:val="20"/>
          <w:szCs w:val="20"/>
        </w:rPr>
      </w:pPr>
    </w:p>
    <w:p w:rsidR="00404061" w:rsidRPr="00C50A5C" w:rsidRDefault="00EC4FDF" w:rsidP="00404061">
      <w:pPr>
        <w:rPr>
          <w:sz w:val="20"/>
          <w:szCs w:val="20"/>
        </w:rPr>
      </w:pPr>
      <w:r>
        <w:rPr>
          <w:sz w:val="20"/>
          <w:szCs w:val="20"/>
          <w:lang w:val="fr-CA"/>
        </w:rPr>
        <w:pict>
          <v:rect id="_x0000_i1057" style="width:2in;height:1pt" o:hrpct="0" o:hralign="center" o:hrstd="t" o:hrnoshade="t" o:hr="t" fillcolor="black [3213]" stroked="f"/>
        </w:pict>
      </w:r>
    </w:p>
    <w:p w:rsidR="00D56A64" w:rsidRDefault="00D56A64">
      <w:pPr>
        <w:rPr>
          <w:sz w:val="20"/>
          <w:szCs w:val="20"/>
        </w:rPr>
      </w:pPr>
      <w:r>
        <w:rPr>
          <w:sz w:val="20"/>
          <w:szCs w:val="20"/>
        </w:rPr>
        <w:br w:type="page"/>
      </w:r>
    </w:p>
    <w:p w:rsidR="00404061" w:rsidRPr="001B157C" w:rsidRDefault="00404061" w:rsidP="00404061">
      <w:pPr>
        <w:rPr>
          <w:sz w:val="20"/>
          <w:szCs w:val="20"/>
          <w:u w:val="single"/>
          <w:lang w:val="fr-CA"/>
        </w:rPr>
      </w:pPr>
      <w:r w:rsidRPr="001B157C">
        <w:rPr>
          <w:sz w:val="20"/>
          <w:szCs w:val="20"/>
          <w:u w:val="single"/>
          <w:lang w:val="fr-CA"/>
        </w:rPr>
        <w:lastRenderedPageBreak/>
        <w:t>RÉSUMÉ DE L’AFFAIRE</w:t>
      </w:r>
    </w:p>
    <w:p w:rsidR="00404061" w:rsidRDefault="00404061" w:rsidP="0040406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061" w:rsidRPr="00002704" w:rsidTr="00B77038">
        <w:tc>
          <w:tcPr>
            <w:tcW w:w="5000" w:type="pct"/>
            <w:gridSpan w:val="3"/>
          </w:tcPr>
          <w:p w:rsidR="00404061" w:rsidRDefault="002072C8" w:rsidP="00B77038">
            <w:pPr>
              <w:jc w:val="both"/>
              <w:rPr>
                <w:sz w:val="20"/>
                <w:lang w:val="fr-FR"/>
              </w:rPr>
            </w:pPr>
            <w:r w:rsidRPr="00F77596">
              <w:rPr>
                <w:sz w:val="20"/>
                <w:lang w:val="fr-CA"/>
              </w:rPr>
              <w:t xml:space="preserve">Droit constitutionnel – Partage des compétences – Droit administratif – Contrôle judiciaire – Recours – Mesure dans laquelle un tribunal peut examiner en contrôle judiciaire les motifs fondamentaux à l’appui d’une décision financière de l’Assemblée législative de la Colombie-Britannique – Est-il interdit à l’Assemblée législative de faire valoir de nouveaux arguments, de répéter des arguments ou de se pencher sur la situation financière actuelle lorsqu’elle  réexamine, sur ordonnance de la cour, un rapport de la Judges Compensation Commission? – Limites constitutionnelles aux réparations qu’un tribunal peut accorder par suite du contrôle judiciaire de la réponse de l’Assemblée législative aux recommandations de la Judges Compensation Commission – </w:t>
            </w:r>
            <w:r w:rsidRPr="00F77596">
              <w:rPr>
                <w:i/>
                <w:iCs/>
                <w:sz w:val="20"/>
                <w:lang w:val="fr-CA"/>
              </w:rPr>
              <w:t xml:space="preserve">Judicial Compensation Act, </w:t>
            </w:r>
            <w:r w:rsidRPr="00F77596">
              <w:rPr>
                <w:sz w:val="20"/>
                <w:lang w:val="fr-CA"/>
              </w:rPr>
              <w:t>S.B.C. 2003, c. 59.</w:t>
            </w:r>
          </w:p>
          <w:p w:rsidR="00404061" w:rsidRPr="00E007CB" w:rsidRDefault="00404061" w:rsidP="00B77038">
            <w:pPr>
              <w:jc w:val="both"/>
              <w:rPr>
                <w:rFonts w:eastAsia="Calibri"/>
                <w:sz w:val="20"/>
                <w:lang w:val="fr-CA"/>
              </w:rPr>
            </w:pPr>
          </w:p>
        </w:tc>
      </w:tr>
      <w:tr w:rsidR="00404061" w:rsidRPr="00002704" w:rsidTr="00B77038">
        <w:tc>
          <w:tcPr>
            <w:tcW w:w="5000" w:type="pct"/>
            <w:gridSpan w:val="3"/>
          </w:tcPr>
          <w:p w:rsidR="002072C8" w:rsidRPr="00F77596" w:rsidRDefault="002072C8" w:rsidP="002072C8">
            <w:pPr>
              <w:autoSpaceDE w:val="0"/>
              <w:autoSpaceDN w:val="0"/>
              <w:adjustRightInd w:val="0"/>
              <w:jc w:val="both"/>
              <w:rPr>
                <w:sz w:val="20"/>
                <w:lang w:val="fr-CA"/>
              </w:rPr>
            </w:pPr>
            <w:r w:rsidRPr="00F77596">
              <w:rPr>
                <w:sz w:val="20"/>
                <w:lang w:val="fr-CA"/>
              </w:rPr>
              <w:t xml:space="preserve">Conformément à la </w:t>
            </w:r>
            <w:r w:rsidRPr="00F77596">
              <w:rPr>
                <w:i/>
                <w:iCs/>
                <w:sz w:val="20"/>
                <w:lang w:val="fr-CA"/>
              </w:rPr>
              <w:t xml:space="preserve">Judicial Compensation Act, </w:t>
            </w:r>
            <w:r w:rsidRPr="00F77596">
              <w:rPr>
                <w:sz w:val="20"/>
                <w:lang w:val="fr-CA"/>
              </w:rPr>
              <w:t>S.B.C. 2003, c. 59, un rapport rédigé par le Judicial Compensation Committee (« JCC ») en 2010 (le « rapport de 2010 »)  a été déposé à l’Assemblée législative de la Colombie-Britannique. Trois des 15 recommandations visant la rémunération des juges de la Cour provinciale qui figurent dans le rapport de 2010 sont en litige : une majoration salariale composée annuellement pour les exercices 2011-2012, 2012-2013 et 2013-2014; l’augmentation, de 3 à 3,5 %, du taux d’accumulation des prestations de retraite des juges et le passage, de 71 à 75 ans, de l’âge maximal de cotisation à la caisse de retraite. Dans sa réponse de 2011, l’Assemblée législative a rejeté ces trois recommandations ainsi qu’une autre qui n’est pas en litige. À la suite d’une demande de contrôle judiciaire, le juge Macaulay a ordonné à l’Assemblée législative de revoir sa réponse de 2011, estimant qu’elle avait détourné à tort son attention de la preuve et des conclusions de la Commission car elles se rapportaient aux exigences constitutionnelles applicables. En 2013, l’Assemblée législative a publié une deuxième réponse, sa réponse de 2013. Elle a approuvé uniquement une majoration salariale de 1,5 % pour l’exercice 2013-2014. Elle n’a apporté aucun changement au taux d’accumulation des prestations de retraite ou à l’âge maximal de cotisation à la caisse de retraite. La Provincial Court Judges' Association of British Columbia a demandé sans succès le contrôle judiciaire de la réponse de 2013. Les juges majoritaires de la Cour d’appel ont accueilli un appel et annulé cette réponse.</w:t>
            </w:r>
          </w:p>
          <w:p w:rsidR="00404061" w:rsidRPr="00F77596" w:rsidRDefault="00404061" w:rsidP="00B77038">
            <w:pPr>
              <w:jc w:val="both"/>
              <w:rPr>
                <w:sz w:val="20"/>
                <w:lang w:val="fr-CA"/>
              </w:rPr>
            </w:pPr>
          </w:p>
        </w:tc>
      </w:tr>
      <w:tr w:rsidR="00404061" w:rsidRPr="00002704" w:rsidTr="00B77038">
        <w:trPr>
          <w:cantSplit/>
        </w:trPr>
        <w:tc>
          <w:tcPr>
            <w:tcW w:w="2427" w:type="pct"/>
          </w:tcPr>
          <w:p w:rsidR="007D341B" w:rsidRPr="00F77596" w:rsidRDefault="007D341B" w:rsidP="007D341B">
            <w:pPr>
              <w:jc w:val="both"/>
              <w:rPr>
                <w:sz w:val="20"/>
                <w:lang w:val="fr-CA"/>
              </w:rPr>
            </w:pPr>
            <w:r w:rsidRPr="00F77596">
              <w:rPr>
                <w:sz w:val="20"/>
                <w:lang w:val="fr-CA"/>
              </w:rPr>
              <w:t>3 mars 2014</w:t>
            </w:r>
          </w:p>
          <w:p w:rsidR="007D341B" w:rsidRPr="00F77596" w:rsidRDefault="007D341B" w:rsidP="007D341B">
            <w:pPr>
              <w:jc w:val="both"/>
              <w:rPr>
                <w:sz w:val="20"/>
                <w:lang w:val="fr-CA"/>
              </w:rPr>
            </w:pPr>
            <w:r w:rsidRPr="00F77596">
              <w:rPr>
                <w:sz w:val="20"/>
                <w:lang w:val="fr-CA"/>
              </w:rPr>
              <w:t>Cour suprême de la Colombie-Britannique</w:t>
            </w:r>
          </w:p>
          <w:p w:rsidR="007D341B" w:rsidRPr="00F77596" w:rsidRDefault="007D341B" w:rsidP="007D341B">
            <w:pPr>
              <w:jc w:val="both"/>
              <w:rPr>
                <w:sz w:val="20"/>
              </w:rPr>
            </w:pPr>
            <w:r w:rsidRPr="00F77596">
              <w:rPr>
                <w:sz w:val="20"/>
              </w:rPr>
              <w:t>(Juge Savage)</w:t>
            </w:r>
          </w:p>
          <w:p w:rsidR="007D341B" w:rsidRPr="00F77596" w:rsidRDefault="00EC4FDF" w:rsidP="007D341B">
            <w:pPr>
              <w:jc w:val="both"/>
              <w:rPr>
                <w:sz w:val="20"/>
              </w:rPr>
            </w:pPr>
            <w:hyperlink r:id="rId64" w:history="1">
              <w:r w:rsidR="007D341B" w:rsidRPr="00F77596">
                <w:rPr>
                  <w:rStyle w:val="Hyperlink"/>
                  <w:sz w:val="20"/>
                </w:rPr>
                <w:t>2014 BCSC 336</w:t>
              </w:r>
            </w:hyperlink>
          </w:p>
          <w:p w:rsidR="00404061" w:rsidRPr="00E007CB" w:rsidRDefault="00404061" w:rsidP="00B77038">
            <w:pPr>
              <w:jc w:val="both"/>
              <w:rPr>
                <w:rFonts w:eastAsia="Calibri"/>
                <w:sz w:val="20"/>
                <w:lang w:val="fr-CA"/>
              </w:rPr>
            </w:pPr>
          </w:p>
        </w:tc>
        <w:tc>
          <w:tcPr>
            <w:tcW w:w="243" w:type="pct"/>
          </w:tcPr>
          <w:p w:rsidR="00404061" w:rsidRPr="00E007CB" w:rsidRDefault="00404061" w:rsidP="00B77038">
            <w:pPr>
              <w:jc w:val="both"/>
              <w:rPr>
                <w:rFonts w:eastAsia="Calibri"/>
                <w:sz w:val="20"/>
                <w:lang w:val="fr-CA"/>
              </w:rPr>
            </w:pPr>
          </w:p>
        </w:tc>
        <w:tc>
          <w:tcPr>
            <w:tcW w:w="2330" w:type="pct"/>
          </w:tcPr>
          <w:p w:rsidR="007D341B" w:rsidRPr="00F77596" w:rsidRDefault="007D341B" w:rsidP="007D341B">
            <w:pPr>
              <w:jc w:val="both"/>
              <w:rPr>
                <w:sz w:val="20"/>
                <w:lang w:val="fr-CA"/>
              </w:rPr>
            </w:pPr>
            <w:r w:rsidRPr="00F77596">
              <w:rPr>
                <w:sz w:val="20"/>
                <w:lang w:val="fr-CA"/>
              </w:rPr>
              <w:t xml:space="preserve">Rejet de la demande de contrôle judiciaire </w:t>
            </w:r>
          </w:p>
          <w:p w:rsidR="00404061" w:rsidRPr="00E007CB" w:rsidRDefault="00404061" w:rsidP="00B77038">
            <w:pPr>
              <w:jc w:val="both"/>
              <w:rPr>
                <w:rFonts w:eastAsia="Calibri"/>
                <w:sz w:val="20"/>
                <w:lang w:val="fr-CA"/>
              </w:rPr>
            </w:pPr>
          </w:p>
        </w:tc>
      </w:tr>
      <w:tr w:rsidR="00404061" w:rsidRPr="00002704" w:rsidTr="00B77038">
        <w:trPr>
          <w:cantSplit/>
        </w:trPr>
        <w:tc>
          <w:tcPr>
            <w:tcW w:w="2427" w:type="pct"/>
          </w:tcPr>
          <w:p w:rsidR="007D341B" w:rsidRPr="00F77596" w:rsidRDefault="007D341B" w:rsidP="007D341B">
            <w:pPr>
              <w:jc w:val="both"/>
              <w:rPr>
                <w:sz w:val="20"/>
                <w:lang w:val="fr-CA"/>
              </w:rPr>
            </w:pPr>
            <w:r w:rsidRPr="00F77596">
              <w:rPr>
                <w:sz w:val="20"/>
                <w:lang w:val="fr-CA"/>
              </w:rPr>
              <w:t>27 mars 2015</w:t>
            </w:r>
          </w:p>
          <w:p w:rsidR="007D341B" w:rsidRPr="00F77596" w:rsidRDefault="007D341B" w:rsidP="007D341B">
            <w:pPr>
              <w:jc w:val="both"/>
              <w:rPr>
                <w:sz w:val="20"/>
                <w:lang w:val="fr-CA"/>
              </w:rPr>
            </w:pPr>
            <w:r w:rsidRPr="00F77596">
              <w:rPr>
                <w:sz w:val="20"/>
                <w:lang w:val="fr-CA"/>
              </w:rPr>
              <w:t>Cour d’appel de la Colombie-Britannique (Vancouver)</w:t>
            </w:r>
          </w:p>
          <w:p w:rsidR="007D341B" w:rsidRPr="00F77596" w:rsidRDefault="007D341B" w:rsidP="007D341B">
            <w:pPr>
              <w:jc w:val="both"/>
              <w:rPr>
                <w:sz w:val="20"/>
                <w:lang w:val="fr-CA"/>
              </w:rPr>
            </w:pPr>
            <w:r w:rsidRPr="00F77596">
              <w:rPr>
                <w:sz w:val="20"/>
                <w:lang w:val="fr-CA"/>
              </w:rPr>
              <w:t>(Juges Chiasson, Frankel et Harris [dissident])</w:t>
            </w:r>
          </w:p>
          <w:p w:rsidR="007D341B" w:rsidRPr="00F77596" w:rsidRDefault="007D341B" w:rsidP="007D341B">
            <w:pPr>
              <w:jc w:val="both"/>
              <w:rPr>
                <w:sz w:val="20"/>
              </w:rPr>
            </w:pPr>
            <w:r w:rsidRPr="00F77596">
              <w:rPr>
                <w:sz w:val="20"/>
              </w:rPr>
              <w:t xml:space="preserve">13-1714; </w:t>
            </w:r>
            <w:hyperlink r:id="rId65" w:history="1">
              <w:r w:rsidRPr="00F77596">
                <w:rPr>
                  <w:rStyle w:val="Hyperlink"/>
                  <w:sz w:val="20"/>
                </w:rPr>
                <w:t>2015 BCCA 136</w:t>
              </w:r>
            </w:hyperlink>
          </w:p>
          <w:p w:rsidR="00404061" w:rsidRPr="00E007CB" w:rsidRDefault="00404061" w:rsidP="00B77038">
            <w:pPr>
              <w:jc w:val="both"/>
              <w:rPr>
                <w:rFonts w:eastAsia="Calibri"/>
                <w:sz w:val="20"/>
                <w:lang w:val="fr-CA"/>
              </w:rPr>
            </w:pPr>
          </w:p>
        </w:tc>
        <w:tc>
          <w:tcPr>
            <w:tcW w:w="243" w:type="pct"/>
          </w:tcPr>
          <w:p w:rsidR="00404061" w:rsidRPr="00E007CB" w:rsidRDefault="00404061" w:rsidP="00B77038">
            <w:pPr>
              <w:jc w:val="both"/>
              <w:rPr>
                <w:rFonts w:eastAsia="Calibri"/>
                <w:sz w:val="20"/>
                <w:lang w:val="fr-CA"/>
              </w:rPr>
            </w:pPr>
          </w:p>
        </w:tc>
        <w:tc>
          <w:tcPr>
            <w:tcW w:w="2330" w:type="pct"/>
          </w:tcPr>
          <w:p w:rsidR="007D341B" w:rsidRPr="00F77596" w:rsidRDefault="007D341B" w:rsidP="007D341B">
            <w:pPr>
              <w:jc w:val="both"/>
              <w:rPr>
                <w:sz w:val="20"/>
                <w:lang w:val="fr-CA"/>
              </w:rPr>
            </w:pPr>
            <w:r w:rsidRPr="00F77596">
              <w:rPr>
                <w:sz w:val="20"/>
                <w:lang w:val="fr-CA"/>
              </w:rPr>
              <w:t>Appel accueilli, décision en contrôle judiciaire annulée et jugement déclaratoire rendu</w:t>
            </w:r>
          </w:p>
          <w:p w:rsidR="00404061" w:rsidRPr="00F77596" w:rsidRDefault="00404061" w:rsidP="00B77038">
            <w:pPr>
              <w:jc w:val="both"/>
              <w:rPr>
                <w:sz w:val="20"/>
              </w:rPr>
            </w:pPr>
          </w:p>
        </w:tc>
      </w:tr>
      <w:tr w:rsidR="00404061" w:rsidRPr="00E007CB" w:rsidTr="00B77038">
        <w:trPr>
          <w:cantSplit/>
        </w:trPr>
        <w:tc>
          <w:tcPr>
            <w:tcW w:w="2427" w:type="pct"/>
          </w:tcPr>
          <w:p w:rsidR="00404061" w:rsidRPr="00E007CB" w:rsidRDefault="007D341B" w:rsidP="00B77038">
            <w:pPr>
              <w:jc w:val="both"/>
              <w:rPr>
                <w:rFonts w:eastAsia="Calibri"/>
                <w:sz w:val="20"/>
                <w:lang w:val="fr-CA"/>
              </w:rPr>
            </w:pPr>
            <w:r>
              <w:rPr>
                <w:rFonts w:eastAsia="Calibri"/>
                <w:sz w:val="20"/>
                <w:lang w:val="fr-CA"/>
              </w:rPr>
              <w:t>22</w:t>
            </w:r>
            <w:r w:rsidR="00404061">
              <w:rPr>
                <w:rFonts w:eastAsia="Calibri"/>
                <w:sz w:val="20"/>
                <w:lang w:val="fr-CA"/>
              </w:rPr>
              <w:t xml:space="preserve"> mai</w:t>
            </w:r>
            <w:r w:rsidR="00404061" w:rsidRPr="00E007CB">
              <w:rPr>
                <w:rFonts w:eastAsia="Calibri"/>
                <w:sz w:val="20"/>
                <w:lang w:val="fr-CA"/>
              </w:rPr>
              <w:t xml:space="preserve"> 201</w:t>
            </w:r>
            <w:r w:rsidR="00404061">
              <w:rPr>
                <w:rFonts w:eastAsia="Calibri"/>
                <w:sz w:val="20"/>
                <w:lang w:val="fr-CA"/>
              </w:rPr>
              <w:t>5</w:t>
            </w:r>
          </w:p>
          <w:p w:rsidR="00404061" w:rsidRPr="00E007CB" w:rsidRDefault="00404061" w:rsidP="00B77038">
            <w:pPr>
              <w:jc w:val="both"/>
              <w:rPr>
                <w:rFonts w:eastAsia="Calibri"/>
                <w:sz w:val="20"/>
                <w:lang w:val="fr-CA"/>
              </w:rPr>
            </w:pPr>
            <w:r w:rsidRPr="00E007CB">
              <w:rPr>
                <w:rFonts w:eastAsia="Calibri"/>
                <w:sz w:val="20"/>
                <w:lang w:val="fr-CA"/>
              </w:rPr>
              <w:t>Cour suprême du Canada</w:t>
            </w:r>
          </w:p>
        </w:tc>
        <w:tc>
          <w:tcPr>
            <w:tcW w:w="243" w:type="pct"/>
          </w:tcPr>
          <w:p w:rsidR="00404061" w:rsidRPr="00E007CB" w:rsidRDefault="00404061" w:rsidP="00B77038">
            <w:pPr>
              <w:jc w:val="both"/>
              <w:rPr>
                <w:rFonts w:eastAsia="Calibri"/>
                <w:sz w:val="20"/>
                <w:lang w:val="fr-CA"/>
              </w:rPr>
            </w:pPr>
          </w:p>
        </w:tc>
        <w:tc>
          <w:tcPr>
            <w:tcW w:w="2330" w:type="pct"/>
          </w:tcPr>
          <w:p w:rsidR="00404061" w:rsidRPr="00F77596" w:rsidRDefault="00404061" w:rsidP="00B77038">
            <w:pPr>
              <w:jc w:val="both"/>
              <w:rPr>
                <w:sz w:val="20"/>
                <w:lang w:val="fr-CA"/>
              </w:rPr>
            </w:pPr>
            <w:r w:rsidRPr="00F77596">
              <w:rPr>
                <w:sz w:val="20"/>
                <w:lang w:val="fr-CA"/>
              </w:rPr>
              <w:t>Dépôt de</w:t>
            </w:r>
            <w:r>
              <w:rPr>
                <w:sz w:val="20"/>
                <w:lang w:val="fr-CA"/>
              </w:rPr>
              <w:t xml:space="preserve"> la</w:t>
            </w:r>
            <w:r w:rsidRPr="00F77596">
              <w:rPr>
                <w:sz w:val="20"/>
                <w:lang w:val="fr-CA"/>
              </w:rPr>
              <w:t xml:space="preserve"> demande d’autorisation d’appel.</w:t>
            </w:r>
          </w:p>
          <w:p w:rsidR="00404061" w:rsidRPr="00F77596" w:rsidRDefault="00404061" w:rsidP="00B77038">
            <w:pPr>
              <w:jc w:val="both"/>
              <w:rPr>
                <w:sz w:val="20"/>
                <w:lang w:val="fr-CA"/>
              </w:rPr>
            </w:pPr>
          </w:p>
        </w:tc>
      </w:tr>
    </w:tbl>
    <w:p w:rsidR="00404061" w:rsidRDefault="00404061" w:rsidP="00404061">
      <w:pPr>
        <w:rPr>
          <w:sz w:val="20"/>
          <w:szCs w:val="20"/>
        </w:rPr>
      </w:pPr>
    </w:p>
    <w:p w:rsidR="00404061" w:rsidRDefault="00EC4FDF" w:rsidP="00404061">
      <w:pPr>
        <w:rPr>
          <w:sz w:val="20"/>
          <w:szCs w:val="20"/>
        </w:rPr>
      </w:pPr>
      <w:r>
        <w:rPr>
          <w:sz w:val="20"/>
          <w:szCs w:val="20"/>
          <w:lang w:val="fr-CA"/>
        </w:rPr>
        <w:pict>
          <v:rect id="_x0000_i1058" style="width:2in;height:1pt" o:hrpct="0" o:hralign="center" o:hrstd="t" o:hrnoshade="t" o:hr="t" fillcolor="black [3213]" stroked="f"/>
        </w:pict>
      </w:r>
    </w:p>
    <w:p w:rsidR="00B30EDC" w:rsidRDefault="00B30EDC" w:rsidP="00B30ED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30EDC" w:rsidRPr="00A73D2C" w:rsidTr="00B77038">
        <w:trPr>
          <w:cantSplit/>
        </w:trPr>
        <w:tc>
          <w:tcPr>
            <w:tcW w:w="1458" w:type="dxa"/>
          </w:tcPr>
          <w:p w:rsidR="00B30EDC" w:rsidRPr="00A73D2C" w:rsidRDefault="00B30EDC" w:rsidP="00B77038">
            <w:pPr>
              <w:rPr>
                <w:sz w:val="20"/>
                <w:szCs w:val="20"/>
              </w:rPr>
            </w:pPr>
            <w:r w:rsidRPr="00A73D2C">
              <w:rPr>
                <w:rStyle w:val="SCCFileNumberChar"/>
                <w:sz w:val="20"/>
                <w:szCs w:val="20"/>
              </w:rPr>
              <w:t>36</w:t>
            </w:r>
            <w:r>
              <w:rPr>
                <w:rStyle w:val="SCCFileNumberChar"/>
                <w:sz w:val="20"/>
                <w:szCs w:val="20"/>
              </w:rPr>
              <w:t>445</w:t>
            </w:r>
          </w:p>
          <w:p w:rsidR="00B30EDC" w:rsidRPr="00A73D2C" w:rsidRDefault="00B30EDC" w:rsidP="00B77038">
            <w:pPr>
              <w:rPr>
                <w:b/>
                <w:sz w:val="20"/>
                <w:szCs w:val="20"/>
                <w:lang w:val="fr-CA"/>
              </w:rPr>
            </w:pPr>
          </w:p>
        </w:tc>
        <w:tc>
          <w:tcPr>
            <w:tcW w:w="8118" w:type="dxa"/>
          </w:tcPr>
          <w:p w:rsidR="00B30EDC" w:rsidRPr="00A73D2C" w:rsidRDefault="00B30EDC" w:rsidP="00B77038">
            <w:pPr>
              <w:rPr>
                <w:sz w:val="20"/>
                <w:szCs w:val="20"/>
              </w:rPr>
            </w:pPr>
            <w:r w:rsidRPr="00B30EDC">
              <w:rPr>
                <w:rStyle w:val="SCCLsocChar"/>
                <w:sz w:val="20"/>
                <w:szCs w:val="20"/>
                <w:lang w:val="en-CA"/>
              </w:rPr>
              <w:t>Estate of William Gee v. Jeremy Westerhof</w:t>
            </w:r>
            <w:r w:rsidRPr="00A73D2C">
              <w:rPr>
                <w:sz w:val="20"/>
                <w:szCs w:val="20"/>
              </w:rPr>
              <w:t xml:space="preserve"> (</w:t>
            </w:r>
            <w:r>
              <w:rPr>
                <w:sz w:val="20"/>
                <w:szCs w:val="20"/>
              </w:rPr>
              <w:t>Ont.</w:t>
            </w:r>
            <w:r w:rsidRPr="00A73D2C">
              <w:rPr>
                <w:sz w:val="20"/>
                <w:szCs w:val="20"/>
              </w:rPr>
              <w:t>) (C</w:t>
            </w:r>
            <w:r>
              <w:rPr>
                <w:sz w:val="20"/>
                <w:szCs w:val="20"/>
              </w:rPr>
              <w:t>ivil</w:t>
            </w:r>
            <w:r w:rsidRPr="00A73D2C">
              <w:rPr>
                <w:sz w:val="20"/>
                <w:szCs w:val="20"/>
              </w:rPr>
              <w:t>) (By Leave)</w:t>
            </w:r>
          </w:p>
          <w:p w:rsidR="00B30EDC" w:rsidRPr="00A73D2C" w:rsidRDefault="00B30EDC" w:rsidP="00B77038">
            <w:pPr>
              <w:rPr>
                <w:sz w:val="20"/>
                <w:szCs w:val="20"/>
              </w:rPr>
            </w:pPr>
          </w:p>
        </w:tc>
      </w:tr>
      <w:tr w:rsidR="00B30EDC" w:rsidRPr="00A73D2C" w:rsidTr="00B77038">
        <w:trPr>
          <w:cantSplit/>
        </w:trPr>
        <w:tc>
          <w:tcPr>
            <w:tcW w:w="1458" w:type="dxa"/>
          </w:tcPr>
          <w:p w:rsidR="00B30EDC" w:rsidRPr="00A73D2C" w:rsidRDefault="00B30EDC" w:rsidP="00B77038">
            <w:pPr>
              <w:rPr>
                <w:sz w:val="20"/>
                <w:szCs w:val="20"/>
              </w:rPr>
            </w:pPr>
            <w:r w:rsidRPr="00A73D2C">
              <w:rPr>
                <w:sz w:val="20"/>
                <w:szCs w:val="20"/>
              </w:rPr>
              <w:t>Coram :</w:t>
            </w:r>
          </w:p>
        </w:tc>
        <w:tc>
          <w:tcPr>
            <w:tcW w:w="8118" w:type="dxa"/>
          </w:tcPr>
          <w:p w:rsidR="00B30EDC" w:rsidRDefault="004160BC" w:rsidP="00B77038">
            <w:pPr>
              <w:rPr>
                <w:rStyle w:val="SCCCoramChar"/>
                <w:sz w:val="20"/>
                <w:szCs w:val="20"/>
                <w:lang w:val="en-CA"/>
              </w:rPr>
            </w:pPr>
            <w:r w:rsidRPr="004160BC">
              <w:rPr>
                <w:rStyle w:val="SCCCoramChar"/>
                <w:sz w:val="20"/>
                <w:szCs w:val="20"/>
                <w:lang w:val="en-CA"/>
              </w:rPr>
              <w:t>McLachlin C.J. and Moldaver and Gascon JJ.</w:t>
            </w:r>
          </w:p>
          <w:p w:rsidR="004160BC" w:rsidRPr="00A73D2C" w:rsidRDefault="004160BC" w:rsidP="00B77038">
            <w:pPr>
              <w:rPr>
                <w:sz w:val="20"/>
                <w:szCs w:val="20"/>
                <w:u w:val="single"/>
              </w:rPr>
            </w:pPr>
          </w:p>
        </w:tc>
      </w:tr>
      <w:tr w:rsidR="00B30EDC" w:rsidRPr="00002704" w:rsidTr="00B77038">
        <w:trPr>
          <w:cantSplit/>
        </w:trPr>
        <w:tc>
          <w:tcPr>
            <w:tcW w:w="9576" w:type="dxa"/>
            <w:gridSpan w:val="2"/>
          </w:tcPr>
          <w:p w:rsidR="006B2A79" w:rsidRPr="006B2A79" w:rsidRDefault="006B2A79" w:rsidP="006B2A79">
            <w:pPr>
              <w:pStyle w:val="SCCShortJudgment"/>
              <w:rPr>
                <w:szCs w:val="20"/>
              </w:rPr>
            </w:pPr>
            <w:r w:rsidRPr="006B2A79">
              <w:rPr>
                <w:szCs w:val="20"/>
              </w:rPr>
              <w:t>The application for leave to appeal from the judgment of the Court of Appeal for Ontario, Numbers C56514 and M-42722, 2015 ONCA 206, dated March 26, 2015, is dismissed with costs.</w:t>
            </w:r>
          </w:p>
          <w:p w:rsidR="006B2A79" w:rsidRPr="006B2A79" w:rsidRDefault="006B2A79" w:rsidP="006B2A79">
            <w:pPr>
              <w:pStyle w:val="SCCShortJudgment"/>
              <w:rPr>
                <w:szCs w:val="20"/>
              </w:rPr>
            </w:pPr>
          </w:p>
          <w:p w:rsidR="00B30EDC" w:rsidRPr="00A73D2C" w:rsidRDefault="006B2A79" w:rsidP="006B2A79">
            <w:pPr>
              <w:pStyle w:val="SCCShortJudgment"/>
              <w:rPr>
                <w:szCs w:val="20"/>
                <w:lang w:val="fr-CA"/>
              </w:rPr>
            </w:pPr>
            <w:r w:rsidRPr="006B2A79">
              <w:rPr>
                <w:szCs w:val="20"/>
              </w:rPr>
              <w:t>La demande d’autorisation d’appel de l’arrêt de la Cour d’appel de l’Ontario, numéros C56514 et M-42722, 2015 ONCA 206, daté du 26 mars 2015, est rejetée avec dépens.</w:t>
            </w:r>
          </w:p>
        </w:tc>
      </w:tr>
    </w:tbl>
    <w:p w:rsidR="00B30EDC" w:rsidRPr="0016547E" w:rsidRDefault="00B30EDC" w:rsidP="00B30EDC">
      <w:pPr>
        <w:rPr>
          <w:sz w:val="20"/>
          <w:szCs w:val="20"/>
          <w:lang w:val="fr-CA"/>
        </w:rPr>
      </w:pPr>
    </w:p>
    <w:p w:rsidR="00B30EDC" w:rsidRPr="001B157C" w:rsidRDefault="00B30EDC" w:rsidP="00B30EDC">
      <w:pPr>
        <w:rPr>
          <w:sz w:val="20"/>
          <w:szCs w:val="20"/>
          <w:u w:val="single"/>
        </w:rPr>
      </w:pPr>
      <w:r w:rsidRPr="001B157C">
        <w:rPr>
          <w:sz w:val="20"/>
          <w:szCs w:val="20"/>
          <w:u w:val="single"/>
        </w:rPr>
        <w:t>CASE SUMMARY</w:t>
      </w:r>
    </w:p>
    <w:p w:rsidR="00B30EDC" w:rsidRDefault="00B30EDC" w:rsidP="00B30E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30EDC" w:rsidRPr="00E007CB" w:rsidTr="00B77038">
        <w:tc>
          <w:tcPr>
            <w:tcW w:w="5000" w:type="pct"/>
            <w:gridSpan w:val="3"/>
          </w:tcPr>
          <w:p w:rsidR="00D73F70" w:rsidRPr="00F77596" w:rsidRDefault="00D73F70" w:rsidP="00D73F70">
            <w:pPr>
              <w:jc w:val="both"/>
              <w:rPr>
                <w:sz w:val="20"/>
              </w:rPr>
            </w:pPr>
            <w:r w:rsidRPr="00F77596">
              <w:rPr>
                <w:sz w:val="20"/>
              </w:rPr>
              <w:t xml:space="preserve">Evidence – Expert witnesses – Experts’ report – Whether expert witnesses who are not paid for their participation in proceedings are subject to the expert witness rules under </w:t>
            </w:r>
            <w:hyperlink r:id="rId66" w:history="1">
              <w:r w:rsidRPr="00F77596">
                <w:rPr>
                  <w:i/>
                  <w:sz w:val="20"/>
                </w:rPr>
                <w:t>Rules of Civil Procedure</w:t>
              </w:r>
              <w:r w:rsidRPr="00F77596">
                <w:rPr>
                  <w:sz w:val="20"/>
                </w:rPr>
                <w:t>, R.R.O. 1990, Reg. 194</w:t>
              </w:r>
            </w:hyperlink>
            <w:r w:rsidRPr="00F77596">
              <w:rPr>
                <w:sz w:val="20"/>
              </w:rPr>
              <w:t xml:space="preserve"> – Whether Court of Appeal erred in treating opinion evidence of expert witnesses as presumptively admissible – Whether Court of Appeal misapplied </w:t>
            </w:r>
            <w:r w:rsidRPr="00F77596">
              <w:rPr>
                <w:i/>
                <w:sz w:val="20"/>
              </w:rPr>
              <w:t>R. v. Mohan</w:t>
            </w:r>
            <w:r w:rsidRPr="00F77596">
              <w:rPr>
                <w:sz w:val="20"/>
              </w:rPr>
              <w:t xml:space="preserve">, [1994] 2 S.C.R. 9 – Whether experts can provide opinions beyond their own expertise where such opinions are founded on the opinion of another expert or were formed in the course of carrying out one's own work – Whether expert opinion of two proposed witnesses should have been allowed – Law with respect to correct interpretation of Rules 53.03 and 4.1 of </w:t>
            </w:r>
            <w:r w:rsidRPr="00F77596">
              <w:rPr>
                <w:i/>
                <w:sz w:val="20"/>
              </w:rPr>
              <w:t>Rules of Civil Procedure</w:t>
            </w:r>
            <w:r w:rsidRPr="00F77596">
              <w:rPr>
                <w:sz w:val="20"/>
              </w:rPr>
              <w:t>.</w:t>
            </w:r>
          </w:p>
          <w:p w:rsidR="00B30EDC" w:rsidRPr="00E007CB" w:rsidRDefault="00B30EDC" w:rsidP="00B77038">
            <w:pPr>
              <w:jc w:val="both"/>
              <w:rPr>
                <w:rFonts w:eastAsia="Calibri"/>
                <w:sz w:val="20"/>
              </w:rPr>
            </w:pPr>
          </w:p>
        </w:tc>
      </w:tr>
      <w:tr w:rsidR="00B30EDC" w:rsidRPr="00E007CB" w:rsidTr="00B77038">
        <w:tc>
          <w:tcPr>
            <w:tcW w:w="5000" w:type="pct"/>
            <w:gridSpan w:val="3"/>
          </w:tcPr>
          <w:p w:rsidR="00B30EDC" w:rsidRDefault="00D73F70" w:rsidP="00B77038">
            <w:pPr>
              <w:jc w:val="both"/>
              <w:rPr>
                <w:sz w:val="20"/>
              </w:rPr>
            </w:pPr>
            <w:r w:rsidRPr="00F77596">
              <w:rPr>
                <w:sz w:val="20"/>
              </w:rPr>
              <w:t xml:space="preserve">On April 22, 2004, Mr. Westerhof was injured in a car accident. He claimed serious and permanent impairment to important physical, mental or psychological functions. At trial, he proposed to call evidence from several medical witnesses. The trial judge allowed some of the proposed evidence and excluded some on the basis that it was not compliant with </w:t>
            </w:r>
            <w:hyperlink r:id="rId67" w:anchor="sec53.03_smooth" w:history="1">
              <w:r w:rsidRPr="00F77596">
                <w:rPr>
                  <w:sz w:val="20"/>
                </w:rPr>
                <w:t>Rule 53.03</w:t>
              </w:r>
            </w:hyperlink>
            <w:r w:rsidRPr="00F77596">
              <w:rPr>
                <w:sz w:val="20"/>
              </w:rPr>
              <w:t xml:space="preserve"> of the </w:t>
            </w:r>
            <w:hyperlink r:id="rId68" w:history="1">
              <w:r w:rsidRPr="00F77596">
                <w:rPr>
                  <w:i/>
                  <w:sz w:val="20"/>
                </w:rPr>
                <w:t>Rules of Civil Procedure</w:t>
              </w:r>
              <w:r w:rsidRPr="00F77596">
                <w:rPr>
                  <w:sz w:val="20"/>
                </w:rPr>
                <w:t>, R.R.O. 1990, Reg. 194</w:t>
              </w:r>
            </w:hyperlink>
            <w:r w:rsidRPr="00F77596">
              <w:rPr>
                <w:sz w:val="20"/>
              </w:rPr>
              <w:t>. A jury’s award for general damages and past loss of income was less than collateral benefits already received. The trial judge dismissed the action. The Divisional Court dismissed an appeal. The Court of Appeal allowed an appeal and ordered a new trial.</w:t>
            </w:r>
          </w:p>
          <w:p w:rsidR="00D73F70" w:rsidRPr="00F77596" w:rsidRDefault="00D73F70" w:rsidP="00B77038">
            <w:pPr>
              <w:jc w:val="both"/>
              <w:rPr>
                <w:sz w:val="20"/>
              </w:rPr>
            </w:pPr>
          </w:p>
        </w:tc>
      </w:tr>
      <w:tr w:rsidR="0052140D" w:rsidRPr="00E007CB" w:rsidTr="00B77038">
        <w:trPr>
          <w:cantSplit/>
        </w:trPr>
        <w:tc>
          <w:tcPr>
            <w:tcW w:w="2427" w:type="pct"/>
          </w:tcPr>
          <w:p w:rsidR="0052140D" w:rsidRPr="00F77596" w:rsidRDefault="0052140D" w:rsidP="0052140D">
            <w:pPr>
              <w:jc w:val="both"/>
              <w:rPr>
                <w:sz w:val="20"/>
              </w:rPr>
            </w:pPr>
            <w:r w:rsidRPr="00F77596">
              <w:rPr>
                <w:sz w:val="20"/>
              </w:rPr>
              <w:t>October 24, 2011</w:t>
            </w:r>
          </w:p>
          <w:p w:rsidR="0052140D" w:rsidRPr="00F77596" w:rsidRDefault="0052140D" w:rsidP="0052140D">
            <w:pPr>
              <w:jc w:val="both"/>
              <w:rPr>
                <w:sz w:val="20"/>
              </w:rPr>
            </w:pPr>
            <w:r w:rsidRPr="00F77596">
              <w:rPr>
                <w:sz w:val="20"/>
              </w:rPr>
              <w:t>Ontario Superior Court of Justice</w:t>
            </w:r>
          </w:p>
          <w:p w:rsidR="0052140D" w:rsidRPr="00F77596" w:rsidRDefault="0052140D" w:rsidP="0052140D">
            <w:pPr>
              <w:jc w:val="both"/>
              <w:rPr>
                <w:sz w:val="20"/>
              </w:rPr>
            </w:pPr>
            <w:r w:rsidRPr="00F77596">
              <w:rPr>
                <w:sz w:val="20"/>
              </w:rPr>
              <w:t>(Crane J.)</w:t>
            </w:r>
          </w:p>
          <w:p w:rsidR="0052140D" w:rsidRPr="00E007CB" w:rsidRDefault="0052140D" w:rsidP="0052140D">
            <w:pPr>
              <w:jc w:val="both"/>
              <w:rPr>
                <w:rFonts w:eastAsia="Calibri"/>
                <w:sz w:val="20"/>
              </w:rPr>
            </w:pPr>
          </w:p>
        </w:tc>
        <w:tc>
          <w:tcPr>
            <w:tcW w:w="243" w:type="pct"/>
          </w:tcPr>
          <w:p w:rsidR="0052140D" w:rsidRPr="00E007CB" w:rsidRDefault="0052140D" w:rsidP="0052140D">
            <w:pPr>
              <w:jc w:val="both"/>
              <w:rPr>
                <w:rFonts w:eastAsia="Calibri"/>
                <w:sz w:val="20"/>
              </w:rPr>
            </w:pPr>
          </w:p>
        </w:tc>
        <w:tc>
          <w:tcPr>
            <w:tcW w:w="2330" w:type="pct"/>
          </w:tcPr>
          <w:p w:rsidR="0052140D" w:rsidRPr="00F77596" w:rsidRDefault="0052140D" w:rsidP="0052140D">
            <w:pPr>
              <w:jc w:val="both"/>
              <w:rPr>
                <w:sz w:val="20"/>
              </w:rPr>
            </w:pPr>
            <w:r w:rsidRPr="00F77596">
              <w:rPr>
                <w:sz w:val="20"/>
              </w:rPr>
              <w:t>Claim for damages dismissed</w:t>
            </w:r>
          </w:p>
        </w:tc>
      </w:tr>
      <w:tr w:rsidR="0052140D" w:rsidRPr="00E007CB" w:rsidTr="00B77038">
        <w:trPr>
          <w:cantSplit/>
        </w:trPr>
        <w:tc>
          <w:tcPr>
            <w:tcW w:w="2427" w:type="pct"/>
          </w:tcPr>
          <w:p w:rsidR="0052140D" w:rsidRPr="00F77596" w:rsidRDefault="0052140D" w:rsidP="0052140D">
            <w:pPr>
              <w:jc w:val="both"/>
              <w:rPr>
                <w:sz w:val="20"/>
              </w:rPr>
            </w:pPr>
            <w:r w:rsidRPr="00F77596">
              <w:rPr>
                <w:sz w:val="20"/>
              </w:rPr>
              <w:t>June 20, 2013</w:t>
            </w:r>
          </w:p>
          <w:p w:rsidR="0052140D" w:rsidRPr="00F77596" w:rsidRDefault="0052140D" w:rsidP="0052140D">
            <w:pPr>
              <w:jc w:val="both"/>
              <w:rPr>
                <w:sz w:val="20"/>
              </w:rPr>
            </w:pPr>
            <w:r w:rsidRPr="00F77596">
              <w:rPr>
                <w:sz w:val="20"/>
              </w:rPr>
              <w:t>Ontario Divisional Court</w:t>
            </w:r>
          </w:p>
          <w:p w:rsidR="0052140D" w:rsidRPr="00F77596" w:rsidRDefault="0052140D" w:rsidP="0052140D">
            <w:pPr>
              <w:jc w:val="both"/>
              <w:rPr>
                <w:sz w:val="20"/>
              </w:rPr>
            </w:pPr>
            <w:r w:rsidRPr="00F77596">
              <w:rPr>
                <w:sz w:val="20"/>
              </w:rPr>
              <w:t>(Matlow, Aston, Lederer JJ.)</w:t>
            </w:r>
          </w:p>
          <w:p w:rsidR="0052140D" w:rsidRPr="00E007CB" w:rsidRDefault="0052140D" w:rsidP="0052140D">
            <w:pPr>
              <w:jc w:val="both"/>
              <w:rPr>
                <w:rFonts w:eastAsia="Calibri"/>
                <w:sz w:val="20"/>
              </w:rPr>
            </w:pPr>
          </w:p>
        </w:tc>
        <w:tc>
          <w:tcPr>
            <w:tcW w:w="243" w:type="pct"/>
          </w:tcPr>
          <w:p w:rsidR="0052140D" w:rsidRPr="00E007CB" w:rsidRDefault="0052140D" w:rsidP="0052140D">
            <w:pPr>
              <w:jc w:val="both"/>
              <w:rPr>
                <w:rFonts w:eastAsia="Calibri"/>
                <w:sz w:val="20"/>
              </w:rPr>
            </w:pPr>
          </w:p>
        </w:tc>
        <w:tc>
          <w:tcPr>
            <w:tcW w:w="2330" w:type="pct"/>
          </w:tcPr>
          <w:p w:rsidR="0052140D" w:rsidRPr="00F77596" w:rsidRDefault="0052140D" w:rsidP="0052140D">
            <w:pPr>
              <w:jc w:val="both"/>
              <w:rPr>
                <w:sz w:val="20"/>
              </w:rPr>
            </w:pPr>
            <w:r w:rsidRPr="00F77596">
              <w:rPr>
                <w:sz w:val="20"/>
              </w:rPr>
              <w:t>Appeal dismissed</w:t>
            </w:r>
          </w:p>
          <w:p w:rsidR="0052140D" w:rsidRPr="00F77596" w:rsidRDefault="0052140D" w:rsidP="0052140D">
            <w:pPr>
              <w:jc w:val="both"/>
              <w:rPr>
                <w:sz w:val="20"/>
              </w:rPr>
            </w:pPr>
          </w:p>
        </w:tc>
      </w:tr>
      <w:tr w:rsidR="0052140D" w:rsidRPr="00E007CB" w:rsidTr="00B77038">
        <w:trPr>
          <w:cantSplit/>
        </w:trPr>
        <w:tc>
          <w:tcPr>
            <w:tcW w:w="2427" w:type="pct"/>
          </w:tcPr>
          <w:p w:rsidR="0052140D" w:rsidRPr="00F77596" w:rsidRDefault="0052140D" w:rsidP="0052140D">
            <w:pPr>
              <w:jc w:val="both"/>
              <w:rPr>
                <w:sz w:val="20"/>
              </w:rPr>
            </w:pPr>
            <w:r w:rsidRPr="00F77596">
              <w:rPr>
                <w:sz w:val="20"/>
              </w:rPr>
              <w:t>March 26, 2015</w:t>
            </w:r>
          </w:p>
          <w:p w:rsidR="0052140D" w:rsidRPr="00F77596" w:rsidRDefault="0052140D" w:rsidP="0052140D">
            <w:pPr>
              <w:jc w:val="both"/>
              <w:rPr>
                <w:sz w:val="20"/>
              </w:rPr>
            </w:pPr>
            <w:r w:rsidRPr="00F77596">
              <w:rPr>
                <w:sz w:val="20"/>
              </w:rPr>
              <w:t>Court of Appeal for Ontario</w:t>
            </w:r>
          </w:p>
          <w:p w:rsidR="0052140D" w:rsidRPr="00F77596" w:rsidRDefault="0052140D" w:rsidP="0052140D">
            <w:pPr>
              <w:jc w:val="both"/>
              <w:rPr>
                <w:sz w:val="20"/>
              </w:rPr>
            </w:pPr>
            <w:r w:rsidRPr="00F77596">
              <w:rPr>
                <w:sz w:val="20"/>
              </w:rPr>
              <w:t>(Laskin, Sharpe, Simmons JJ.A.)</w:t>
            </w:r>
          </w:p>
          <w:p w:rsidR="0052140D" w:rsidRPr="00F77596" w:rsidRDefault="0052140D" w:rsidP="0052140D">
            <w:pPr>
              <w:jc w:val="both"/>
              <w:rPr>
                <w:sz w:val="20"/>
              </w:rPr>
            </w:pPr>
            <w:r w:rsidRPr="00F77596">
              <w:rPr>
                <w:sz w:val="20"/>
              </w:rPr>
              <w:t xml:space="preserve">C56514, M-42722; </w:t>
            </w:r>
            <w:hyperlink r:id="rId69" w:history="1">
              <w:r w:rsidRPr="00F77596">
                <w:rPr>
                  <w:rStyle w:val="Hyperlink"/>
                  <w:sz w:val="20"/>
                </w:rPr>
                <w:t>2015 ONCA 206</w:t>
              </w:r>
            </w:hyperlink>
          </w:p>
          <w:p w:rsidR="0052140D" w:rsidRPr="00F77596" w:rsidRDefault="0052140D" w:rsidP="0052140D">
            <w:pPr>
              <w:tabs>
                <w:tab w:val="left" w:pos="1807"/>
              </w:tabs>
              <w:jc w:val="both"/>
              <w:rPr>
                <w:sz w:val="20"/>
              </w:rPr>
            </w:pPr>
          </w:p>
        </w:tc>
        <w:tc>
          <w:tcPr>
            <w:tcW w:w="243" w:type="pct"/>
          </w:tcPr>
          <w:p w:rsidR="0052140D" w:rsidRPr="00E007CB" w:rsidRDefault="0052140D" w:rsidP="0052140D">
            <w:pPr>
              <w:jc w:val="both"/>
              <w:rPr>
                <w:rFonts w:eastAsia="Calibri"/>
                <w:sz w:val="20"/>
              </w:rPr>
            </w:pPr>
          </w:p>
        </w:tc>
        <w:tc>
          <w:tcPr>
            <w:tcW w:w="2330" w:type="pct"/>
          </w:tcPr>
          <w:p w:rsidR="0052140D" w:rsidRPr="00F77596" w:rsidRDefault="0052140D" w:rsidP="0052140D">
            <w:pPr>
              <w:jc w:val="both"/>
              <w:rPr>
                <w:sz w:val="20"/>
              </w:rPr>
            </w:pPr>
            <w:r w:rsidRPr="00F77596">
              <w:rPr>
                <w:sz w:val="20"/>
              </w:rPr>
              <w:t>Appeal allowed, new trial ordered</w:t>
            </w:r>
          </w:p>
          <w:p w:rsidR="0052140D" w:rsidRDefault="0052140D" w:rsidP="0052140D">
            <w:pPr>
              <w:jc w:val="both"/>
              <w:rPr>
                <w:sz w:val="20"/>
              </w:rPr>
            </w:pPr>
          </w:p>
          <w:p w:rsidR="0052140D" w:rsidRPr="0052140D" w:rsidRDefault="0052140D" w:rsidP="0052140D">
            <w:pPr>
              <w:ind w:firstLine="720"/>
              <w:rPr>
                <w:sz w:val="20"/>
              </w:rPr>
            </w:pPr>
          </w:p>
        </w:tc>
      </w:tr>
      <w:tr w:rsidR="0052140D" w:rsidRPr="00E007CB" w:rsidTr="00B77038">
        <w:trPr>
          <w:cantSplit/>
        </w:trPr>
        <w:tc>
          <w:tcPr>
            <w:tcW w:w="2427" w:type="pct"/>
          </w:tcPr>
          <w:p w:rsidR="0052140D" w:rsidRPr="00E007CB" w:rsidRDefault="0052140D" w:rsidP="0052140D">
            <w:pPr>
              <w:jc w:val="both"/>
              <w:rPr>
                <w:rFonts w:eastAsia="Calibri"/>
                <w:sz w:val="20"/>
              </w:rPr>
            </w:pPr>
            <w:r>
              <w:rPr>
                <w:rFonts w:eastAsia="Calibri"/>
                <w:sz w:val="20"/>
              </w:rPr>
              <w:t>May 21,</w:t>
            </w:r>
            <w:r w:rsidRPr="00E007CB">
              <w:rPr>
                <w:rFonts w:eastAsia="Calibri"/>
                <w:sz w:val="20"/>
              </w:rPr>
              <w:t xml:space="preserve"> 201</w:t>
            </w:r>
            <w:r>
              <w:rPr>
                <w:rFonts w:eastAsia="Calibri"/>
                <w:sz w:val="20"/>
              </w:rPr>
              <w:t>5</w:t>
            </w:r>
          </w:p>
          <w:p w:rsidR="0052140D" w:rsidRPr="00E007CB" w:rsidRDefault="0052140D" w:rsidP="0052140D">
            <w:pPr>
              <w:jc w:val="both"/>
              <w:rPr>
                <w:rFonts w:eastAsia="Calibri"/>
                <w:sz w:val="20"/>
              </w:rPr>
            </w:pPr>
            <w:r w:rsidRPr="00E007CB">
              <w:rPr>
                <w:rFonts w:eastAsia="Calibri"/>
                <w:sz w:val="20"/>
              </w:rPr>
              <w:t>Supreme Court of Canada</w:t>
            </w:r>
          </w:p>
        </w:tc>
        <w:tc>
          <w:tcPr>
            <w:tcW w:w="243" w:type="pct"/>
          </w:tcPr>
          <w:p w:rsidR="0052140D" w:rsidRPr="00E007CB" w:rsidRDefault="0052140D" w:rsidP="0052140D">
            <w:pPr>
              <w:jc w:val="both"/>
              <w:rPr>
                <w:rFonts w:eastAsia="Calibri"/>
                <w:sz w:val="20"/>
              </w:rPr>
            </w:pPr>
          </w:p>
        </w:tc>
        <w:tc>
          <w:tcPr>
            <w:tcW w:w="2330" w:type="pct"/>
          </w:tcPr>
          <w:p w:rsidR="0052140D" w:rsidRPr="00F77596" w:rsidRDefault="0052140D" w:rsidP="0052140D">
            <w:pPr>
              <w:jc w:val="both"/>
              <w:rPr>
                <w:sz w:val="20"/>
              </w:rPr>
            </w:pPr>
            <w:r w:rsidRPr="00F77596">
              <w:rPr>
                <w:sz w:val="20"/>
              </w:rPr>
              <w:t>Application for leave to appeal filed</w:t>
            </w:r>
          </w:p>
          <w:p w:rsidR="0052140D" w:rsidRPr="00F77596" w:rsidRDefault="0052140D" w:rsidP="0052140D">
            <w:pPr>
              <w:jc w:val="both"/>
              <w:rPr>
                <w:sz w:val="20"/>
              </w:rPr>
            </w:pPr>
          </w:p>
        </w:tc>
      </w:tr>
    </w:tbl>
    <w:p w:rsidR="00B30EDC" w:rsidRDefault="00B30EDC" w:rsidP="00B30EDC">
      <w:pPr>
        <w:rPr>
          <w:sz w:val="20"/>
          <w:szCs w:val="20"/>
        </w:rPr>
      </w:pPr>
    </w:p>
    <w:p w:rsidR="00B30EDC" w:rsidRPr="00C50A5C" w:rsidRDefault="00EC4FDF" w:rsidP="00B30EDC">
      <w:pPr>
        <w:rPr>
          <w:sz w:val="20"/>
          <w:szCs w:val="20"/>
        </w:rPr>
      </w:pPr>
      <w:r>
        <w:rPr>
          <w:sz w:val="20"/>
          <w:szCs w:val="20"/>
          <w:lang w:val="fr-CA"/>
        </w:rPr>
        <w:pict>
          <v:rect id="_x0000_i1059" style="width:2in;height:1pt" o:hrpct="0" o:hralign="center" o:hrstd="t" o:hrnoshade="t" o:hr="t" fillcolor="black [3213]" stroked="f"/>
        </w:pict>
      </w:r>
    </w:p>
    <w:p w:rsidR="00B30EDC" w:rsidRDefault="00B30EDC" w:rsidP="00B30EDC">
      <w:pPr>
        <w:rPr>
          <w:sz w:val="20"/>
          <w:szCs w:val="20"/>
        </w:rPr>
      </w:pPr>
    </w:p>
    <w:p w:rsidR="00B30EDC" w:rsidRPr="001B157C" w:rsidRDefault="00B30EDC" w:rsidP="00B30EDC">
      <w:pPr>
        <w:rPr>
          <w:sz w:val="20"/>
          <w:szCs w:val="20"/>
          <w:u w:val="single"/>
          <w:lang w:val="fr-CA"/>
        </w:rPr>
      </w:pPr>
      <w:r w:rsidRPr="001B157C">
        <w:rPr>
          <w:sz w:val="20"/>
          <w:szCs w:val="20"/>
          <w:u w:val="single"/>
          <w:lang w:val="fr-CA"/>
        </w:rPr>
        <w:t>RÉSUMÉ DE L’AFFAIRE</w:t>
      </w:r>
    </w:p>
    <w:p w:rsidR="00B30EDC" w:rsidRDefault="00B30EDC" w:rsidP="00B30ED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30EDC" w:rsidRPr="00002704" w:rsidTr="00B77038">
        <w:tc>
          <w:tcPr>
            <w:tcW w:w="5000" w:type="pct"/>
            <w:gridSpan w:val="3"/>
          </w:tcPr>
          <w:p w:rsidR="00D1028D" w:rsidRPr="00F77596" w:rsidRDefault="00D1028D" w:rsidP="00D1028D">
            <w:pPr>
              <w:jc w:val="both"/>
              <w:rPr>
                <w:sz w:val="20"/>
                <w:lang w:val="fr-FR"/>
              </w:rPr>
            </w:pPr>
            <w:r w:rsidRPr="00F77596">
              <w:rPr>
                <w:sz w:val="20"/>
                <w:lang w:val="fr-FR"/>
              </w:rPr>
              <w:t xml:space="preserve">Preuve – Preuve d’expert – Rapport d’experts – Des experts non rétribués pour leur participation à l’instance sont-ils assujettis aux règles relatives aux témoignages d’experts énoncées dans les </w:t>
            </w:r>
            <w:hyperlink r:id="rId70" w:history="1">
              <w:r w:rsidRPr="00F77596">
                <w:rPr>
                  <w:i/>
                  <w:sz w:val="20"/>
                  <w:lang w:val="fr-FR"/>
                </w:rPr>
                <w:t>Règles de procédure civile</w:t>
              </w:r>
              <w:r w:rsidRPr="00F77596">
                <w:rPr>
                  <w:sz w:val="20"/>
                  <w:lang w:val="fr-FR"/>
                </w:rPr>
                <w:t>, R.R.O. 1990, Règl. 194</w:t>
              </w:r>
            </w:hyperlink>
            <w:r w:rsidRPr="00F77596">
              <w:rPr>
                <w:sz w:val="20"/>
                <w:lang w:val="fr-FR"/>
              </w:rPr>
              <w:t xml:space="preserve">? – La Cour d’appel a-t-elle commis une erreur en considérant qu’un témoignage d’opinion d’experts était présumé admissible? – La Cour d’appel a-t-elle mal appliqué l’arrêt </w:t>
            </w:r>
            <w:r w:rsidRPr="00F77596">
              <w:rPr>
                <w:i/>
                <w:sz w:val="20"/>
                <w:lang w:val="fr-FR"/>
              </w:rPr>
              <w:t>R. c. Mohan</w:t>
            </w:r>
            <w:r w:rsidRPr="00F77596">
              <w:rPr>
                <w:sz w:val="20"/>
                <w:lang w:val="fr-FR"/>
              </w:rPr>
              <w:t xml:space="preserve">, [1994] 2 R.C.S. 9? – Des experts peuvent-ils donner des opinions qui excèdent leur propre expertise lorsque ces opinions reposent sur l’opinion d’un autre expert ou qu’elles se sont formées dans l’exécution de leur propre travail? – Le témoignage d’opinion de deux experts proposés aurait-il dû être autorisé? – Règles de droit relatives à l’interprétation qu’il convient de donner aux art. 53.03 et 4.1 des </w:t>
            </w:r>
            <w:r w:rsidRPr="00F77596">
              <w:rPr>
                <w:i/>
                <w:sz w:val="20"/>
                <w:lang w:val="fr-FR"/>
              </w:rPr>
              <w:t>Règles de procédure civile</w:t>
            </w:r>
            <w:r w:rsidRPr="00F77596">
              <w:rPr>
                <w:sz w:val="20"/>
                <w:lang w:val="fr-FR"/>
              </w:rPr>
              <w:t>.</w:t>
            </w:r>
          </w:p>
          <w:p w:rsidR="00B30EDC" w:rsidRPr="00E007CB" w:rsidRDefault="00B30EDC" w:rsidP="00B77038">
            <w:pPr>
              <w:jc w:val="both"/>
              <w:rPr>
                <w:rFonts w:eastAsia="Calibri"/>
                <w:sz w:val="20"/>
                <w:lang w:val="fr-CA"/>
              </w:rPr>
            </w:pPr>
          </w:p>
        </w:tc>
      </w:tr>
      <w:tr w:rsidR="00B30EDC" w:rsidRPr="00002704" w:rsidTr="00B77038">
        <w:tc>
          <w:tcPr>
            <w:tcW w:w="5000" w:type="pct"/>
            <w:gridSpan w:val="3"/>
          </w:tcPr>
          <w:p w:rsidR="00B30EDC" w:rsidRDefault="00D1028D" w:rsidP="00B77038">
            <w:pPr>
              <w:jc w:val="both"/>
              <w:rPr>
                <w:sz w:val="20"/>
                <w:lang w:val="fr-FR"/>
              </w:rPr>
            </w:pPr>
            <w:r w:rsidRPr="00F77596">
              <w:rPr>
                <w:sz w:val="20"/>
                <w:lang w:val="fr-FR"/>
              </w:rPr>
              <w:t>Le 22 avril 2004, M. Westerhof a été blessé dans un accident d’automobile. Il prétend avoir subi une déficience grave et permanente de fonctions corporelles, mentales ou psychiques importantes. Au procès, il a proposé d’appeler à la barre plusieurs témoins experts médicaux. Le juge de première instance a admis certains témoignages proposés, mais en a exclu d’autres pour non-respect des exigences de l’art. 5</w:t>
            </w:r>
            <w:hyperlink r:id="rId71" w:anchor="sec53.03_smooth" w:history="1">
              <w:r w:rsidRPr="00F77596">
                <w:rPr>
                  <w:sz w:val="20"/>
                  <w:lang w:val="fr-FR"/>
                </w:rPr>
                <w:t>3.03</w:t>
              </w:r>
            </w:hyperlink>
            <w:r w:rsidRPr="00F77596">
              <w:rPr>
                <w:sz w:val="20"/>
                <w:lang w:val="fr-FR"/>
              </w:rPr>
              <w:t xml:space="preserve"> des </w:t>
            </w:r>
            <w:hyperlink r:id="rId72" w:history="1">
              <w:r w:rsidRPr="00F77596">
                <w:rPr>
                  <w:i/>
                  <w:sz w:val="20"/>
                  <w:lang w:val="fr-FR"/>
                </w:rPr>
                <w:t>Règles de procédure civile</w:t>
              </w:r>
              <w:r w:rsidRPr="00F77596">
                <w:rPr>
                  <w:sz w:val="20"/>
                  <w:lang w:val="fr-FR"/>
                </w:rPr>
                <w:t>, R.R.O. 1990, Règl. 194</w:t>
              </w:r>
            </w:hyperlink>
            <w:r w:rsidRPr="00F77596">
              <w:rPr>
                <w:sz w:val="20"/>
                <w:lang w:val="fr-FR"/>
              </w:rPr>
              <w:t xml:space="preserve">. Le montant accordé par le jury pour les dommages-intérêts généraux et la perte de revenus passée était moins élevé que </w:t>
            </w:r>
            <w:r w:rsidRPr="00F77596">
              <w:rPr>
                <w:sz w:val="20"/>
                <w:lang w:val="fr-FR"/>
              </w:rPr>
              <w:lastRenderedPageBreak/>
              <w:t>celui des indemnités accessoires déjà reçues. Le juge de première instance a rejeté l’action. La Cour divisionnaire a rejeté l’appel. La Cour d’appel a accueilli l’appel et ordonné un nouveau procès.</w:t>
            </w:r>
          </w:p>
          <w:p w:rsidR="00D1028D" w:rsidRPr="00F77596" w:rsidRDefault="00D1028D" w:rsidP="00B77038">
            <w:pPr>
              <w:jc w:val="both"/>
              <w:rPr>
                <w:sz w:val="20"/>
                <w:lang w:val="fr-CA"/>
              </w:rPr>
            </w:pPr>
          </w:p>
        </w:tc>
      </w:tr>
      <w:tr w:rsidR="00D1028D" w:rsidRPr="00002704" w:rsidTr="00B77038">
        <w:trPr>
          <w:cantSplit/>
        </w:trPr>
        <w:tc>
          <w:tcPr>
            <w:tcW w:w="2427" w:type="pct"/>
          </w:tcPr>
          <w:p w:rsidR="00D1028D" w:rsidRPr="00F77596" w:rsidRDefault="00D1028D" w:rsidP="00D1028D">
            <w:pPr>
              <w:jc w:val="both"/>
              <w:rPr>
                <w:sz w:val="20"/>
                <w:lang w:val="fr-FR"/>
              </w:rPr>
            </w:pPr>
            <w:r w:rsidRPr="00F77596">
              <w:rPr>
                <w:sz w:val="20"/>
                <w:lang w:val="fr-FR"/>
              </w:rPr>
              <w:lastRenderedPageBreak/>
              <w:t>24 octobre 2011</w:t>
            </w:r>
          </w:p>
          <w:p w:rsidR="00D1028D" w:rsidRPr="00F77596" w:rsidRDefault="00D1028D" w:rsidP="00D1028D">
            <w:pPr>
              <w:jc w:val="both"/>
              <w:rPr>
                <w:sz w:val="20"/>
                <w:lang w:val="fr-FR"/>
              </w:rPr>
            </w:pPr>
            <w:r w:rsidRPr="00F77596">
              <w:rPr>
                <w:sz w:val="20"/>
                <w:lang w:val="fr-FR"/>
              </w:rPr>
              <w:t>Cour supérieure de justice de l’Ontario</w:t>
            </w:r>
          </w:p>
          <w:p w:rsidR="00D1028D" w:rsidRPr="00F77596" w:rsidRDefault="00D1028D" w:rsidP="00D1028D">
            <w:pPr>
              <w:jc w:val="both"/>
              <w:rPr>
                <w:sz w:val="20"/>
                <w:lang w:val="fr-FR"/>
              </w:rPr>
            </w:pPr>
            <w:r w:rsidRPr="00F77596">
              <w:rPr>
                <w:sz w:val="20"/>
                <w:lang w:val="fr-FR"/>
              </w:rPr>
              <w:t>(Juge Crane)</w:t>
            </w:r>
          </w:p>
          <w:p w:rsidR="00D1028D" w:rsidRPr="00E007CB" w:rsidRDefault="00D1028D" w:rsidP="00D1028D">
            <w:pPr>
              <w:jc w:val="both"/>
              <w:rPr>
                <w:rFonts w:eastAsia="Calibri"/>
                <w:sz w:val="20"/>
                <w:lang w:val="fr-CA"/>
              </w:rPr>
            </w:pPr>
          </w:p>
        </w:tc>
        <w:tc>
          <w:tcPr>
            <w:tcW w:w="243" w:type="pct"/>
          </w:tcPr>
          <w:p w:rsidR="00D1028D" w:rsidRPr="00E007CB" w:rsidRDefault="00D1028D" w:rsidP="00D1028D">
            <w:pPr>
              <w:jc w:val="both"/>
              <w:rPr>
                <w:rFonts w:eastAsia="Calibri"/>
                <w:sz w:val="20"/>
                <w:lang w:val="fr-CA"/>
              </w:rPr>
            </w:pPr>
          </w:p>
        </w:tc>
        <w:tc>
          <w:tcPr>
            <w:tcW w:w="2330" w:type="pct"/>
          </w:tcPr>
          <w:p w:rsidR="00D1028D" w:rsidRPr="00F77596" w:rsidRDefault="00D1028D" w:rsidP="00D1028D">
            <w:pPr>
              <w:jc w:val="both"/>
              <w:rPr>
                <w:sz w:val="20"/>
                <w:lang w:val="fr-FR"/>
              </w:rPr>
            </w:pPr>
            <w:r w:rsidRPr="00F77596">
              <w:rPr>
                <w:sz w:val="20"/>
                <w:lang w:val="fr-FR"/>
              </w:rPr>
              <w:t>Rejet de l’action en dommages-intérêts</w:t>
            </w:r>
          </w:p>
        </w:tc>
      </w:tr>
      <w:tr w:rsidR="00D1028D" w:rsidRPr="00002704" w:rsidTr="00B77038">
        <w:trPr>
          <w:cantSplit/>
        </w:trPr>
        <w:tc>
          <w:tcPr>
            <w:tcW w:w="2427" w:type="pct"/>
          </w:tcPr>
          <w:p w:rsidR="00D1028D" w:rsidRPr="00F77596" w:rsidRDefault="00D1028D" w:rsidP="00D1028D">
            <w:pPr>
              <w:jc w:val="both"/>
              <w:rPr>
                <w:sz w:val="20"/>
                <w:lang w:val="fr-FR"/>
              </w:rPr>
            </w:pPr>
            <w:r w:rsidRPr="00F77596">
              <w:rPr>
                <w:sz w:val="20"/>
                <w:lang w:val="fr-FR"/>
              </w:rPr>
              <w:t>20 juin 2013</w:t>
            </w:r>
          </w:p>
          <w:p w:rsidR="00D1028D" w:rsidRPr="00F77596" w:rsidRDefault="00D1028D" w:rsidP="00D1028D">
            <w:pPr>
              <w:jc w:val="both"/>
              <w:rPr>
                <w:sz w:val="20"/>
                <w:lang w:val="fr-FR"/>
              </w:rPr>
            </w:pPr>
            <w:r w:rsidRPr="00F77596">
              <w:rPr>
                <w:sz w:val="20"/>
                <w:lang w:val="fr-FR"/>
              </w:rPr>
              <w:t>Cour divisionnaire de l’Ontario</w:t>
            </w:r>
          </w:p>
          <w:p w:rsidR="00D1028D" w:rsidRPr="00F77596" w:rsidRDefault="00D1028D" w:rsidP="00D1028D">
            <w:pPr>
              <w:jc w:val="both"/>
              <w:rPr>
                <w:sz w:val="20"/>
                <w:lang w:val="fr-FR"/>
              </w:rPr>
            </w:pPr>
            <w:r w:rsidRPr="00F77596">
              <w:rPr>
                <w:sz w:val="20"/>
                <w:lang w:val="fr-FR"/>
              </w:rPr>
              <w:t>(Juges Matlow, Aston et Lederer)</w:t>
            </w:r>
          </w:p>
          <w:p w:rsidR="00D1028D" w:rsidRPr="00E007CB" w:rsidRDefault="00D1028D" w:rsidP="00D1028D">
            <w:pPr>
              <w:jc w:val="both"/>
              <w:rPr>
                <w:rFonts w:eastAsia="Calibri"/>
                <w:sz w:val="20"/>
                <w:lang w:val="fr-CA"/>
              </w:rPr>
            </w:pPr>
          </w:p>
        </w:tc>
        <w:tc>
          <w:tcPr>
            <w:tcW w:w="243" w:type="pct"/>
          </w:tcPr>
          <w:p w:rsidR="00D1028D" w:rsidRPr="00E007CB" w:rsidRDefault="00D1028D" w:rsidP="00D1028D">
            <w:pPr>
              <w:jc w:val="both"/>
              <w:rPr>
                <w:rFonts w:eastAsia="Calibri"/>
                <w:sz w:val="20"/>
                <w:lang w:val="fr-CA"/>
              </w:rPr>
            </w:pPr>
          </w:p>
        </w:tc>
        <w:tc>
          <w:tcPr>
            <w:tcW w:w="2330" w:type="pct"/>
          </w:tcPr>
          <w:p w:rsidR="00D1028D" w:rsidRPr="00F77596" w:rsidRDefault="00D1028D" w:rsidP="00D1028D">
            <w:pPr>
              <w:jc w:val="both"/>
              <w:rPr>
                <w:sz w:val="20"/>
                <w:lang w:val="fr-FR"/>
              </w:rPr>
            </w:pPr>
            <w:r w:rsidRPr="00F77596">
              <w:rPr>
                <w:sz w:val="20"/>
                <w:lang w:val="fr-FR"/>
              </w:rPr>
              <w:t>Rejet de l’appel</w:t>
            </w:r>
          </w:p>
          <w:p w:rsidR="00D1028D" w:rsidRPr="00F77596" w:rsidRDefault="00D1028D" w:rsidP="00D1028D">
            <w:pPr>
              <w:jc w:val="both"/>
              <w:rPr>
                <w:sz w:val="20"/>
              </w:rPr>
            </w:pPr>
          </w:p>
        </w:tc>
      </w:tr>
      <w:tr w:rsidR="00D1028D" w:rsidRPr="00E007CB" w:rsidTr="00B77038">
        <w:trPr>
          <w:cantSplit/>
        </w:trPr>
        <w:tc>
          <w:tcPr>
            <w:tcW w:w="2427" w:type="pct"/>
          </w:tcPr>
          <w:p w:rsidR="00D1028D" w:rsidRPr="00F77596" w:rsidRDefault="00D1028D" w:rsidP="00D1028D">
            <w:pPr>
              <w:jc w:val="both"/>
              <w:rPr>
                <w:sz w:val="20"/>
                <w:lang w:val="fr-FR"/>
              </w:rPr>
            </w:pPr>
            <w:r w:rsidRPr="00F77596">
              <w:rPr>
                <w:sz w:val="20"/>
                <w:lang w:val="fr-FR"/>
              </w:rPr>
              <w:t>26 mars 2015</w:t>
            </w:r>
          </w:p>
          <w:p w:rsidR="00D1028D" w:rsidRPr="00F77596" w:rsidRDefault="00D1028D" w:rsidP="00D1028D">
            <w:pPr>
              <w:jc w:val="both"/>
              <w:rPr>
                <w:sz w:val="20"/>
                <w:lang w:val="fr-FR"/>
              </w:rPr>
            </w:pPr>
            <w:r w:rsidRPr="00F77596">
              <w:rPr>
                <w:sz w:val="20"/>
                <w:lang w:val="fr-FR"/>
              </w:rPr>
              <w:t>Cour d’appel de l’Ontario</w:t>
            </w:r>
          </w:p>
          <w:p w:rsidR="00D1028D" w:rsidRPr="00F77596" w:rsidRDefault="00D1028D" w:rsidP="00D1028D">
            <w:pPr>
              <w:jc w:val="both"/>
              <w:rPr>
                <w:sz w:val="20"/>
                <w:lang w:val="fr-FR"/>
              </w:rPr>
            </w:pPr>
            <w:r w:rsidRPr="00F77596">
              <w:rPr>
                <w:sz w:val="20"/>
                <w:lang w:val="fr-FR"/>
              </w:rPr>
              <w:t>(Juges Laskin, Sharpe et Simmons)</w:t>
            </w:r>
          </w:p>
          <w:p w:rsidR="00D1028D" w:rsidRPr="00F77596" w:rsidRDefault="00D1028D" w:rsidP="00D1028D">
            <w:pPr>
              <w:jc w:val="both"/>
              <w:rPr>
                <w:sz w:val="20"/>
                <w:lang w:val="fr-FR"/>
              </w:rPr>
            </w:pPr>
            <w:r w:rsidRPr="00F77596">
              <w:rPr>
                <w:sz w:val="20"/>
                <w:lang w:val="fr-FR"/>
              </w:rPr>
              <w:t xml:space="preserve">C56514, M-42722; </w:t>
            </w:r>
            <w:hyperlink r:id="rId73" w:history="1">
              <w:r w:rsidRPr="00F77596">
                <w:rPr>
                  <w:rStyle w:val="Hyperlink"/>
                  <w:sz w:val="20"/>
                  <w:lang w:val="fr-FR"/>
                </w:rPr>
                <w:t>2015 ONCA 206</w:t>
              </w:r>
            </w:hyperlink>
          </w:p>
          <w:p w:rsidR="00D1028D" w:rsidRDefault="00D1028D" w:rsidP="00D1028D">
            <w:pPr>
              <w:jc w:val="both"/>
              <w:rPr>
                <w:rFonts w:eastAsia="Calibri"/>
                <w:sz w:val="20"/>
                <w:lang w:val="fr-CA"/>
              </w:rPr>
            </w:pPr>
          </w:p>
        </w:tc>
        <w:tc>
          <w:tcPr>
            <w:tcW w:w="243" w:type="pct"/>
          </w:tcPr>
          <w:p w:rsidR="00D1028D" w:rsidRPr="00E007CB" w:rsidRDefault="00D1028D" w:rsidP="00D1028D">
            <w:pPr>
              <w:jc w:val="both"/>
              <w:rPr>
                <w:rFonts w:eastAsia="Calibri"/>
                <w:sz w:val="20"/>
                <w:lang w:val="fr-CA"/>
              </w:rPr>
            </w:pPr>
          </w:p>
        </w:tc>
        <w:tc>
          <w:tcPr>
            <w:tcW w:w="2330" w:type="pct"/>
          </w:tcPr>
          <w:p w:rsidR="00D1028D" w:rsidRPr="00F77596" w:rsidRDefault="00D1028D" w:rsidP="00D1028D">
            <w:pPr>
              <w:jc w:val="both"/>
              <w:rPr>
                <w:sz w:val="20"/>
                <w:lang w:val="fr-FR"/>
              </w:rPr>
            </w:pPr>
            <w:r w:rsidRPr="00F77596">
              <w:rPr>
                <w:sz w:val="20"/>
                <w:lang w:val="fr-FR"/>
              </w:rPr>
              <w:t>Appel accueilli; nouveau procès ordonné</w:t>
            </w:r>
          </w:p>
          <w:p w:rsidR="00D1028D" w:rsidRPr="00F77596" w:rsidRDefault="00D1028D" w:rsidP="00D1028D">
            <w:pPr>
              <w:jc w:val="both"/>
              <w:rPr>
                <w:sz w:val="20"/>
                <w:lang w:val="fr-CA"/>
              </w:rPr>
            </w:pPr>
          </w:p>
        </w:tc>
      </w:tr>
      <w:tr w:rsidR="00D1028D" w:rsidRPr="00E007CB" w:rsidTr="00B77038">
        <w:trPr>
          <w:cantSplit/>
        </w:trPr>
        <w:tc>
          <w:tcPr>
            <w:tcW w:w="2427" w:type="pct"/>
          </w:tcPr>
          <w:p w:rsidR="00D1028D" w:rsidRPr="00E007CB" w:rsidRDefault="00D1028D" w:rsidP="00D1028D">
            <w:pPr>
              <w:jc w:val="both"/>
              <w:rPr>
                <w:rFonts w:eastAsia="Calibri"/>
                <w:sz w:val="20"/>
                <w:lang w:val="fr-CA"/>
              </w:rPr>
            </w:pPr>
            <w:r>
              <w:rPr>
                <w:rFonts w:eastAsia="Calibri"/>
                <w:sz w:val="20"/>
                <w:lang w:val="fr-CA"/>
              </w:rPr>
              <w:t>21 mai</w:t>
            </w:r>
            <w:r w:rsidRPr="00E007CB">
              <w:rPr>
                <w:rFonts w:eastAsia="Calibri"/>
                <w:sz w:val="20"/>
                <w:lang w:val="fr-CA"/>
              </w:rPr>
              <w:t xml:space="preserve"> 201</w:t>
            </w:r>
            <w:r>
              <w:rPr>
                <w:rFonts w:eastAsia="Calibri"/>
                <w:sz w:val="20"/>
                <w:lang w:val="fr-CA"/>
              </w:rPr>
              <w:t>5</w:t>
            </w:r>
          </w:p>
          <w:p w:rsidR="00D1028D" w:rsidRPr="00E007CB" w:rsidRDefault="00D1028D" w:rsidP="00D1028D">
            <w:pPr>
              <w:jc w:val="both"/>
              <w:rPr>
                <w:rFonts w:eastAsia="Calibri"/>
                <w:sz w:val="20"/>
                <w:lang w:val="fr-CA"/>
              </w:rPr>
            </w:pPr>
            <w:r w:rsidRPr="00E007CB">
              <w:rPr>
                <w:rFonts w:eastAsia="Calibri"/>
                <w:sz w:val="20"/>
                <w:lang w:val="fr-CA"/>
              </w:rPr>
              <w:t>Cour suprême du Canada</w:t>
            </w:r>
          </w:p>
        </w:tc>
        <w:tc>
          <w:tcPr>
            <w:tcW w:w="243" w:type="pct"/>
          </w:tcPr>
          <w:p w:rsidR="00D1028D" w:rsidRPr="00E007CB" w:rsidRDefault="00D1028D" w:rsidP="00D1028D">
            <w:pPr>
              <w:jc w:val="both"/>
              <w:rPr>
                <w:rFonts w:eastAsia="Calibri"/>
                <w:sz w:val="20"/>
                <w:lang w:val="fr-CA"/>
              </w:rPr>
            </w:pPr>
          </w:p>
        </w:tc>
        <w:tc>
          <w:tcPr>
            <w:tcW w:w="2330" w:type="pct"/>
          </w:tcPr>
          <w:p w:rsidR="00D1028D" w:rsidRPr="00F77596" w:rsidRDefault="00D1028D" w:rsidP="00D1028D">
            <w:pPr>
              <w:jc w:val="both"/>
              <w:rPr>
                <w:sz w:val="20"/>
                <w:lang w:val="fr-CA"/>
              </w:rPr>
            </w:pPr>
            <w:r w:rsidRPr="00F77596">
              <w:rPr>
                <w:sz w:val="20"/>
                <w:lang w:val="fr-CA"/>
              </w:rPr>
              <w:t>Dépôt de</w:t>
            </w:r>
            <w:r>
              <w:rPr>
                <w:sz w:val="20"/>
                <w:lang w:val="fr-CA"/>
              </w:rPr>
              <w:t xml:space="preserve"> la</w:t>
            </w:r>
            <w:r w:rsidRPr="00F77596">
              <w:rPr>
                <w:sz w:val="20"/>
                <w:lang w:val="fr-CA"/>
              </w:rPr>
              <w:t xml:space="preserve"> demande d’autorisation d’appel.</w:t>
            </w:r>
          </w:p>
          <w:p w:rsidR="00D1028D" w:rsidRPr="00F77596" w:rsidRDefault="00D1028D" w:rsidP="00D1028D">
            <w:pPr>
              <w:jc w:val="both"/>
              <w:rPr>
                <w:sz w:val="20"/>
                <w:lang w:val="fr-CA"/>
              </w:rPr>
            </w:pPr>
          </w:p>
        </w:tc>
      </w:tr>
    </w:tbl>
    <w:p w:rsidR="00B30EDC" w:rsidRDefault="00B30EDC" w:rsidP="00B30EDC">
      <w:pPr>
        <w:rPr>
          <w:sz w:val="20"/>
          <w:szCs w:val="20"/>
        </w:rPr>
      </w:pPr>
    </w:p>
    <w:p w:rsidR="00B30EDC" w:rsidRDefault="00EC4FDF" w:rsidP="00B30EDC">
      <w:pPr>
        <w:rPr>
          <w:sz w:val="20"/>
          <w:szCs w:val="20"/>
        </w:rPr>
      </w:pPr>
      <w:r>
        <w:rPr>
          <w:sz w:val="20"/>
          <w:szCs w:val="20"/>
          <w:lang w:val="fr-CA"/>
        </w:rPr>
        <w:pict>
          <v:rect id="_x0000_i1060" style="width:2in;height:1pt" o:hrpct="0" o:hralign="center" o:hrstd="t" o:hrnoshade="t" o:hr="t" fillcolor="black [3213]" stroked="f"/>
        </w:pict>
      </w:r>
    </w:p>
    <w:p w:rsidR="005009CD" w:rsidRDefault="005009CD" w:rsidP="005009C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009CD" w:rsidRPr="00A73D2C" w:rsidTr="00B77038">
        <w:trPr>
          <w:cantSplit/>
        </w:trPr>
        <w:tc>
          <w:tcPr>
            <w:tcW w:w="1458" w:type="dxa"/>
          </w:tcPr>
          <w:p w:rsidR="005009CD" w:rsidRPr="00A73D2C" w:rsidRDefault="005009CD" w:rsidP="00B77038">
            <w:pPr>
              <w:rPr>
                <w:sz w:val="20"/>
                <w:szCs w:val="20"/>
              </w:rPr>
            </w:pPr>
            <w:r w:rsidRPr="00A73D2C">
              <w:rPr>
                <w:rStyle w:val="SCCFileNumberChar"/>
                <w:sz w:val="20"/>
                <w:szCs w:val="20"/>
              </w:rPr>
              <w:t>36</w:t>
            </w:r>
            <w:r>
              <w:rPr>
                <w:rStyle w:val="SCCFileNumberChar"/>
                <w:sz w:val="20"/>
                <w:szCs w:val="20"/>
              </w:rPr>
              <w:t>451</w:t>
            </w:r>
          </w:p>
          <w:p w:rsidR="005009CD" w:rsidRPr="00A73D2C" w:rsidRDefault="005009CD" w:rsidP="00B77038">
            <w:pPr>
              <w:rPr>
                <w:b/>
                <w:sz w:val="20"/>
                <w:szCs w:val="20"/>
                <w:lang w:val="fr-CA"/>
              </w:rPr>
            </w:pPr>
          </w:p>
        </w:tc>
        <w:tc>
          <w:tcPr>
            <w:tcW w:w="8118" w:type="dxa"/>
          </w:tcPr>
          <w:p w:rsidR="005009CD" w:rsidRPr="00A73D2C" w:rsidRDefault="005009CD" w:rsidP="00B77038">
            <w:pPr>
              <w:rPr>
                <w:sz w:val="20"/>
                <w:szCs w:val="20"/>
              </w:rPr>
            </w:pPr>
            <w:r w:rsidRPr="005009CD">
              <w:rPr>
                <w:rStyle w:val="SCCLsocChar"/>
                <w:sz w:val="20"/>
                <w:szCs w:val="20"/>
                <w:lang w:val="en-CA"/>
              </w:rPr>
              <w:t>James Baker v. Daniel McCallum</w:t>
            </w:r>
            <w:r w:rsidRPr="00A73D2C">
              <w:rPr>
                <w:sz w:val="20"/>
                <w:szCs w:val="20"/>
              </w:rPr>
              <w:t xml:space="preserve"> (</w:t>
            </w:r>
            <w:r>
              <w:rPr>
                <w:sz w:val="20"/>
                <w:szCs w:val="20"/>
              </w:rPr>
              <w:t>Ont.</w:t>
            </w:r>
            <w:r w:rsidRPr="00A73D2C">
              <w:rPr>
                <w:sz w:val="20"/>
                <w:szCs w:val="20"/>
              </w:rPr>
              <w:t>) (C</w:t>
            </w:r>
            <w:r>
              <w:rPr>
                <w:sz w:val="20"/>
                <w:szCs w:val="20"/>
              </w:rPr>
              <w:t>ivil</w:t>
            </w:r>
            <w:r w:rsidRPr="00A73D2C">
              <w:rPr>
                <w:sz w:val="20"/>
                <w:szCs w:val="20"/>
              </w:rPr>
              <w:t>) (By Leave)</w:t>
            </w:r>
          </w:p>
          <w:p w:rsidR="005009CD" w:rsidRPr="00A73D2C" w:rsidRDefault="005009CD" w:rsidP="00B77038">
            <w:pPr>
              <w:rPr>
                <w:sz w:val="20"/>
                <w:szCs w:val="20"/>
              </w:rPr>
            </w:pPr>
          </w:p>
        </w:tc>
      </w:tr>
      <w:tr w:rsidR="005009CD" w:rsidRPr="00A73D2C" w:rsidTr="00B77038">
        <w:trPr>
          <w:cantSplit/>
        </w:trPr>
        <w:tc>
          <w:tcPr>
            <w:tcW w:w="1458" w:type="dxa"/>
          </w:tcPr>
          <w:p w:rsidR="005009CD" w:rsidRPr="00A73D2C" w:rsidRDefault="005009CD" w:rsidP="00B77038">
            <w:pPr>
              <w:rPr>
                <w:sz w:val="20"/>
                <w:szCs w:val="20"/>
              </w:rPr>
            </w:pPr>
            <w:r w:rsidRPr="00A73D2C">
              <w:rPr>
                <w:sz w:val="20"/>
                <w:szCs w:val="20"/>
              </w:rPr>
              <w:t>Coram :</w:t>
            </w:r>
          </w:p>
        </w:tc>
        <w:tc>
          <w:tcPr>
            <w:tcW w:w="8118" w:type="dxa"/>
          </w:tcPr>
          <w:p w:rsidR="005009CD" w:rsidRDefault="00634EA8" w:rsidP="00B77038">
            <w:pPr>
              <w:rPr>
                <w:rStyle w:val="SCCCoramChar"/>
                <w:sz w:val="20"/>
                <w:szCs w:val="20"/>
                <w:lang w:val="en-CA"/>
              </w:rPr>
            </w:pPr>
            <w:r w:rsidRPr="00634EA8">
              <w:rPr>
                <w:rStyle w:val="SCCCoramChar"/>
                <w:sz w:val="20"/>
                <w:szCs w:val="20"/>
                <w:lang w:val="en-CA"/>
              </w:rPr>
              <w:t>McLachlin C.J. and Moldaver and Gascon JJ.</w:t>
            </w:r>
          </w:p>
          <w:p w:rsidR="00634EA8" w:rsidRPr="00A73D2C" w:rsidRDefault="00634EA8" w:rsidP="00B77038">
            <w:pPr>
              <w:rPr>
                <w:sz w:val="20"/>
                <w:szCs w:val="20"/>
                <w:u w:val="single"/>
              </w:rPr>
            </w:pPr>
          </w:p>
        </w:tc>
      </w:tr>
      <w:tr w:rsidR="005009CD" w:rsidRPr="00002704" w:rsidTr="00B77038">
        <w:trPr>
          <w:cantSplit/>
        </w:trPr>
        <w:tc>
          <w:tcPr>
            <w:tcW w:w="9576" w:type="dxa"/>
            <w:gridSpan w:val="2"/>
          </w:tcPr>
          <w:p w:rsidR="00634EA8" w:rsidRPr="00634EA8" w:rsidRDefault="00634EA8" w:rsidP="00634EA8">
            <w:pPr>
              <w:pStyle w:val="SCCShortJudgment"/>
              <w:rPr>
                <w:szCs w:val="20"/>
              </w:rPr>
            </w:pPr>
            <w:r w:rsidRPr="00634EA8">
              <w:rPr>
                <w:szCs w:val="20"/>
              </w:rPr>
              <w:t>The application for leave to appeal from the judgment of the Court of Appeal for Ontario, Number C56514, 2015 ONCA 206, dated March 26, 2015, is dismissed with costs.</w:t>
            </w:r>
          </w:p>
          <w:p w:rsidR="00634EA8" w:rsidRPr="00634EA8" w:rsidRDefault="00634EA8" w:rsidP="00634EA8">
            <w:pPr>
              <w:pStyle w:val="SCCShortJudgment"/>
              <w:rPr>
                <w:szCs w:val="20"/>
              </w:rPr>
            </w:pPr>
          </w:p>
          <w:p w:rsidR="005009CD" w:rsidRPr="00A73D2C" w:rsidRDefault="00634EA8" w:rsidP="00634EA8">
            <w:pPr>
              <w:pStyle w:val="SCCShortJudgment"/>
              <w:rPr>
                <w:szCs w:val="20"/>
                <w:lang w:val="fr-CA"/>
              </w:rPr>
            </w:pPr>
            <w:r w:rsidRPr="00634EA8">
              <w:rPr>
                <w:szCs w:val="20"/>
              </w:rPr>
              <w:t>La demande d’autorisation d’appel de l’arrêt de la Cour d’appel de l’Ontario, numéro C56514, 2015 ONCA 206, daté du 26 mars 2015, est rejetée avec dépens.</w:t>
            </w:r>
          </w:p>
        </w:tc>
      </w:tr>
    </w:tbl>
    <w:p w:rsidR="005009CD" w:rsidRPr="0016547E" w:rsidRDefault="005009CD" w:rsidP="005009CD">
      <w:pPr>
        <w:rPr>
          <w:sz w:val="20"/>
          <w:szCs w:val="20"/>
          <w:lang w:val="fr-CA"/>
        </w:rPr>
      </w:pPr>
    </w:p>
    <w:p w:rsidR="005009CD" w:rsidRPr="001B157C" w:rsidRDefault="005009CD" w:rsidP="005009CD">
      <w:pPr>
        <w:rPr>
          <w:sz w:val="20"/>
          <w:szCs w:val="20"/>
          <w:u w:val="single"/>
        </w:rPr>
      </w:pPr>
      <w:r w:rsidRPr="001B157C">
        <w:rPr>
          <w:sz w:val="20"/>
          <w:szCs w:val="20"/>
          <w:u w:val="single"/>
        </w:rPr>
        <w:t>CASE SUMMARY</w:t>
      </w:r>
    </w:p>
    <w:p w:rsidR="005009CD" w:rsidRDefault="005009CD" w:rsidP="005009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009CD" w:rsidRPr="00E007CB" w:rsidTr="00B77038">
        <w:tc>
          <w:tcPr>
            <w:tcW w:w="5000" w:type="pct"/>
            <w:gridSpan w:val="3"/>
          </w:tcPr>
          <w:p w:rsidR="005009CD" w:rsidRDefault="003A56EF" w:rsidP="00B77038">
            <w:pPr>
              <w:jc w:val="both"/>
              <w:rPr>
                <w:sz w:val="20"/>
              </w:rPr>
            </w:pPr>
            <w:r w:rsidRPr="00F77596">
              <w:rPr>
                <w:sz w:val="20"/>
              </w:rPr>
              <w:t xml:space="preserve">Evidence – Expert witnesses – Experts’ reports – Whether Court of Appeal failed to properly interpret Rule 53.03 of </w:t>
            </w:r>
            <w:r w:rsidRPr="00F77596">
              <w:rPr>
                <w:i/>
                <w:sz w:val="20"/>
              </w:rPr>
              <w:t>Rules of Civil Procedure</w:t>
            </w:r>
            <w:r w:rsidRPr="00F77596">
              <w:rPr>
                <w:sz w:val="20"/>
              </w:rPr>
              <w:t>, R.R.O. 1990, Reg. 194 – Whether Court of Appeal misapplied common law – Whether Court of Appeal erred by creating a presumption of admissibility for opinion evidence by participant experts and non-litigation experts if the opinion is based upon impressions while carrying on their work – Whether Court of Appeal for Ontario erred by allowing experts to provide opinion outside of their area of expertise – Integrity and authority of judicial system throughout Canada.</w:t>
            </w:r>
          </w:p>
          <w:p w:rsidR="003A56EF" w:rsidRPr="00E007CB" w:rsidRDefault="003A56EF" w:rsidP="00B77038">
            <w:pPr>
              <w:jc w:val="both"/>
              <w:rPr>
                <w:rFonts w:eastAsia="Calibri"/>
                <w:sz w:val="20"/>
              </w:rPr>
            </w:pPr>
          </w:p>
        </w:tc>
      </w:tr>
      <w:tr w:rsidR="005009CD" w:rsidRPr="00E007CB" w:rsidTr="00B77038">
        <w:tc>
          <w:tcPr>
            <w:tcW w:w="5000" w:type="pct"/>
            <w:gridSpan w:val="3"/>
          </w:tcPr>
          <w:p w:rsidR="003A56EF" w:rsidRPr="00F77596" w:rsidRDefault="003A56EF" w:rsidP="003A56EF">
            <w:pPr>
              <w:jc w:val="both"/>
              <w:rPr>
                <w:sz w:val="20"/>
              </w:rPr>
            </w:pPr>
            <w:r w:rsidRPr="00F77596">
              <w:rPr>
                <w:sz w:val="20"/>
              </w:rPr>
              <w:t xml:space="preserve">On March 23, 2009, Mr. McCallum was injured in a motor vehicle accident when his vehicle was struck from behind by a car driven by Mr. Baker. He claims that his injuries prevent him from returning to work and severely curtail his activities. At trial, he called evidence from several medical witnesses. The trial judge permitted some medical witnesses to give evidence without complying with Rule 53.03 of the </w:t>
            </w:r>
            <w:hyperlink r:id="rId74" w:history="1">
              <w:r w:rsidRPr="00F77596">
                <w:rPr>
                  <w:i/>
                  <w:sz w:val="20"/>
                </w:rPr>
                <w:t>Rules of Civil Procedure</w:t>
              </w:r>
              <w:r w:rsidRPr="00F77596">
                <w:rPr>
                  <w:sz w:val="20"/>
                </w:rPr>
                <w:t>, R.R.O. 1990, Reg. 194</w:t>
              </w:r>
            </w:hyperlink>
            <w:r w:rsidRPr="00F77596">
              <w:rPr>
                <w:sz w:val="20"/>
              </w:rPr>
              <w:t>. Rule 53.03 sets out requirements for introducing expert opinion evidence. A jury awarded Mr. McCallum damages totalling $787,275 and the trial judge issued an award for that amount. The Court of Appeal dismissed Mr. Baker’s appeal.</w:t>
            </w:r>
          </w:p>
          <w:p w:rsidR="005009CD" w:rsidRPr="00F77596" w:rsidRDefault="005009CD" w:rsidP="00B77038">
            <w:pPr>
              <w:jc w:val="both"/>
              <w:rPr>
                <w:sz w:val="20"/>
              </w:rPr>
            </w:pPr>
          </w:p>
        </w:tc>
      </w:tr>
      <w:tr w:rsidR="005009CD" w:rsidRPr="00E007CB" w:rsidTr="00B77038">
        <w:trPr>
          <w:cantSplit/>
        </w:trPr>
        <w:tc>
          <w:tcPr>
            <w:tcW w:w="2427" w:type="pct"/>
          </w:tcPr>
          <w:p w:rsidR="00E9491C" w:rsidRPr="00F77596" w:rsidRDefault="00E9491C" w:rsidP="00E9491C">
            <w:pPr>
              <w:jc w:val="both"/>
              <w:rPr>
                <w:sz w:val="20"/>
              </w:rPr>
            </w:pPr>
            <w:r w:rsidRPr="00F77596">
              <w:rPr>
                <w:sz w:val="20"/>
              </w:rPr>
              <w:lastRenderedPageBreak/>
              <w:t>December 20, 2012</w:t>
            </w:r>
          </w:p>
          <w:p w:rsidR="00E9491C" w:rsidRPr="00F77596" w:rsidRDefault="00E9491C" w:rsidP="00E9491C">
            <w:pPr>
              <w:jc w:val="both"/>
              <w:rPr>
                <w:sz w:val="20"/>
              </w:rPr>
            </w:pPr>
            <w:r w:rsidRPr="00F77596">
              <w:rPr>
                <w:sz w:val="20"/>
              </w:rPr>
              <w:t>Ontario Superior Court of Justice</w:t>
            </w:r>
          </w:p>
          <w:p w:rsidR="00E9491C" w:rsidRPr="00F77596" w:rsidRDefault="00E9491C" w:rsidP="00E9491C">
            <w:pPr>
              <w:jc w:val="both"/>
              <w:rPr>
                <w:sz w:val="20"/>
              </w:rPr>
            </w:pPr>
            <w:r w:rsidRPr="00F77596">
              <w:rPr>
                <w:sz w:val="20"/>
              </w:rPr>
              <w:t>(Mulligan J.)</w:t>
            </w:r>
          </w:p>
          <w:p w:rsidR="005009CD" w:rsidRPr="00E007CB" w:rsidRDefault="005009CD" w:rsidP="00B77038">
            <w:pPr>
              <w:jc w:val="both"/>
              <w:rPr>
                <w:rFonts w:eastAsia="Calibri"/>
                <w:sz w:val="20"/>
              </w:rPr>
            </w:pPr>
          </w:p>
        </w:tc>
        <w:tc>
          <w:tcPr>
            <w:tcW w:w="243" w:type="pct"/>
          </w:tcPr>
          <w:p w:rsidR="005009CD" w:rsidRPr="00E007CB" w:rsidRDefault="005009CD" w:rsidP="00B77038">
            <w:pPr>
              <w:jc w:val="both"/>
              <w:rPr>
                <w:rFonts w:eastAsia="Calibri"/>
                <w:sz w:val="20"/>
              </w:rPr>
            </w:pPr>
          </w:p>
        </w:tc>
        <w:tc>
          <w:tcPr>
            <w:tcW w:w="2330" w:type="pct"/>
          </w:tcPr>
          <w:p w:rsidR="00E9491C" w:rsidRPr="00F77596" w:rsidRDefault="00E9491C" w:rsidP="00E9491C">
            <w:pPr>
              <w:jc w:val="both"/>
              <w:rPr>
                <w:sz w:val="20"/>
              </w:rPr>
            </w:pPr>
            <w:r w:rsidRPr="00F77596">
              <w:rPr>
                <w:sz w:val="20"/>
              </w:rPr>
              <w:t>$787,275 awarded</w:t>
            </w:r>
          </w:p>
          <w:p w:rsidR="005009CD" w:rsidRPr="00F77596" w:rsidRDefault="005009CD" w:rsidP="00B77038">
            <w:pPr>
              <w:jc w:val="both"/>
              <w:rPr>
                <w:sz w:val="20"/>
              </w:rPr>
            </w:pPr>
          </w:p>
        </w:tc>
      </w:tr>
      <w:tr w:rsidR="005009CD" w:rsidRPr="00E007CB" w:rsidTr="00B77038">
        <w:trPr>
          <w:cantSplit/>
        </w:trPr>
        <w:tc>
          <w:tcPr>
            <w:tcW w:w="2427" w:type="pct"/>
          </w:tcPr>
          <w:p w:rsidR="00E9491C" w:rsidRPr="00F77596" w:rsidRDefault="00E9491C" w:rsidP="00E9491C">
            <w:pPr>
              <w:jc w:val="both"/>
              <w:rPr>
                <w:sz w:val="20"/>
              </w:rPr>
            </w:pPr>
            <w:r w:rsidRPr="00F77596">
              <w:rPr>
                <w:sz w:val="20"/>
              </w:rPr>
              <w:t>March 26, 2015</w:t>
            </w:r>
          </w:p>
          <w:p w:rsidR="00E9491C" w:rsidRPr="00F77596" w:rsidRDefault="00E9491C" w:rsidP="00E9491C">
            <w:pPr>
              <w:jc w:val="both"/>
              <w:rPr>
                <w:sz w:val="20"/>
              </w:rPr>
            </w:pPr>
            <w:r w:rsidRPr="00F77596">
              <w:rPr>
                <w:sz w:val="20"/>
              </w:rPr>
              <w:t>Court of Appeal for Ontario</w:t>
            </w:r>
          </w:p>
          <w:p w:rsidR="00E9491C" w:rsidRPr="00F77596" w:rsidRDefault="00E9491C" w:rsidP="00E9491C">
            <w:pPr>
              <w:jc w:val="both"/>
              <w:rPr>
                <w:sz w:val="20"/>
              </w:rPr>
            </w:pPr>
            <w:r w:rsidRPr="00F77596">
              <w:rPr>
                <w:sz w:val="20"/>
              </w:rPr>
              <w:t>(Laskin, Sharpe, Simmons JJ.A.)</w:t>
            </w:r>
          </w:p>
          <w:p w:rsidR="00E9491C" w:rsidRPr="00F77596" w:rsidRDefault="00E9491C" w:rsidP="00E9491C">
            <w:pPr>
              <w:jc w:val="both"/>
              <w:rPr>
                <w:rStyle w:val="Hyperlink"/>
                <w:sz w:val="20"/>
              </w:rPr>
            </w:pPr>
            <w:r w:rsidRPr="00F77596">
              <w:rPr>
                <w:sz w:val="20"/>
              </w:rPr>
              <w:t xml:space="preserve">C58021, M-42722; </w:t>
            </w:r>
            <w:hyperlink r:id="rId75" w:history="1">
              <w:r w:rsidRPr="00F77596">
                <w:rPr>
                  <w:rStyle w:val="Hyperlink"/>
                  <w:sz w:val="20"/>
                </w:rPr>
                <w:t>2015 ONCA 206</w:t>
              </w:r>
            </w:hyperlink>
          </w:p>
          <w:p w:rsidR="005009CD" w:rsidRPr="00E007CB" w:rsidRDefault="005009CD" w:rsidP="00B77038">
            <w:pPr>
              <w:jc w:val="both"/>
              <w:rPr>
                <w:rFonts w:eastAsia="Calibri"/>
                <w:sz w:val="20"/>
              </w:rPr>
            </w:pPr>
          </w:p>
        </w:tc>
        <w:tc>
          <w:tcPr>
            <w:tcW w:w="243" w:type="pct"/>
          </w:tcPr>
          <w:p w:rsidR="005009CD" w:rsidRPr="00E007CB" w:rsidRDefault="005009CD" w:rsidP="00B77038">
            <w:pPr>
              <w:jc w:val="both"/>
              <w:rPr>
                <w:rFonts w:eastAsia="Calibri"/>
                <w:sz w:val="20"/>
              </w:rPr>
            </w:pPr>
          </w:p>
        </w:tc>
        <w:tc>
          <w:tcPr>
            <w:tcW w:w="2330" w:type="pct"/>
          </w:tcPr>
          <w:p w:rsidR="00E9491C" w:rsidRPr="00F77596" w:rsidRDefault="00E9491C" w:rsidP="00E9491C">
            <w:pPr>
              <w:jc w:val="both"/>
              <w:rPr>
                <w:sz w:val="20"/>
              </w:rPr>
            </w:pPr>
            <w:r w:rsidRPr="00F77596">
              <w:rPr>
                <w:sz w:val="20"/>
              </w:rPr>
              <w:t>Appeal dismissed</w:t>
            </w:r>
          </w:p>
          <w:p w:rsidR="005009CD" w:rsidRPr="00F77596" w:rsidRDefault="005009CD" w:rsidP="00B77038">
            <w:pPr>
              <w:jc w:val="both"/>
              <w:rPr>
                <w:sz w:val="20"/>
              </w:rPr>
            </w:pPr>
          </w:p>
        </w:tc>
      </w:tr>
      <w:tr w:rsidR="005009CD" w:rsidRPr="00E007CB" w:rsidTr="00B77038">
        <w:trPr>
          <w:cantSplit/>
        </w:trPr>
        <w:tc>
          <w:tcPr>
            <w:tcW w:w="2427" w:type="pct"/>
          </w:tcPr>
          <w:p w:rsidR="005009CD" w:rsidRPr="00E007CB" w:rsidRDefault="005009CD" w:rsidP="00B77038">
            <w:pPr>
              <w:jc w:val="both"/>
              <w:rPr>
                <w:rFonts w:eastAsia="Calibri"/>
                <w:sz w:val="20"/>
              </w:rPr>
            </w:pPr>
            <w:r>
              <w:rPr>
                <w:rFonts w:eastAsia="Calibri"/>
                <w:sz w:val="20"/>
              </w:rPr>
              <w:t>May 2</w:t>
            </w:r>
            <w:r w:rsidR="00E9491C">
              <w:rPr>
                <w:rFonts w:eastAsia="Calibri"/>
                <w:sz w:val="20"/>
              </w:rPr>
              <w:t>5</w:t>
            </w:r>
            <w:r>
              <w:rPr>
                <w:rFonts w:eastAsia="Calibri"/>
                <w:sz w:val="20"/>
              </w:rPr>
              <w:t>,</w:t>
            </w:r>
            <w:r w:rsidRPr="00E007CB">
              <w:rPr>
                <w:rFonts w:eastAsia="Calibri"/>
                <w:sz w:val="20"/>
              </w:rPr>
              <w:t xml:space="preserve"> 201</w:t>
            </w:r>
            <w:r>
              <w:rPr>
                <w:rFonts w:eastAsia="Calibri"/>
                <w:sz w:val="20"/>
              </w:rPr>
              <w:t>5</w:t>
            </w:r>
          </w:p>
          <w:p w:rsidR="005009CD" w:rsidRPr="00E007CB" w:rsidRDefault="005009CD" w:rsidP="00B77038">
            <w:pPr>
              <w:jc w:val="both"/>
              <w:rPr>
                <w:rFonts w:eastAsia="Calibri"/>
                <w:sz w:val="20"/>
              </w:rPr>
            </w:pPr>
            <w:r w:rsidRPr="00E007CB">
              <w:rPr>
                <w:rFonts w:eastAsia="Calibri"/>
                <w:sz w:val="20"/>
              </w:rPr>
              <w:t>Supreme Court of Canada</w:t>
            </w:r>
          </w:p>
        </w:tc>
        <w:tc>
          <w:tcPr>
            <w:tcW w:w="243" w:type="pct"/>
          </w:tcPr>
          <w:p w:rsidR="005009CD" w:rsidRPr="00E007CB" w:rsidRDefault="005009CD" w:rsidP="00B77038">
            <w:pPr>
              <w:jc w:val="both"/>
              <w:rPr>
                <w:rFonts w:eastAsia="Calibri"/>
                <w:sz w:val="20"/>
              </w:rPr>
            </w:pPr>
          </w:p>
        </w:tc>
        <w:tc>
          <w:tcPr>
            <w:tcW w:w="2330" w:type="pct"/>
          </w:tcPr>
          <w:p w:rsidR="00E9491C" w:rsidRPr="00F77596" w:rsidRDefault="00E9491C" w:rsidP="00E9491C">
            <w:pPr>
              <w:jc w:val="both"/>
              <w:rPr>
                <w:sz w:val="20"/>
              </w:rPr>
            </w:pPr>
            <w:r w:rsidRPr="00F77596">
              <w:rPr>
                <w:sz w:val="20"/>
              </w:rPr>
              <w:t>Application for leave to appeal and miscellaneous motion filed</w:t>
            </w:r>
          </w:p>
          <w:p w:rsidR="005009CD" w:rsidRPr="00F77596" w:rsidRDefault="005009CD" w:rsidP="00B77038">
            <w:pPr>
              <w:jc w:val="both"/>
              <w:rPr>
                <w:sz w:val="20"/>
              </w:rPr>
            </w:pPr>
          </w:p>
        </w:tc>
      </w:tr>
    </w:tbl>
    <w:p w:rsidR="005009CD" w:rsidRDefault="005009CD" w:rsidP="005009CD">
      <w:pPr>
        <w:rPr>
          <w:sz w:val="20"/>
          <w:szCs w:val="20"/>
        </w:rPr>
      </w:pPr>
    </w:p>
    <w:p w:rsidR="005009CD" w:rsidRPr="00C50A5C" w:rsidRDefault="00EC4FDF" w:rsidP="005009CD">
      <w:pPr>
        <w:rPr>
          <w:sz w:val="20"/>
          <w:szCs w:val="20"/>
        </w:rPr>
      </w:pPr>
      <w:r>
        <w:rPr>
          <w:sz w:val="20"/>
          <w:szCs w:val="20"/>
          <w:lang w:val="fr-CA"/>
        </w:rPr>
        <w:pict>
          <v:rect id="_x0000_i1061" style="width:2in;height:1pt" o:hrpct="0" o:hralign="center" o:hrstd="t" o:hrnoshade="t" o:hr="t" fillcolor="black [3213]" stroked="f"/>
        </w:pict>
      </w:r>
    </w:p>
    <w:p w:rsidR="005009CD" w:rsidRDefault="005009CD" w:rsidP="005009CD">
      <w:pPr>
        <w:rPr>
          <w:sz w:val="20"/>
          <w:szCs w:val="20"/>
        </w:rPr>
      </w:pPr>
    </w:p>
    <w:p w:rsidR="005009CD" w:rsidRPr="001B157C" w:rsidRDefault="005009CD" w:rsidP="005009CD">
      <w:pPr>
        <w:rPr>
          <w:sz w:val="20"/>
          <w:szCs w:val="20"/>
          <w:u w:val="single"/>
          <w:lang w:val="fr-CA"/>
        </w:rPr>
      </w:pPr>
      <w:r w:rsidRPr="001B157C">
        <w:rPr>
          <w:sz w:val="20"/>
          <w:szCs w:val="20"/>
          <w:u w:val="single"/>
          <w:lang w:val="fr-CA"/>
        </w:rPr>
        <w:t>RÉSUMÉ DE L’AFFAIRE</w:t>
      </w:r>
    </w:p>
    <w:p w:rsidR="005009CD" w:rsidRDefault="005009CD" w:rsidP="005009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009CD" w:rsidRPr="00002704" w:rsidTr="00B77038">
        <w:tc>
          <w:tcPr>
            <w:tcW w:w="5000" w:type="pct"/>
            <w:gridSpan w:val="3"/>
          </w:tcPr>
          <w:p w:rsidR="005009CD" w:rsidRDefault="00FE75A4" w:rsidP="00B77038">
            <w:pPr>
              <w:jc w:val="both"/>
              <w:rPr>
                <w:sz w:val="20"/>
                <w:lang w:val="fr-CA"/>
              </w:rPr>
            </w:pPr>
            <w:r w:rsidRPr="00F77596">
              <w:rPr>
                <w:sz w:val="20"/>
                <w:lang w:val="fr-CA"/>
              </w:rPr>
              <w:t xml:space="preserve">Preuve – Preuve d’expert – Rapport d’experts – La Cour d’appel a-t-elle fait défaut d’interpréter convenablement l’art. 53.03 des </w:t>
            </w:r>
            <w:r w:rsidRPr="00F77596">
              <w:rPr>
                <w:i/>
                <w:sz w:val="20"/>
                <w:lang w:val="fr-CA"/>
              </w:rPr>
              <w:t>Règles de procédure civile</w:t>
            </w:r>
            <w:r w:rsidRPr="00F77596">
              <w:rPr>
                <w:sz w:val="20"/>
                <w:lang w:val="fr-CA"/>
              </w:rPr>
              <w:t>, R.R.O. 1990, Règl. 194? – La Cour d’appel a-t-elle mal appliqué la common law? – La Cour d’appel a-t-elle commis une erreur en créant une présomption d’admissibilité des témoignages d’experts participants et dont les services n’ont pas été retenus dans le cadre d’une instance lorsque leur opinion repose sur des impressions formées dans l’exécution de leur travail? – La Cour d’appel de l’Ontario a-t-elle commis une erreur en permettant à des experts de donner des opinions excédant leur domaine d’expertise? – Intégrité et autorité du système judiciaire partout au Canada.</w:t>
            </w:r>
          </w:p>
          <w:p w:rsidR="00FE75A4" w:rsidRPr="00E007CB" w:rsidRDefault="00FE75A4" w:rsidP="00B77038">
            <w:pPr>
              <w:jc w:val="both"/>
              <w:rPr>
                <w:rFonts w:eastAsia="Calibri"/>
                <w:sz w:val="20"/>
                <w:lang w:val="fr-CA"/>
              </w:rPr>
            </w:pPr>
          </w:p>
        </w:tc>
      </w:tr>
      <w:tr w:rsidR="005009CD" w:rsidRPr="00002704" w:rsidTr="00B77038">
        <w:tc>
          <w:tcPr>
            <w:tcW w:w="5000" w:type="pct"/>
            <w:gridSpan w:val="3"/>
          </w:tcPr>
          <w:p w:rsidR="00FE75A4" w:rsidRPr="00F77596" w:rsidRDefault="00FE75A4" w:rsidP="00FE75A4">
            <w:pPr>
              <w:jc w:val="both"/>
              <w:rPr>
                <w:sz w:val="20"/>
                <w:lang w:val="fr-CA"/>
              </w:rPr>
            </w:pPr>
            <w:r w:rsidRPr="00F77596">
              <w:rPr>
                <w:sz w:val="20"/>
                <w:lang w:val="fr-CA"/>
              </w:rPr>
              <w:t xml:space="preserve">Le 23 mars 2009, M. McCallum a été blessé dans un accident de la route survenu lorsque son véhicule a été heurté à l’arrière par une automobile conduite par M. Baker. Il prétend que ses blessures l’empêchent de retourner au travail et limitent sérieusement ses activités. Au procès, il a appelé à la barre plusieurs témoins experts médicaux. Le juge de première instance a permis à certains experts médicaux de témoigner alors que l’art. 53.03 des </w:t>
            </w:r>
            <w:hyperlink r:id="rId76" w:history="1">
              <w:r w:rsidRPr="00F77596">
                <w:rPr>
                  <w:i/>
                  <w:sz w:val="20"/>
                  <w:lang w:val="fr-CA"/>
                </w:rPr>
                <w:t>Règles de procédure civile</w:t>
              </w:r>
              <w:r w:rsidRPr="00F77596">
                <w:rPr>
                  <w:sz w:val="20"/>
                  <w:lang w:val="fr-CA"/>
                </w:rPr>
                <w:t>, R.R.O. 1990, Règl. 194</w:t>
              </w:r>
            </w:hyperlink>
            <w:r w:rsidRPr="00F77596">
              <w:rPr>
                <w:sz w:val="20"/>
                <w:lang w:val="fr-CA"/>
              </w:rPr>
              <w:t>, n’avait pas été respecté. Cette disposition énonce les exigences permettant de produire le témoignage d’opinion d’un expert. Un jury a accordé à M. McCallum 787 275 $ en dommages-intérêts et le juge de première instance lui a alloué cette somme. La Cour d’appel a rejeté l’appel de M. Baker.</w:t>
            </w:r>
          </w:p>
          <w:p w:rsidR="005009CD" w:rsidRPr="00F77596" w:rsidRDefault="005009CD" w:rsidP="00B77038">
            <w:pPr>
              <w:jc w:val="both"/>
              <w:rPr>
                <w:sz w:val="20"/>
                <w:lang w:val="fr-CA"/>
              </w:rPr>
            </w:pPr>
          </w:p>
        </w:tc>
      </w:tr>
      <w:tr w:rsidR="005009CD" w:rsidRPr="00002704" w:rsidTr="00B77038">
        <w:trPr>
          <w:cantSplit/>
        </w:trPr>
        <w:tc>
          <w:tcPr>
            <w:tcW w:w="2427" w:type="pct"/>
          </w:tcPr>
          <w:p w:rsidR="000B13BC" w:rsidRPr="00F77596" w:rsidRDefault="000B13BC" w:rsidP="000B13BC">
            <w:pPr>
              <w:jc w:val="both"/>
              <w:rPr>
                <w:sz w:val="20"/>
                <w:lang w:val="fr-CA"/>
              </w:rPr>
            </w:pPr>
            <w:r w:rsidRPr="00F77596">
              <w:rPr>
                <w:sz w:val="20"/>
                <w:lang w:val="fr-CA"/>
              </w:rPr>
              <w:t>20 décembre 2012</w:t>
            </w:r>
          </w:p>
          <w:p w:rsidR="000B13BC" w:rsidRPr="00F77596" w:rsidRDefault="000B13BC" w:rsidP="000B13BC">
            <w:pPr>
              <w:jc w:val="both"/>
              <w:rPr>
                <w:sz w:val="20"/>
                <w:lang w:val="fr-CA"/>
              </w:rPr>
            </w:pPr>
            <w:r w:rsidRPr="00F77596">
              <w:rPr>
                <w:sz w:val="20"/>
                <w:lang w:val="fr-CA"/>
              </w:rPr>
              <w:t xml:space="preserve">Cour supérieure de justice de l’Ontario </w:t>
            </w:r>
          </w:p>
          <w:p w:rsidR="000B13BC" w:rsidRPr="00F77596" w:rsidRDefault="000B13BC" w:rsidP="000B13BC">
            <w:pPr>
              <w:jc w:val="both"/>
              <w:rPr>
                <w:sz w:val="20"/>
                <w:lang w:val="fr-CA"/>
              </w:rPr>
            </w:pPr>
            <w:r w:rsidRPr="00F77596">
              <w:rPr>
                <w:sz w:val="20"/>
                <w:lang w:val="fr-CA"/>
              </w:rPr>
              <w:t>(Juge Mulligan)</w:t>
            </w:r>
          </w:p>
          <w:p w:rsidR="005009CD" w:rsidRPr="00E007CB" w:rsidRDefault="005009CD" w:rsidP="00B77038">
            <w:pPr>
              <w:jc w:val="both"/>
              <w:rPr>
                <w:rFonts w:eastAsia="Calibri"/>
                <w:sz w:val="20"/>
                <w:lang w:val="fr-CA"/>
              </w:rPr>
            </w:pPr>
          </w:p>
        </w:tc>
        <w:tc>
          <w:tcPr>
            <w:tcW w:w="243" w:type="pct"/>
          </w:tcPr>
          <w:p w:rsidR="005009CD" w:rsidRPr="00E007CB" w:rsidRDefault="005009CD" w:rsidP="00B77038">
            <w:pPr>
              <w:jc w:val="both"/>
              <w:rPr>
                <w:rFonts w:eastAsia="Calibri"/>
                <w:sz w:val="20"/>
                <w:lang w:val="fr-CA"/>
              </w:rPr>
            </w:pPr>
          </w:p>
        </w:tc>
        <w:tc>
          <w:tcPr>
            <w:tcW w:w="2330" w:type="pct"/>
          </w:tcPr>
          <w:p w:rsidR="000B13BC" w:rsidRPr="00F77596" w:rsidRDefault="000B13BC" w:rsidP="000B13BC">
            <w:pPr>
              <w:jc w:val="both"/>
              <w:rPr>
                <w:sz w:val="20"/>
                <w:lang w:val="fr-CA"/>
              </w:rPr>
            </w:pPr>
            <w:r w:rsidRPr="00F77596">
              <w:rPr>
                <w:sz w:val="20"/>
                <w:lang w:val="fr-CA"/>
              </w:rPr>
              <w:t>787 275 $ accordés</w:t>
            </w:r>
          </w:p>
          <w:p w:rsidR="005009CD" w:rsidRPr="00F77596" w:rsidRDefault="005009CD" w:rsidP="00B77038">
            <w:pPr>
              <w:jc w:val="both"/>
              <w:rPr>
                <w:sz w:val="20"/>
                <w:lang w:val="fr-FR"/>
              </w:rPr>
            </w:pPr>
          </w:p>
        </w:tc>
      </w:tr>
      <w:tr w:rsidR="005009CD" w:rsidRPr="00002704" w:rsidTr="00B77038">
        <w:trPr>
          <w:cantSplit/>
        </w:trPr>
        <w:tc>
          <w:tcPr>
            <w:tcW w:w="2427" w:type="pct"/>
          </w:tcPr>
          <w:p w:rsidR="000B13BC" w:rsidRPr="00F77596" w:rsidRDefault="000B13BC" w:rsidP="000B13BC">
            <w:pPr>
              <w:jc w:val="both"/>
              <w:rPr>
                <w:sz w:val="20"/>
                <w:lang w:val="fr-CA"/>
              </w:rPr>
            </w:pPr>
            <w:r w:rsidRPr="00F77596">
              <w:rPr>
                <w:sz w:val="20"/>
                <w:lang w:val="fr-CA"/>
              </w:rPr>
              <w:t>26 mars 2015</w:t>
            </w:r>
          </w:p>
          <w:p w:rsidR="000B13BC" w:rsidRPr="00F77596" w:rsidRDefault="000B13BC" w:rsidP="000B13BC">
            <w:pPr>
              <w:jc w:val="both"/>
              <w:rPr>
                <w:sz w:val="20"/>
                <w:lang w:val="fr-CA"/>
              </w:rPr>
            </w:pPr>
            <w:r w:rsidRPr="00F77596">
              <w:rPr>
                <w:sz w:val="20"/>
                <w:lang w:val="fr-CA"/>
              </w:rPr>
              <w:t>Cour d’appel de l’Ontario</w:t>
            </w:r>
          </w:p>
          <w:p w:rsidR="000B13BC" w:rsidRPr="00F77596" w:rsidRDefault="000B13BC" w:rsidP="000B13BC">
            <w:pPr>
              <w:jc w:val="both"/>
              <w:rPr>
                <w:sz w:val="20"/>
                <w:lang w:val="fr-CA"/>
              </w:rPr>
            </w:pPr>
            <w:r w:rsidRPr="00F77596">
              <w:rPr>
                <w:sz w:val="20"/>
                <w:lang w:val="fr-CA"/>
              </w:rPr>
              <w:t>(Juges Laskin, Sharpe et Simmons)</w:t>
            </w:r>
          </w:p>
          <w:p w:rsidR="000B13BC" w:rsidRPr="00F77596" w:rsidRDefault="000B13BC" w:rsidP="000B13BC">
            <w:pPr>
              <w:jc w:val="both"/>
              <w:rPr>
                <w:rStyle w:val="Hyperlink"/>
                <w:sz w:val="20"/>
                <w:lang w:val="fr-CA"/>
              </w:rPr>
            </w:pPr>
            <w:r w:rsidRPr="00F77596">
              <w:rPr>
                <w:sz w:val="20"/>
                <w:lang w:val="fr-CA"/>
              </w:rPr>
              <w:t xml:space="preserve">C58021, M-42722; </w:t>
            </w:r>
            <w:hyperlink r:id="rId77" w:history="1">
              <w:r w:rsidRPr="00F77596">
                <w:rPr>
                  <w:rStyle w:val="Hyperlink"/>
                  <w:sz w:val="20"/>
                  <w:lang w:val="fr-CA"/>
                </w:rPr>
                <w:t>2015 ONCA 206</w:t>
              </w:r>
            </w:hyperlink>
          </w:p>
          <w:p w:rsidR="005009CD" w:rsidRPr="00E007CB" w:rsidRDefault="005009CD" w:rsidP="00B77038">
            <w:pPr>
              <w:jc w:val="both"/>
              <w:rPr>
                <w:rFonts w:eastAsia="Calibri"/>
                <w:sz w:val="20"/>
                <w:lang w:val="fr-CA"/>
              </w:rPr>
            </w:pPr>
          </w:p>
        </w:tc>
        <w:tc>
          <w:tcPr>
            <w:tcW w:w="243" w:type="pct"/>
          </w:tcPr>
          <w:p w:rsidR="005009CD" w:rsidRPr="00E007CB" w:rsidRDefault="005009CD" w:rsidP="00B77038">
            <w:pPr>
              <w:jc w:val="both"/>
              <w:rPr>
                <w:rFonts w:eastAsia="Calibri"/>
                <w:sz w:val="20"/>
                <w:lang w:val="fr-CA"/>
              </w:rPr>
            </w:pPr>
          </w:p>
        </w:tc>
        <w:tc>
          <w:tcPr>
            <w:tcW w:w="2330" w:type="pct"/>
          </w:tcPr>
          <w:p w:rsidR="005009CD" w:rsidRPr="00F77596" w:rsidRDefault="005009CD" w:rsidP="00B77038">
            <w:pPr>
              <w:jc w:val="both"/>
              <w:rPr>
                <w:sz w:val="20"/>
                <w:lang w:val="fr-FR"/>
              </w:rPr>
            </w:pPr>
            <w:r w:rsidRPr="00F77596">
              <w:rPr>
                <w:sz w:val="20"/>
                <w:lang w:val="fr-FR"/>
              </w:rPr>
              <w:t>Rejet de l’appel</w:t>
            </w:r>
          </w:p>
          <w:p w:rsidR="005009CD" w:rsidRPr="00F77596" w:rsidRDefault="005009CD" w:rsidP="00B77038">
            <w:pPr>
              <w:jc w:val="both"/>
              <w:rPr>
                <w:sz w:val="20"/>
              </w:rPr>
            </w:pPr>
          </w:p>
        </w:tc>
      </w:tr>
      <w:tr w:rsidR="000B13BC" w:rsidRPr="00E007CB" w:rsidTr="00B77038">
        <w:trPr>
          <w:cantSplit/>
        </w:trPr>
        <w:tc>
          <w:tcPr>
            <w:tcW w:w="2427" w:type="pct"/>
          </w:tcPr>
          <w:p w:rsidR="000B13BC" w:rsidRPr="00E007CB" w:rsidRDefault="000B13BC" w:rsidP="000B13BC">
            <w:pPr>
              <w:jc w:val="both"/>
              <w:rPr>
                <w:rFonts w:eastAsia="Calibri"/>
                <w:sz w:val="20"/>
                <w:lang w:val="fr-CA"/>
              </w:rPr>
            </w:pPr>
            <w:r>
              <w:rPr>
                <w:rFonts w:eastAsia="Calibri"/>
                <w:sz w:val="20"/>
                <w:lang w:val="fr-CA"/>
              </w:rPr>
              <w:t>25 mai</w:t>
            </w:r>
            <w:r w:rsidRPr="00E007CB">
              <w:rPr>
                <w:rFonts w:eastAsia="Calibri"/>
                <w:sz w:val="20"/>
                <w:lang w:val="fr-CA"/>
              </w:rPr>
              <w:t xml:space="preserve"> 201</w:t>
            </w:r>
            <w:r>
              <w:rPr>
                <w:rFonts w:eastAsia="Calibri"/>
                <w:sz w:val="20"/>
                <w:lang w:val="fr-CA"/>
              </w:rPr>
              <w:t>5</w:t>
            </w:r>
          </w:p>
          <w:p w:rsidR="000B13BC" w:rsidRPr="00E007CB" w:rsidRDefault="000B13BC" w:rsidP="000B13BC">
            <w:pPr>
              <w:jc w:val="both"/>
              <w:rPr>
                <w:rFonts w:eastAsia="Calibri"/>
                <w:sz w:val="20"/>
                <w:lang w:val="fr-CA"/>
              </w:rPr>
            </w:pPr>
            <w:r w:rsidRPr="00E007CB">
              <w:rPr>
                <w:rFonts w:eastAsia="Calibri"/>
                <w:sz w:val="20"/>
                <w:lang w:val="fr-CA"/>
              </w:rPr>
              <w:t>Cour suprême du Canada</w:t>
            </w:r>
          </w:p>
        </w:tc>
        <w:tc>
          <w:tcPr>
            <w:tcW w:w="243" w:type="pct"/>
          </w:tcPr>
          <w:p w:rsidR="000B13BC" w:rsidRPr="00E007CB" w:rsidRDefault="000B13BC" w:rsidP="000B13BC">
            <w:pPr>
              <w:jc w:val="both"/>
              <w:rPr>
                <w:rFonts w:eastAsia="Calibri"/>
                <w:sz w:val="20"/>
                <w:lang w:val="fr-CA"/>
              </w:rPr>
            </w:pPr>
          </w:p>
        </w:tc>
        <w:tc>
          <w:tcPr>
            <w:tcW w:w="2330" w:type="pct"/>
          </w:tcPr>
          <w:p w:rsidR="000B13BC" w:rsidRPr="00F77596" w:rsidRDefault="000B13BC" w:rsidP="000B13BC">
            <w:pPr>
              <w:jc w:val="both"/>
              <w:rPr>
                <w:sz w:val="20"/>
                <w:lang w:val="fr-CA"/>
              </w:rPr>
            </w:pPr>
            <w:r w:rsidRPr="00F77596">
              <w:rPr>
                <w:sz w:val="20"/>
                <w:lang w:val="fr-CA"/>
              </w:rPr>
              <w:t>Demande d’autorisation d’appel et requête diverse déposées</w:t>
            </w:r>
          </w:p>
        </w:tc>
      </w:tr>
    </w:tbl>
    <w:p w:rsidR="005009CD" w:rsidRDefault="005009CD" w:rsidP="005009CD">
      <w:pPr>
        <w:rPr>
          <w:sz w:val="20"/>
          <w:szCs w:val="20"/>
        </w:rPr>
      </w:pPr>
    </w:p>
    <w:p w:rsidR="005009CD" w:rsidRDefault="00EC4FDF" w:rsidP="005009CD">
      <w:pPr>
        <w:rPr>
          <w:sz w:val="20"/>
          <w:szCs w:val="20"/>
        </w:rPr>
      </w:pPr>
      <w:r>
        <w:rPr>
          <w:sz w:val="20"/>
          <w:szCs w:val="20"/>
          <w:lang w:val="fr-CA"/>
        </w:rPr>
        <w:pict>
          <v:rect id="_x0000_i1062" style="width:2in;height:1pt" o:hrpct="0" o:hralign="center" o:hrstd="t" o:hrnoshade="t" o:hr="t" fillcolor="black [3213]" stroked="f"/>
        </w:pict>
      </w:r>
    </w:p>
    <w:p w:rsidR="005009CD" w:rsidRDefault="005009CD" w:rsidP="005009C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13808" w:rsidRPr="00A73D2C" w:rsidTr="00B77038">
        <w:trPr>
          <w:cantSplit/>
        </w:trPr>
        <w:tc>
          <w:tcPr>
            <w:tcW w:w="1458" w:type="dxa"/>
          </w:tcPr>
          <w:p w:rsidR="00D13808" w:rsidRPr="00A73D2C" w:rsidRDefault="00D13808" w:rsidP="00B77038">
            <w:pPr>
              <w:rPr>
                <w:sz w:val="20"/>
                <w:szCs w:val="20"/>
              </w:rPr>
            </w:pPr>
            <w:r w:rsidRPr="00A73D2C">
              <w:rPr>
                <w:rStyle w:val="SCCFileNumberChar"/>
                <w:sz w:val="20"/>
                <w:szCs w:val="20"/>
              </w:rPr>
              <w:lastRenderedPageBreak/>
              <w:t>36</w:t>
            </w:r>
            <w:r>
              <w:rPr>
                <w:rStyle w:val="SCCFileNumberChar"/>
                <w:sz w:val="20"/>
                <w:szCs w:val="20"/>
              </w:rPr>
              <w:t>455</w:t>
            </w:r>
          </w:p>
          <w:p w:rsidR="00D13808" w:rsidRPr="00A73D2C" w:rsidRDefault="00D13808" w:rsidP="00B77038">
            <w:pPr>
              <w:rPr>
                <w:b/>
                <w:sz w:val="20"/>
                <w:szCs w:val="20"/>
                <w:lang w:val="fr-CA"/>
              </w:rPr>
            </w:pPr>
          </w:p>
        </w:tc>
        <w:tc>
          <w:tcPr>
            <w:tcW w:w="8118" w:type="dxa"/>
          </w:tcPr>
          <w:p w:rsidR="00D13808" w:rsidRPr="00A73D2C" w:rsidRDefault="00EC154C" w:rsidP="00B77038">
            <w:pPr>
              <w:rPr>
                <w:sz w:val="20"/>
                <w:szCs w:val="20"/>
              </w:rPr>
            </w:pPr>
            <w:r w:rsidRPr="00EC154C">
              <w:rPr>
                <w:rStyle w:val="SCCLsocChar"/>
                <w:sz w:val="20"/>
                <w:szCs w:val="20"/>
                <w:lang w:val="en-CA"/>
              </w:rPr>
              <w:t xml:space="preserve">Chief R. Donald Maracle in his personal capacity and in a representative capacity on behalf of the members of the Mohawks of the Bay of Quinte, Chief William Montour in his personal capacity and in a representative capacity on behalf of the members of the </w:t>
            </w:r>
            <w:r w:rsidR="00E33C90">
              <w:rPr>
                <w:rStyle w:val="SCCLsocChar"/>
                <w:sz w:val="20"/>
                <w:szCs w:val="20"/>
                <w:lang w:val="en-CA"/>
              </w:rPr>
              <w:t>S</w:t>
            </w:r>
            <w:r w:rsidRPr="00EC154C">
              <w:rPr>
                <w:rStyle w:val="SCCLsocChar"/>
                <w:sz w:val="20"/>
                <w:szCs w:val="20"/>
                <w:lang w:val="en-CA"/>
              </w:rPr>
              <w:t xml:space="preserve">ix </w:t>
            </w:r>
            <w:r w:rsidR="00E33C90">
              <w:rPr>
                <w:rStyle w:val="SCCLsocChar"/>
                <w:sz w:val="20"/>
                <w:szCs w:val="20"/>
                <w:lang w:val="en-CA"/>
              </w:rPr>
              <w:t>N</w:t>
            </w:r>
            <w:r w:rsidRPr="00EC154C">
              <w:rPr>
                <w:rStyle w:val="SCCLsocChar"/>
                <w:sz w:val="20"/>
                <w:szCs w:val="20"/>
                <w:lang w:val="en-CA"/>
              </w:rPr>
              <w:t>ations of the Grand River</w:t>
            </w:r>
            <w:r w:rsidR="00E33C90">
              <w:rPr>
                <w:rStyle w:val="SCCLsocChar"/>
                <w:sz w:val="20"/>
                <w:szCs w:val="20"/>
                <w:lang w:val="en-CA"/>
              </w:rPr>
              <w:t xml:space="preserve"> and</w:t>
            </w:r>
            <w:r w:rsidRPr="00EC154C">
              <w:rPr>
                <w:rStyle w:val="SCCLsocChar"/>
                <w:sz w:val="20"/>
                <w:szCs w:val="20"/>
                <w:lang w:val="en-CA"/>
              </w:rPr>
              <w:t xml:space="preserve"> Chief Hazel Fox-Recollet in her personal capacity and in a representative capacity on behalf of the members of Wikwemikong Unceded Indian Reserve v. Attorney General of Canada</w:t>
            </w:r>
            <w:r w:rsidR="00D13808" w:rsidRPr="00A73D2C">
              <w:rPr>
                <w:sz w:val="20"/>
                <w:szCs w:val="20"/>
              </w:rPr>
              <w:t xml:space="preserve"> (</w:t>
            </w:r>
            <w:r w:rsidR="00D13808">
              <w:rPr>
                <w:sz w:val="20"/>
                <w:szCs w:val="20"/>
              </w:rPr>
              <w:t>F.C.</w:t>
            </w:r>
            <w:r w:rsidR="00D13808" w:rsidRPr="00A73D2C">
              <w:rPr>
                <w:sz w:val="20"/>
                <w:szCs w:val="20"/>
              </w:rPr>
              <w:t>) (C</w:t>
            </w:r>
            <w:r w:rsidR="00D13808">
              <w:rPr>
                <w:sz w:val="20"/>
                <w:szCs w:val="20"/>
              </w:rPr>
              <w:t>ivil</w:t>
            </w:r>
            <w:r w:rsidR="00D13808" w:rsidRPr="00A73D2C">
              <w:rPr>
                <w:sz w:val="20"/>
                <w:szCs w:val="20"/>
              </w:rPr>
              <w:t>) (By Leave)</w:t>
            </w:r>
          </w:p>
          <w:p w:rsidR="00D13808" w:rsidRPr="00A73D2C" w:rsidRDefault="00D13808" w:rsidP="00B77038">
            <w:pPr>
              <w:rPr>
                <w:sz w:val="20"/>
                <w:szCs w:val="20"/>
              </w:rPr>
            </w:pPr>
          </w:p>
        </w:tc>
      </w:tr>
      <w:tr w:rsidR="00D13808" w:rsidRPr="00A73D2C" w:rsidTr="00B77038">
        <w:trPr>
          <w:cantSplit/>
        </w:trPr>
        <w:tc>
          <w:tcPr>
            <w:tcW w:w="1458" w:type="dxa"/>
          </w:tcPr>
          <w:p w:rsidR="00D13808" w:rsidRPr="00A73D2C" w:rsidRDefault="00D13808" w:rsidP="00B77038">
            <w:pPr>
              <w:rPr>
                <w:sz w:val="20"/>
                <w:szCs w:val="20"/>
              </w:rPr>
            </w:pPr>
            <w:r w:rsidRPr="00A73D2C">
              <w:rPr>
                <w:sz w:val="20"/>
                <w:szCs w:val="20"/>
              </w:rPr>
              <w:t>Coram :</w:t>
            </w:r>
          </w:p>
        </w:tc>
        <w:tc>
          <w:tcPr>
            <w:tcW w:w="8118" w:type="dxa"/>
          </w:tcPr>
          <w:p w:rsidR="00D13808" w:rsidRDefault="0023205E" w:rsidP="00B77038">
            <w:pPr>
              <w:rPr>
                <w:rStyle w:val="SCCCoramChar"/>
                <w:sz w:val="20"/>
                <w:szCs w:val="20"/>
                <w:lang w:val="en-CA"/>
              </w:rPr>
            </w:pPr>
            <w:r w:rsidRPr="0023205E">
              <w:rPr>
                <w:rStyle w:val="SCCCoramChar"/>
                <w:sz w:val="20"/>
                <w:szCs w:val="20"/>
                <w:lang w:val="en-CA"/>
              </w:rPr>
              <w:t>Cromwell, Wagner and Côté JJ.</w:t>
            </w:r>
          </w:p>
          <w:p w:rsidR="0023205E" w:rsidRPr="00A73D2C" w:rsidRDefault="0023205E" w:rsidP="00B77038">
            <w:pPr>
              <w:rPr>
                <w:sz w:val="20"/>
                <w:szCs w:val="20"/>
                <w:u w:val="single"/>
              </w:rPr>
            </w:pPr>
          </w:p>
        </w:tc>
      </w:tr>
      <w:tr w:rsidR="00D13808" w:rsidRPr="00002704" w:rsidTr="00B77038">
        <w:trPr>
          <w:cantSplit/>
        </w:trPr>
        <w:tc>
          <w:tcPr>
            <w:tcW w:w="9576" w:type="dxa"/>
            <w:gridSpan w:val="2"/>
          </w:tcPr>
          <w:p w:rsidR="0023205E" w:rsidRPr="0023205E" w:rsidRDefault="0023205E" w:rsidP="0023205E">
            <w:pPr>
              <w:pStyle w:val="SCCShortJudgment"/>
              <w:rPr>
                <w:szCs w:val="20"/>
              </w:rPr>
            </w:pPr>
            <w:r w:rsidRPr="0023205E">
              <w:rPr>
                <w:szCs w:val="20"/>
              </w:rPr>
              <w:t>The application for leave to appeal from the judgment of the Federal Court of Appeal, Number A-307-14, 2015 FCA 82, dated March 24, 2015, is dismissed with costs.</w:t>
            </w:r>
          </w:p>
          <w:p w:rsidR="0023205E" w:rsidRPr="0023205E" w:rsidRDefault="0023205E" w:rsidP="0023205E">
            <w:pPr>
              <w:pStyle w:val="SCCShortJudgment"/>
              <w:rPr>
                <w:szCs w:val="20"/>
              </w:rPr>
            </w:pPr>
          </w:p>
          <w:p w:rsidR="00D13808" w:rsidRPr="00A73D2C" w:rsidRDefault="0023205E" w:rsidP="0023205E">
            <w:pPr>
              <w:pStyle w:val="SCCShortJudgment"/>
              <w:rPr>
                <w:szCs w:val="20"/>
                <w:lang w:val="fr-CA"/>
              </w:rPr>
            </w:pPr>
            <w:r w:rsidRPr="0023205E">
              <w:rPr>
                <w:szCs w:val="20"/>
              </w:rPr>
              <w:t>La demande d’autorisation d’appel de l’arrêt de la Cour d’appel fédérale, numéro A-307-14, 2015 CAF 82, daté du 24 mars 2015, est rejetée avec dépens.</w:t>
            </w:r>
          </w:p>
        </w:tc>
      </w:tr>
    </w:tbl>
    <w:p w:rsidR="00D13808" w:rsidRPr="0016547E" w:rsidRDefault="00D13808" w:rsidP="00D13808">
      <w:pPr>
        <w:rPr>
          <w:sz w:val="20"/>
          <w:szCs w:val="20"/>
          <w:lang w:val="fr-CA"/>
        </w:rPr>
      </w:pPr>
    </w:p>
    <w:p w:rsidR="00D13808" w:rsidRPr="001B157C" w:rsidRDefault="00D13808" w:rsidP="00D13808">
      <w:pPr>
        <w:rPr>
          <w:sz w:val="20"/>
          <w:szCs w:val="20"/>
          <w:u w:val="single"/>
        </w:rPr>
      </w:pPr>
      <w:r w:rsidRPr="001B157C">
        <w:rPr>
          <w:sz w:val="20"/>
          <w:szCs w:val="20"/>
          <w:u w:val="single"/>
        </w:rPr>
        <w:t>CASE SUMMARY</w:t>
      </w:r>
    </w:p>
    <w:p w:rsidR="00D13808" w:rsidRDefault="00D13808" w:rsidP="00D1380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3808" w:rsidRPr="00E007CB" w:rsidTr="00B77038">
        <w:tc>
          <w:tcPr>
            <w:tcW w:w="5000" w:type="pct"/>
            <w:gridSpan w:val="3"/>
          </w:tcPr>
          <w:p w:rsidR="00034E81" w:rsidRPr="00F77596" w:rsidRDefault="00034E81" w:rsidP="00034E81">
            <w:pPr>
              <w:jc w:val="both"/>
              <w:rPr>
                <w:sz w:val="20"/>
              </w:rPr>
            </w:pPr>
            <w:r w:rsidRPr="00F77596">
              <w:rPr>
                <w:sz w:val="20"/>
              </w:rPr>
              <w:t xml:space="preserve">Human rights — Right to equality — Federal funding of Aboriginal bands — Relative equality between large and small bands — What are the proper legal tests and standards to be applied by the Canadian Human Rights Commission since the repeal of s. 67 of the </w:t>
            </w:r>
            <w:r w:rsidRPr="00F77596">
              <w:rPr>
                <w:i/>
                <w:sz w:val="20"/>
              </w:rPr>
              <w:t>Canadian Human Rights Act</w:t>
            </w:r>
            <w:r w:rsidRPr="00F77596">
              <w:rPr>
                <w:sz w:val="20"/>
              </w:rPr>
              <w:t xml:space="preserve"> extended its jurisdiction to include complaints concerning matters relating to the </w:t>
            </w:r>
            <w:r w:rsidRPr="00F77596">
              <w:rPr>
                <w:i/>
                <w:sz w:val="20"/>
              </w:rPr>
              <w:t>Indian Act</w:t>
            </w:r>
            <w:r w:rsidRPr="00F77596">
              <w:rPr>
                <w:sz w:val="20"/>
              </w:rPr>
              <w:t xml:space="preserve"> — Whether the Court of Appeal erred in determining whether First Nations bands can bring complaints based on their relative inequity with other bands — Whether the Court of Appeal erred in determining whether significant differential treatment by the federal government based on the size of a First Nations band can establish </w:t>
            </w:r>
            <w:r w:rsidRPr="00F77596">
              <w:rPr>
                <w:i/>
                <w:sz w:val="20"/>
              </w:rPr>
              <w:t>prima facie</w:t>
            </w:r>
            <w:r w:rsidRPr="00F77596">
              <w:rPr>
                <w:sz w:val="20"/>
              </w:rPr>
              <w:t xml:space="preserve"> discrimination on the grounds of national or ethnic origin — Whether the Court of Appeal erred in determining the proper legal test for </w:t>
            </w:r>
            <w:r w:rsidRPr="00F77596">
              <w:rPr>
                <w:i/>
                <w:sz w:val="20"/>
              </w:rPr>
              <w:t>prima facie</w:t>
            </w:r>
            <w:r w:rsidRPr="00F77596">
              <w:rPr>
                <w:sz w:val="20"/>
              </w:rPr>
              <w:t xml:space="preserve"> discrimination, including whether a </w:t>
            </w:r>
            <w:r w:rsidRPr="00F77596">
              <w:rPr>
                <w:i/>
                <w:sz w:val="20"/>
              </w:rPr>
              <w:t>prima facie</w:t>
            </w:r>
            <w:r w:rsidRPr="00F77596">
              <w:rPr>
                <w:sz w:val="20"/>
              </w:rPr>
              <w:t xml:space="preserve"> case can be established by demonstrating significant differential treatment for which there is no neutral or non-discriminatory explanation.</w:t>
            </w:r>
          </w:p>
          <w:p w:rsidR="00D13808" w:rsidRPr="00E007CB" w:rsidRDefault="00D13808" w:rsidP="00B77038">
            <w:pPr>
              <w:jc w:val="both"/>
              <w:rPr>
                <w:rFonts w:eastAsia="Calibri"/>
                <w:sz w:val="20"/>
              </w:rPr>
            </w:pPr>
          </w:p>
        </w:tc>
      </w:tr>
      <w:tr w:rsidR="00D13808" w:rsidRPr="00E007CB" w:rsidTr="00B77038">
        <w:tc>
          <w:tcPr>
            <w:tcW w:w="5000" w:type="pct"/>
            <w:gridSpan w:val="3"/>
          </w:tcPr>
          <w:p w:rsidR="00034E81" w:rsidRPr="00F77596" w:rsidRDefault="00034E81" w:rsidP="00034E81">
            <w:pPr>
              <w:jc w:val="both"/>
              <w:rPr>
                <w:sz w:val="20"/>
              </w:rPr>
            </w:pPr>
            <w:r w:rsidRPr="00F77596">
              <w:rPr>
                <w:sz w:val="20"/>
              </w:rPr>
              <w:t>The applicant First Nations are four of the five largest First Nations in Ontario. They argue that the federal funding for core programs and services is discriminatory because it differentiates adversely based on size. The First Nations asked the Commission to order the elimination of the discriminatory features in the distribution formulae such that any</w:t>
            </w:r>
            <w:r w:rsidRPr="00F77596">
              <w:rPr>
                <w:i/>
                <w:sz w:val="20"/>
              </w:rPr>
              <w:t xml:space="preserve"> per capita</w:t>
            </w:r>
            <w:r w:rsidRPr="00F77596">
              <w:rPr>
                <w:sz w:val="20"/>
              </w:rPr>
              <w:t xml:space="preserve"> differences would be due solely to proven economies of scale and urban proximity, without reducing funding to smaller First Nations. After some initial proceedings the complaint was assigned to an investigator who recommended that the complaint be dismissed on the basis that the evidence did not support the allegations that the First Nations were treated in an adverse, differential manner. In so finding, she appeared to accept the findings of a report that the First Nations had not previously known about. After review and comment by both parties, the Commission dismissed the complaint on the basis that the evidence gathered does not support the allegation, and that, if they did support the allegation, this is not based on national or ethnic origin. The First Nations applied for judicial review of that decision.</w:t>
            </w:r>
          </w:p>
          <w:p w:rsidR="00D13808" w:rsidRPr="00F77596" w:rsidRDefault="00D13808" w:rsidP="00B77038">
            <w:pPr>
              <w:jc w:val="both"/>
              <w:rPr>
                <w:sz w:val="20"/>
              </w:rPr>
            </w:pPr>
          </w:p>
        </w:tc>
      </w:tr>
      <w:tr w:rsidR="00D13808" w:rsidRPr="00E007CB" w:rsidTr="00B77038">
        <w:trPr>
          <w:cantSplit/>
        </w:trPr>
        <w:tc>
          <w:tcPr>
            <w:tcW w:w="2427" w:type="pct"/>
          </w:tcPr>
          <w:p w:rsidR="006A0578" w:rsidRPr="00F77596" w:rsidRDefault="006A0578" w:rsidP="006A0578">
            <w:pPr>
              <w:jc w:val="both"/>
              <w:rPr>
                <w:sz w:val="20"/>
              </w:rPr>
            </w:pPr>
            <w:r w:rsidRPr="00F77596">
              <w:rPr>
                <w:sz w:val="20"/>
              </w:rPr>
              <w:t>April 30, 2014</w:t>
            </w:r>
          </w:p>
          <w:p w:rsidR="006A0578" w:rsidRPr="00F77596" w:rsidRDefault="006A0578" w:rsidP="006A0578">
            <w:pPr>
              <w:jc w:val="both"/>
              <w:rPr>
                <w:sz w:val="20"/>
              </w:rPr>
            </w:pPr>
            <w:r w:rsidRPr="00F77596">
              <w:rPr>
                <w:sz w:val="20"/>
              </w:rPr>
              <w:t>Federal Court</w:t>
            </w:r>
          </w:p>
          <w:p w:rsidR="006A0578" w:rsidRPr="00F77596" w:rsidRDefault="006A0578" w:rsidP="006A0578">
            <w:pPr>
              <w:jc w:val="both"/>
              <w:rPr>
                <w:sz w:val="20"/>
              </w:rPr>
            </w:pPr>
            <w:r w:rsidRPr="00F77596">
              <w:rPr>
                <w:sz w:val="20"/>
              </w:rPr>
              <w:t>(Barnes J.)</w:t>
            </w:r>
          </w:p>
          <w:p w:rsidR="006A0578" w:rsidRPr="00F77596" w:rsidRDefault="006A0578" w:rsidP="006A0578">
            <w:pPr>
              <w:jc w:val="both"/>
              <w:rPr>
                <w:sz w:val="20"/>
              </w:rPr>
            </w:pPr>
            <w:r w:rsidRPr="00F77596">
              <w:rPr>
                <w:sz w:val="20"/>
              </w:rPr>
              <w:t>2014 FC 527</w:t>
            </w:r>
          </w:p>
          <w:p w:rsidR="00D13808" w:rsidRPr="00E007CB" w:rsidRDefault="00D13808" w:rsidP="00B77038">
            <w:pPr>
              <w:jc w:val="both"/>
              <w:rPr>
                <w:rFonts w:eastAsia="Calibri"/>
                <w:sz w:val="20"/>
              </w:rPr>
            </w:pPr>
          </w:p>
        </w:tc>
        <w:tc>
          <w:tcPr>
            <w:tcW w:w="243" w:type="pct"/>
          </w:tcPr>
          <w:p w:rsidR="00D13808" w:rsidRPr="00E007CB" w:rsidRDefault="00D13808" w:rsidP="00B77038">
            <w:pPr>
              <w:jc w:val="both"/>
              <w:rPr>
                <w:rFonts w:eastAsia="Calibri"/>
                <w:sz w:val="20"/>
              </w:rPr>
            </w:pPr>
          </w:p>
        </w:tc>
        <w:tc>
          <w:tcPr>
            <w:tcW w:w="2330" w:type="pct"/>
          </w:tcPr>
          <w:p w:rsidR="006A0578" w:rsidRPr="00F77596" w:rsidRDefault="006A0578" w:rsidP="006A0578">
            <w:pPr>
              <w:jc w:val="both"/>
              <w:rPr>
                <w:sz w:val="20"/>
              </w:rPr>
            </w:pPr>
            <w:r w:rsidRPr="00F77596">
              <w:rPr>
                <w:sz w:val="20"/>
              </w:rPr>
              <w:t>Application dismissed</w:t>
            </w:r>
          </w:p>
          <w:p w:rsidR="00D13808" w:rsidRPr="00F77596" w:rsidRDefault="00D13808" w:rsidP="00B77038">
            <w:pPr>
              <w:jc w:val="both"/>
              <w:rPr>
                <w:sz w:val="20"/>
              </w:rPr>
            </w:pPr>
          </w:p>
        </w:tc>
      </w:tr>
      <w:tr w:rsidR="00D13808" w:rsidRPr="00E007CB" w:rsidTr="00B77038">
        <w:trPr>
          <w:cantSplit/>
        </w:trPr>
        <w:tc>
          <w:tcPr>
            <w:tcW w:w="2427" w:type="pct"/>
          </w:tcPr>
          <w:p w:rsidR="006A0578" w:rsidRPr="00F77596" w:rsidRDefault="006A0578" w:rsidP="006A0578">
            <w:pPr>
              <w:jc w:val="both"/>
              <w:rPr>
                <w:sz w:val="20"/>
              </w:rPr>
            </w:pPr>
            <w:r w:rsidRPr="00F77596">
              <w:rPr>
                <w:sz w:val="20"/>
              </w:rPr>
              <w:t>March 24, 2015</w:t>
            </w:r>
          </w:p>
          <w:p w:rsidR="006A0578" w:rsidRPr="00F77596" w:rsidRDefault="006A0578" w:rsidP="006A0578">
            <w:pPr>
              <w:jc w:val="both"/>
              <w:rPr>
                <w:sz w:val="20"/>
              </w:rPr>
            </w:pPr>
            <w:r w:rsidRPr="00F77596">
              <w:rPr>
                <w:sz w:val="20"/>
              </w:rPr>
              <w:t>Federal Court of Appeal</w:t>
            </w:r>
          </w:p>
          <w:p w:rsidR="006A0578" w:rsidRPr="00F77596" w:rsidRDefault="006A0578" w:rsidP="006A0578">
            <w:pPr>
              <w:jc w:val="both"/>
              <w:rPr>
                <w:sz w:val="20"/>
              </w:rPr>
            </w:pPr>
            <w:r w:rsidRPr="00F77596">
              <w:rPr>
                <w:sz w:val="20"/>
              </w:rPr>
              <w:t>(Pelletier, Webb, Boivin JJ.A.)</w:t>
            </w:r>
          </w:p>
          <w:p w:rsidR="006A0578" w:rsidRPr="00F77596" w:rsidRDefault="006A0578" w:rsidP="006A0578">
            <w:pPr>
              <w:jc w:val="both"/>
              <w:rPr>
                <w:sz w:val="20"/>
              </w:rPr>
            </w:pPr>
            <w:r w:rsidRPr="00F77596">
              <w:rPr>
                <w:sz w:val="20"/>
              </w:rPr>
              <w:t>2015 FCA 82</w:t>
            </w:r>
          </w:p>
          <w:p w:rsidR="00D13808" w:rsidRPr="00E007CB" w:rsidRDefault="00D13808" w:rsidP="00B77038">
            <w:pPr>
              <w:jc w:val="both"/>
              <w:rPr>
                <w:rFonts w:eastAsia="Calibri"/>
                <w:sz w:val="20"/>
              </w:rPr>
            </w:pPr>
          </w:p>
        </w:tc>
        <w:tc>
          <w:tcPr>
            <w:tcW w:w="243" w:type="pct"/>
          </w:tcPr>
          <w:p w:rsidR="00D13808" w:rsidRPr="00E007CB" w:rsidRDefault="00D13808" w:rsidP="00B77038">
            <w:pPr>
              <w:jc w:val="both"/>
              <w:rPr>
                <w:rFonts w:eastAsia="Calibri"/>
                <w:sz w:val="20"/>
              </w:rPr>
            </w:pPr>
          </w:p>
        </w:tc>
        <w:tc>
          <w:tcPr>
            <w:tcW w:w="2330" w:type="pct"/>
          </w:tcPr>
          <w:p w:rsidR="00D13808" w:rsidRPr="00F77596" w:rsidRDefault="00D13808" w:rsidP="00B77038">
            <w:pPr>
              <w:jc w:val="both"/>
              <w:rPr>
                <w:sz w:val="20"/>
              </w:rPr>
            </w:pPr>
            <w:r w:rsidRPr="00F77596">
              <w:rPr>
                <w:sz w:val="20"/>
              </w:rPr>
              <w:t>Appeal dismissed</w:t>
            </w:r>
          </w:p>
          <w:p w:rsidR="00D13808" w:rsidRPr="00F77596" w:rsidRDefault="00D13808" w:rsidP="00B77038">
            <w:pPr>
              <w:jc w:val="both"/>
              <w:rPr>
                <w:sz w:val="20"/>
              </w:rPr>
            </w:pPr>
          </w:p>
        </w:tc>
      </w:tr>
      <w:tr w:rsidR="006A0578" w:rsidRPr="00E007CB" w:rsidTr="00B77038">
        <w:trPr>
          <w:cantSplit/>
        </w:trPr>
        <w:tc>
          <w:tcPr>
            <w:tcW w:w="2427" w:type="pct"/>
          </w:tcPr>
          <w:p w:rsidR="006A0578" w:rsidRPr="00E007CB" w:rsidRDefault="006A0578" w:rsidP="006A0578">
            <w:pPr>
              <w:jc w:val="both"/>
              <w:rPr>
                <w:rFonts w:eastAsia="Calibri"/>
                <w:sz w:val="20"/>
              </w:rPr>
            </w:pPr>
            <w:r>
              <w:rPr>
                <w:rFonts w:eastAsia="Calibri"/>
                <w:sz w:val="20"/>
              </w:rPr>
              <w:t>May 22,</w:t>
            </w:r>
            <w:r w:rsidRPr="00E007CB">
              <w:rPr>
                <w:rFonts w:eastAsia="Calibri"/>
                <w:sz w:val="20"/>
              </w:rPr>
              <w:t xml:space="preserve"> 201</w:t>
            </w:r>
            <w:r>
              <w:rPr>
                <w:rFonts w:eastAsia="Calibri"/>
                <w:sz w:val="20"/>
              </w:rPr>
              <w:t>5</w:t>
            </w:r>
          </w:p>
          <w:p w:rsidR="006A0578" w:rsidRPr="00E007CB" w:rsidRDefault="006A0578" w:rsidP="006A0578">
            <w:pPr>
              <w:jc w:val="both"/>
              <w:rPr>
                <w:rFonts w:eastAsia="Calibri"/>
                <w:sz w:val="20"/>
              </w:rPr>
            </w:pPr>
            <w:r w:rsidRPr="00E007CB">
              <w:rPr>
                <w:rFonts w:eastAsia="Calibri"/>
                <w:sz w:val="20"/>
              </w:rPr>
              <w:t>Supreme Court of Canada</w:t>
            </w:r>
          </w:p>
        </w:tc>
        <w:tc>
          <w:tcPr>
            <w:tcW w:w="243" w:type="pct"/>
          </w:tcPr>
          <w:p w:rsidR="006A0578" w:rsidRPr="00E007CB" w:rsidRDefault="006A0578" w:rsidP="006A0578">
            <w:pPr>
              <w:jc w:val="both"/>
              <w:rPr>
                <w:rFonts w:eastAsia="Calibri"/>
                <w:sz w:val="20"/>
              </w:rPr>
            </w:pPr>
          </w:p>
        </w:tc>
        <w:tc>
          <w:tcPr>
            <w:tcW w:w="2330" w:type="pct"/>
          </w:tcPr>
          <w:p w:rsidR="006A0578" w:rsidRPr="00F77596" w:rsidRDefault="006A0578" w:rsidP="006A0578">
            <w:pPr>
              <w:jc w:val="both"/>
              <w:rPr>
                <w:sz w:val="20"/>
              </w:rPr>
            </w:pPr>
            <w:r w:rsidRPr="00F77596">
              <w:rPr>
                <w:sz w:val="20"/>
              </w:rPr>
              <w:t>Application for leave to appeal filed</w:t>
            </w:r>
          </w:p>
        </w:tc>
      </w:tr>
    </w:tbl>
    <w:p w:rsidR="00D13808" w:rsidRDefault="00D13808" w:rsidP="00D13808">
      <w:pPr>
        <w:rPr>
          <w:sz w:val="20"/>
          <w:szCs w:val="20"/>
        </w:rPr>
      </w:pPr>
    </w:p>
    <w:p w:rsidR="00D13808" w:rsidRPr="00C50A5C" w:rsidRDefault="00EC4FDF" w:rsidP="00D13808">
      <w:pPr>
        <w:rPr>
          <w:sz w:val="20"/>
          <w:szCs w:val="20"/>
        </w:rPr>
      </w:pPr>
      <w:r>
        <w:rPr>
          <w:sz w:val="20"/>
          <w:szCs w:val="20"/>
          <w:lang w:val="fr-CA"/>
        </w:rPr>
        <w:pict>
          <v:rect id="_x0000_i1063" style="width:2in;height:1pt" o:hrpct="0" o:hralign="center" o:hrstd="t" o:hrnoshade="t" o:hr="t" fillcolor="black [3213]" stroked="f"/>
        </w:pict>
      </w:r>
    </w:p>
    <w:p w:rsidR="00D13808" w:rsidRDefault="00D13808" w:rsidP="00D13808">
      <w:pPr>
        <w:rPr>
          <w:sz w:val="20"/>
          <w:szCs w:val="20"/>
        </w:rPr>
      </w:pPr>
    </w:p>
    <w:p w:rsidR="00D13808" w:rsidRPr="001B157C" w:rsidRDefault="00D13808" w:rsidP="00D13808">
      <w:pPr>
        <w:rPr>
          <w:sz w:val="20"/>
          <w:szCs w:val="20"/>
          <w:u w:val="single"/>
          <w:lang w:val="fr-CA"/>
        </w:rPr>
      </w:pPr>
      <w:r w:rsidRPr="001B157C">
        <w:rPr>
          <w:sz w:val="20"/>
          <w:szCs w:val="20"/>
          <w:u w:val="single"/>
          <w:lang w:val="fr-CA"/>
        </w:rPr>
        <w:t>RÉSUMÉ DE L’AFFAIRE</w:t>
      </w:r>
    </w:p>
    <w:p w:rsidR="00D13808" w:rsidRDefault="00D13808" w:rsidP="00D1380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3808" w:rsidRPr="00002704" w:rsidTr="00B77038">
        <w:tc>
          <w:tcPr>
            <w:tcW w:w="5000" w:type="pct"/>
            <w:gridSpan w:val="3"/>
          </w:tcPr>
          <w:p w:rsidR="000864B0" w:rsidRPr="00F77596" w:rsidRDefault="000864B0" w:rsidP="000864B0">
            <w:pPr>
              <w:jc w:val="both"/>
              <w:rPr>
                <w:sz w:val="20"/>
                <w:lang w:val="fr-CA"/>
              </w:rPr>
            </w:pPr>
            <w:r w:rsidRPr="00F77596">
              <w:rPr>
                <w:sz w:val="20"/>
                <w:lang w:val="fr-CA"/>
              </w:rPr>
              <w:t xml:space="preserve">Droits de la personne — Droit à l’égalité — Financement fédéral des bandes autochtones — Égalité relative entre les grandes bandes et les petites  — Quels critères et quelles normes juridiques doit appliquer la Commission canadienne des droits de la personne depuis que l’abrogation de l’art. 67 de la </w:t>
            </w:r>
            <w:r w:rsidRPr="00F77596">
              <w:rPr>
                <w:i/>
                <w:sz w:val="20"/>
                <w:lang w:val="fr-CA"/>
              </w:rPr>
              <w:t xml:space="preserve">Loi canadienne sur les droits de la personne </w:t>
            </w:r>
            <w:r w:rsidRPr="00F77596">
              <w:rPr>
                <w:sz w:val="20"/>
                <w:lang w:val="fr-CA"/>
              </w:rPr>
              <w:t xml:space="preserve">lui donne maintenant compétence à l’égard des plaintes portant sur des questions relatives à la </w:t>
            </w:r>
            <w:r w:rsidRPr="00F77596">
              <w:rPr>
                <w:i/>
                <w:sz w:val="20"/>
                <w:lang w:val="fr-CA"/>
              </w:rPr>
              <w:t>Loi sur les Indiens</w:t>
            </w:r>
            <w:r w:rsidRPr="00F77596">
              <w:rPr>
                <w:sz w:val="20"/>
                <w:lang w:val="fr-CA"/>
              </w:rPr>
              <w:t xml:space="preserve">? — La Cour d’appel a-t-elle commis une erreur en statuant sur la question de savoir si les bandes des Premières Nations peuvent déposer des plaintes fondées sur leur inégalité par rapport à d’autres bandes? — La Cour d’appel a-t-elle commis une erreur en statuant sur la question de savoir si un traitement différentiel important par le gouvernement fédéral fondé sur la taille d’une bande des Premières Nations permet d’établir la discrimination à première vue sur le fondement de l’origine nationale ou ethnique? — La Cour d’appel a-t-elle commis une erreur dans la détermination du bon critère juridique pour établir la discrimination à première vue, notamment en ce qui concerne la question de savoir si une preuve </w:t>
            </w:r>
            <w:r w:rsidRPr="00F77596">
              <w:rPr>
                <w:i/>
                <w:sz w:val="20"/>
                <w:lang w:val="fr-CA"/>
              </w:rPr>
              <w:t>prima facie</w:t>
            </w:r>
            <w:r w:rsidRPr="00F77596">
              <w:rPr>
                <w:sz w:val="20"/>
                <w:lang w:val="fr-CA"/>
              </w:rPr>
              <w:t xml:space="preserve"> peut être faite en démontrant un traitement différentiel important pour lequel il n’existe aucune explication neutre ou non discriminatoire?</w:t>
            </w:r>
          </w:p>
          <w:p w:rsidR="00D13808" w:rsidRPr="00E007CB" w:rsidRDefault="00D13808" w:rsidP="00B77038">
            <w:pPr>
              <w:jc w:val="both"/>
              <w:rPr>
                <w:rFonts w:eastAsia="Calibri"/>
                <w:sz w:val="20"/>
                <w:lang w:val="fr-CA"/>
              </w:rPr>
            </w:pPr>
          </w:p>
        </w:tc>
      </w:tr>
      <w:tr w:rsidR="00D13808" w:rsidRPr="00002704" w:rsidTr="00B77038">
        <w:tc>
          <w:tcPr>
            <w:tcW w:w="5000" w:type="pct"/>
            <w:gridSpan w:val="3"/>
          </w:tcPr>
          <w:p w:rsidR="000864B0" w:rsidRPr="00F77596" w:rsidRDefault="000864B0" w:rsidP="000864B0">
            <w:pPr>
              <w:jc w:val="both"/>
              <w:rPr>
                <w:sz w:val="20"/>
                <w:lang w:val="fr-CA"/>
              </w:rPr>
            </w:pPr>
            <w:r w:rsidRPr="00F77596">
              <w:rPr>
                <w:sz w:val="20"/>
                <w:lang w:val="fr-CA"/>
              </w:rPr>
              <w:t>Les quatre Premières Nations demanderesses comptent parmi les cinq plus grandes Premières Nations de l’Ontario. Elles plaident que le financement fédéral des programmes et des services de base est discriminatoire parce qu’il fait des distinctions défavorables fondées sur la taille des Premières Nations. Les Premières Nations ont demandé à la Commission d’ordonner l’élimination des caractéristiques discriminatoires des formules de distribution pour que les différences</w:t>
            </w:r>
            <w:r w:rsidRPr="00F77596">
              <w:rPr>
                <w:i/>
                <w:sz w:val="20"/>
                <w:lang w:val="fr-CA"/>
              </w:rPr>
              <w:t xml:space="preserve"> per capita</w:t>
            </w:r>
            <w:r w:rsidRPr="00F77596">
              <w:rPr>
                <w:sz w:val="20"/>
                <w:lang w:val="fr-CA"/>
              </w:rPr>
              <w:t xml:space="preserve"> soient uniquement attribuables à des économies d’échelle prouvées et à la proximité urbaine, sans réduire le financement des Premières Nations plus petites. Après quelques procédures préliminaires, la plainte a été confiée à une enquêteure qui recommandait le rejet de la plainte, vu que la preuve ne permettait pas de soutenir les allégations selon lesquelles les Premières Nations étaient traitées d’une manière défavorable et différentielle. En concluant ainsi, l’enquêteure paraissait accepter les conclusions d’un rapport dont les Premières Nations n’avaient pas eu connaissance. Après examen et commentaires des deux parties, la Commission a rejeté la plainte au motif que les éléments de preuve recueillis n’appuyaient pas l’allégation et que si ces éléments appuyaient l’allégation , ils ne reposaient pas sur l’origine nationale ou ethnique. Les Premières Nations ont demandé le contrôle judiciaire de cette décision.</w:t>
            </w:r>
          </w:p>
          <w:p w:rsidR="00D13808" w:rsidRPr="00F77596" w:rsidRDefault="00D13808" w:rsidP="00B77038">
            <w:pPr>
              <w:jc w:val="both"/>
              <w:rPr>
                <w:sz w:val="20"/>
                <w:lang w:val="fr-CA"/>
              </w:rPr>
            </w:pPr>
          </w:p>
        </w:tc>
      </w:tr>
      <w:tr w:rsidR="00D13808" w:rsidRPr="00002704" w:rsidTr="00B77038">
        <w:trPr>
          <w:cantSplit/>
        </w:trPr>
        <w:tc>
          <w:tcPr>
            <w:tcW w:w="2427" w:type="pct"/>
          </w:tcPr>
          <w:p w:rsidR="00DF6573" w:rsidRPr="00F77596" w:rsidRDefault="00DF6573" w:rsidP="00DF6573">
            <w:pPr>
              <w:jc w:val="both"/>
              <w:rPr>
                <w:sz w:val="20"/>
                <w:lang w:val="fr-CA"/>
              </w:rPr>
            </w:pPr>
            <w:r w:rsidRPr="00F77596">
              <w:rPr>
                <w:sz w:val="20"/>
                <w:lang w:val="fr-CA"/>
              </w:rPr>
              <w:t>30 avril 2014</w:t>
            </w:r>
          </w:p>
          <w:p w:rsidR="00DF6573" w:rsidRPr="00F77596" w:rsidRDefault="00DF6573" w:rsidP="00DF6573">
            <w:pPr>
              <w:jc w:val="both"/>
              <w:rPr>
                <w:sz w:val="20"/>
                <w:lang w:val="fr-CA"/>
              </w:rPr>
            </w:pPr>
            <w:r w:rsidRPr="00F77596">
              <w:rPr>
                <w:sz w:val="20"/>
                <w:lang w:val="fr-CA"/>
              </w:rPr>
              <w:t>Cour fédérale</w:t>
            </w:r>
          </w:p>
          <w:p w:rsidR="00DF6573" w:rsidRPr="00F77596" w:rsidRDefault="00DF6573" w:rsidP="00DF6573">
            <w:pPr>
              <w:jc w:val="both"/>
              <w:rPr>
                <w:sz w:val="20"/>
                <w:lang w:val="fr-CA"/>
              </w:rPr>
            </w:pPr>
            <w:r w:rsidRPr="00F77596">
              <w:rPr>
                <w:sz w:val="20"/>
                <w:lang w:val="fr-CA"/>
              </w:rPr>
              <w:t>(Juge Barnes)</w:t>
            </w:r>
          </w:p>
          <w:p w:rsidR="00DF6573" w:rsidRPr="00F77596" w:rsidRDefault="00DF6573" w:rsidP="00DF6573">
            <w:pPr>
              <w:jc w:val="both"/>
              <w:rPr>
                <w:sz w:val="20"/>
                <w:lang w:val="fr-CA"/>
              </w:rPr>
            </w:pPr>
            <w:r w:rsidRPr="00F77596">
              <w:rPr>
                <w:sz w:val="20"/>
                <w:lang w:val="fr-CA"/>
              </w:rPr>
              <w:t>2014 FC 527</w:t>
            </w:r>
          </w:p>
          <w:p w:rsidR="00D13808" w:rsidRPr="00E007CB" w:rsidRDefault="00D13808" w:rsidP="00B77038">
            <w:pPr>
              <w:jc w:val="both"/>
              <w:rPr>
                <w:rFonts w:eastAsia="Calibri"/>
                <w:sz w:val="20"/>
                <w:lang w:val="fr-CA"/>
              </w:rPr>
            </w:pPr>
          </w:p>
        </w:tc>
        <w:tc>
          <w:tcPr>
            <w:tcW w:w="243" w:type="pct"/>
          </w:tcPr>
          <w:p w:rsidR="00D13808" w:rsidRPr="00E007CB" w:rsidRDefault="00D13808" w:rsidP="00B77038">
            <w:pPr>
              <w:jc w:val="both"/>
              <w:rPr>
                <w:rFonts w:eastAsia="Calibri"/>
                <w:sz w:val="20"/>
                <w:lang w:val="fr-CA"/>
              </w:rPr>
            </w:pPr>
          </w:p>
        </w:tc>
        <w:tc>
          <w:tcPr>
            <w:tcW w:w="2330" w:type="pct"/>
          </w:tcPr>
          <w:p w:rsidR="00DF6573" w:rsidRPr="00F77596" w:rsidRDefault="00DF6573" w:rsidP="00DF6573">
            <w:pPr>
              <w:jc w:val="both"/>
              <w:rPr>
                <w:sz w:val="20"/>
                <w:lang w:val="fr-CA"/>
              </w:rPr>
            </w:pPr>
            <w:r w:rsidRPr="00F77596">
              <w:rPr>
                <w:sz w:val="20"/>
                <w:lang w:val="fr-CA"/>
              </w:rPr>
              <w:t>Rejet de la demande</w:t>
            </w:r>
          </w:p>
          <w:p w:rsidR="00D13808" w:rsidRPr="00F77596" w:rsidRDefault="00D13808" w:rsidP="00B77038">
            <w:pPr>
              <w:jc w:val="both"/>
              <w:rPr>
                <w:sz w:val="20"/>
                <w:lang w:val="fr-FR"/>
              </w:rPr>
            </w:pPr>
          </w:p>
        </w:tc>
      </w:tr>
      <w:tr w:rsidR="00D13808" w:rsidRPr="00002704" w:rsidTr="00B77038">
        <w:trPr>
          <w:cantSplit/>
        </w:trPr>
        <w:tc>
          <w:tcPr>
            <w:tcW w:w="2427" w:type="pct"/>
          </w:tcPr>
          <w:p w:rsidR="00DF6573" w:rsidRPr="00F77596" w:rsidRDefault="00DF6573" w:rsidP="00DF6573">
            <w:pPr>
              <w:jc w:val="both"/>
              <w:rPr>
                <w:sz w:val="20"/>
                <w:lang w:val="fr-CA"/>
              </w:rPr>
            </w:pPr>
            <w:r w:rsidRPr="00F77596">
              <w:rPr>
                <w:sz w:val="20"/>
                <w:lang w:val="fr-CA"/>
              </w:rPr>
              <w:t>24 mars 2015</w:t>
            </w:r>
          </w:p>
          <w:p w:rsidR="00DF6573" w:rsidRPr="00F77596" w:rsidRDefault="00DF6573" w:rsidP="00DF6573">
            <w:pPr>
              <w:jc w:val="both"/>
              <w:rPr>
                <w:sz w:val="20"/>
                <w:lang w:val="fr-CA"/>
              </w:rPr>
            </w:pPr>
            <w:r w:rsidRPr="00F77596">
              <w:rPr>
                <w:sz w:val="20"/>
                <w:lang w:val="fr-CA"/>
              </w:rPr>
              <w:t>Cour d’appel fédérale</w:t>
            </w:r>
          </w:p>
          <w:p w:rsidR="00DF6573" w:rsidRPr="00F77596" w:rsidRDefault="00DF6573" w:rsidP="00DF6573">
            <w:pPr>
              <w:jc w:val="both"/>
              <w:rPr>
                <w:sz w:val="20"/>
                <w:lang w:val="fr-CA"/>
              </w:rPr>
            </w:pPr>
            <w:r w:rsidRPr="00F77596">
              <w:rPr>
                <w:sz w:val="20"/>
                <w:lang w:val="fr-CA"/>
              </w:rPr>
              <w:t>(Juges Pelletier, Webb et Boivin)</w:t>
            </w:r>
          </w:p>
          <w:p w:rsidR="00DF6573" w:rsidRPr="00F77596" w:rsidRDefault="00DF6573" w:rsidP="00DF6573">
            <w:pPr>
              <w:jc w:val="both"/>
              <w:rPr>
                <w:sz w:val="20"/>
                <w:lang w:val="fr-CA"/>
              </w:rPr>
            </w:pPr>
            <w:r w:rsidRPr="00F77596">
              <w:rPr>
                <w:sz w:val="20"/>
                <w:lang w:val="fr-CA"/>
              </w:rPr>
              <w:t>2015 FCA 82</w:t>
            </w:r>
          </w:p>
          <w:p w:rsidR="00D13808" w:rsidRPr="00E007CB" w:rsidRDefault="00D13808" w:rsidP="00B77038">
            <w:pPr>
              <w:jc w:val="both"/>
              <w:rPr>
                <w:rFonts w:eastAsia="Calibri"/>
                <w:sz w:val="20"/>
                <w:lang w:val="fr-CA"/>
              </w:rPr>
            </w:pPr>
          </w:p>
        </w:tc>
        <w:tc>
          <w:tcPr>
            <w:tcW w:w="243" w:type="pct"/>
          </w:tcPr>
          <w:p w:rsidR="00D13808" w:rsidRPr="00E007CB" w:rsidRDefault="00D13808" w:rsidP="00B77038">
            <w:pPr>
              <w:jc w:val="both"/>
              <w:rPr>
                <w:rFonts w:eastAsia="Calibri"/>
                <w:sz w:val="20"/>
                <w:lang w:val="fr-CA"/>
              </w:rPr>
            </w:pPr>
          </w:p>
        </w:tc>
        <w:tc>
          <w:tcPr>
            <w:tcW w:w="2330" w:type="pct"/>
          </w:tcPr>
          <w:p w:rsidR="00D13808" w:rsidRPr="00F77596" w:rsidRDefault="00D13808" w:rsidP="00B77038">
            <w:pPr>
              <w:jc w:val="both"/>
              <w:rPr>
                <w:sz w:val="20"/>
                <w:lang w:val="fr-FR"/>
              </w:rPr>
            </w:pPr>
            <w:r w:rsidRPr="00F77596">
              <w:rPr>
                <w:sz w:val="20"/>
                <w:lang w:val="fr-FR"/>
              </w:rPr>
              <w:t>Rejet de l’appel</w:t>
            </w:r>
          </w:p>
          <w:p w:rsidR="00D13808" w:rsidRPr="00F77596" w:rsidRDefault="00D13808" w:rsidP="00B77038">
            <w:pPr>
              <w:jc w:val="both"/>
              <w:rPr>
                <w:sz w:val="20"/>
              </w:rPr>
            </w:pPr>
          </w:p>
        </w:tc>
      </w:tr>
      <w:tr w:rsidR="00DF6573" w:rsidRPr="00E007CB" w:rsidTr="00B77038">
        <w:trPr>
          <w:cantSplit/>
        </w:trPr>
        <w:tc>
          <w:tcPr>
            <w:tcW w:w="2427" w:type="pct"/>
          </w:tcPr>
          <w:p w:rsidR="00DF6573" w:rsidRPr="00E007CB" w:rsidRDefault="00DF6573" w:rsidP="00DF6573">
            <w:pPr>
              <w:jc w:val="both"/>
              <w:rPr>
                <w:rFonts w:eastAsia="Calibri"/>
                <w:sz w:val="20"/>
                <w:lang w:val="fr-CA"/>
              </w:rPr>
            </w:pPr>
            <w:r>
              <w:rPr>
                <w:rFonts w:eastAsia="Calibri"/>
                <w:sz w:val="20"/>
                <w:lang w:val="fr-CA"/>
              </w:rPr>
              <w:t>22 mai</w:t>
            </w:r>
            <w:r w:rsidRPr="00E007CB">
              <w:rPr>
                <w:rFonts w:eastAsia="Calibri"/>
                <w:sz w:val="20"/>
                <w:lang w:val="fr-CA"/>
              </w:rPr>
              <w:t xml:space="preserve"> 201</w:t>
            </w:r>
            <w:r>
              <w:rPr>
                <w:rFonts w:eastAsia="Calibri"/>
                <w:sz w:val="20"/>
                <w:lang w:val="fr-CA"/>
              </w:rPr>
              <w:t>5</w:t>
            </w:r>
          </w:p>
          <w:p w:rsidR="00DF6573" w:rsidRPr="00E007CB" w:rsidRDefault="00DF6573" w:rsidP="00DF6573">
            <w:pPr>
              <w:jc w:val="both"/>
              <w:rPr>
                <w:rFonts w:eastAsia="Calibri"/>
                <w:sz w:val="20"/>
                <w:lang w:val="fr-CA"/>
              </w:rPr>
            </w:pPr>
            <w:r w:rsidRPr="00E007CB">
              <w:rPr>
                <w:rFonts w:eastAsia="Calibri"/>
                <w:sz w:val="20"/>
                <w:lang w:val="fr-CA"/>
              </w:rPr>
              <w:t>Cour suprême du Canada</w:t>
            </w:r>
          </w:p>
        </w:tc>
        <w:tc>
          <w:tcPr>
            <w:tcW w:w="243" w:type="pct"/>
          </w:tcPr>
          <w:p w:rsidR="00DF6573" w:rsidRPr="00E007CB" w:rsidRDefault="00DF6573" w:rsidP="00DF6573">
            <w:pPr>
              <w:jc w:val="both"/>
              <w:rPr>
                <w:rFonts w:eastAsia="Calibri"/>
                <w:sz w:val="20"/>
                <w:lang w:val="fr-CA"/>
              </w:rPr>
            </w:pPr>
          </w:p>
        </w:tc>
        <w:tc>
          <w:tcPr>
            <w:tcW w:w="2330" w:type="pct"/>
          </w:tcPr>
          <w:p w:rsidR="00DF6573" w:rsidRPr="00F77596" w:rsidRDefault="00DF6573" w:rsidP="00DF6573">
            <w:pPr>
              <w:jc w:val="both"/>
              <w:rPr>
                <w:sz w:val="20"/>
                <w:lang w:val="fr-CA"/>
              </w:rPr>
            </w:pPr>
            <w:r w:rsidRPr="00F77596">
              <w:rPr>
                <w:sz w:val="20"/>
                <w:lang w:val="fr-CA"/>
              </w:rPr>
              <w:t>Dépôt de la demande d’autorisation d’appel</w:t>
            </w:r>
          </w:p>
        </w:tc>
      </w:tr>
    </w:tbl>
    <w:p w:rsidR="00D13808" w:rsidRDefault="00D13808" w:rsidP="00D13808">
      <w:pPr>
        <w:rPr>
          <w:sz w:val="20"/>
          <w:szCs w:val="20"/>
        </w:rPr>
      </w:pPr>
    </w:p>
    <w:p w:rsidR="00D13808" w:rsidRDefault="00EC4FDF" w:rsidP="00D13808">
      <w:pPr>
        <w:rPr>
          <w:sz w:val="20"/>
          <w:szCs w:val="20"/>
        </w:rPr>
      </w:pPr>
      <w:r>
        <w:rPr>
          <w:sz w:val="20"/>
          <w:szCs w:val="20"/>
          <w:lang w:val="fr-CA"/>
        </w:rPr>
        <w:pict>
          <v:rect id="_x0000_i1064" style="width:2in;height:1pt" o:hrpct="0" o:hralign="center" o:hrstd="t" o:hrnoshade="t" o:hr="t" fillcolor="black [3213]" stroked="f"/>
        </w:pict>
      </w:r>
    </w:p>
    <w:p w:rsidR="00D56A64" w:rsidRDefault="00D56A64">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F3768" w:rsidRPr="00A73D2C" w:rsidTr="00B77038">
        <w:trPr>
          <w:cantSplit/>
        </w:trPr>
        <w:tc>
          <w:tcPr>
            <w:tcW w:w="1458" w:type="dxa"/>
          </w:tcPr>
          <w:p w:rsidR="006F3768" w:rsidRPr="00A73D2C" w:rsidRDefault="006F3768" w:rsidP="00B77038">
            <w:pPr>
              <w:rPr>
                <w:sz w:val="20"/>
                <w:szCs w:val="20"/>
              </w:rPr>
            </w:pPr>
            <w:r w:rsidRPr="00A73D2C">
              <w:rPr>
                <w:rStyle w:val="SCCFileNumberChar"/>
                <w:sz w:val="20"/>
                <w:szCs w:val="20"/>
              </w:rPr>
              <w:lastRenderedPageBreak/>
              <w:t>36</w:t>
            </w:r>
            <w:r>
              <w:rPr>
                <w:rStyle w:val="SCCFileNumberChar"/>
                <w:sz w:val="20"/>
                <w:szCs w:val="20"/>
              </w:rPr>
              <w:t>458</w:t>
            </w:r>
          </w:p>
          <w:p w:rsidR="006F3768" w:rsidRPr="00A73D2C" w:rsidRDefault="006F3768" w:rsidP="00B77038">
            <w:pPr>
              <w:rPr>
                <w:b/>
                <w:sz w:val="20"/>
                <w:szCs w:val="20"/>
                <w:lang w:val="fr-CA"/>
              </w:rPr>
            </w:pPr>
          </w:p>
        </w:tc>
        <w:tc>
          <w:tcPr>
            <w:tcW w:w="8118" w:type="dxa"/>
          </w:tcPr>
          <w:p w:rsidR="006F3768" w:rsidRPr="00A73D2C" w:rsidRDefault="006F3768" w:rsidP="00B77038">
            <w:pPr>
              <w:rPr>
                <w:sz w:val="20"/>
                <w:szCs w:val="20"/>
              </w:rPr>
            </w:pPr>
            <w:r w:rsidRPr="006F3768">
              <w:rPr>
                <w:rStyle w:val="SCCLsocChar"/>
                <w:sz w:val="20"/>
                <w:szCs w:val="20"/>
                <w:lang w:val="en-CA"/>
              </w:rPr>
              <w:t>Former clients of James represented by Antonito Agozzino Professional Corporation (Alida Trevisan, Neda Moeini, Albert Tarzi, Marco Lorenti, Adessa International &amp; Others)(The "Agozzino" clients) v. Her Majesty the Queen</w:t>
            </w:r>
            <w:r w:rsidR="00EE1991">
              <w:rPr>
                <w:rStyle w:val="SCCLsocChar"/>
                <w:sz w:val="20"/>
                <w:szCs w:val="20"/>
                <w:lang w:val="en-CA"/>
              </w:rPr>
              <w:t xml:space="preserve"> and Scott Fenton</w:t>
            </w:r>
            <w:r w:rsidRPr="00A73D2C">
              <w:rPr>
                <w:sz w:val="20"/>
                <w:szCs w:val="20"/>
              </w:rPr>
              <w:t xml:space="preserve"> (</w:t>
            </w:r>
            <w:r>
              <w:rPr>
                <w:sz w:val="20"/>
                <w:szCs w:val="20"/>
              </w:rPr>
              <w:t>Ont.</w:t>
            </w:r>
            <w:r w:rsidRPr="00A73D2C">
              <w:rPr>
                <w:sz w:val="20"/>
                <w:szCs w:val="20"/>
              </w:rPr>
              <w:t>) (C</w:t>
            </w:r>
            <w:r>
              <w:rPr>
                <w:sz w:val="20"/>
                <w:szCs w:val="20"/>
              </w:rPr>
              <w:t>ivil</w:t>
            </w:r>
            <w:r w:rsidRPr="00A73D2C">
              <w:rPr>
                <w:sz w:val="20"/>
                <w:szCs w:val="20"/>
              </w:rPr>
              <w:t>) (By Leave)</w:t>
            </w:r>
          </w:p>
          <w:p w:rsidR="006F3768" w:rsidRPr="00A73D2C" w:rsidRDefault="006F3768" w:rsidP="00B77038">
            <w:pPr>
              <w:rPr>
                <w:sz w:val="20"/>
                <w:szCs w:val="20"/>
              </w:rPr>
            </w:pPr>
          </w:p>
        </w:tc>
      </w:tr>
      <w:tr w:rsidR="006F3768" w:rsidRPr="00A73D2C" w:rsidTr="00B77038">
        <w:trPr>
          <w:cantSplit/>
        </w:trPr>
        <w:tc>
          <w:tcPr>
            <w:tcW w:w="1458" w:type="dxa"/>
          </w:tcPr>
          <w:p w:rsidR="006F3768" w:rsidRPr="00A73D2C" w:rsidRDefault="006F3768" w:rsidP="00B77038">
            <w:pPr>
              <w:rPr>
                <w:sz w:val="20"/>
                <w:szCs w:val="20"/>
              </w:rPr>
            </w:pPr>
            <w:r w:rsidRPr="00A73D2C">
              <w:rPr>
                <w:sz w:val="20"/>
                <w:szCs w:val="20"/>
              </w:rPr>
              <w:t>Coram :</w:t>
            </w:r>
          </w:p>
        </w:tc>
        <w:tc>
          <w:tcPr>
            <w:tcW w:w="8118" w:type="dxa"/>
          </w:tcPr>
          <w:p w:rsidR="006F3768" w:rsidRDefault="00045187" w:rsidP="00B77038">
            <w:pPr>
              <w:rPr>
                <w:rStyle w:val="SCCCoramChar"/>
                <w:sz w:val="20"/>
                <w:szCs w:val="20"/>
                <w:lang w:val="en-CA"/>
              </w:rPr>
            </w:pPr>
            <w:r w:rsidRPr="00045187">
              <w:rPr>
                <w:rStyle w:val="SCCCoramChar"/>
                <w:sz w:val="20"/>
                <w:szCs w:val="20"/>
                <w:lang w:val="en-CA"/>
              </w:rPr>
              <w:t>McLachlin C.J. and Moldaver and Gascon JJ.</w:t>
            </w:r>
          </w:p>
          <w:p w:rsidR="00045187" w:rsidRPr="00A73D2C" w:rsidRDefault="00045187" w:rsidP="00B77038">
            <w:pPr>
              <w:rPr>
                <w:sz w:val="20"/>
                <w:szCs w:val="20"/>
                <w:u w:val="single"/>
              </w:rPr>
            </w:pPr>
          </w:p>
        </w:tc>
      </w:tr>
      <w:tr w:rsidR="006F3768" w:rsidRPr="00002704" w:rsidTr="00B77038">
        <w:trPr>
          <w:cantSplit/>
        </w:trPr>
        <w:tc>
          <w:tcPr>
            <w:tcW w:w="9576" w:type="dxa"/>
            <w:gridSpan w:val="2"/>
          </w:tcPr>
          <w:p w:rsidR="00045187" w:rsidRPr="00045187" w:rsidRDefault="00045187" w:rsidP="00045187">
            <w:pPr>
              <w:pStyle w:val="SCCShortJudgment"/>
              <w:rPr>
                <w:szCs w:val="20"/>
              </w:rPr>
            </w:pPr>
            <w:r w:rsidRPr="00045187">
              <w:rPr>
                <w:szCs w:val="20"/>
              </w:rPr>
              <w:t>The application for leave to appeal from the judgment of the Ontario Superior Court of Justice, Number CR-12-00004751-00BR, 2015 ONSC 3012, dated March 25, 2015, is dismissed.</w:t>
            </w:r>
          </w:p>
          <w:p w:rsidR="00045187" w:rsidRPr="00045187" w:rsidRDefault="00045187" w:rsidP="00045187">
            <w:pPr>
              <w:pStyle w:val="SCCShortJudgment"/>
              <w:rPr>
                <w:szCs w:val="20"/>
              </w:rPr>
            </w:pPr>
          </w:p>
          <w:p w:rsidR="006F3768" w:rsidRPr="00A73D2C" w:rsidRDefault="00045187" w:rsidP="00045187">
            <w:pPr>
              <w:pStyle w:val="SCCShortJudgment"/>
              <w:rPr>
                <w:szCs w:val="20"/>
                <w:lang w:val="fr-CA"/>
              </w:rPr>
            </w:pPr>
            <w:r w:rsidRPr="00045187">
              <w:rPr>
                <w:szCs w:val="20"/>
              </w:rPr>
              <w:t>La demande d’autorisation d’appel de l’arrêt de la Cour supérieure de justice de l’Ontario, numéro CR-12-00004751-00BR, 2015 ONSC 3012, da</w:t>
            </w:r>
            <w:r>
              <w:rPr>
                <w:szCs w:val="20"/>
              </w:rPr>
              <w:t>té du 25 mars 2015, est rejetée.</w:t>
            </w:r>
          </w:p>
        </w:tc>
      </w:tr>
    </w:tbl>
    <w:p w:rsidR="006F3768" w:rsidRPr="0016547E" w:rsidRDefault="006F3768" w:rsidP="006F3768">
      <w:pPr>
        <w:rPr>
          <w:sz w:val="20"/>
          <w:szCs w:val="20"/>
          <w:lang w:val="fr-CA"/>
        </w:rPr>
      </w:pPr>
    </w:p>
    <w:p w:rsidR="006F3768" w:rsidRPr="001B157C" w:rsidRDefault="006F3768" w:rsidP="006F3768">
      <w:pPr>
        <w:rPr>
          <w:sz w:val="20"/>
          <w:szCs w:val="20"/>
          <w:u w:val="single"/>
        </w:rPr>
      </w:pPr>
      <w:r w:rsidRPr="001B157C">
        <w:rPr>
          <w:sz w:val="20"/>
          <w:szCs w:val="20"/>
          <w:u w:val="single"/>
        </w:rPr>
        <w:t>CASE SUMMARY</w:t>
      </w:r>
    </w:p>
    <w:p w:rsidR="006F3768" w:rsidRDefault="006F3768" w:rsidP="006F376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3768" w:rsidRPr="00E007CB" w:rsidTr="00B77038">
        <w:tc>
          <w:tcPr>
            <w:tcW w:w="5000" w:type="pct"/>
            <w:gridSpan w:val="3"/>
          </w:tcPr>
          <w:p w:rsidR="006F3768" w:rsidRDefault="0003041B" w:rsidP="00B77038">
            <w:pPr>
              <w:jc w:val="both"/>
              <w:rPr>
                <w:sz w:val="20"/>
              </w:rPr>
            </w:pPr>
            <w:r w:rsidRPr="00F77596">
              <w:rPr>
                <w:sz w:val="20"/>
              </w:rPr>
              <w:t xml:space="preserve">Judgments and orders – Interlocutory orders – Referee’s motion for directions to determine whether there was material non-disclosure by Crown at </w:t>
            </w:r>
            <w:r w:rsidRPr="00F77596">
              <w:rPr>
                <w:i/>
                <w:sz w:val="20"/>
              </w:rPr>
              <w:t xml:space="preserve">Lavallee </w:t>
            </w:r>
            <w:r w:rsidRPr="00F77596">
              <w:rPr>
                <w:sz w:val="20"/>
              </w:rPr>
              <w:t xml:space="preserve">hearing – Was court correct in dismissing motion? – Was court correct in summarily concluding that there was no material non-disclosure by Crown and, if there was, it did not compromise integrity of </w:t>
            </w:r>
            <w:r w:rsidRPr="00F77596">
              <w:rPr>
                <w:i/>
                <w:sz w:val="20"/>
              </w:rPr>
              <w:t>Lavallee</w:t>
            </w:r>
            <w:r w:rsidRPr="00F77596">
              <w:rPr>
                <w:sz w:val="20"/>
              </w:rPr>
              <w:t xml:space="preserve"> hearing?</w:t>
            </w:r>
          </w:p>
          <w:p w:rsidR="0003041B" w:rsidRPr="00E007CB" w:rsidRDefault="0003041B" w:rsidP="00B77038">
            <w:pPr>
              <w:jc w:val="both"/>
              <w:rPr>
                <w:rFonts w:eastAsia="Calibri"/>
                <w:sz w:val="20"/>
              </w:rPr>
            </w:pPr>
          </w:p>
        </w:tc>
      </w:tr>
      <w:tr w:rsidR="006F3768" w:rsidRPr="00E007CB" w:rsidTr="00B77038">
        <w:tc>
          <w:tcPr>
            <w:tcW w:w="5000" w:type="pct"/>
            <w:gridSpan w:val="3"/>
          </w:tcPr>
          <w:p w:rsidR="0003041B" w:rsidRPr="00F77596" w:rsidRDefault="0003041B" w:rsidP="0003041B">
            <w:pPr>
              <w:jc w:val="both"/>
              <w:rPr>
                <w:sz w:val="20"/>
              </w:rPr>
            </w:pPr>
            <w:r w:rsidRPr="00F77596">
              <w:rPr>
                <w:sz w:val="20"/>
              </w:rPr>
              <w:t xml:space="preserve">Mr. James is a lawyer practising in Ontario who was charged with money laundering offences. The applicants are some of his former clients. The Crown maintained that two of his companies, Eveline Holdings Ltd. (“Eveline”) and Sterling Capital Corporation (“Sterling”) were at all times under his control and direction in connection with those offences. Search warrants were obtained authorizing searches of his home and office. In 2011, a Referee was appointed by the court to segregate documents seized from Mr. James that were protected by solicitor-client privilege from those that were not, in order to assist the court at a subsequent hearing. The Referee’s fees were paid by the Crown. In July, 2014, a hearing pursuant to </w:t>
            </w:r>
            <w:r w:rsidRPr="00F77596">
              <w:rPr>
                <w:i/>
                <w:sz w:val="20"/>
              </w:rPr>
              <w:t>R. v. Lavallee</w:t>
            </w:r>
            <w:r w:rsidRPr="00F77596">
              <w:rPr>
                <w:sz w:val="20"/>
              </w:rPr>
              <w:t xml:space="preserve">, 2002 SCC 61 was held to ensure that truly privileged communications remained confidential. The Crown applied to the court for the release of non-privileged material seized from Mr. James. No one appeared for the companies and they did not participate at the hearing. The court held that the two companies were not separate entities from Mr. James for the purpose of claiming solicitor and client privilege. Several months later, the Crown disclosed information indicating that as of February, 2012, another person was the beneficial owner of Eveline and Sterling. The applicants maintained that the Crown had been aware of this information at least six months before the </w:t>
            </w:r>
            <w:r w:rsidRPr="00F77596">
              <w:rPr>
                <w:i/>
                <w:sz w:val="20"/>
              </w:rPr>
              <w:t xml:space="preserve">Lavallee </w:t>
            </w:r>
            <w:r w:rsidRPr="00F77596">
              <w:rPr>
                <w:sz w:val="20"/>
              </w:rPr>
              <w:t xml:space="preserve">hearing and that it was materially different from the representations made by the Crown during the course of the hearing. The Referee concluded that he was obliged to determine whether the fairness of the </w:t>
            </w:r>
            <w:r w:rsidRPr="00F77596">
              <w:rPr>
                <w:i/>
                <w:sz w:val="20"/>
              </w:rPr>
              <w:t>Lavallee</w:t>
            </w:r>
            <w:r w:rsidRPr="00F77596">
              <w:rPr>
                <w:sz w:val="20"/>
              </w:rPr>
              <w:t xml:space="preserve"> hearing had been compromised by a material non-disclosure by the Crown. By that time, the Referee’s contract had come to an end. The Crown refused the Referee’s request for continued funding and for an extension of time to inquire into the non-disclosure issue. The Referee brought an application for directions. Mr. James and some of his former clients brought an application to re-open the </w:t>
            </w:r>
            <w:r w:rsidRPr="00F77596">
              <w:rPr>
                <w:i/>
                <w:sz w:val="20"/>
              </w:rPr>
              <w:t>Lavallee</w:t>
            </w:r>
            <w:r w:rsidRPr="00F77596">
              <w:rPr>
                <w:sz w:val="20"/>
              </w:rPr>
              <w:t xml:space="preserve"> hearing, for the return of materials already disclosed to the Crown and for the appointment of a new referee.</w:t>
            </w:r>
          </w:p>
          <w:p w:rsidR="006F3768" w:rsidRPr="00F77596" w:rsidRDefault="006F3768" w:rsidP="00B77038">
            <w:pPr>
              <w:jc w:val="both"/>
              <w:rPr>
                <w:sz w:val="20"/>
              </w:rPr>
            </w:pPr>
          </w:p>
        </w:tc>
      </w:tr>
      <w:tr w:rsidR="006F3768" w:rsidRPr="00E007CB" w:rsidTr="00B77038">
        <w:trPr>
          <w:cantSplit/>
        </w:trPr>
        <w:tc>
          <w:tcPr>
            <w:tcW w:w="2427" w:type="pct"/>
          </w:tcPr>
          <w:p w:rsidR="00E26FA8" w:rsidRPr="00F77596" w:rsidRDefault="00E26FA8" w:rsidP="00E26FA8">
            <w:pPr>
              <w:jc w:val="both"/>
              <w:rPr>
                <w:sz w:val="20"/>
              </w:rPr>
            </w:pPr>
            <w:r w:rsidRPr="00F77596">
              <w:rPr>
                <w:sz w:val="20"/>
              </w:rPr>
              <w:t>March 25, 2015</w:t>
            </w:r>
          </w:p>
          <w:p w:rsidR="00E26FA8" w:rsidRPr="00F77596" w:rsidRDefault="00E26FA8" w:rsidP="00E26FA8">
            <w:pPr>
              <w:jc w:val="both"/>
              <w:rPr>
                <w:sz w:val="20"/>
              </w:rPr>
            </w:pPr>
            <w:r w:rsidRPr="00F77596">
              <w:rPr>
                <w:sz w:val="20"/>
              </w:rPr>
              <w:t>Ontario Superior Court of Justice</w:t>
            </w:r>
          </w:p>
          <w:p w:rsidR="00E26FA8" w:rsidRPr="00F77596" w:rsidRDefault="00E26FA8" w:rsidP="00E26FA8">
            <w:pPr>
              <w:jc w:val="both"/>
              <w:rPr>
                <w:sz w:val="20"/>
              </w:rPr>
            </w:pPr>
            <w:r w:rsidRPr="00F77596">
              <w:rPr>
                <w:sz w:val="20"/>
              </w:rPr>
              <w:t>(McCarthy J.)</w:t>
            </w:r>
          </w:p>
          <w:p w:rsidR="00E26FA8" w:rsidRPr="00F77596" w:rsidRDefault="00E26FA8" w:rsidP="00E26FA8">
            <w:pPr>
              <w:jc w:val="both"/>
              <w:rPr>
                <w:sz w:val="20"/>
              </w:rPr>
            </w:pPr>
            <w:r w:rsidRPr="00F77596">
              <w:rPr>
                <w:sz w:val="20"/>
              </w:rPr>
              <w:t>2015 ONSC 3012</w:t>
            </w:r>
          </w:p>
          <w:p w:rsidR="006F3768" w:rsidRPr="00E007CB" w:rsidRDefault="006F3768" w:rsidP="00B77038">
            <w:pPr>
              <w:jc w:val="both"/>
              <w:rPr>
                <w:rFonts w:eastAsia="Calibri"/>
                <w:sz w:val="20"/>
              </w:rPr>
            </w:pPr>
          </w:p>
        </w:tc>
        <w:tc>
          <w:tcPr>
            <w:tcW w:w="243" w:type="pct"/>
          </w:tcPr>
          <w:p w:rsidR="006F3768" w:rsidRPr="00E007CB" w:rsidRDefault="006F3768" w:rsidP="00B77038">
            <w:pPr>
              <w:jc w:val="both"/>
              <w:rPr>
                <w:rFonts w:eastAsia="Calibri"/>
                <w:sz w:val="20"/>
              </w:rPr>
            </w:pPr>
          </w:p>
        </w:tc>
        <w:tc>
          <w:tcPr>
            <w:tcW w:w="2330" w:type="pct"/>
          </w:tcPr>
          <w:p w:rsidR="00E26FA8" w:rsidRPr="00F77596" w:rsidRDefault="00E26FA8" w:rsidP="00E26FA8">
            <w:pPr>
              <w:jc w:val="both"/>
              <w:rPr>
                <w:sz w:val="20"/>
              </w:rPr>
            </w:pPr>
            <w:r w:rsidRPr="00F77596">
              <w:rPr>
                <w:sz w:val="20"/>
              </w:rPr>
              <w:t>Referee’s motion for directions dismissed; Applicants’ motions dismissed</w:t>
            </w:r>
          </w:p>
          <w:p w:rsidR="006F3768" w:rsidRPr="00F77596" w:rsidRDefault="006F3768" w:rsidP="00B77038">
            <w:pPr>
              <w:jc w:val="both"/>
              <w:rPr>
                <w:sz w:val="20"/>
              </w:rPr>
            </w:pPr>
          </w:p>
        </w:tc>
      </w:tr>
      <w:tr w:rsidR="00487C58" w:rsidRPr="00E007CB" w:rsidTr="00B77038">
        <w:trPr>
          <w:cantSplit/>
        </w:trPr>
        <w:tc>
          <w:tcPr>
            <w:tcW w:w="2427" w:type="pct"/>
          </w:tcPr>
          <w:p w:rsidR="00487C58" w:rsidRPr="00E007CB" w:rsidRDefault="00487C58" w:rsidP="00487C58">
            <w:pPr>
              <w:jc w:val="both"/>
              <w:rPr>
                <w:rFonts w:eastAsia="Calibri"/>
                <w:sz w:val="20"/>
              </w:rPr>
            </w:pPr>
            <w:r>
              <w:rPr>
                <w:rFonts w:eastAsia="Calibri"/>
                <w:sz w:val="20"/>
              </w:rPr>
              <w:t>May 25,</w:t>
            </w:r>
            <w:r w:rsidRPr="00E007CB">
              <w:rPr>
                <w:rFonts w:eastAsia="Calibri"/>
                <w:sz w:val="20"/>
              </w:rPr>
              <w:t xml:space="preserve"> 201</w:t>
            </w:r>
            <w:r>
              <w:rPr>
                <w:rFonts w:eastAsia="Calibri"/>
                <w:sz w:val="20"/>
              </w:rPr>
              <w:t>5</w:t>
            </w:r>
          </w:p>
          <w:p w:rsidR="00487C58" w:rsidRPr="00E007CB" w:rsidRDefault="00487C58" w:rsidP="00487C58">
            <w:pPr>
              <w:jc w:val="both"/>
              <w:rPr>
                <w:rFonts w:eastAsia="Calibri"/>
                <w:sz w:val="20"/>
              </w:rPr>
            </w:pPr>
            <w:r w:rsidRPr="00E007CB">
              <w:rPr>
                <w:rFonts w:eastAsia="Calibri"/>
                <w:sz w:val="20"/>
              </w:rPr>
              <w:t>Supreme Court of Canada</w:t>
            </w:r>
          </w:p>
        </w:tc>
        <w:tc>
          <w:tcPr>
            <w:tcW w:w="243" w:type="pct"/>
          </w:tcPr>
          <w:p w:rsidR="00487C58" w:rsidRPr="00E007CB" w:rsidRDefault="00487C58" w:rsidP="00487C58">
            <w:pPr>
              <w:jc w:val="both"/>
              <w:rPr>
                <w:rFonts w:eastAsia="Calibri"/>
                <w:sz w:val="20"/>
              </w:rPr>
            </w:pPr>
          </w:p>
        </w:tc>
        <w:tc>
          <w:tcPr>
            <w:tcW w:w="2330" w:type="pct"/>
          </w:tcPr>
          <w:p w:rsidR="00487C58" w:rsidRPr="00F77596" w:rsidRDefault="00487C58" w:rsidP="00487C58">
            <w:pPr>
              <w:jc w:val="both"/>
              <w:rPr>
                <w:sz w:val="20"/>
              </w:rPr>
            </w:pPr>
            <w:r w:rsidRPr="00F77596">
              <w:rPr>
                <w:sz w:val="20"/>
              </w:rPr>
              <w:t>Applicant’s application for leave to appeal filed</w:t>
            </w:r>
          </w:p>
        </w:tc>
      </w:tr>
    </w:tbl>
    <w:p w:rsidR="006F3768" w:rsidRDefault="006F3768" w:rsidP="006F3768">
      <w:pPr>
        <w:rPr>
          <w:sz w:val="20"/>
          <w:szCs w:val="20"/>
        </w:rPr>
      </w:pPr>
    </w:p>
    <w:p w:rsidR="006F3768" w:rsidRPr="00C50A5C" w:rsidRDefault="00EC4FDF" w:rsidP="006F3768">
      <w:pPr>
        <w:rPr>
          <w:sz w:val="20"/>
          <w:szCs w:val="20"/>
        </w:rPr>
      </w:pPr>
      <w:r>
        <w:rPr>
          <w:sz w:val="20"/>
          <w:szCs w:val="20"/>
          <w:lang w:val="fr-CA"/>
        </w:rPr>
        <w:pict>
          <v:rect id="_x0000_i1065" style="width:2in;height:1pt" o:hrpct="0" o:hralign="center" o:hrstd="t" o:hrnoshade="t" o:hr="t" fillcolor="black [3213]" stroked="f"/>
        </w:pict>
      </w:r>
    </w:p>
    <w:p w:rsidR="00D56A64" w:rsidRDefault="00D56A64">
      <w:pPr>
        <w:rPr>
          <w:sz w:val="20"/>
          <w:szCs w:val="20"/>
        </w:rPr>
      </w:pPr>
      <w:r>
        <w:rPr>
          <w:sz w:val="20"/>
          <w:szCs w:val="20"/>
        </w:rPr>
        <w:br w:type="page"/>
      </w:r>
    </w:p>
    <w:p w:rsidR="006F3768" w:rsidRPr="001B157C" w:rsidRDefault="006F3768" w:rsidP="006F3768">
      <w:pPr>
        <w:rPr>
          <w:sz w:val="20"/>
          <w:szCs w:val="20"/>
          <w:u w:val="single"/>
          <w:lang w:val="fr-CA"/>
        </w:rPr>
      </w:pPr>
      <w:r w:rsidRPr="001B157C">
        <w:rPr>
          <w:sz w:val="20"/>
          <w:szCs w:val="20"/>
          <w:u w:val="single"/>
          <w:lang w:val="fr-CA"/>
        </w:rPr>
        <w:lastRenderedPageBreak/>
        <w:t>RÉSUMÉ DE L’AFFAIRE</w:t>
      </w:r>
    </w:p>
    <w:p w:rsidR="006F3768" w:rsidRDefault="006F3768" w:rsidP="006F376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3768" w:rsidRPr="00002704" w:rsidTr="00B77038">
        <w:tc>
          <w:tcPr>
            <w:tcW w:w="5000" w:type="pct"/>
            <w:gridSpan w:val="3"/>
          </w:tcPr>
          <w:p w:rsidR="006F3768" w:rsidRDefault="00645561" w:rsidP="00B77038">
            <w:pPr>
              <w:jc w:val="both"/>
              <w:rPr>
                <w:sz w:val="20"/>
                <w:lang w:val="fr-CA"/>
              </w:rPr>
            </w:pPr>
            <w:r w:rsidRPr="00F77596">
              <w:rPr>
                <w:sz w:val="20"/>
                <w:lang w:val="fr-CA"/>
              </w:rPr>
              <w:t xml:space="preserve">Jugements et ordonnances – Ordonnances interlocutoires – Motion de l’arbitre en vue d’obtenir des directives afin de déterminer s’il y a eu omission déterminante par le ministère public de communiquer un élément de preuve à l’audience tenue en application de l’arrêt </w:t>
            </w:r>
            <w:r w:rsidRPr="00F77596">
              <w:rPr>
                <w:i/>
                <w:sz w:val="20"/>
                <w:lang w:val="fr-CA"/>
              </w:rPr>
              <w:t>Lavallee</w:t>
            </w:r>
            <w:r w:rsidRPr="00F77596">
              <w:rPr>
                <w:sz w:val="20"/>
                <w:lang w:val="fr-CA"/>
              </w:rPr>
              <w:t xml:space="preserve">? – Le tribunal a-t-il eu raison de rejeter la motion? – Le tribunal a-t-il eu raison de conclure sommairement qu’il n’y avait pas eu d’omission déterminante par le ministère public de communiquer un élément de preuve et que s’il y en avait eu une, elle ne compromettait pas l’intégrité de l’audience tenue en application de l’arrêt </w:t>
            </w:r>
            <w:r w:rsidRPr="00F77596">
              <w:rPr>
                <w:i/>
                <w:sz w:val="20"/>
                <w:lang w:val="fr-CA"/>
              </w:rPr>
              <w:t>Lavallee</w:t>
            </w:r>
            <w:r w:rsidRPr="00F77596">
              <w:rPr>
                <w:sz w:val="20"/>
                <w:lang w:val="fr-CA"/>
              </w:rPr>
              <w:t>?</w:t>
            </w:r>
          </w:p>
          <w:p w:rsidR="00645561" w:rsidRPr="00E007CB" w:rsidRDefault="00645561" w:rsidP="00B77038">
            <w:pPr>
              <w:jc w:val="both"/>
              <w:rPr>
                <w:rFonts w:eastAsia="Calibri"/>
                <w:sz w:val="20"/>
                <w:lang w:val="fr-CA"/>
              </w:rPr>
            </w:pPr>
          </w:p>
        </w:tc>
      </w:tr>
      <w:tr w:rsidR="006F3768" w:rsidRPr="00002704" w:rsidTr="00B77038">
        <w:tc>
          <w:tcPr>
            <w:tcW w:w="5000" w:type="pct"/>
            <w:gridSpan w:val="3"/>
          </w:tcPr>
          <w:p w:rsidR="00645561" w:rsidRPr="00F77596" w:rsidRDefault="00645561" w:rsidP="00645561">
            <w:pPr>
              <w:jc w:val="both"/>
              <w:rPr>
                <w:sz w:val="20"/>
                <w:lang w:val="fr-CA"/>
              </w:rPr>
            </w:pPr>
            <w:r w:rsidRPr="00F77596">
              <w:rPr>
                <w:sz w:val="20"/>
                <w:lang w:val="fr-CA"/>
              </w:rPr>
              <w:t>Maître James exerce la profession d’avocat en Ontario et il a été accusé d’infractions de recyclage des produits de la criminalité. Les demandeurs sont d’anciens clients de M</w:t>
            </w:r>
            <w:r w:rsidRPr="00F77596">
              <w:rPr>
                <w:sz w:val="20"/>
                <w:vertAlign w:val="superscript"/>
                <w:lang w:val="fr-CA"/>
              </w:rPr>
              <w:t>e</w:t>
            </w:r>
            <w:r w:rsidRPr="00F77596">
              <w:rPr>
                <w:sz w:val="20"/>
                <w:lang w:val="fr-CA"/>
              </w:rPr>
              <w:t> James. Le ministère public a soutenu que deux de ses compagnies, Eveline Holdings Ltd. (« Eveline ») et Sterling Capital Corporation (« Sterling ») étaient en tout temps soumises à son contrôle et à sa direction en lien avec ces infractions. Des mandats de perquisition ont été obtenus, autorisant des perquisitions chez lui et à son bureau. En 2011, le tribunal a nommé un arbitre chargé de séparer les documents saisis de M</w:t>
            </w:r>
            <w:r w:rsidRPr="00F77596">
              <w:rPr>
                <w:sz w:val="20"/>
                <w:vertAlign w:val="superscript"/>
                <w:lang w:val="fr-CA"/>
              </w:rPr>
              <w:t>e</w:t>
            </w:r>
            <w:r w:rsidRPr="00F77596">
              <w:rPr>
                <w:sz w:val="20"/>
                <w:lang w:val="fr-CA"/>
              </w:rPr>
              <w:t xml:space="preserve"> James qui étaient protégés par le secret professionnel de l’avocat de ceux qui ne l’étaient pas afin d’aider le tribunal à une audience subséquente. Le ministère public a payé les honoraires de l’arbitre. En juillet 2014, une audience tenue en application de l’arrêt </w:t>
            </w:r>
            <w:r w:rsidRPr="00F77596">
              <w:rPr>
                <w:i/>
                <w:sz w:val="20"/>
                <w:lang w:val="fr-CA"/>
              </w:rPr>
              <w:t>R. c. Lavallee</w:t>
            </w:r>
            <w:r w:rsidRPr="00F77596">
              <w:rPr>
                <w:sz w:val="20"/>
                <w:lang w:val="fr-CA"/>
              </w:rPr>
              <w:t>, 2002 CSC 61 a eu lieu pour assurer que les communications véritablement privilégiées demeurent confidentielles. Le ministère public a demandé au tribunal la communication des documents non privilégiés saisis de M</w:t>
            </w:r>
            <w:r w:rsidRPr="00F77596">
              <w:rPr>
                <w:sz w:val="20"/>
                <w:vertAlign w:val="superscript"/>
                <w:lang w:val="fr-CA"/>
              </w:rPr>
              <w:t>e</w:t>
            </w:r>
            <w:r w:rsidRPr="00F77596">
              <w:rPr>
                <w:sz w:val="20"/>
                <w:lang w:val="fr-CA"/>
              </w:rPr>
              <w:t> James. Personne n’a comparu pour les compagnies et elles n’ont pas participé à l’audience. Le tribunal a statué que les deux compagnies n’étaient pas des entités séparées de M</w:t>
            </w:r>
            <w:r w:rsidRPr="00F77596">
              <w:rPr>
                <w:sz w:val="20"/>
                <w:vertAlign w:val="superscript"/>
                <w:lang w:val="fr-CA"/>
              </w:rPr>
              <w:t>e </w:t>
            </w:r>
            <w:r w:rsidRPr="00F77596">
              <w:rPr>
                <w:sz w:val="20"/>
                <w:lang w:val="fr-CA"/>
              </w:rPr>
              <w:t xml:space="preserve">James en ce qui concernait la revendication du privilège avocat-client. Plusieurs mois plus tard, le ministère public a communiqué de l’information indiquant qu’en date de février 2012, une autre personne était propriétaire bénéficiaire d’Eveline et de Sterling. Les demandeurs ont soutenu que le ministère public avait eu connaissance de cette information au moins six mois avant l’audience tenue en application de l’arrêt </w:t>
            </w:r>
            <w:r w:rsidRPr="00F77596">
              <w:rPr>
                <w:i/>
                <w:sz w:val="20"/>
                <w:lang w:val="fr-CA"/>
              </w:rPr>
              <w:t xml:space="preserve">Lavallee </w:t>
            </w:r>
            <w:r w:rsidRPr="00F77596">
              <w:rPr>
                <w:sz w:val="20"/>
                <w:lang w:val="fr-CA"/>
              </w:rPr>
              <w:t xml:space="preserve">et que cette information était sensiblement différente des observations qu’avait présentées le ministère public à cette audience. L’arbitre a conclu qu’il était obligé de déterminer si l’équité de l’audience tenue en application de l’arrêt </w:t>
            </w:r>
            <w:r w:rsidRPr="00F77596">
              <w:rPr>
                <w:i/>
                <w:sz w:val="20"/>
                <w:lang w:val="fr-CA"/>
              </w:rPr>
              <w:t>Lavallee</w:t>
            </w:r>
            <w:r w:rsidRPr="00F77596">
              <w:rPr>
                <w:sz w:val="20"/>
                <w:lang w:val="fr-CA"/>
              </w:rPr>
              <w:t xml:space="preserve"> avait été compromise par une omission déterminante par le ministère public. Entre temps, le contrat de l’arbitre avait pris fin. Le ministère public a rejeté la demande de l’arbitre pour une reconduction du financement et une prorogation du délai pour enquêter sur la question de la non-communication. L’arbitre a présenté une demande de directives. Maître James et certains de ses anciens clients ont présenté une demande en vue d’obtenir la réouverture de l’audience tenue en application de l’arrêt </w:t>
            </w:r>
            <w:r w:rsidRPr="00F77596">
              <w:rPr>
                <w:i/>
                <w:sz w:val="20"/>
                <w:lang w:val="fr-CA"/>
              </w:rPr>
              <w:t>Lavallee</w:t>
            </w:r>
            <w:r w:rsidRPr="00F77596">
              <w:rPr>
                <w:sz w:val="20"/>
                <w:lang w:val="fr-CA"/>
              </w:rPr>
              <w:t>, le retour des documents déjà communiqués au ministère public et la nomination d’un nouvel arbitre.</w:t>
            </w:r>
          </w:p>
          <w:p w:rsidR="006F3768" w:rsidRPr="00F77596" w:rsidRDefault="006F3768" w:rsidP="00B77038">
            <w:pPr>
              <w:jc w:val="both"/>
              <w:rPr>
                <w:sz w:val="20"/>
                <w:lang w:val="fr-CA"/>
              </w:rPr>
            </w:pPr>
          </w:p>
        </w:tc>
      </w:tr>
      <w:tr w:rsidR="006F3768" w:rsidRPr="00002704" w:rsidTr="00B77038">
        <w:trPr>
          <w:cantSplit/>
        </w:trPr>
        <w:tc>
          <w:tcPr>
            <w:tcW w:w="2427" w:type="pct"/>
          </w:tcPr>
          <w:p w:rsidR="00EB658B" w:rsidRPr="00F77596" w:rsidRDefault="00EB658B" w:rsidP="00EB658B">
            <w:pPr>
              <w:jc w:val="both"/>
              <w:rPr>
                <w:sz w:val="20"/>
                <w:lang w:val="fr-CA"/>
              </w:rPr>
            </w:pPr>
            <w:r w:rsidRPr="00F77596">
              <w:rPr>
                <w:sz w:val="20"/>
                <w:lang w:val="fr-CA"/>
              </w:rPr>
              <w:t>25 mars 2015</w:t>
            </w:r>
          </w:p>
          <w:p w:rsidR="00EB658B" w:rsidRPr="00F77596" w:rsidRDefault="00EB658B" w:rsidP="00EB658B">
            <w:pPr>
              <w:jc w:val="both"/>
              <w:rPr>
                <w:sz w:val="20"/>
                <w:lang w:val="fr-CA"/>
              </w:rPr>
            </w:pPr>
            <w:r w:rsidRPr="00F77596">
              <w:rPr>
                <w:sz w:val="20"/>
                <w:lang w:val="fr-CA"/>
              </w:rPr>
              <w:t>Cour supérieure de justice de l’Ontario</w:t>
            </w:r>
          </w:p>
          <w:p w:rsidR="00EB658B" w:rsidRPr="00F77596" w:rsidRDefault="00EB658B" w:rsidP="00EB658B">
            <w:pPr>
              <w:jc w:val="both"/>
              <w:rPr>
                <w:sz w:val="20"/>
                <w:lang w:val="fr-CA"/>
              </w:rPr>
            </w:pPr>
            <w:r w:rsidRPr="00F77596">
              <w:rPr>
                <w:sz w:val="20"/>
                <w:lang w:val="fr-CA"/>
              </w:rPr>
              <w:t>(Juge McCarthy)</w:t>
            </w:r>
          </w:p>
          <w:p w:rsidR="00EB658B" w:rsidRPr="00F77596" w:rsidRDefault="00EB658B" w:rsidP="00EB658B">
            <w:pPr>
              <w:jc w:val="both"/>
              <w:rPr>
                <w:sz w:val="20"/>
                <w:lang w:val="fr-CA"/>
              </w:rPr>
            </w:pPr>
            <w:r w:rsidRPr="00F77596">
              <w:rPr>
                <w:sz w:val="20"/>
                <w:lang w:val="fr-CA"/>
              </w:rPr>
              <w:t>2015 ONSC 3012</w:t>
            </w:r>
          </w:p>
          <w:p w:rsidR="006F3768" w:rsidRPr="00E007CB" w:rsidRDefault="006F3768" w:rsidP="00B77038">
            <w:pPr>
              <w:jc w:val="both"/>
              <w:rPr>
                <w:rFonts w:eastAsia="Calibri"/>
                <w:sz w:val="20"/>
                <w:lang w:val="fr-CA"/>
              </w:rPr>
            </w:pPr>
          </w:p>
        </w:tc>
        <w:tc>
          <w:tcPr>
            <w:tcW w:w="243" w:type="pct"/>
          </w:tcPr>
          <w:p w:rsidR="006F3768" w:rsidRPr="00E007CB" w:rsidRDefault="006F3768" w:rsidP="00B77038">
            <w:pPr>
              <w:jc w:val="both"/>
              <w:rPr>
                <w:rFonts w:eastAsia="Calibri"/>
                <w:sz w:val="20"/>
                <w:lang w:val="fr-CA"/>
              </w:rPr>
            </w:pPr>
          </w:p>
        </w:tc>
        <w:tc>
          <w:tcPr>
            <w:tcW w:w="2330" w:type="pct"/>
          </w:tcPr>
          <w:p w:rsidR="00EB658B" w:rsidRPr="00F77596" w:rsidRDefault="00EB658B" w:rsidP="00EB658B">
            <w:pPr>
              <w:jc w:val="both"/>
              <w:rPr>
                <w:sz w:val="20"/>
                <w:lang w:val="fr-CA"/>
              </w:rPr>
            </w:pPr>
            <w:r w:rsidRPr="00F77596">
              <w:rPr>
                <w:sz w:val="20"/>
                <w:lang w:val="fr-CA"/>
              </w:rPr>
              <w:t>Rejet de la motion de l’arbitre en vue d’obtenir des directives; rejet des motions des demandeurs</w:t>
            </w:r>
          </w:p>
          <w:p w:rsidR="006F3768" w:rsidRPr="00F77596" w:rsidRDefault="006F3768" w:rsidP="00B77038">
            <w:pPr>
              <w:jc w:val="both"/>
              <w:rPr>
                <w:sz w:val="20"/>
                <w:lang w:val="fr-FR"/>
              </w:rPr>
            </w:pPr>
          </w:p>
        </w:tc>
      </w:tr>
      <w:tr w:rsidR="00EB658B" w:rsidRPr="00E007CB" w:rsidTr="00B77038">
        <w:trPr>
          <w:cantSplit/>
        </w:trPr>
        <w:tc>
          <w:tcPr>
            <w:tcW w:w="2427" w:type="pct"/>
          </w:tcPr>
          <w:p w:rsidR="00EB658B" w:rsidRPr="00E007CB" w:rsidRDefault="00EB658B" w:rsidP="00EB658B">
            <w:pPr>
              <w:jc w:val="both"/>
              <w:rPr>
                <w:rFonts w:eastAsia="Calibri"/>
                <w:sz w:val="20"/>
                <w:lang w:val="fr-CA"/>
              </w:rPr>
            </w:pPr>
            <w:r>
              <w:rPr>
                <w:rFonts w:eastAsia="Calibri"/>
                <w:sz w:val="20"/>
                <w:lang w:val="fr-CA"/>
              </w:rPr>
              <w:t>25 mai</w:t>
            </w:r>
            <w:r w:rsidRPr="00E007CB">
              <w:rPr>
                <w:rFonts w:eastAsia="Calibri"/>
                <w:sz w:val="20"/>
                <w:lang w:val="fr-CA"/>
              </w:rPr>
              <w:t xml:space="preserve"> 201</w:t>
            </w:r>
            <w:r>
              <w:rPr>
                <w:rFonts w:eastAsia="Calibri"/>
                <w:sz w:val="20"/>
                <w:lang w:val="fr-CA"/>
              </w:rPr>
              <w:t>5</w:t>
            </w:r>
          </w:p>
          <w:p w:rsidR="00EB658B" w:rsidRPr="00E007CB" w:rsidRDefault="00EB658B" w:rsidP="00EB658B">
            <w:pPr>
              <w:jc w:val="both"/>
              <w:rPr>
                <w:rFonts w:eastAsia="Calibri"/>
                <w:sz w:val="20"/>
                <w:lang w:val="fr-CA"/>
              </w:rPr>
            </w:pPr>
            <w:r w:rsidRPr="00E007CB">
              <w:rPr>
                <w:rFonts w:eastAsia="Calibri"/>
                <w:sz w:val="20"/>
                <w:lang w:val="fr-CA"/>
              </w:rPr>
              <w:t>Cour suprême du Canada</w:t>
            </w:r>
          </w:p>
        </w:tc>
        <w:tc>
          <w:tcPr>
            <w:tcW w:w="243" w:type="pct"/>
          </w:tcPr>
          <w:p w:rsidR="00EB658B" w:rsidRPr="00E007CB" w:rsidRDefault="00EB658B" w:rsidP="00EB658B">
            <w:pPr>
              <w:jc w:val="both"/>
              <w:rPr>
                <w:rFonts w:eastAsia="Calibri"/>
                <w:sz w:val="20"/>
                <w:lang w:val="fr-CA"/>
              </w:rPr>
            </w:pPr>
          </w:p>
        </w:tc>
        <w:tc>
          <w:tcPr>
            <w:tcW w:w="2330" w:type="pct"/>
          </w:tcPr>
          <w:p w:rsidR="00EB658B" w:rsidRPr="00F77596" w:rsidRDefault="00EB658B" w:rsidP="00EB658B">
            <w:pPr>
              <w:jc w:val="both"/>
              <w:rPr>
                <w:sz w:val="20"/>
                <w:lang w:val="fr-CA"/>
              </w:rPr>
            </w:pPr>
            <w:r w:rsidRPr="00F77596">
              <w:rPr>
                <w:sz w:val="20"/>
                <w:lang w:val="fr-CA"/>
              </w:rPr>
              <w:t>Dépôt de la demande d’autorisation d’appel des demandeurs</w:t>
            </w:r>
          </w:p>
        </w:tc>
      </w:tr>
    </w:tbl>
    <w:p w:rsidR="006F3768" w:rsidRDefault="006F3768" w:rsidP="006F3768">
      <w:pPr>
        <w:rPr>
          <w:sz w:val="20"/>
          <w:szCs w:val="20"/>
        </w:rPr>
      </w:pPr>
    </w:p>
    <w:p w:rsidR="006F3768" w:rsidRDefault="00EC4FDF" w:rsidP="006F3768">
      <w:pPr>
        <w:rPr>
          <w:sz w:val="20"/>
          <w:szCs w:val="20"/>
        </w:rPr>
      </w:pPr>
      <w:r>
        <w:rPr>
          <w:sz w:val="20"/>
          <w:szCs w:val="20"/>
          <w:lang w:val="fr-CA"/>
        </w:rPr>
        <w:pict>
          <v:rect id="_x0000_i1066" style="width:2in;height:1pt" o:hrpct="0" o:hralign="center" o:hrstd="t" o:hrnoshade="t" o:hr="t" fillcolor="black [3213]" stroked="f"/>
        </w:pict>
      </w:r>
    </w:p>
    <w:p w:rsidR="006F3768" w:rsidRDefault="006F3768" w:rsidP="006F376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B657A" w:rsidRPr="00A73D2C" w:rsidTr="00B77038">
        <w:trPr>
          <w:cantSplit/>
        </w:trPr>
        <w:tc>
          <w:tcPr>
            <w:tcW w:w="1458" w:type="dxa"/>
          </w:tcPr>
          <w:p w:rsidR="008B657A" w:rsidRPr="00A73D2C" w:rsidRDefault="008B657A" w:rsidP="00B77038">
            <w:pPr>
              <w:rPr>
                <w:sz w:val="20"/>
                <w:szCs w:val="20"/>
              </w:rPr>
            </w:pPr>
            <w:r w:rsidRPr="00A73D2C">
              <w:rPr>
                <w:rStyle w:val="SCCFileNumberChar"/>
                <w:sz w:val="20"/>
                <w:szCs w:val="20"/>
              </w:rPr>
              <w:t>36</w:t>
            </w:r>
            <w:r>
              <w:rPr>
                <w:rStyle w:val="SCCFileNumberChar"/>
                <w:sz w:val="20"/>
                <w:szCs w:val="20"/>
              </w:rPr>
              <w:t>459</w:t>
            </w:r>
          </w:p>
          <w:p w:rsidR="008B657A" w:rsidRPr="00A73D2C" w:rsidRDefault="008B657A" w:rsidP="00B77038">
            <w:pPr>
              <w:rPr>
                <w:b/>
                <w:sz w:val="20"/>
                <w:szCs w:val="20"/>
                <w:lang w:val="fr-CA"/>
              </w:rPr>
            </w:pPr>
          </w:p>
        </w:tc>
        <w:tc>
          <w:tcPr>
            <w:tcW w:w="8118" w:type="dxa"/>
          </w:tcPr>
          <w:p w:rsidR="008B657A" w:rsidRPr="00A73D2C" w:rsidRDefault="008B657A" w:rsidP="00B77038">
            <w:pPr>
              <w:rPr>
                <w:sz w:val="20"/>
                <w:szCs w:val="20"/>
              </w:rPr>
            </w:pPr>
            <w:r w:rsidRPr="008B657A">
              <w:rPr>
                <w:rStyle w:val="SCCLsocChar"/>
                <w:sz w:val="20"/>
                <w:szCs w:val="20"/>
                <w:lang w:val="en-CA"/>
              </w:rPr>
              <w:t>Jeffrey Sebben v. Her Majesty the Queen</w:t>
            </w:r>
            <w:r w:rsidRPr="00A73D2C">
              <w:rPr>
                <w:sz w:val="20"/>
                <w:szCs w:val="20"/>
              </w:rPr>
              <w:t xml:space="preserve"> (</w:t>
            </w:r>
            <w:r>
              <w:rPr>
                <w:sz w:val="20"/>
                <w:szCs w:val="20"/>
              </w:rPr>
              <w:t>Ont.</w:t>
            </w:r>
            <w:r w:rsidRPr="00A73D2C">
              <w:rPr>
                <w:sz w:val="20"/>
                <w:szCs w:val="20"/>
              </w:rPr>
              <w:t>) (C</w:t>
            </w:r>
            <w:r>
              <w:rPr>
                <w:sz w:val="20"/>
                <w:szCs w:val="20"/>
              </w:rPr>
              <w:t>riminal</w:t>
            </w:r>
            <w:r w:rsidRPr="00A73D2C">
              <w:rPr>
                <w:sz w:val="20"/>
                <w:szCs w:val="20"/>
              </w:rPr>
              <w:t>) (By Leave)</w:t>
            </w:r>
          </w:p>
          <w:p w:rsidR="008B657A" w:rsidRPr="00A73D2C" w:rsidRDefault="008B657A" w:rsidP="00B77038">
            <w:pPr>
              <w:rPr>
                <w:sz w:val="20"/>
                <w:szCs w:val="20"/>
              </w:rPr>
            </w:pPr>
          </w:p>
        </w:tc>
      </w:tr>
      <w:tr w:rsidR="008B657A" w:rsidRPr="00A73D2C" w:rsidTr="00B77038">
        <w:trPr>
          <w:cantSplit/>
        </w:trPr>
        <w:tc>
          <w:tcPr>
            <w:tcW w:w="1458" w:type="dxa"/>
          </w:tcPr>
          <w:p w:rsidR="008B657A" w:rsidRPr="00A73D2C" w:rsidRDefault="008B657A" w:rsidP="00B77038">
            <w:pPr>
              <w:rPr>
                <w:sz w:val="20"/>
                <w:szCs w:val="20"/>
              </w:rPr>
            </w:pPr>
            <w:r w:rsidRPr="00A73D2C">
              <w:rPr>
                <w:sz w:val="20"/>
                <w:szCs w:val="20"/>
              </w:rPr>
              <w:t>Coram :</w:t>
            </w:r>
          </w:p>
        </w:tc>
        <w:tc>
          <w:tcPr>
            <w:tcW w:w="8118" w:type="dxa"/>
          </w:tcPr>
          <w:p w:rsidR="008B657A" w:rsidRDefault="00370D54" w:rsidP="00B77038">
            <w:pPr>
              <w:rPr>
                <w:rStyle w:val="SCCCoramChar"/>
                <w:sz w:val="20"/>
                <w:szCs w:val="20"/>
                <w:lang w:val="en-CA"/>
              </w:rPr>
            </w:pPr>
            <w:r w:rsidRPr="00370D54">
              <w:rPr>
                <w:rStyle w:val="SCCCoramChar"/>
                <w:sz w:val="20"/>
                <w:szCs w:val="20"/>
                <w:lang w:val="en-CA"/>
              </w:rPr>
              <w:t>McLachlin C.J. and Moldaver and Gascon JJ.</w:t>
            </w:r>
          </w:p>
          <w:p w:rsidR="00370D54" w:rsidRPr="00A73D2C" w:rsidRDefault="00370D54" w:rsidP="00B77038">
            <w:pPr>
              <w:rPr>
                <w:sz w:val="20"/>
                <w:szCs w:val="20"/>
                <w:u w:val="single"/>
              </w:rPr>
            </w:pPr>
          </w:p>
        </w:tc>
      </w:tr>
      <w:tr w:rsidR="008B657A" w:rsidRPr="00002704" w:rsidTr="00B77038">
        <w:trPr>
          <w:cantSplit/>
        </w:trPr>
        <w:tc>
          <w:tcPr>
            <w:tcW w:w="9576" w:type="dxa"/>
            <w:gridSpan w:val="2"/>
          </w:tcPr>
          <w:p w:rsidR="00370D54" w:rsidRPr="00370D54" w:rsidRDefault="00370D54" w:rsidP="00370D54">
            <w:pPr>
              <w:pStyle w:val="SCCShortJudgment"/>
              <w:rPr>
                <w:szCs w:val="20"/>
              </w:rPr>
            </w:pPr>
            <w:r w:rsidRPr="00370D54">
              <w:rPr>
                <w:szCs w:val="20"/>
              </w:rPr>
              <w:t>The application for leave to appeal from the judgment of the Court of Appeal for Ontario, Number C59397, 2015 ONCA 270, dated April 21, 2015, is dismissed.</w:t>
            </w:r>
          </w:p>
          <w:p w:rsidR="00370D54" w:rsidRPr="00370D54" w:rsidRDefault="00370D54" w:rsidP="00370D54">
            <w:pPr>
              <w:pStyle w:val="SCCShortJudgment"/>
              <w:rPr>
                <w:szCs w:val="20"/>
              </w:rPr>
            </w:pPr>
          </w:p>
          <w:p w:rsidR="008B657A" w:rsidRPr="00A73D2C" w:rsidRDefault="00370D54" w:rsidP="00370D54">
            <w:pPr>
              <w:pStyle w:val="SCCShortJudgment"/>
              <w:rPr>
                <w:szCs w:val="20"/>
                <w:lang w:val="fr-CA"/>
              </w:rPr>
            </w:pPr>
            <w:r w:rsidRPr="00370D54">
              <w:rPr>
                <w:szCs w:val="20"/>
              </w:rPr>
              <w:t>La demande d’autorisation d’appel de l’arrêt de la Cour d’appel de l’Ontario, numéro C59397, 2015 ONCA 270, daté du 21 avril 2015, est rejetée.</w:t>
            </w:r>
          </w:p>
        </w:tc>
      </w:tr>
    </w:tbl>
    <w:p w:rsidR="008B657A" w:rsidRPr="0016547E" w:rsidRDefault="008B657A" w:rsidP="008B657A">
      <w:pPr>
        <w:rPr>
          <w:sz w:val="20"/>
          <w:szCs w:val="20"/>
          <w:lang w:val="fr-CA"/>
        </w:rPr>
      </w:pPr>
    </w:p>
    <w:p w:rsidR="008B657A" w:rsidRPr="001B157C" w:rsidRDefault="008B657A" w:rsidP="008B657A">
      <w:pPr>
        <w:rPr>
          <w:sz w:val="20"/>
          <w:szCs w:val="20"/>
          <w:u w:val="single"/>
        </w:rPr>
      </w:pPr>
      <w:r w:rsidRPr="001B157C">
        <w:rPr>
          <w:sz w:val="20"/>
          <w:szCs w:val="20"/>
          <w:u w:val="single"/>
        </w:rPr>
        <w:t>CASE SUMMARY</w:t>
      </w:r>
    </w:p>
    <w:p w:rsidR="008B657A" w:rsidRDefault="008B657A" w:rsidP="008B657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B657A" w:rsidRPr="00E007CB" w:rsidTr="00B77038">
        <w:tc>
          <w:tcPr>
            <w:tcW w:w="5000" w:type="pct"/>
            <w:gridSpan w:val="3"/>
          </w:tcPr>
          <w:p w:rsidR="008B657A" w:rsidRDefault="008B657A" w:rsidP="00B77038">
            <w:pPr>
              <w:jc w:val="both"/>
              <w:rPr>
                <w:sz w:val="20"/>
              </w:rPr>
            </w:pPr>
            <w:r w:rsidRPr="00F77596">
              <w:rPr>
                <w:i/>
                <w:sz w:val="20"/>
              </w:rPr>
              <w:t>Charter of Rights and Freedoms</w:t>
            </w:r>
            <w:r w:rsidRPr="00F77596">
              <w:rPr>
                <w:sz w:val="20"/>
              </w:rPr>
              <w:t xml:space="preserve"> – Criminal law – Search and Seizure – Right to counsel – When a motorist is detained at the roadside, when does a police request to perform a consent search and questioning for drugs, constitute a search under section 8 of the </w:t>
            </w:r>
            <w:r w:rsidRPr="00F77596">
              <w:rPr>
                <w:i/>
                <w:sz w:val="20"/>
              </w:rPr>
              <w:t>Charter of Right and Freedoms</w:t>
            </w:r>
            <w:r w:rsidRPr="00F77596">
              <w:rPr>
                <w:sz w:val="20"/>
              </w:rPr>
              <w:t xml:space="preserve"> – </w:t>
            </w:r>
            <w:r w:rsidRPr="00F77596">
              <w:rPr>
                <w:i/>
                <w:sz w:val="20"/>
              </w:rPr>
              <w:t>Charter of Rights</w:t>
            </w:r>
            <w:r w:rsidRPr="00F77596">
              <w:rPr>
                <w:sz w:val="20"/>
              </w:rPr>
              <w:t xml:space="preserve"> ss. 8, 10(b).</w:t>
            </w:r>
          </w:p>
          <w:p w:rsidR="008B657A" w:rsidRPr="00E007CB" w:rsidRDefault="008B657A" w:rsidP="00B77038">
            <w:pPr>
              <w:jc w:val="both"/>
              <w:rPr>
                <w:rFonts w:eastAsia="Calibri"/>
                <w:sz w:val="20"/>
              </w:rPr>
            </w:pPr>
          </w:p>
        </w:tc>
      </w:tr>
      <w:tr w:rsidR="008B657A" w:rsidRPr="00E007CB" w:rsidTr="00B77038">
        <w:tc>
          <w:tcPr>
            <w:tcW w:w="5000" w:type="pct"/>
            <w:gridSpan w:val="3"/>
          </w:tcPr>
          <w:p w:rsidR="008B657A" w:rsidRPr="00F77596" w:rsidRDefault="008B657A" w:rsidP="008B657A">
            <w:pPr>
              <w:jc w:val="both"/>
              <w:rPr>
                <w:sz w:val="20"/>
              </w:rPr>
            </w:pPr>
            <w:r w:rsidRPr="00F77596">
              <w:rPr>
                <w:sz w:val="20"/>
              </w:rPr>
              <w:t>An off duty police officer saw the applicant driving his vehicle in an erratic manner. A different officer stopped the applicant and administered a roadside breath test and the applicant passed the test. In the course of checking the CPIC database and other related data bases, the police officer received information about a possible connection that the applicant had to drugs. The officer decided to ask the applicant if he would consent to a search of his vehicle. In the course of a very brief discussion that ensued, the applicant produced a bag of marihuana. The officer arrested him for possession of that marihuana and proceeded to conduct a search of the vehicle as an incident of that arrest. The officer found more drugs. The applicant was convicted of possession of marihuana; possession of marihuana for the purpose of trafficking and possession of hashish for the purpose of trafficking. The applicant’s conviction appeal was dismissed.</w:t>
            </w:r>
          </w:p>
          <w:p w:rsidR="008B657A" w:rsidRPr="00F77596" w:rsidRDefault="008B657A" w:rsidP="00B77038">
            <w:pPr>
              <w:jc w:val="both"/>
              <w:rPr>
                <w:sz w:val="20"/>
              </w:rPr>
            </w:pPr>
          </w:p>
        </w:tc>
      </w:tr>
      <w:tr w:rsidR="008B657A" w:rsidRPr="00E007CB" w:rsidTr="00B77038">
        <w:trPr>
          <w:cantSplit/>
        </w:trPr>
        <w:tc>
          <w:tcPr>
            <w:tcW w:w="2427" w:type="pct"/>
          </w:tcPr>
          <w:p w:rsidR="00D92B56" w:rsidRPr="00F77596" w:rsidRDefault="00D92B56" w:rsidP="00D92B56">
            <w:pPr>
              <w:jc w:val="both"/>
              <w:rPr>
                <w:sz w:val="20"/>
              </w:rPr>
            </w:pPr>
            <w:r w:rsidRPr="00F77596">
              <w:rPr>
                <w:sz w:val="20"/>
              </w:rPr>
              <w:t>July 24, 2014</w:t>
            </w:r>
          </w:p>
          <w:p w:rsidR="00D92B56" w:rsidRPr="00F77596" w:rsidRDefault="00D92B56" w:rsidP="00D92B56">
            <w:pPr>
              <w:jc w:val="both"/>
              <w:rPr>
                <w:sz w:val="20"/>
              </w:rPr>
            </w:pPr>
            <w:r w:rsidRPr="00F77596">
              <w:rPr>
                <w:sz w:val="20"/>
              </w:rPr>
              <w:t>Ontario Court of Justice</w:t>
            </w:r>
          </w:p>
          <w:p w:rsidR="008B657A" w:rsidRDefault="00D92B56" w:rsidP="00D92B56">
            <w:pPr>
              <w:jc w:val="both"/>
              <w:rPr>
                <w:sz w:val="20"/>
              </w:rPr>
            </w:pPr>
            <w:r w:rsidRPr="00F77596">
              <w:rPr>
                <w:sz w:val="20"/>
              </w:rPr>
              <w:t>(Rodgers J.)</w:t>
            </w:r>
          </w:p>
          <w:p w:rsidR="00D92B56" w:rsidRPr="00E007CB" w:rsidRDefault="00D92B56" w:rsidP="00D92B56">
            <w:pPr>
              <w:jc w:val="both"/>
              <w:rPr>
                <w:rFonts w:eastAsia="Calibri"/>
                <w:sz w:val="20"/>
              </w:rPr>
            </w:pPr>
          </w:p>
        </w:tc>
        <w:tc>
          <w:tcPr>
            <w:tcW w:w="243" w:type="pct"/>
          </w:tcPr>
          <w:p w:rsidR="008B657A" w:rsidRPr="00E007CB" w:rsidRDefault="008B657A" w:rsidP="00B77038">
            <w:pPr>
              <w:jc w:val="both"/>
              <w:rPr>
                <w:rFonts w:eastAsia="Calibri"/>
                <w:sz w:val="20"/>
              </w:rPr>
            </w:pPr>
          </w:p>
        </w:tc>
        <w:tc>
          <w:tcPr>
            <w:tcW w:w="2330" w:type="pct"/>
          </w:tcPr>
          <w:p w:rsidR="00D92B56" w:rsidRPr="00F77596" w:rsidRDefault="00D92B56" w:rsidP="00D92B56">
            <w:pPr>
              <w:jc w:val="both"/>
              <w:rPr>
                <w:sz w:val="20"/>
              </w:rPr>
            </w:pPr>
            <w:r w:rsidRPr="00F77596">
              <w:rPr>
                <w:sz w:val="20"/>
              </w:rPr>
              <w:t>Conviction: possession of marihuana; possession of marihuana for the purpose of trafficking and possession of hashish for the purpose of trafficking</w:t>
            </w:r>
          </w:p>
          <w:p w:rsidR="008B657A" w:rsidRPr="00F77596" w:rsidRDefault="008B657A" w:rsidP="00B77038">
            <w:pPr>
              <w:jc w:val="both"/>
              <w:rPr>
                <w:sz w:val="20"/>
              </w:rPr>
            </w:pPr>
          </w:p>
        </w:tc>
      </w:tr>
      <w:tr w:rsidR="00D92B56" w:rsidRPr="00E007CB" w:rsidTr="00B77038">
        <w:trPr>
          <w:cantSplit/>
        </w:trPr>
        <w:tc>
          <w:tcPr>
            <w:tcW w:w="2427" w:type="pct"/>
          </w:tcPr>
          <w:p w:rsidR="00D92B56" w:rsidRPr="00F77596" w:rsidRDefault="00D92B56" w:rsidP="00D92B56">
            <w:pPr>
              <w:jc w:val="both"/>
              <w:rPr>
                <w:sz w:val="20"/>
              </w:rPr>
            </w:pPr>
            <w:r w:rsidRPr="00F77596">
              <w:rPr>
                <w:sz w:val="20"/>
              </w:rPr>
              <w:t>April 21, 2015</w:t>
            </w:r>
          </w:p>
          <w:p w:rsidR="00D92B56" w:rsidRPr="00F77596" w:rsidRDefault="00D92B56" w:rsidP="00D92B56">
            <w:pPr>
              <w:jc w:val="both"/>
              <w:rPr>
                <w:sz w:val="20"/>
              </w:rPr>
            </w:pPr>
            <w:r w:rsidRPr="00F77596">
              <w:rPr>
                <w:sz w:val="20"/>
              </w:rPr>
              <w:t>Court of Appeal for Ontario</w:t>
            </w:r>
          </w:p>
          <w:p w:rsidR="00D92B56" w:rsidRPr="00F77596" w:rsidRDefault="00D92B56" w:rsidP="00D92B56">
            <w:pPr>
              <w:jc w:val="both"/>
              <w:rPr>
                <w:sz w:val="20"/>
              </w:rPr>
            </w:pPr>
            <w:r w:rsidRPr="00F77596">
              <w:rPr>
                <w:sz w:val="20"/>
              </w:rPr>
              <w:t>(Strathy C.J.O., Doherty and Gillese JJ.A.)</w:t>
            </w:r>
          </w:p>
          <w:p w:rsidR="00D92B56" w:rsidRPr="00F77596" w:rsidRDefault="00D92B56" w:rsidP="00D92B56">
            <w:pPr>
              <w:jc w:val="both"/>
              <w:rPr>
                <w:sz w:val="20"/>
              </w:rPr>
            </w:pPr>
            <w:r w:rsidRPr="00F77596">
              <w:rPr>
                <w:sz w:val="20"/>
              </w:rPr>
              <w:t>2015 ONCA 270, C59397</w:t>
            </w:r>
          </w:p>
          <w:p w:rsidR="00D92B56" w:rsidRPr="00F77596" w:rsidRDefault="00EC4FDF" w:rsidP="00D92B56">
            <w:pPr>
              <w:jc w:val="both"/>
              <w:rPr>
                <w:sz w:val="20"/>
              </w:rPr>
            </w:pPr>
            <w:hyperlink r:id="rId78" w:history="1">
              <w:r w:rsidR="00D92B56" w:rsidRPr="00F77596">
                <w:rPr>
                  <w:rStyle w:val="Hyperlink"/>
                  <w:rFonts w:eastAsiaTheme="majorEastAsia"/>
                  <w:sz w:val="20"/>
                </w:rPr>
                <w:t>http://canlii.ca/t/gh8hf</w:t>
              </w:r>
            </w:hyperlink>
          </w:p>
          <w:p w:rsidR="00D92B56" w:rsidRDefault="00D92B56" w:rsidP="00B77038">
            <w:pPr>
              <w:jc w:val="both"/>
              <w:rPr>
                <w:rFonts w:eastAsia="Calibri"/>
                <w:sz w:val="20"/>
              </w:rPr>
            </w:pPr>
          </w:p>
        </w:tc>
        <w:tc>
          <w:tcPr>
            <w:tcW w:w="243" w:type="pct"/>
          </w:tcPr>
          <w:p w:rsidR="00D92B56" w:rsidRPr="00E007CB" w:rsidRDefault="00D92B56" w:rsidP="00B77038">
            <w:pPr>
              <w:jc w:val="both"/>
              <w:rPr>
                <w:rFonts w:eastAsia="Calibri"/>
                <w:sz w:val="20"/>
              </w:rPr>
            </w:pPr>
          </w:p>
        </w:tc>
        <w:tc>
          <w:tcPr>
            <w:tcW w:w="2330" w:type="pct"/>
          </w:tcPr>
          <w:p w:rsidR="00D92B56" w:rsidRPr="00F77596" w:rsidRDefault="00D92B56" w:rsidP="00D92B56">
            <w:pPr>
              <w:jc w:val="both"/>
              <w:rPr>
                <w:sz w:val="20"/>
              </w:rPr>
            </w:pPr>
            <w:r w:rsidRPr="00F77596">
              <w:rPr>
                <w:sz w:val="20"/>
              </w:rPr>
              <w:t>Appeal dismissed</w:t>
            </w:r>
          </w:p>
          <w:p w:rsidR="00D92B56" w:rsidRPr="00F77596" w:rsidRDefault="00D92B56" w:rsidP="00B77038">
            <w:pPr>
              <w:jc w:val="both"/>
              <w:rPr>
                <w:sz w:val="20"/>
              </w:rPr>
            </w:pPr>
          </w:p>
        </w:tc>
      </w:tr>
      <w:tr w:rsidR="008B657A" w:rsidRPr="00E007CB" w:rsidTr="00B77038">
        <w:trPr>
          <w:cantSplit/>
        </w:trPr>
        <w:tc>
          <w:tcPr>
            <w:tcW w:w="2427" w:type="pct"/>
          </w:tcPr>
          <w:p w:rsidR="008B657A" w:rsidRPr="00E007CB" w:rsidRDefault="008B657A" w:rsidP="00B77038">
            <w:pPr>
              <w:jc w:val="both"/>
              <w:rPr>
                <w:rFonts w:eastAsia="Calibri"/>
                <w:sz w:val="20"/>
              </w:rPr>
            </w:pPr>
            <w:r>
              <w:rPr>
                <w:rFonts w:eastAsia="Calibri"/>
                <w:sz w:val="20"/>
              </w:rPr>
              <w:t>May 2</w:t>
            </w:r>
            <w:r w:rsidR="00D92B56">
              <w:rPr>
                <w:rFonts w:eastAsia="Calibri"/>
                <w:sz w:val="20"/>
              </w:rPr>
              <w:t>8</w:t>
            </w:r>
            <w:r>
              <w:rPr>
                <w:rFonts w:eastAsia="Calibri"/>
                <w:sz w:val="20"/>
              </w:rPr>
              <w:t>,</w:t>
            </w:r>
            <w:r w:rsidRPr="00E007CB">
              <w:rPr>
                <w:rFonts w:eastAsia="Calibri"/>
                <w:sz w:val="20"/>
              </w:rPr>
              <w:t xml:space="preserve"> 201</w:t>
            </w:r>
            <w:r>
              <w:rPr>
                <w:rFonts w:eastAsia="Calibri"/>
                <w:sz w:val="20"/>
              </w:rPr>
              <w:t>5</w:t>
            </w:r>
          </w:p>
          <w:p w:rsidR="008B657A" w:rsidRPr="00E007CB" w:rsidRDefault="008B657A" w:rsidP="00B77038">
            <w:pPr>
              <w:jc w:val="both"/>
              <w:rPr>
                <w:rFonts w:eastAsia="Calibri"/>
                <w:sz w:val="20"/>
              </w:rPr>
            </w:pPr>
            <w:r w:rsidRPr="00E007CB">
              <w:rPr>
                <w:rFonts w:eastAsia="Calibri"/>
                <w:sz w:val="20"/>
              </w:rPr>
              <w:t>Supreme Court of Canada</w:t>
            </w:r>
          </w:p>
        </w:tc>
        <w:tc>
          <w:tcPr>
            <w:tcW w:w="243" w:type="pct"/>
          </w:tcPr>
          <w:p w:rsidR="008B657A" w:rsidRPr="00E007CB" w:rsidRDefault="008B657A" w:rsidP="00B77038">
            <w:pPr>
              <w:jc w:val="both"/>
              <w:rPr>
                <w:rFonts w:eastAsia="Calibri"/>
                <w:sz w:val="20"/>
              </w:rPr>
            </w:pPr>
          </w:p>
        </w:tc>
        <w:tc>
          <w:tcPr>
            <w:tcW w:w="2330" w:type="pct"/>
          </w:tcPr>
          <w:p w:rsidR="00D92B56" w:rsidRPr="00F77596" w:rsidRDefault="00D92B56" w:rsidP="00D92B56">
            <w:pPr>
              <w:jc w:val="both"/>
              <w:rPr>
                <w:sz w:val="20"/>
              </w:rPr>
            </w:pPr>
            <w:r w:rsidRPr="00F77596">
              <w:rPr>
                <w:sz w:val="20"/>
              </w:rPr>
              <w:t>Application for leave to appeal filed</w:t>
            </w:r>
          </w:p>
          <w:p w:rsidR="008B657A" w:rsidRPr="00F77596" w:rsidRDefault="008B657A" w:rsidP="00B77038">
            <w:pPr>
              <w:jc w:val="both"/>
              <w:rPr>
                <w:sz w:val="20"/>
              </w:rPr>
            </w:pPr>
          </w:p>
        </w:tc>
      </w:tr>
    </w:tbl>
    <w:p w:rsidR="008B657A" w:rsidRDefault="008B657A" w:rsidP="008B657A">
      <w:pPr>
        <w:rPr>
          <w:sz w:val="20"/>
          <w:szCs w:val="20"/>
        </w:rPr>
      </w:pPr>
    </w:p>
    <w:p w:rsidR="008B657A" w:rsidRPr="00C50A5C" w:rsidRDefault="00EC4FDF" w:rsidP="008B657A">
      <w:pPr>
        <w:rPr>
          <w:sz w:val="20"/>
          <w:szCs w:val="20"/>
        </w:rPr>
      </w:pPr>
      <w:r>
        <w:rPr>
          <w:sz w:val="20"/>
          <w:szCs w:val="20"/>
          <w:lang w:val="fr-CA"/>
        </w:rPr>
        <w:pict>
          <v:rect id="_x0000_i1067" style="width:2in;height:1pt" o:hrpct="0" o:hralign="center" o:hrstd="t" o:hrnoshade="t" o:hr="t" fillcolor="black [3213]" stroked="f"/>
        </w:pict>
      </w:r>
    </w:p>
    <w:p w:rsidR="008B657A" w:rsidRDefault="008B657A" w:rsidP="008B657A">
      <w:pPr>
        <w:rPr>
          <w:sz w:val="20"/>
          <w:szCs w:val="20"/>
        </w:rPr>
      </w:pPr>
    </w:p>
    <w:p w:rsidR="008B657A" w:rsidRPr="001B157C" w:rsidRDefault="008B657A" w:rsidP="008B657A">
      <w:pPr>
        <w:rPr>
          <w:sz w:val="20"/>
          <w:szCs w:val="20"/>
          <w:u w:val="single"/>
          <w:lang w:val="fr-CA"/>
        </w:rPr>
      </w:pPr>
      <w:r w:rsidRPr="001B157C">
        <w:rPr>
          <w:sz w:val="20"/>
          <w:szCs w:val="20"/>
          <w:u w:val="single"/>
          <w:lang w:val="fr-CA"/>
        </w:rPr>
        <w:t>RÉSUMÉ DE L’AFFAIRE</w:t>
      </w:r>
    </w:p>
    <w:p w:rsidR="008B657A" w:rsidRDefault="008B657A" w:rsidP="008B657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B657A" w:rsidRPr="00002704" w:rsidTr="00B77038">
        <w:tc>
          <w:tcPr>
            <w:tcW w:w="5000" w:type="pct"/>
            <w:gridSpan w:val="3"/>
          </w:tcPr>
          <w:p w:rsidR="008B657A" w:rsidRDefault="00906D77" w:rsidP="00B77038">
            <w:pPr>
              <w:jc w:val="both"/>
              <w:rPr>
                <w:sz w:val="20"/>
                <w:lang w:val="fr-CA"/>
              </w:rPr>
            </w:pPr>
            <w:r w:rsidRPr="00F77596">
              <w:rPr>
                <w:i/>
                <w:sz w:val="20"/>
                <w:lang w:val="fr-CA"/>
              </w:rPr>
              <w:t>Charte des droits et libertés</w:t>
            </w:r>
            <w:r w:rsidRPr="00F77596">
              <w:rPr>
                <w:sz w:val="20"/>
                <w:lang w:val="fr-CA"/>
              </w:rPr>
              <w:t xml:space="preserve"> – Droit criminel – Fouilles et perquisitions – Droit à l’assistance d’un avocat – Lorsqu’un automobiliste est détenu sur le bord de la route, à quel moment la demande d’un policier d’effectuer une fouille avec le consentement de l’intéressé, accompagnée d’un interrogatoire à propos de drogues, constitue-t-elle une fouille au sens de l’article 8 de la </w:t>
            </w:r>
            <w:r w:rsidRPr="00F77596">
              <w:rPr>
                <w:i/>
                <w:sz w:val="20"/>
                <w:lang w:val="fr-CA"/>
              </w:rPr>
              <w:t>Charte des droits et libertés</w:t>
            </w:r>
            <w:r w:rsidRPr="00F77596">
              <w:rPr>
                <w:sz w:val="20"/>
                <w:lang w:val="fr-CA"/>
              </w:rPr>
              <w:t xml:space="preserve">? – </w:t>
            </w:r>
            <w:r w:rsidRPr="00F77596">
              <w:rPr>
                <w:i/>
                <w:sz w:val="20"/>
                <w:lang w:val="fr-CA"/>
              </w:rPr>
              <w:t>Charte des droits</w:t>
            </w:r>
            <w:r w:rsidRPr="00F77596">
              <w:rPr>
                <w:sz w:val="20"/>
                <w:lang w:val="fr-CA"/>
              </w:rPr>
              <w:t xml:space="preserve"> art. 8, 10</w:t>
            </w:r>
            <w:r w:rsidRPr="00F77596">
              <w:rPr>
                <w:i/>
                <w:sz w:val="20"/>
                <w:lang w:val="fr-CA"/>
              </w:rPr>
              <w:t>b</w:t>
            </w:r>
            <w:r w:rsidRPr="00F77596">
              <w:rPr>
                <w:sz w:val="20"/>
                <w:lang w:val="fr-CA"/>
              </w:rPr>
              <w:t>).</w:t>
            </w:r>
          </w:p>
          <w:p w:rsidR="00906D77" w:rsidRPr="00E007CB" w:rsidRDefault="00906D77" w:rsidP="00B77038">
            <w:pPr>
              <w:jc w:val="both"/>
              <w:rPr>
                <w:rFonts w:eastAsia="Calibri"/>
                <w:sz w:val="20"/>
                <w:lang w:val="fr-CA"/>
              </w:rPr>
            </w:pPr>
          </w:p>
        </w:tc>
      </w:tr>
      <w:tr w:rsidR="008B657A" w:rsidRPr="00002704" w:rsidTr="00B77038">
        <w:tc>
          <w:tcPr>
            <w:tcW w:w="5000" w:type="pct"/>
            <w:gridSpan w:val="3"/>
          </w:tcPr>
          <w:p w:rsidR="00906D77" w:rsidRPr="00F77596" w:rsidRDefault="00906D77" w:rsidP="00906D77">
            <w:pPr>
              <w:jc w:val="both"/>
              <w:rPr>
                <w:sz w:val="20"/>
                <w:lang w:val="fr-CA"/>
              </w:rPr>
            </w:pPr>
            <w:r w:rsidRPr="00F77596">
              <w:rPr>
                <w:sz w:val="20"/>
                <w:lang w:val="fr-CA"/>
              </w:rPr>
              <w:t>Un policier qui n’était pas alors en service a vu le demandeur en train de conduire son véhicule de manière erratique. Un autre policier a intercepté le demandeur et lui a fait subir un alcootest que le demandeur a réussi. Au cours de la vérification de la base de données du CPIC et d’autres bases de données connexes, le policier a reçu des renseignements sur un lien possible entre le demandeur et une affaire de drogue. Le policier a décidé de demander au demandeur s’il consentait à la fouille de son véhicule. Au cours du très bref entretien qui s’en est ensuivi, le demandeur a produit un sac de marihuana. Le policier l’a arrêté pour possession de marihuana et a ensuite fouillé le véhicule accessoirement à cette arrestation. Le policier a trouvé d’autres drogues. Le demandeur a été déclaré coupable de possession de marihuana, de possession de marihuana en vue d’en faire le trafic et de possession de hachisch en vue d’en faire le trafic. L’appel de la déclaration de culpabilité du demandeur a été rejeté.</w:t>
            </w:r>
          </w:p>
          <w:p w:rsidR="008B657A" w:rsidRPr="00F77596" w:rsidRDefault="008B657A" w:rsidP="00B77038">
            <w:pPr>
              <w:jc w:val="both"/>
              <w:rPr>
                <w:sz w:val="20"/>
                <w:lang w:val="fr-CA"/>
              </w:rPr>
            </w:pPr>
          </w:p>
        </w:tc>
      </w:tr>
      <w:tr w:rsidR="008B657A" w:rsidRPr="00002704" w:rsidTr="00B77038">
        <w:trPr>
          <w:cantSplit/>
        </w:trPr>
        <w:tc>
          <w:tcPr>
            <w:tcW w:w="2427" w:type="pct"/>
          </w:tcPr>
          <w:p w:rsidR="00D04FFA" w:rsidRPr="00F77596" w:rsidRDefault="00D04FFA" w:rsidP="00D04FFA">
            <w:pPr>
              <w:jc w:val="both"/>
              <w:rPr>
                <w:sz w:val="20"/>
                <w:lang w:val="fr-CA"/>
              </w:rPr>
            </w:pPr>
            <w:r w:rsidRPr="00F77596">
              <w:rPr>
                <w:sz w:val="20"/>
                <w:lang w:val="fr-CA"/>
              </w:rPr>
              <w:lastRenderedPageBreak/>
              <w:t>24 juillet 2014</w:t>
            </w:r>
          </w:p>
          <w:p w:rsidR="00D04FFA" w:rsidRPr="00F77596" w:rsidRDefault="00D04FFA" w:rsidP="00D04FFA">
            <w:pPr>
              <w:jc w:val="both"/>
              <w:rPr>
                <w:sz w:val="20"/>
                <w:lang w:val="fr-CA"/>
              </w:rPr>
            </w:pPr>
            <w:r w:rsidRPr="00F77596">
              <w:rPr>
                <w:sz w:val="20"/>
                <w:lang w:val="fr-CA"/>
              </w:rPr>
              <w:t>Cour de justice de l’Ontario</w:t>
            </w:r>
          </w:p>
          <w:p w:rsidR="008B657A" w:rsidRDefault="00D04FFA" w:rsidP="00D04FFA">
            <w:pPr>
              <w:jc w:val="both"/>
              <w:rPr>
                <w:sz w:val="20"/>
                <w:lang w:val="fr-CA"/>
              </w:rPr>
            </w:pPr>
            <w:r w:rsidRPr="00F77596">
              <w:rPr>
                <w:sz w:val="20"/>
                <w:lang w:val="fr-CA"/>
              </w:rPr>
              <w:t>(Juge Rodgers)</w:t>
            </w:r>
          </w:p>
          <w:p w:rsidR="00D04FFA" w:rsidRPr="00E007CB" w:rsidRDefault="00D04FFA" w:rsidP="00D04FFA">
            <w:pPr>
              <w:jc w:val="both"/>
              <w:rPr>
                <w:rFonts w:eastAsia="Calibri"/>
                <w:sz w:val="20"/>
                <w:lang w:val="fr-CA"/>
              </w:rPr>
            </w:pPr>
          </w:p>
        </w:tc>
        <w:tc>
          <w:tcPr>
            <w:tcW w:w="243" w:type="pct"/>
          </w:tcPr>
          <w:p w:rsidR="008B657A" w:rsidRPr="00E007CB" w:rsidRDefault="008B657A" w:rsidP="00B77038">
            <w:pPr>
              <w:jc w:val="both"/>
              <w:rPr>
                <w:rFonts w:eastAsia="Calibri"/>
                <w:sz w:val="20"/>
                <w:lang w:val="fr-CA"/>
              </w:rPr>
            </w:pPr>
          </w:p>
        </w:tc>
        <w:tc>
          <w:tcPr>
            <w:tcW w:w="2330" w:type="pct"/>
          </w:tcPr>
          <w:p w:rsidR="00D04FFA" w:rsidRPr="00F77596" w:rsidRDefault="00D04FFA" w:rsidP="00D04FFA">
            <w:pPr>
              <w:jc w:val="both"/>
              <w:rPr>
                <w:sz w:val="20"/>
                <w:lang w:val="fr-CA"/>
              </w:rPr>
            </w:pPr>
            <w:r w:rsidRPr="00F77596">
              <w:rPr>
                <w:sz w:val="20"/>
                <w:lang w:val="fr-CA"/>
              </w:rPr>
              <w:t>Déclaration de culpabilité : possession de marihuana; possession de marihuana en vue d’en faire le trafic et possession de hachisch en vue d’en faire le trafic</w:t>
            </w:r>
          </w:p>
          <w:p w:rsidR="008B657A" w:rsidRPr="00F77596" w:rsidRDefault="008B657A" w:rsidP="00B77038">
            <w:pPr>
              <w:jc w:val="both"/>
              <w:rPr>
                <w:sz w:val="20"/>
                <w:lang w:val="fr-FR"/>
              </w:rPr>
            </w:pPr>
          </w:p>
        </w:tc>
      </w:tr>
      <w:tr w:rsidR="00D04FFA" w:rsidRPr="00E007CB" w:rsidTr="00B77038">
        <w:trPr>
          <w:cantSplit/>
        </w:trPr>
        <w:tc>
          <w:tcPr>
            <w:tcW w:w="2427" w:type="pct"/>
          </w:tcPr>
          <w:p w:rsidR="00D04FFA" w:rsidRPr="00F77596" w:rsidRDefault="00D04FFA" w:rsidP="00D04FFA">
            <w:pPr>
              <w:jc w:val="both"/>
              <w:rPr>
                <w:sz w:val="20"/>
                <w:lang w:val="fr-CA"/>
              </w:rPr>
            </w:pPr>
            <w:r w:rsidRPr="00F77596">
              <w:rPr>
                <w:sz w:val="20"/>
                <w:lang w:val="fr-CA"/>
              </w:rPr>
              <w:t>21 avril 2015</w:t>
            </w:r>
          </w:p>
          <w:p w:rsidR="00D04FFA" w:rsidRPr="00F77596" w:rsidRDefault="00D04FFA" w:rsidP="00D04FFA">
            <w:pPr>
              <w:jc w:val="both"/>
              <w:rPr>
                <w:sz w:val="20"/>
                <w:lang w:val="fr-CA"/>
              </w:rPr>
            </w:pPr>
            <w:r w:rsidRPr="00F77596">
              <w:rPr>
                <w:sz w:val="20"/>
                <w:lang w:val="fr-CA"/>
              </w:rPr>
              <w:t>Cour d’appel de l’Ontario</w:t>
            </w:r>
          </w:p>
          <w:p w:rsidR="00D04FFA" w:rsidRPr="00F77596" w:rsidRDefault="00D04FFA" w:rsidP="00D04FFA">
            <w:pPr>
              <w:jc w:val="both"/>
              <w:rPr>
                <w:sz w:val="20"/>
                <w:lang w:val="fr-CA"/>
              </w:rPr>
            </w:pPr>
            <w:r w:rsidRPr="00F77596">
              <w:rPr>
                <w:sz w:val="20"/>
                <w:lang w:val="fr-CA"/>
              </w:rPr>
              <w:t>(Juge en chef Strathy, juges Doherty et Gillese)</w:t>
            </w:r>
          </w:p>
          <w:p w:rsidR="00D04FFA" w:rsidRPr="00F77596" w:rsidRDefault="00D04FFA" w:rsidP="00D04FFA">
            <w:pPr>
              <w:jc w:val="both"/>
              <w:rPr>
                <w:sz w:val="20"/>
              </w:rPr>
            </w:pPr>
            <w:r w:rsidRPr="00F77596">
              <w:rPr>
                <w:sz w:val="20"/>
              </w:rPr>
              <w:t>2015 ONCA 270, C59397</w:t>
            </w:r>
          </w:p>
          <w:p w:rsidR="00D04FFA" w:rsidRPr="00F77596" w:rsidRDefault="00EC4FDF" w:rsidP="00D04FFA">
            <w:pPr>
              <w:jc w:val="both"/>
              <w:rPr>
                <w:sz w:val="20"/>
              </w:rPr>
            </w:pPr>
            <w:hyperlink r:id="rId79" w:history="1">
              <w:r w:rsidR="00D04FFA" w:rsidRPr="00F77596">
                <w:rPr>
                  <w:rStyle w:val="Hyperlink"/>
                  <w:rFonts w:eastAsiaTheme="majorEastAsia"/>
                  <w:sz w:val="20"/>
                </w:rPr>
                <w:t>http://canlii.ca/t/gh8hf</w:t>
              </w:r>
            </w:hyperlink>
          </w:p>
          <w:p w:rsidR="00D04FFA" w:rsidRDefault="00D04FFA" w:rsidP="00B77038">
            <w:pPr>
              <w:jc w:val="both"/>
              <w:rPr>
                <w:rFonts w:eastAsia="Calibri"/>
                <w:sz w:val="20"/>
                <w:lang w:val="fr-CA"/>
              </w:rPr>
            </w:pPr>
          </w:p>
        </w:tc>
        <w:tc>
          <w:tcPr>
            <w:tcW w:w="243" w:type="pct"/>
          </w:tcPr>
          <w:p w:rsidR="00D04FFA" w:rsidRPr="00E007CB" w:rsidRDefault="00D04FFA" w:rsidP="00B77038">
            <w:pPr>
              <w:jc w:val="both"/>
              <w:rPr>
                <w:rFonts w:eastAsia="Calibri"/>
                <w:sz w:val="20"/>
                <w:lang w:val="fr-CA"/>
              </w:rPr>
            </w:pPr>
          </w:p>
        </w:tc>
        <w:tc>
          <w:tcPr>
            <w:tcW w:w="2330" w:type="pct"/>
          </w:tcPr>
          <w:p w:rsidR="00D04FFA" w:rsidRPr="00F77596" w:rsidRDefault="00D04FFA" w:rsidP="00D04FFA">
            <w:pPr>
              <w:jc w:val="both"/>
              <w:rPr>
                <w:sz w:val="20"/>
                <w:lang w:val="fr-CA"/>
              </w:rPr>
            </w:pPr>
            <w:r w:rsidRPr="00F77596">
              <w:rPr>
                <w:sz w:val="20"/>
                <w:lang w:val="fr-CA"/>
              </w:rPr>
              <w:t>Appel rejeté</w:t>
            </w:r>
          </w:p>
          <w:p w:rsidR="00D04FFA" w:rsidRPr="00F77596" w:rsidRDefault="00D04FFA" w:rsidP="00B77038">
            <w:pPr>
              <w:jc w:val="both"/>
              <w:rPr>
                <w:sz w:val="20"/>
                <w:lang w:val="fr-CA"/>
              </w:rPr>
            </w:pPr>
          </w:p>
        </w:tc>
      </w:tr>
      <w:tr w:rsidR="008B657A" w:rsidRPr="00E007CB" w:rsidTr="00B77038">
        <w:trPr>
          <w:cantSplit/>
        </w:trPr>
        <w:tc>
          <w:tcPr>
            <w:tcW w:w="2427" w:type="pct"/>
          </w:tcPr>
          <w:p w:rsidR="008B657A" w:rsidRPr="00E007CB" w:rsidRDefault="008B657A" w:rsidP="00B77038">
            <w:pPr>
              <w:jc w:val="both"/>
              <w:rPr>
                <w:rFonts w:eastAsia="Calibri"/>
                <w:sz w:val="20"/>
                <w:lang w:val="fr-CA"/>
              </w:rPr>
            </w:pPr>
            <w:r>
              <w:rPr>
                <w:rFonts w:eastAsia="Calibri"/>
                <w:sz w:val="20"/>
                <w:lang w:val="fr-CA"/>
              </w:rPr>
              <w:t>2</w:t>
            </w:r>
            <w:r w:rsidR="00D04FFA">
              <w:rPr>
                <w:rFonts w:eastAsia="Calibri"/>
                <w:sz w:val="20"/>
                <w:lang w:val="fr-CA"/>
              </w:rPr>
              <w:t>8</w:t>
            </w:r>
            <w:r>
              <w:rPr>
                <w:rFonts w:eastAsia="Calibri"/>
                <w:sz w:val="20"/>
                <w:lang w:val="fr-CA"/>
              </w:rPr>
              <w:t xml:space="preserve"> mai</w:t>
            </w:r>
            <w:r w:rsidRPr="00E007CB">
              <w:rPr>
                <w:rFonts w:eastAsia="Calibri"/>
                <w:sz w:val="20"/>
                <w:lang w:val="fr-CA"/>
              </w:rPr>
              <w:t xml:space="preserve"> 201</w:t>
            </w:r>
            <w:r>
              <w:rPr>
                <w:rFonts w:eastAsia="Calibri"/>
                <w:sz w:val="20"/>
                <w:lang w:val="fr-CA"/>
              </w:rPr>
              <w:t>5</w:t>
            </w:r>
          </w:p>
          <w:p w:rsidR="008B657A" w:rsidRPr="00E007CB" w:rsidRDefault="008B657A" w:rsidP="00B77038">
            <w:pPr>
              <w:jc w:val="both"/>
              <w:rPr>
                <w:rFonts w:eastAsia="Calibri"/>
                <w:sz w:val="20"/>
                <w:lang w:val="fr-CA"/>
              </w:rPr>
            </w:pPr>
            <w:r w:rsidRPr="00E007CB">
              <w:rPr>
                <w:rFonts w:eastAsia="Calibri"/>
                <w:sz w:val="20"/>
                <w:lang w:val="fr-CA"/>
              </w:rPr>
              <w:t>Cour suprême du Canada</w:t>
            </w:r>
          </w:p>
        </w:tc>
        <w:tc>
          <w:tcPr>
            <w:tcW w:w="243" w:type="pct"/>
          </w:tcPr>
          <w:p w:rsidR="008B657A" w:rsidRPr="00E007CB" w:rsidRDefault="008B657A" w:rsidP="00B77038">
            <w:pPr>
              <w:jc w:val="both"/>
              <w:rPr>
                <w:rFonts w:eastAsia="Calibri"/>
                <w:sz w:val="20"/>
                <w:lang w:val="fr-CA"/>
              </w:rPr>
            </w:pPr>
          </w:p>
        </w:tc>
        <w:tc>
          <w:tcPr>
            <w:tcW w:w="2330" w:type="pct"/>
          </w:tcPr>
          <w:p w:rsidR="00D04FFA" w:rsidRPr="00F77596" w:rsidRDefault="00D04FFA" w:rsidP="00D04FFA">
            <w:pPr>
              <w:jc w:val="both"/>
              <w:rPr>
                <w:sz w:val="20"/>
                <w:lang w:val="fr-CA"/>
              </w:rPr>
            </w:pPr>
            <w:r w:rsidRPr="00F77596">
              <w:rPr>
                <w:sz w:val="20"/>
                <w:lang w:val="fr-CA"/>
              </w:rPr>
              <w:t>Demande d’autorisation d’appel, déposée</w:t>
            </w:r>
          </w:p>
          <w:p w:rsidR="008B657A" w:rsidRPr="00F77596" w:rsidRDefault="008B657A" w:rsidP="00B77038">
            <w:pPr>
              <w:jc w:val="both"/>
              <w:rPr>
                <w:sz w:val="20"/>
                <w:lang w:val="fr-CA"/>
              </w:rPr>
            </w:pPr>
          </w:p>
        </w:tc>
      </w:tr>
    </w:tbl>
    <w:p w:rsidR="008B657A" w:rsidRDefault="008B657A" w:rsidP="008B657A">
      <w:pPr>
        <w:rPr>
          <w:sz w:val="20"/>
          <w:szCs w:val="20"/>
        </w:rPr>
      </w:pPr>
    </w:p>
    <w:p w:rsidR="008B657A" w:rsidRDefault="00EC4FDF" w:rsidP="008B657A">
      <w:pPr>
        <w:rPr>
          <w:sz w:val="20"/>
          <w:szCs w:val="20"/>
        </w:rPr>
      </w:pPr>
      <w:r>
        <w:rPr>
          <w:sz w:val="20"/>
          <w:szCs w:val="20"/>
          <w:lang w:val="fr-CA"/>
        </w:rPr>
        <w:pict>
          <v:rect id="_x0000_i1068" style="width:2in;height:1pt" o:hrpct="0" o:hralign="center" o:hrstd="t" o:hrnoshade="t" o:hr="t" fillcolor="black [3213]" stroked="f"/>
        </w:pict>
      </w:r>
    </w:p>
    <w:p w:rsidR="008B657A" w:rsidRDefault="008B657A" w:rsidP="008B657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4775B" w:rsidRPr="00A73D2C" w:rsidTr="00B77038">
        <w:trPr>
          <w:cantSplit/>
        </w:trPr>
        <w:tc>
          <w:tcPr>
            <w:tcW w:w="1458" w:type="dxa"/>
          </w:tcPr>
          <w:p w:rsidR="0084775B" w:rsidRPr="00A73D2C" w:rsidRDefault="0084775B" w:rsidP="00B77038">
            <w:pPr>
              <w:rPr>
                <w:sz w:val="20"/>
                <w:szCs w:val="20"/>
              </w:rPr>
            </w:pPr>
            <w:r w:rsidRPr="00A73D2C">
              <w:rPr>
                <w:rStyle w:val="SCCFileNumberChar"/>
                <w:sz w:val="20"/>
                <w:szCs w:val="20"/>
              </w:rPr>
              <w:t>36</w:t>
            </w:r>
            <w:r>
              <w:rPr>
                <w:rStyle w:val="SCCFileNumberChar"/>
                <w:sz w:val="20"/>
                <w:szCs w:val="20"/>
              </w:rPr>
              <w:t>460</w:t>
            </w:r>
          </w:p>
          <w:p w:rsidR="0084775B" w:rsidRPr="00A73D2C" w:rsidRDefault="0084775B" w:rsidP="00B77038">
            <w:pPr>
              <w:rPr>
                <w:b/>
                <w:sz w:val="20"/>
                <w:szCs w:val="20"/>
                <w:lang w:val="fr-CA"/>
              </w:rPr>
            </w:pPr>
          </w:p>
        </w:tc>
        <w:tc>
          <w:tcPr>
            <w:tcW w:w="8118" w:type="dxa"/>
          </w:tcPr>
          <w:p w:rsidR="0084775B" w:rsidRPr="00A73D2C" w:rsidRDefault="0084775B" w:rsidP="00B77038">
            <w:pPr>
              <w:rPr>
                <w:sz w:val="20"/>
                <w:szCs w:val="20"/>
              </w:rPr>
            </w:pPr>
            <w:r w:rsidRPr="0084775B">
              <w:rPr>
                <w:rStyle w:val="SCCLsocChar"/>
                <w:sz w:val="20"/>
                <w:szCs w:val="20"/>
                <w:lang w:val="en-CA"/>
              </w:rPr>
              <w:t>Information and Privacy Commissioner of Alberta v. Board of Governors of the University of Calgary</w:t>
            </w:r>
            <w:r w:rsidRPr="00A73D2C">
              <w:rPr>
                <w:sz w:val="20"/>
                <w:szCs w:val="20"/>
              </w:rPr>
              <w:t xml:space="preserve"> (</w:t>
            </w:r>
            <w:r>
              <w:rPr>
                <w:sz w:val="20"/>
                <w:szCs w:val="20"/>
              </w:rPr>
              <w:t>Alta.</w:t>
            </w:r>
            <w:r w:rsidRPr="00A73D2C">
              <w:rPr>
                <w:sz w:val="20"/>
                <w:szCs w:val="20"/>
              </w:rPr>
              <w:t>) (C</w:t>
            </w:r>
            <w:r>
              <w:rPr>
                <w:sz w:val="20"/>
                <w:szCs w:val="20"/>
              </w:rPr>
              <w:t>ivil</w:t>
            </w:r>
            <w:r w:rsidRPr="00A73D2C">
              <w:rPr>
                <w:sz w:val="20"/>
                <w:szCs w:val="20"/>
              </w:rPr>
              <w:t>) (By Leave)</w:t>
            </w:r>
          </w:p>
          <w:p w:rsidR="0084775B" w:rsidRPr="00A73D2C" w:rsidRDefault="0084775B" w:rsidP="00B77038">
            <w:pPr>
              <w:rPr>
                <w:sz w:val="20"/>
                <w:szCs w:val="20"/>
              </w:rPr>
            </w:pPr>
          </w:p>
        </w:tc>
      </w:tr>
      <w:tr w:rsidR="0084775B" w:rsidRPr="00A73D2C" w:rsidTr="00B77038">
        <w:trPr>
          <w:cantSplit/>
        </w:trPr>
        <w:tc>
          <w:tcPr>
            <w:tcW w:w="1458" w:type="dxa"/>
          </w:tcPr>
          <w:p w:rsidR="0084775B" w:rsidRPr="00A73D2C" w:rsidRDefault="0084775B" w:rsidP="00B77038">
            <w:pPr>
              <w:rPr>
                <w:sz w:val="20"/>
                <w:szCs w:val="20"/>
              </w:rPr>
            </w:pPr>
            <w:r w:rsidRPr="00A73D2C">
              <w:rPr>
                <w:sz w:val="20"/>
                <w:szCs w:val="20"/>
              </w:rPr>
              <w:t>Coram :</w:t>
            </w:r>
          </w:p>
        </w:tc>
        <w:tc>
          <w:tcPr>
            <w:tcW w:w="8118" w:type="dxa"/>
          </w:tcPr>
          <w:p w:rsidR="0084775B" w:rsidRDefault="00E3742F" w:rsidP="00B77038">
            <w:pPr>
              <w:rPr>
                <w:rStyle w:val="SCCCoramChar"/>
                <w:sz w:val="20"/>
                <w:szCs w:val="20"/>
                <w:lang w:val="en-CA"/>
              </w:rPr>
            </w:pPr>
            <w:r w:rsidRPr="00E3742F">
              <w:rPr>
                <w:rStyle w:val="SCCCoramChar"/>
                <w:sz w:val="20"/>
                <w:szCs w:val="20"/>
                <w:lang w:val="en-CA"/>
              </w:rPr>
              <w:t>McLachlin C.J. and Moldaver and Gascon JJ.</w:t>
            </w:r>
          </w:p>
          <w:p w:rsidR="00E3742F" w:rsidRPr="00A73D2C" w:rsidRDefault="00E3742F" w:rsidP="00B77038">
            <w:pPr>
              <w:rPr>
                <w:sz w:val="20"/>
                <w:szCs w:val="20"/>
                <w:u w:val="single"/>
              </w:rPr>
            </w:pPr>
          </w:p>
        </w:tc>
      </w:tr>
      <w:tr w:rsidR="0084775B" w:rsidRPr="00002704" w:rsidTr="00B77038">
        <w:trPr>
          <w:cantSplit/>
        </w:trPr>
        <w:tc>
          <w:tcPr>
            <w:tcW w:w="9576" w:type="dxa"/>
            <w:gridSpan w:val="2"/>
          </w:tcPr>
          <w:p w:rsidR="00A91544" w:rsidRPr="00A91544" w:rsidRDefault="00A91544" w:rsidP="00A91544">
            <w:pPr>
              <w:pStyle w:val="SCCShortJudgment"/>
              <w:rPr>
                <w:szCs w:val="20"/>
              </w:rPr>
            </w:pPr>
            <w:r w:rsidRPr="00A91544">
              <w:rPr>
                <w:szCs w:val="20"/>
              </w:rPr>
              <w:t>The application for leave to appeal from the judgment of the Court of Appeal of Alberta (Calgary), Number 1301-0368-AC, 2015 ABCA 118, dated April 2, 2015, is granted with costs in the cause.</w:t>
            </w:r>
          </w:p>
          <w:p w:rsidR="00A91544" w:rsidRPr="00A91544" w:rsidRDefault="00A91544" w:rsidP="00A91544">
            <w:pPr>
              <w:pStyle w:val="SCCShortJudgment"/>
              <w:rPr>
                <w:szCs w:val="20"/>
              </w:rPr>
            </w:pPr>
          </w:p>
          <w:p w:rsidR="0084775B" w:rsidRPr="00A73D2C" w:rsidRDefault="00A91544" w:rsidP="00A91544">
            <w:pPr>
              <w:pStyle w:val="SCCShortJudgment"/>
              <w:rPr>
                <w:szCs w:val="20"/>
                <w:lang w:val="fr-CA"/>
              </w:rPr>
            </w:pPr>
            <w:r w:rsidRPr="00A91544">
              <w:rPr>
                <w:szCs w:val="20"/>
              </w:rPr>
              <w:t>La demande d’autorisation d’appel de l’arrêt de la Cour d’appel de l’Alberta (Calgary), numéro 1301-0368-AC,  2015 ABCA 118, daté du 2 avril 2015, est accueillie avec dépens selon l’issue de la cause.</w:t>
            </w:r>
          </w:p>
        </w:tc>
      </w:tr>
    </w:tbl>
    <w:p w:rsidR="0084775B" w:rsidRPr="0016547E" w:rsidRDefault="0084775B" w:rsidP="0084775B">
      <w:pPr>
        <w:rPr>
          <w:sz w:val="20"/>
          <w:szCs w:val="20"/>
          <w:lang w:val="fr-CA"/>
        </w:rPr>
      </w:pPr>
    </w:p>
    <w:p w:rsidR="0084775B" w:rsidRPr="001B157C" w:rsidRDefault="0084775B" w:rsidP="0084775B">
      <w:pPr>
        <w:rPr>
          <w:sz w:val="20"/>
          <w:szCs w:val="20"/>
          <w:u w:val="single"/>
        </w:rPr>
      </w:pPr>
      <w:r w:rsidRPr="001B157C">
        <w:rPr>
          <w:sz w:val="20"/>
          <w:szCs w:val="20"/>
          <w:u w:val="single"/>
        </w:rPr>
        <w:t>CASE SUMMARY</w:t>
      </w:r>
    </w:p>
    <w:p w:rsidR="0084775B" w:rsidRDefault="0084775B" w:rsidP="0084775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775B" w:rsidRPr="00E007CB" w:rsidTr="00B77038">
        <w:tc>
          <w:tcPr>
            <w:tcW w:w="5000" w:type="pct"/>
            <w:gridSpan w:val="3"/>
          </w:tcPr>
          <w:p w:rsidR="0084775B" w:rsidRDefault="00D731FA" w:rsidP="00B77038">
            <w:pPr>
              <w:jc w:val="both"/>
              <w:rPr>
                <w:sz w:val="20"/>
              </w:rPr>
            </w:pPr>
            <w:r w:rsidRPr="00F77596">
              <w:rPr>
                <w:bCs/>
                <w:sz w:val="20"/>
              </w:rPr>
              <w:t xml:space="preserve">Privacy — Access to information — </w:t>
            </w:r>
            <w:r w:rsidRPr="00F77596">
              <w:rPr>
                <w:sz w:val="20"/>
              </w:rPr>
              <w:t>What words must a statute employ to empower a tribunal to review records to determine whether a claim of privilege is valid?</w:t>
            </w:r>
          </w:p>
          <w:p w:rsidR="00D731FA" w:rsidRPr="00E007CB" w:rsidRDefault="00D731FA" w:rsidP="00B77038">
            <w:pPr>
              <w:jc w:val="both"/>
              <w:rPr>
                <w:rFonts w:eastAsia="Calibri"/>
                <w:sz w:val="20"/>
              </w:rPr>
            </w:pPr>
          </w:p>
        </w:tc>
      </w:tr>
      <w:tr w:rsidR="0084775B" w:rsidRPr="00E007CB" w:rsidTr="00B77038">
        <w:tc>
          <w:tcPr>
            <w:tcW w:w="5000" w:type="pct"/>
            <w:gridSpan w:val="3"/>
          </w:tcPr>
          <w:p w:rsidR="00D731FA" w:rsidRPr="00F77596" w:rsidRDefault="00D731FA" w:rsidP="00D731FA">
            <w:pPr>
              <w:jc w:val="both"/>
              <w:rPr>
                <w:sz w:val="20"/>
              </w:rPr>
            </w:pPr>
            <w:r w:rsidRPr="00F77596">
              <w:rPr>
                <w:sz w:val="20"/>
              </w:rPr>
              <w:t xml:space="preserve">In the course of a wrongful dismissal suit by an individual against the respondent University, the University asserted solicitor-client privilege over certain material. The individual made an access to information request under s. 7 of the </w:t>
            </w:r>
            <w:r w:rsidRPr="00F77596">
              <w:rPr>
                <w:i/>
                <w:sz w:val="20"/>
              </w:rPr>
              <w:t>Freedom of Information and Protection of Privacy Act</w:t>
            </w:r>
            <w:r w:rsidRPr="00F77596">
              <w:rPr>
                <w:sz w:val="20"/>
              </w:rPr>
              <w:t>, R.S.A. 2000, c. F-25, seeking certain records about her in the University’s possession. The University provided some disclosure, but claimed solicitor-client privilege over some of the requested material. The Commissioner’s delegate eventually directed the University to the Commissioner’s “Solicitor-Client Privilege Adjudication Protocol”. When the University did not comply, the delegate issued a “notice to produce records” under s. 56(3) of the Act. It reads, in part, “[t]he Commissioner may require any record to be produced to the Commissioner and may examine any information in a record… [d]espite any other enactment or any privilege of the law of evidence”. The delegate indicated in an accompanying letter that the purpose of the notice was to enable him to determine whether solicitor-client privilege had been properly asserted because the University had not provided sufficient evidence to allow him to make that determination. The University sought judicial review of the delegate’s decision to issue the notice to produce. The Law Society of Alberta was granted intervener status at the Court of Queen’s Bench and the Court of Appeal. The application for judicial review was dismissed, and the subsequent appeal was allowed.</w:t>
            </w:r>
          </w:p>
          <w:p w:rsidR="0084775B" w:rsidRPr="00F77596" w:rsidRDefault="0084775B" w:rsidP="00B77038">
            <w:pPr>
              <w:jc w:val="both"/>
              <w:rPr>
                <w:sz w:val="20"/>
              </w:rPr>
            </w:pPr>
          </w:p>
        </w:tc>
      </w:tr>
      <w:tr w:rsidR="0084775B" w:rsidRPr="00E007CB" w:rsidTr="00B77038">
        <w:trPr>
          <w:cantSplit/>
        </w:trPr>
        <w:tc>
          <w:tcPr>
            <w:tcW w:w="2427" w:type="pct"/>
          </w:tcPr>
          <w:p w:rsidR="00586B68" w:rsidRPr="00F77596" w:rsidRDefault="00586B68" w:rsidP="00586B68">
            <w:pPr>
              <w:jc w:val="both"/>
              <w:rPr>
                <w:sz w:val="20"/>
              </w:rPr>
            </w:pPr>
            <w:r w:rsidRPr="00F77596">
              <w:rPr>
                <w:sz w:val="20"/>
              </w:rPr>
              <w:lastRenderedPageBreak/>
              <w:t>November 4, 2013</w:t>
            </w:r>
          </w:p>
          <w:p w:rsidR="00586B68" w:rsidRPr="00F77596" w:rsidRDefault="00586B68" w:rsidP="00586B68">
            <w:pPr>
              <w:jc w:val="both"/>
              <w:rPr>
                <w:sz w:val="20"/>
              </w:rPr>
            </w:pPr>
            <w:r w:rsidRPr="00F77596">
              <w:rPr>
                <w:sz w:val="20"/>
              </w:rPr>
              <w:t>Court of Queen’s Bench of Alberta</w:t>
            </w:r>
          </w:p>
          <w:p w:rsidR="00586B68" w:rsidRPr="00F77596" w:rsidRDefault="00586B68" w:rsidP="00586B68">
            <w:pPr>
              <w:jc w:val="both"/>
              <w:rPr>
                <w:sz w:val="20"/>
              </w:rPr>
            </w:pPr>
            <w:r w:rsidRPr="00F77596">
              <w:rPr>
                <w:sz w:val="20"/>
              </w:rPr>
              <w:t>(Jones J.)</w:t>
            </w:r>
          </w:p>
          <w:p w:rsidR="00586B68" w:rsidRPr="00F77596" w:rsidRDefault="00EC4FDF" w:rsidP="00586B68">
            <w:pPr>
              <w:jc w:val="both"/>
              <w:rPr>
                <w:sz w:val="20"/>
              </w:rPr>
            </w:pPr>
            <w:hyperlink r:id="rId80" w:history="1">
              <w:r w:rsidR="00586B68" w:rsidRPr="00F77596">
                <w:rPr>
                  <w:rStyle w:val="Hyperlink"/>
                  <w:sz w:val="20"/>
                </w:rPr>
                <w:t>2013 ABQB 652</w:t>
              </w:r>
            </w:hyperlink>
          </w:p>
          <w:p w:rsidR="0084775B" w:rsidRPr="00E007CB" w:rsidRDefault="0084775B" w:rsidP="00B77038">
            <w:pPr>
              <w:jc w:val="both"/>
              <w:rPr>
                <w:rFonts w:eastAsia="Calibri"/>
                <w:sz w:val="20"/>
              </w:rPr>
            </w:pPr>
          </w:p>
        </w:tc>
        <w:tc>
          <w:tcPr>
            <w:tcW w:w="243" w:type="pct"/>
          </w:tcPr>
          <w:p w:rsidR="0084775B" w:rsidRPr="00E007CB" w:rsidRDefault="0084775B" w:rsidP="00B77038">
            <w:pPr>
              <w:jc w:val="both"/>
              <w:rPr>
                <w:rFonts w:eastAsia="Calibri"/>
                <w:sz w:val="20"/>
              </w:rPr>
            </w:pPr>
          </w:p>
        </w:tc>
        <w:tc>
          <w:tcPr>
            <w:tcW w:w="2330" w:type="pct"/>
          </w:tcPr>
          <w:p w:rsidR="00586B68" w:rsidRPr="00F77596" w:rsidRDefault="00586B68" w:rsidP="00586B68">
            <w:pPr>
              <w:jc w:val="both"/>
              <w:rPr>
                <w:sz w:val="20"/>
              </w:rPr>
            </w:pPr>
            <w:r w:rsidRPr="00F77596">
              <w:rPr>
                <w:sz w:val="20"/>
              </w:rPr>
              <w:t>Application for judicial review dismissed</w:t>
            </w:r>
          </w:p>
          <w:p w:rsidR="0084775B" w:rsidRPr="00F77596" w:rsidRDefault="0084775B" w:rsidP="00B77038">
            <w:pPr>
              <w:jc w:val="both"/>
              <w:rPr>
                <w:sz w:val="20"/>
              </w:rPr>
            </w:pPr>
          </w:p>
        </w:tc>
      </w:tr>
      <w:tr w:rsidR="0084775B" w:rsidRPr="00E007CB" w:rsidTr="00B77038">
        <w:trPr>
          <w:cantSplit/>
        </w:trPr>
        <w:tc>
          <w:tcPr>
            <w:tcW w:w="2427" w:type="pct"/>
          </w:tcPr>
          <w:p w:rsidR="00586B68" w:rsidRPr="00F77596" w:rsidRDefault="00586B68" w:rsidP="00586B68">
            <w:pPr>
              <w:jc w:val="both"/>
              <w:rPr>
                <w:sz w:val="20"/>
              </w:rPr>
            </w:pPr>
            <w:r w:rsidRPr="00F77596">
              <w:rPr>
                <w:sz w:val="20"/>
              </w:rPr>
              <w:t>April 2, 2015</w:t>
            </w:r>
          </w:p>
          <w:p w:rsidR="00586B68" w:rsidRPr="00F77596" w:rsidRDefault="00586B68" w:rsidP="00586B68">
            <w:pPr>
              <w:jc w:val="both"/>
              <w:rPr>
                <w:sz w:val="20"/>
              </w:rPr>
            </w:pPr>
            <w:r w:rsidRPr="00F77596">
              <w:rPr>
                <w:sz w:val="20"/>
              </w:rPr>
              <w:t>Court of Appeal of Alberta (Calgary)</w:t>
            </w:r>
          </w:p>
          <w:p w:rsidR="00586B68" w:rsidRPr="00F77596" w:rsidRDefault="00586B68" w:rsidP="00586B68">
            <w:pPr>
              <w:jc w:val="both"/>
              <w:rPr>
                <w:sz w:val="20"/>
              </w:rPr>
            </w:pPr>
            <w:r w:rsidRPr="00F77596">
              <w:rPr>
                <w:sz w:val="20"/>
              </w:rPr>
              <w:t>(Rowbotham, Bielby, Brown JJ.A.)</w:t>
            </w:r>
          </w:p>
          <w:p w:rsidR="00586B68" w:rsidRPr="00F77596" w:rsidRDefault="00EC4FDF" w:rsidP="00586B68">
            <w:pPr>
              <w:jc w:val="both"/>
              <w:rPr>
                <w:sz w:val="20"/>
              </w:rPr>
            </w:pPr>
            <w:hyperlink r:id="rId81" w:history="1">
              <w:r w:rsidR="00586B68" w:rsidRPr="00F77596">
                <w:rPr>
                  <w:rStyle w:val="Hyperlink"/>
                  <w:sz w:val="20"/>
                </w:rPr>
                <w:t>2015 ABCA 118</w:t>
              </w:r>
            </w:hyperlink>
          </w:p>
          <w:p w:rsidR="0084775B" w:rsidRDefault="0084775B" w:rsidP="00B77038">
            <w:pPr>
              <w:jc w:val="both"/>
              <w:rPr>
                <w:rFonts w:eastAsia="Calibri"/>
                <w:sz w:val="20"/>
              </w:rPr>
            </w:pPr>
          </w:p>
        </w:tc>
        <w:tc>
          <w:tcPr>
            <w:tcW w:w="243" w:type="pct"/>
          </w:tcPr>
          <w:p w:rsidR="0084775B" w:rsidRPr="00E007CB" w:rsidRDefault="0084775B" w:rsidP="00B77038">
            <w:pPr>
              <w:jc w:val="both"/>
              <w:rPr>
                <w:rFonts w:eastAsia="Calibri"/>
                <w:sz w:val="20"/>
              </w:rPr>
            </w:pPr>
          </w:p>
        </w:tc>
        <w:tc>
          <w:tcPr>
            <w:tcW w:w="2330" w:type="pct"/>
          </w:tcPr>
          <w:p w:rsidR="00586B68" w:rsidRPr="00F77596" w:rsidRDefault="00586B68" w:rsidP="00586B68">
            <w:pPr>
              <w:jc w:val="both"/>
              <w:rPr>
                <w:sz w:val="20"/>
              </w:rPr>
            </w:pPr>
            <w:r w:rsidRPr="00F77596">
              <w:rPr>
                <w:sz w:val="20"/>
              </w:rPr>
              <w:t>Appeal allowed</w:t>
            </w:r>
          </w:p>
          <w:p w:rsidR="0084775B" w:rsidRPr="00F77596" w:rsidRDefault="0084775B" w:rsidP="00B77038">
            <w:pPr>
              <w:jc w:val="both"/>
              <w:rPr>
                <w:sz w:val="20"/>
              </w:rPr>
            </w:pPr>
          </w:p>
        </w:tc>
      </w:tr>
      <w:tr w:rsidR="0084775B" w:rsidRPr="00E007CB" w:rsidTr="00B77038">
        <w:trPr>
          <w:cantSplit/>
        </w:trPr>
        <w:tc>
          <w:tcPr>
            <w:tcW w:w="2427" w:type="pct"/>
          </w:tcPr>
          <w:p w:rsidR="0084775B" w:rsidRPr="00E007CB" w:rsidRDefault="0084775B" w:rsidP="00B77038">
            <w:pPr>
              <w:jc w:val="both"/>
              <w:rPr>
                <w:rFonts w:eastAsia="Calibri"/>
                <w:sz w:val="20"/>
              </w:rPr>
            </w:pPr>
            <w:r>
              <w:rPr>
                <w:rFonts w:eastAsia="Calibri"/>
                <w:sz w:val="20"/>
              </w:rPr>
              <w:t>May 2</w:t>
            </w:r>
            <w:r w:rsidR="00586B68">
              <w:rPr>
                <w:rFonts w:eastAsia="Calibri"/>
                <w:sz w:val="20"/>
              </w:rPr>
              <w:t>9</w:t>
            </w:r>
            <w:r>
              <w:rPr>
                <w:rFonts w:eastAsia="Calibri"/>
                <w:sz w:val="20"/>
              </w:rPr>
              <w:t>,</w:t>
            </w:r>
            <w:r w:rsidRPr="00E007CB">
              <w:rPr>
                <w:rFonts w:eastAsia="Calibri"/>
                <w:sz w:val="20"/>
              </w:rPr>
              <w:t xml:space="preserve"> 201</w:t>
            </w:r>
            <w:r>
              <w:rPr>
                <w:rFonts w:eastAsia="Calibri"/>
                <w:sz w:val="20"/>
              </w:rPr>
              <w:t>5</w:t>
            </w:r>
          </w:p>
          <w:p w:rsidR="0084775B" w:rsidRPr="00E007CB" w:rsidRDefault="0084775B" w:rsidP="00B77038">
            <w:pPr>
              <w:jc w:val="both"/>
              <w:rPr>
                <w:rFonts w:eastAsia="Calibri"/>
                <w:sz w:val="20"/>
              </w:rPr>
            </w:pPr>
            <w:r w:rsidRPr="00E007CB">
              <w:rPr>
                <w:rFonts w:eastAsia="Calibri"/>
                <w:sz w:val="20"/>
              </w:rPr>
              <w:t>Supreme Court of Canada</w:t>
            </w:r>
          </w:p>
        </w:tc>
        <w:tc>
          <w:tcPr>
            <w:tcW w:w="243" w:type="pct"/>
          </w:tcPr>
          <w:p w:rsidR="0084775B" w:rsidRPr="00E007CB" w:rsidRDefault="0084775B" w:rsidP="00B77038">
            <w:pPr>
              <w:jc w:val="both"/>
              <w:rPr>
                <w:rFonts w:eastAsia="Calibri"/>
                <w:sz w:val="20"/>
              </w:rPr>
            </w:pPr>
          </w:p>
        </w:tc>
        <w:tc>
          <w:tcPr>
            <w:tcW w:w="2330" w:type="pct"/>
          </w:tcPr>
          <w:p w:rsidR="0084775B" w:rsidRPr="00F77596" w:rsidRDefault="0084775B" w:rsidP="00B77038">
            <w:pPr>
              <w:jc w:val="both"/>
              <w:rPr>
                <w:sz w:val="20"/>
              </w:rPr>
            </w:pPr>
            <w:r w:rsidRPr="00F77596">
              <w:rPr>
                <w:sz w:val="20"/>
              </w:rPr>
              <w:t>Application for leave to appeal filed</w:t>
            </w:r>
          </w:p>
          <w:p w:rsidR="0084775B" w:rsidRPr="00F77596" w:rsidRDefault="0084775B" w:rsidP="00B77038">
            <w:pPr>
              <w:jc w:val="both"/>
              <w:rPr>
                <w:sz w:val="20"/>
              </w:rPr>
            </w:pPr>
          </w:p>
        </w:tc>
      </w:tr>
    </w:tbl>
    <w:p w:rsidR="0084775B" w:rsidRDefault="0084775B" w:rsidP="0084775B">
      <w:pPr>
        <w:rPr>
          <w:sz w:val="20"/>
          <w:szCs w:val="20"/>
        </w:rPr>
      </w:pPr>
    </w:p>
    <w:p w:rsidR="0084775B" w:rsidRPr="00C50A5C" w:rsidRDefault="00EC4FDF" w:rsidP="0084775B">
      <w:pPr>
        <w:rPr>
          <w:sz w:val="20"/>
          <w:szCs w:val="20"/>
        </w:rPr>
      </w:pPr>
      <w:r>
        <w:rPr>
          <w:sz w:val="20"/>
          <w:szCs w:val="20"/>
          <w:lang w:val="fr-CA"/>
        </w:rPr>
        <w:pict>
          <v:rect id="_x0000_i1069" style="width:2in;height:1pt" o:hrpct="0" o:hralign="center" o:hrstd="t" o:hrnoshade="t" o:hr="t" fillcolor="black [3213]" stroked="f"/>
        </w:pict>
      </w:r>
    </w:p>
    <w:p w:rsidR="0084775B" w:rsidRDefault="0084775B" w:rsidP="0084775B">
      <w:pPr>
        <w:rPr>
          <w:sz w:val="20"/>
          <w:szCs w:val="20"/>
        </w:rPr>
      </w:pPr>
    </w:p>
    <w:p w:rsidR="0084775B" w:rsidRPr="001B157C" w:rsidRDefault="0084775B" w:rsidP="0084775B">
      <w:pPr>
        <w:rPr>
          <w:sz w:val="20"/>
          <w:szCs w:val="20"/>
          <w:u w:val="single"/>
          <w:lang w:val="fr-CA"/>
        </w:rPr>
      </w:pPr>
      <w:r w:rsidRPr="001B157C">
        <w:rPr>
          <w:sz w:val="20"/>
          <w:szCs w:val="20"/>
          <w:u w:val="single"/>
          <w:lang w:val="fr-CA"/>
        </w:rPr>
        <w:t>RÉSUMÉ DE L’AFFAIRE</w:t>
      </w:r>
    </w:p>
    <w:p w:rsidR="0084775B" w:rsidRDefault="0084775B" w:rsidP="0084775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4775B" w:rsidRPr="00002704" w:rsidTr="00B77038">
        <w:tc>
          <w:tcPr>
            <w:tcW w:w="5000" w:type="pct"/>
            <w:gridSpan w:val="3"/>
          </w:tcPr>
          <w:p w:rsidR="0084775B" w:rsidRDefault="008559F1" w:rsidP="00B77038">
            <w:pPr>
              <w:jc w:val="both"/>
              <w:rPr>
                <w:sz w:val="20"/>
                <w:lang w:val="fr-CA"/>
              </w:rPr>
            </w:pPr>
            <w:r w:rsidRPr="00F77596">
              <w:rPr>
                <w:bCs/>
                <w:sz w:val="20"/>
                <w:lang w:val="fr-CA"/>
              </w:rPr>
              <w:t xml:space="preserve">Vie privée — Accès à l’information — </w:t>
            </w:r>
            <w:r w:rsidRPr="00F77596">
              <w:rPr>
                <w:sz w:val="20"/>
                <w:lang w:val="fr-CA"/>
              </w:rPr>
              <w:t>Que doit prévoir un texte de loi pour conférer à un tribunal administratif le pouvoir d’examiner des documents pour apprécier le bien-fondé d’une revendication de privilège?</w:t>
            </w:r>
          </w:p>
          <w:p w:rsidR="008559F1" w:rsidRPr="00E007CB" w:rsidRDefault="008559F1" w:rsidP="00B77038">
            <w:pPr>
              <w:jc w:val="both"/>
              <w:rPr>
                <w:rFonts w:eastAsia="Calibri"/>
                <w:sz w:val="20"/>
                <w:lang w:val="fr-CA"/>
              </w:rPr>
            </w:pPr>
          </w:p>
        </w:tc>
      </w:tr>
      <w:tr w:rsidR="0084775B" w:rsidRPr="00002704" w:rsidTr="00B77038">
        <w:tc>
          <w:tcPr>
            <w:tcW w:w="5000" w:type="pct"/>
            <w:gridSpan w:val="3"/>
          </w:tcPr>
          <w:p w:rsidR="008559F1" w:rsidRPr="00F77596" w:rsidRDefault="008559F1" w:rsidP="008559F1">
            <w:pPr>
              <w:contextualSpacing/>
              <w:jc w:val="both"/>
              <w:rPr>
                <w:sz w:val="20"/>
                <w:lang w:val="fr-CA"/>
              </w:rPr>
            </w:pPr>
            <w:r w:rsidRPr="00F77596">
              <w:rPr>
                <w:sz w:val="20"/>
                <w:lang w:val="fr-CA"/>
              </w:rPr>
              <w:t xml:space="preserve">Dans le cadre d’une poursuite en congédiement injustifié intentée par une employée contre l’université intimée, l’université a revendiqué le privilège du secret professionnel de l’avocat à l’égard de certains documents. L’intéressée a fait une demande d’accès à l’information fondée sur l’art. 7 de la </w:t>
            </w:r>
            <w:r w:rsidRPr="00F77596">
              <w:rPr>
                <w:i/>
                <w:sz w:val="20"/>
                <w:lang w:val="fr-CA"/>
              </w:rPr>
              <w:t>Freedom of Information and Protection of Privacy Act</w:t>
            </w:r>
            <w:r w:rsidRPr="00F77596">
              <w:rPr>
                <w:sz w:val="20"/>
                <w:lang w:val="fr-CA"/>
              </w:rPr>
              <w:t>, R.S.A. 2000, ch. F-25, en vue d’obtenir certains dossiers qui la concernaient et qui étaient en la possession de l’université. L’université a communiqué certains documents, mais elle a revendiqué le privilège du secret professionnel de l’avocat à l’égard de certains des documents demandés. Le délégué du commissaire a fini par inviter l’université à respecter le [</w:t>
            </w:r>
            <w:r w:rsidRPr="00F77596">
              <w:rPr>
                <w:smallCaps/>
                <w:sz w:val="20"/>
                <w:lang w:val="fr-CA"/>
              </w:rPr>
              <w:t>traduction</w:t>
            </w:r>
            <w:r w:rsidRPr="00F77596">
              <w:rPr>
                <w:sz w:val="20"/>
                <w:lang w:val="fr-CA"/>
              </w:rPr>
              <w:t>] « Protocole sur la prise de décision concernant le privilège du secret professionnel de l’avocat ». L’université n’ayant pas donné suite à cette demande, le délégué a délivré un [</w:t>
            </w:r>
            <w:r w:rsidRPr="00F77596">
              <w:rPr>
                <w:smallCaps/>
                <w:sz w:val="20"/>
                <w:lang w:val="fr-CA"/>
              </w:rPr>
              <w:t>traduction</w:t>
            </w:r>
            <w:r w:rsidRPr="00F77596">
              <w:rPr>
                <w:sz w:val="20"/>
                <w:lang w:val="fr-CA"/>
              </w:rPr>
              <w:t>] « avis visant la production de documents » en application du par. 56(3) de la loi. Cette disposition prévoit notamment que [</w:t>
            </w:r>
            <w:r w:rsidRPr="00F77596">
              <w:rPr>
                <w:smallCaps/>
                <w:sz w:val="20"/>
                <w:lang w:val="fr-CA"/>
              </w:rPr>
              <w:t>traduction</w:t>
            </w:r>
            <w:r w:rsidRPr="00F77596">
              <w:rPr>
                <w:sz w:val="20"/>
                <w:lang w:val="fr-CA"/>
              </w:rPr>
              <w:t>] « malgré toute autre disposition législative ou tout privilège du droit de la preuve, le commissaire peut exiger que tout document lui soit produit et il peut examiner tout renseignement dans un document [...] ». Dans une lettre d’accompagnement, le délégué a dit que l’avis avait pour but de lui permettre de déterminer si le privilège du secret professionnel de l’avocat avait été revendiqué à bon droit, puisque l’université ne lui avait pas fourni une preuve suffisante que tel était le cas. L’université a demandé le contrôle judiciaire de la décision du délégué de délivrer l’avis de production. Le Barreau de l’Alberta s’est vu reconnaître le statut d’intervenant en Cour du Banc de la Reine et en Cour d’appel. La demande de contrôle judiciaire a été rejetée et l’appel subséquent a été accueilli.</w:t>
            </w:r>
          </w:p>
          <w:p w:rsidR="0084775B" w:rsidRPr="00F77596" w:rsidRDefault="0084775B" w:rsidP="00B77038">
            <w:pPr>
              <w:jc w:val="both"/>
              <w:rPr>
                <w:sz w:val="20"/>
                <w:lang w:val="fr-CA"/>
              </w:rPr>
            </w:pPr>
          </w:p>
        </w:tc>
      </w:tr>
      <w:tr w:rsidR="0084775B" w:rsidRPr="00002704" w:rsidTr="00B77038">
        <w:trPr>
          <w:cantSplit/>
        </w:trPr>
        <w:tc>
          <w:tcPr>
            <w:tcW w:w="2427" w:type="pct"/>
          </w:tcPr>
          <w:p w:rsidR="00FE2CDE" w:rsidRPr="00F77596" w:rsidRDefault="00FE2CDE" w:rsidP="00FE2CDE">
            <w:pPr>
              <w:contextualSpacing/>
              <w:jc w:val="both"/>
              <w:rPr>
                <w:sz w:val="20"/>
                <w:lang w:val="fr-CA"/>
              </w:rPr>
            </w:pPr>
            <w:r w:rsidRPr="00F77596">
              <w:rPr>
                <w:sz w:val="20"/>
                <w:lang w:val="fr-CA"/>
              </w:rPr>
              <w:t>4 novembre 2013</w:t>
            </w:r>
          </w:p>
          <w:p w:rsidR="00FE2CDE" w:rsidRPr="00F77596" w:rsidRDefault="00FE2CDE" w:rsidP="00FE2CDE">
            <w:pPr>
              <w:contextualSpacing/>
              <w:jc w:val="both"/>
              <w:rPr>
                <w:sz w:val="20"/>
                <w:lang w:val="fr-CA"/>
              </w:rPr>
            </w:pPr>
            <w:r w:rsidRPr="00F77596">
              <w:rPr>
                <w:sz w:val="20"/>
                <w:lang w:val="fr-CA"/>
              </w:rPr>
              <w:t>Cour du Banc de la Reine de l’Alberta</w:t>
            </w:r>
          </w:p>
          <w:p w:rsidR="00FE2CDE" w:rsidRPr="00F77596" w:rsidRDefault="00FE2CDE" w:rsidP="00FE2CDE">
            <w:pPr>
              <w:contextualSpacing/>
              <w:jc w:val="both"/>
              <w:rPr>
                <w:sz w:val="20"/>
                <w:lang w:val="fr-CA"/>
              </w:rPr>
            </w:pPr>
            <w:r w:rsidRPr="00F77596">
              <w:rPr>
                <w:sz w:val="20"/>
                <w:lang w:val="fr-CA"/>
              </w:rPr>
              <w:t>(Juge Jones)</w:t>
            </w:r>
          </w:p>
          <w:p w:rsidR="00FE2CDE" w:rsidRPr="00F77596" w:rsidRDefault="00EC4FDF" w:rsidP="00FE2CDE">
            <w:pPr>
              <w:contextualSpacing/>
              <w:jc w:val="both"/>
              <w:rPr>
                <w:sz w:val="20"/>
                <w:lang w:val="fr-CA"/>
              </w:rPr>
            </w:pPr>
            <w:hyperlink r:id="rId82" w:history="1">
              <w:r w:rsidR="00FE2CDE" w:rsidRPr="00F77596">
                <w:rPr>
                  <w:rStyle w:val="Hyperlink"/>
                  <w:sz w:val="20"/>
                  <w:lang w:val="fr-CA"/>
                </w:rPr>
                <w:t>2013 ABQB 652</w:t>
              </w:r>
            </w:hyperlink>
          </w:p>
          <w:p w:rsidR="0084775B" w:rsidRPr="00E007CB" w:rsidRDefault="0084775B" w:rsidP="00B77038">
            <w:pPr>
              <w:jc w:val="both"/>
              <w:rPr>
                <w:rFonts w:eastAsia="Calibri"/>
                <w:sz w:val="20"/>
                <w:lang w:val="fr-CA"/>
              </w:rPr>
            </w:pPr>
          </w:p>
        </w:tc>
        <w:tc>
          <w:tcPr>
            <w:tcW w:w="243" w:type="pct"/>
          </w:tcPr>
          <w:p w:rsidR="0084775B" w:rsidRPr="00E007CB" w:rsidRDefault="0084775B" w:rsidP="00B77038">
            <w:pPr>
              <w:jc w:val="both"/>
              <w:rPr>
                <w:rFonts w:eastAsia="Calibri"/>
                <w:sz w:val="20"/>
                <w:lang w:val="fr-CA"/>
              </w:rPr>
            </w:pPr>
          </w:p>
        </w:tc>
        <w:tc>
          <w:tcPr>
            <w:tcW w:w="2330" w:type="pct"/>
          </w:tcPr>
          <w:p w:rsidR="00FE2CDE" w:rsidRPr="00F77596" w:rsidRDefault="00FE2CDE" w:rsidP="00FE2CDE">
            <w:pPr>
              <w:contextualSpacing/>
              <w:jc w:val="both"/>
              <w:rPr>
                <w:sz w:val="20"/>
                <w:lang w:val="fr-CA"/>
              </w:rPr>
            </w:pPr>
            <w:r w:rsidRPr="00F77596">
              <w:rPr>
                <w:sz w:val="20"/>
                <w:lang w:val="fr-CA"/>
              </w:rPr>
              <w:t>Rejet de la demande de contrôle judiciaire</w:t>
            </w:r>
          </w:p>
          <w:p w:rsidR="0084775B" w:rsidRPr="00F77596" w:rsidRDefault="0084775B" w:rsidP="00B77038">
            <w:pPr>
              <w:jc w:val="both"/>
              <w:rPr>
                <w:sz w:val="20"/>
                <w:lang w:val="fr-FR"/>
              </w:rPr>
            </w:pPr>
          </w:p>
        </w:tc>
      </w:tr>
      <w:tr w:rsidR="0084775B" w:rsidRPr="00E007CB" w:rsidTr="00B77038">
        <w:trPr>
          <w:cantSplit/>
        </w:trPr>
        <w:tc>
          <w:tcPr>
            <w:tcW w:w="2427" w:type="pct"/>
          </w:tcPr>
          <w:p w:rsidR="00FE2CDE" w:rsidRPr="00F77596" w:rsidRDefault="00FE2CDE" w:rsidP="00FE2CDE">
            <w:pPr>
              <w:contextualSpacing/>
              <w:jc w:val="both"/>
              <w:rPr>
                <w:sz w:val="20"/>
                <w:lang w:val="fr-CA"/>
              </w:rPr>
            </w:pPr>
            <w:r w:rsidRPr="00F77596">
              <w:rPr>
                <w:sz w:val="20"/>
                <w:lang w:val="fr-CA"/>
              </w:rPr>
              <w:t>2 avril 2015</w:t>
            </w:r>
          </w:p>
          <w:p w:rsidR="00FE2CDE" w:rsidRPr="00F77596" w:rsidRDefault="00FE2CDE" w:rsidP="00FE2CDE">
            <w:pPr>
              <w:contextualSpacing/>
              <w:jc w:val="both"/>
              <w:rPr>
                <w:sz w:val="20"/>
                <w:lang w:val="fr-CA"/>
              </w:rPr>
            </w:pPr>
            <w:r w:rsidRPr="00F77596">
              <w:rPr>
                <w:sz w:val="20"/>
                <w:lang w:val="fr-CA"/>
              </w:rPr>
              <w:t>Cour d’appel de l’Alberta (Calgary)</w:t>
            </w:r>
          </w:p>
          <w:p w:rsidR="00FE2CDE" w:rsidRPr="00F77596" w:rsidRDefault="00FE2CDE" w:rsidP="00FE2CDE">
            <w:pPr>
              <w:contextualSpacing/>
              <w:jc w:val="both"/>
              <w:rPr>
                <w:sz w:val="20"/>
                <w:lang w:val="fr-CA"/>
              </w:rPr>
            </w:pPr>
            <w:r w:rsidRPr="00F77596">
              <w:rPr>
                <w:sz w:val="20"/>
                <w:lang w:val="fr-CA"/>
              </w:rPr>
              <w:t>(Juges Rowbotham, Bielby et Brown)</w:t>
            </w:r>
          </w:p>
          <w:p w:rsidR="00FE2CDE" w:rsidRPr="00F77596" w:rsidRDefault="00EC4FDF" w:rsidP="00FE2CDE">
            <w:pPr>
              <w:contextualSpacing/>
              <w:jc w:val="both"/>
              <w:rPr>
                <w:sz w:val="20"/>
                <w:lang w:val="fr-CA"/>
              </w:rPr>
            </w:pPr>
            <w:hyperlink r:id="rId83" w:history="1">
              <w:r w:rsidR="00FE2CDE" w:rsidRPr="00F77596">
                <w:rPr>
                  <w:rStyle w:val="Hyperlink"/>
                  <w:sz w:val="20"/>
                  <w:lang w:val="fr-CA"/>
                </w:rPr>
                <w:t>2015 ABCA 118</w:t>
              </w:r>
            </w:hyperlink>
          </w:p>
          <w:p w:rsidR="0084775B" w:rsidRPr="00F77596" w:rsidRDefault="0084775B" w:rsidP="00B77038">
            <w:pPr>
              <w:jc w:val="both"/>
              <w:rPr>
                <w:sz w:val="20"/>
              </w:rPr>
            </w:pPr>
          </w:p>
          <w:p w:rsidR="0084775B" w:rsidRDefault="0084775B" w:rsidP="00B77038">
            <w:pPr>
              <w:jc w:val="both"/>
              <w:rPr>
                <w:rFonts w:eastAsia="Calibri"/>
                <w:sz w:val="20"/>
                <w:lang w:val="fr-CA"/>
              </w:rPr>
            </w:pPr>
          </w:p>
        </w:tc>
        <w:tc>
          <w:tcPr>
            <w:tcW w:w="243" w:type="pct"/>
          </w:tcPr>
          <w:p w:rsidR="0084775B" w:rsidRPr="00E007CB" w:rsidRDefault="0084775B" w:rsidP="00B77038">
            <w:pPr>
              <w:jc w:val="both"/>
              <w:rPr>
                <w:rFonts w:eastAsia="Calibri"/>
                <w:sz w:val="20"/>
                <w:lang w:val="fr-CA"/>
              </w:rPr>
            </w:pPr>
          </w:p>
        </w:tc>
        <w:tc>
          <w:tcPr>
            <w:tcW w:w="2330" w:type="pct"/>
          </w:tcPr>
          <w:p w:rsidR="00FE2CDE" w:rsidRPr="00F77596" w:rsidRDefault="00FE2CDE" w:rsidP="00FE2CDE">
            <w:pPr>
              <w:contextualSpacing/>
              <w:jc w:val="both"/>
              <w:rPr>
                <w:sz w:val="20"/>
                <w:lang w:val="fr-CA"/>
              </w:rPr>
            </w:pPr>
            <w:r w:rsidRPr="00F77596">
              <w:rPr>
                <w:sz w:val="20"/>
                <w:lang w:val="fr-CA"/>
              </w:rPr>
              <w:t>Arrêt accueillant l’appel</w:t>
            </w:r>
          </w:p>
          <w:p w:rsidR="0084775B" w:rsidRPr="00F77596" w:rsidRDefault="0084775B" w:rsidP="00B77038">
            <w:pPr>
              <w:jc w:val="both"/>
              <w:rPr>
                <w:sz w:val="20"/>
                <w:lang w:val="fr-CA"/>
              </w:rPr>
            </w:pPr>
          </w:p>
        </w:tc>
      </w:tr>
      <w:tr w:rsidR="0084775B" w:rsidRPr="00E007CB" w:rsidTr="00B77038">
        <w:trPr>
          <w:cantSplit/>
        </w:trPr>
        <w:tc>
          <w:tcPr>
            <w:tcW w:w="2427" w:type="pct"/>
          </w:tcPr>
          <w:p w:rsidR="0084775B" w:rsidRPr="00E007CB" w:rsidRDefault="0084775B" w:rsidP="00B77038">
            <w:pPr>
              <w:jc w:val="both"/>
              <w:rPr>
                <w:rFonts w:eastAsia="Calibri"/>
                <w:sz w:val="20"/>
                <w:lang w:val="fr-CA"/>
              </w:rPr>
            </w:pPr>
            <w:r>
              <w:rPr>
                <w:rFonts w:eastAsia="Calibri"/>
                <w:sz w:val="20"/>
                <w:lang w:val="fr-CA"/>
              </w:rPr>
              <w:t>2</w:t>
            </w:r>
            <w:r w:rsidR="00FE2CDE">
              <w:rPr>
                <w:rFonts w:eastAsia="Calibri"/>
                <w:sz w:val="20"/>
                <w:lang w:val="fr-CA"/>
              </w:rPr>
              <w:t>9</w:t>
            </w:r>
            <w:r>
              <w:rPr>
                <w:rFonts w:eastAsia="Calibri"/>
                <w:sz w:val="20"/>
                <w:lang w:val="fr-CA"/>
              </w:rPr>
              <w:t xml:space="preserve"> mai</w:t>
            </w:r>
            <w:r w:rsidRPr="00E007CB">
              <w:rPr>
                <w:rFonts w:eastAsia="Calibri"/>
                <w:sz w:val="20"/>
                <w:lang w:val="fr-CA"/>
              </w:rPr>
              <w:t xml:space="preserve"> 201</w:t>
            </w:r>
            <w:r>
              <w:rPr>
                <w:rFonts w:eastAsia="Calibri"/>
                <w:sz w:val="20"/>
                <w:lang w:val="fr-CA"/>
              </w:rPr>
              <w:t>5</w:t>
            </w:r>
          </w:p>
          <w:p w:rsidR="0084775B" w:rsidRPr="00E007CB" w:rsidRDefault="0084775B" w:rsidP="00B77038">
            <w:pPr>
              <w:jc w:val="both"/>
              <w:rPr>
                <w:rFonts w:eastAsia="Calibri"/>
                <w:sz w:val="20"/>
                <w:lang w:val="fr-CA"/>
              </w:rPr>
            </w:pPr>
            <w:r w:rsidRPr="00E007CB">
              <w:rPr>
                <w:rFonts w:eastAsia="Calibri"/>
                <w:sz w:val="20"/>
                <w:lang w:val="fr-CA"/>
              </w:rPr>
              <w:t>Cour suprême du Canada</w:t>
            </w:r>
          </w:p>
        </w:tc>
        <w:tc>
          <w:tcPr>
            <w:tcW w:w="243" w:type="pct"/>
          </w:tcPr>
          <w:p w:rsidR="0084775B" w:rsidRPr="00E007CB" w:rsidRDefault="0084775B" w:rsidP="00B77038">
            <w:pPr>
              <w:jc w:val="both"/>
              <w:rPr>
                <w:rFonts w:eastAsia="Calibri"/>
                <w:sz w:val="20"/>
                <w:lang w:val="fr-CA"/>
              </w:rPr>
            </w:pPr>
          </w:p>
        </w:tc>
        <w:tc>
          <w:tcPr>
            <w:tcW w:w="2330" w:type="pct"/>
          </w:tcPr>
          <w:p w:rsidR="00FE2CDE" w:rsidRPr="00F77596" w:rsidRDefault="00FE2CDE" w:rsidP="00FE2CDE">
            <w:pPr>
              <w:contextualSpacing/>
              <w:jc w:val="both"/>
              <w:rPr>
                <w:sz w:val="20"/>
                <w:lang w:val="fr-CA"/>
              </w:rPr>
            </w:pPr>
            <w:r w:rsidRPr="00F77596">
              <w:rPr>
                <w:sz w:val="20"/>
                <w:lang w:val="fr-CA"/>
              </w:rPr>
              <w:t>Dépôt de la demande d’autorisation d’appel</w:t>
            </w:r>
          </w:p>
          <w:p w:rsidR="0084775B" w:rsidRPr="00F77596" w:rsidRDefault="0084775B" w:rsidP="00B77038">
            <w:pPr>
              <w:jc w:val="both"/>
              <w:rPr>
                <w:sz w:val="20"/>
                <w:lang w:val="fr-CA"/>
              </w:rPr>
            </w:pPr>
          </w:p>
        </w:tc>
      </w:tr>
    </w:tbl>
    <w:p w:rsidR="0084775B" w:rsidRDefault="0084775B" w:rsidP="0084775B">
      <w:pPr>
        <w:rPr>
          <w:sz w:val="20"/>
          <w:szCs w:val="20"/>
        </w:rPr>
      </w:pPr>
    </w:p>
    <w:p w:rsidR="0084775B" w:rsidRDefault="00EC4FDF" w:rsidP="0084775B">
      <w:pPr>
        <w:rPr>
          <w:sz w:val="20"/>
          <w:szCs w:val="20"/>
        </w:rPr>
      </w:pPr>
      <w:r>
        <w:rPr>
          <w:sz w:val="20"/>
          <w:szCs w:val="20"/>
          <w:lang w:val="fr-CA"/>
        </w:rPr>
        <w:lastRenderedPageBreak/>
        <w:pict>
          <v:rect id="_x0000_i1070" style="width:2in;height:1pt" o:hrpct="0" o:hralign="center" o:hrstd="t" o:hrnoshade="t" o:hr="t" fillcolor="black [3213]" stroked="f"/>
        </w:pict>
      </w:r>
    </w:p>
    <w:p w:rsidR="0084775B" w:rsidRDefault="0084775B" w:rsidP="0084775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E4EA0" w:rsidRPr="00A73D2C" w:rsidTr="00B77038">
        <w:trPr>
          <w:cantSplit/>
        </w:trPr>
        <w:tc>
          <w:tcPr>
            <w:tcW w:w="1458" w:type="dxa"/>
          </w:tcPr>
          <w:p w:rsidR="00AE4EA0" w:rsidRPr="00A73D2C" w:rsidRDefault="00AE4EA0" w:rsidP="00B77038">
            <w:pPr>
              <w:rPr>
                <w:sz w:val="20"/>
                <w:szCs w:val="20"/>
              </w:rPr>
            </w:pPr>
            <w:r w:rsidRPr="00A73D2C">
              <w:rPr>
                <w:rStyle w:val="SCCFileNumberChar"/>
                <w:sz w:val="20"/>
                <w:szCs w:val="20"/>
              </w:rPr>
              <w:t>36</w:t>
            </w:r>
            <w:r>
              <w:rPr>
                <w:rStyle w:val="SCCFileNumberChar"/>
                <w:sz w:val="20"/>
                <w:szCs w:val="20"/>
              </w:rPr>
              <w:t>463</w:t>
            </w:r>
          </w:p>
          <w:p w:rsidR="00AE4EA0" w:rsidRPr="00A73D2C" w:rsidRDefault="00AE4EA0" w:rsidP="00B77038">
            <w:pPr>
              <w:rPr>
                <w:b/>
                <w:sz w:val="20"/>
                <w:szCs w:val="20"/>
                <w:lang w:val="fr-CA"/>
              </w:rPr>
            </w:pPr>
          </w:p>
        </w:tc>
        <w:tc>
          <w:tcPr>
            <w:tcW w:w="8118" w:type="dxa"/>
          </w:tcPr>
          <w:p w:rsidR="00AE4EA0" w:rsidRPr="00A73D2C" w:rsidRDefault="00AE4EA0" w:rsidP="00B77038">
            <w:pPr>
              <w:rPr>
                <w:sz w:val="20"/>
                <w:szCs w:val="20"/>
              </w:rPr>
            </w:pPr>
            <w:r w:rsidRPr="00AE4EA0">
              <w:rPr>
                <w:rStyle w:val="SCCLsocChar"/>
                <w:sz w:val="20"/>
                <w:szCs w:val="20"/>
                <w:lang w:val="en-CA"/>
              </w:rPr>
              <w:t>Her Majesty the Queen v. Gordon Shane Kennedy</w:t>
            </w:r>
            <w:r w:rsidRPr="00A73D2C">
              <w:rPr>
                <w:sz w:val="20"/>
                <w:szCs w:val="20"/>
              </w:rPr>
              <w:t xml:space="preserve"> (</w:t>
            </w:r>
            <w:r>
              <w:rPr>
                <w:sz w:val="20"/>
                <w:szCs w:val="20"/>
              </w:rPr>
              <w:t>Sask.</w:t>
            </w:r>
            <w:r w:rsidRPr="00A73D2C">
              <w:rPr>
                <w:sz w:val="20"/>
                <w:szCs w:val="20"/>
              </w:rPr>
              <w:t>) (C</w:t>
            </w:r>
            <w:r>
              <w:rPr>
                <w:sz w:val="20"/>
                <w:szCs w:val="20"/>
              </w:rPr>
              <w:t>riminal</w:t>
            </w:r>
            <w:r w:rsidRPr="00A73D2C">
              <w:rPr>
                <w:sz w:val="20"/>
                <w:szCs w:val="20"/>
              </w:rPr>
              <w:t>) (By Leave)</w:t>
            </w:r>
          </w:p>
          <w:p w:rsidR="00AE4EA0" w:rsidRPr="00A73D2C" w:rsidRDefault="00AE4EA0" w:rsidP="00B77038">
            <w:pPr>
              <w:rPr>
                <w:sz w:val="20"/>
                <w:szCs w:val="20"/>
              </w:rPr>
            </w:pPr>
          </w:p>
        </w:tc>
      </w:tr>
      <w:tr w:rsidR="00AE4EA0" w:rsidRPr="00A73D2C" w:rsidTr="00B77038">
        <w:trPr>
          <w:cantSplit/>
        </w:trPr>
        <w:tc>
          <w:tcPr>
            <w:tcW w:w="1458" w:type="dxa"/>
          </w:tcPr>
          <w:p w:rsidR="00AE4EA0" w:rsidRPr="00A73D2C" w:rsidRDefault="00AE4EA0" w:rsidP="00B77038">
            <w:pPr>
              <w:rPr>
                <w:sz w:val="20"/>
                <w:szCs w:val="20"/>
              </w:rPr>
            </w:pPr>
            <w:r w:rsidRPr="00A73D2C">
              <w:rPr>
                <w:sz w:val="20"/>
                <w:szCs w:val="20"/>
              </w:rPr>
              <w:t>Coram :</w:t>
            </w:r>
          </w:p>
        </w:tc>
        <w:tc>
          <w:tcPr>
            <w:tcW w:w="8118" w:type="dxa"/>
          </w:tcPr>
          <w:p w:rsidR="00AE4EA0" w:rsidRDefault="00CF6B6F" w:rsidP="00B77038">
            <w:pPr>
              <w:rPr>
                <w:rStyle w:val="SCCCoramChar"/>
                <w:sz w:val="20"/>
                <w:szCs w:val="20"/>
                <w:lang w:val="en-CA"/>
              </w:rPr>
            </w:pPr>
            <w:r w:rsidRPr="00CF6B6F">
              <w:rPr>
                <w:rStyle w:val="SCCCoramChar"/>
                <w:sz w:val="20"/>
                <w:szCs w:val="20"/>
                <w:lang w:val="en-CA"/>
              </w:rPr>
              <w:t>McLachlin C.J. and Moldaver and Gascon JJ.</w:t>
            </w:r>
          </w:p>
          <w:p w:rsidR="00CF6B6F" w:rsidRPr="00A73D2C" w:rsidRDefault="00CF6B6F" w:rsidP="00B77038">
            <w:pPr>
              <w:rPr>
                <w:sz w:val="20"/>
                <w:szCs w:val="20"/>
                <w:u w:val="single"/>
              </w:rPr>
            </w:pPr>
          </w:p>
        </w:tc>
      </w:tr>
      <w:tr w:rsidR="00AE4EA0" w:rsidRPr="00002704" w:rsidTr="00B77038">
        <w:trPr>
          <w:cantSplit/>
        </w:trPr>
        <w:tc>
          <w:tcPr>
            <w:tcW w:w="9576" w:type="dxa"/>
            <w:gridSpan w:val="2"/>
          </w:tcPr>
          <w:p w:rsidR="00CF6B6F" w:rsidRPr="00CF6B6F" w:rsidRDefault="00CF6B6F" w:rsidP="00CF6B6F">
            <w:pPr>
              <w:pStyle w:val="SCCShortJudgment"/>
              <w:rPr>
                <w:szCs w:val="20"/>
              </w:rPr>
            </w:pPr>
            <w:r w:rsidRPr="00CF6B6F">
              <w:rPr>
                <w:szCs w:val="20"/>
              </w:rPr>
              <w:t>The application for leave to appeal from the judgment of the Court of Appeal for Saskatchewan, Number CACR1891, 2015 SKCA 32, dated April 8, 2015, is dismissed.</w:t>
            </w:r>
          </w:p>
          <w:p w:rsidR="00CF6B6F" w:rsidRPr="00CF6B6F" w:rsidRDefault="00CF6B6F" w:rsidP="00CF6B6F">
            <w:pPr>
              <w:pStyle w:val="SCCShortJudgment"/>
              <w:rPr>
                <w:szCs w:val="20"/>
              </w:rPr>
            </w:pPr>
          </w:p>
          <w:p w:rsidR="00AE4EA0" w:rsidRPr="00A73D2C" w:rsidRDefault="00CF6B6F" w:rsidP="00CF6B6F">
            <w:pPr>
              <w:pStyle w:val="SCCShortJudgment"/>
              <w:rPr>
                <w:szCs w:val="20"/>
                <w:lang w:val="fr-CA"/>
              </w:rPr>
            </w:pPr>
            <w:r w:rsidRPr="00CF6B6F">
              <w:rPr>
                <w:szCs w:val="20"/>
              </w:rPr>
              <w:t>La demande d’autorisation d’appel de l’arrêt de la Cour d’appel de la Saskatchewan, numéro CACR1891, 2015 SKCA 32, daté du 8 avril 2015, est rejetée.</w:t>
            </w:r>
          </w:p>
        </w:tc>
      </w:tr>
    </w:tbl>
    <w:p w:rsidR="00AE4EA0" w:rsidRPr="0016547E" w:rsidRDefault="00AE4EA0" w:rsidP="00AE4EA0">
      <w:pPr>
        <w:rPr>
          <w:sz w:val="20"/>
          <w:szCs w:val="20"/>
          <w:lang w:val="fr-CA"/>
        </w:rPr>
      </w:pPr>
    </w:p>
    <w:p w:rsidR="00AE4EA0" w:rsidRPr="001B157C" w:rsidRDefault="00AE4EA0" w:rsidP="00AE4EA0">
      <w:pPr>
        <w:rPr>
          <w:sz w:val="20"/>
          <w:szCs w:val="20"/>
          <w:u w:val="single"/>
        </w:rPr>
      </w:pPr>
      <w:r w:rsidRPr="001B157C">
        <w:rPr>
          <w:sz w:val="20"/>
          <w:szCs w:val="20"/>
          <w:u w:val="single"/>
        </w:rPr>
        <w:t>CASE SUMMARY</w:t>
      </w:r>
    </w:p>
    <w:p w:rsidR="00AE4EA0" w:rsidRDefault="00AE4EA0" w:rsidP="00AE4E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E4EA0" w:rsidRPr="00E007CB" w:rsidTr="00B77038">
        <w:tc>
          <w:tcPr>
            <w:tcW w:w="5000" w:type="pct"/>
            <w:gridSpan w:val="3"/>
          </w:tcPr>
          <w:p w:rsidR="00AE4EA0" w:rsidRDefault="006934AC" w:rsidP="00B77038">
            <w:pPr>
              <w:jc w:val="both"/>
              <w:rPr>
                <w:sz w:val="20"/>
              </w:rPr>
            </w:pPr>
            <w:r w:rsidRPr="00F77596">
              <w:rPr>
                <w:sz w:val="20"/>
              </w:rPr>
              <w:t xml:space="preserve">Criminal law – Appeals – Standard of appellate review – Whether the Court of Appeal erred by applying the incorrect standard of appellate review – Whether the Court of Appeal erred by quashing a verdict pursuant to section 686(1)(a)(ii) of the </w:t>
            </w:r>
            <w:r w:rsidRPr="00F77596">
              <w:rPr>
                <w:i/>
                <w:sz w:val="20"/>
              </w:rPr>
              <w:t>Criminal Code</w:t>
            </w:r>
            <w:r w:rsidRPr="00F77596">
              <w:rPr>
                <w:sz w:val="20"/>
              </w:rPr>
              <w:t xml:space="preserve"> on the ground that the trial judge’s reasons were insufficient – Whether the Court of Appeal erred by overturning findings of fact in the absence of palpable and overriding error.</w:t>
            </w:r>
          </w:p>
          <w:p w:rsidR="006934AC" w:rsidRPr="00E007CB" w:rsidRDefault="006934AC" w:rsidP="00B77038">
            <w:pPr>
              <w:jc w:val="both"/>
              <w:rPr>
                <w:rFonts w:eastAsia="Calibri"/>
                <w:sz w:val="20"/>
              </w:rPr>
            </w:pPr>
          </w:p>
        </w:tc>
      </w:tr>
      <w:tr w:rsidR="00AE4EA0" w:rsidRPr="00E007CB" w:rsidTr="00B77038">
        <w:tc>
          <w:tcPr>
            <w:tcW w:w="5000" w:type="pct"/>
            <w:gridSpan w:val="3"/>
          </w:tcPr>
          <w:p w:rsidR="006934AC" w:rsidRPr="00F77596" w:rsidRDefault="006934AC" w:rsidP="006934AC">
            <w:pPr>
              <w:jc w:val="both"/>
              <w:rPr>
                <w:sz w:val="20"/>
                <w:lang w:val="en"/>
              </w:rPr>
            </w:pPr>
            <w:r w:rsidRPr="00F77596">
              <w:rPr>
                <w:sz w:val="20"/>
                <w:lang w:val="en"/>
              </w:rPr>
              <w:t>The victim testified that he went to the house of an acquaintance when he was chased by two or three men and was narrowly missed by a swinging machete. After reviewing the evidence, the trial judge convicted t</w:t>
            </w:r>
            <w:r w:rsidRPr="00F77596">
              <w:rPr>
                <w:sz w:val="20"/>
              </w:rPr>
              <w:t xml:space="preserve">he respondent </w:t>
            </w:r>
            <w:r w:rsidRPr="00F77596">
              <w:rPr>
                <w:sz w:val="20"/>
                <w:lang w:val="en"/>
              </w:rPr>
              <w:t>of assault with a weapon. The conviction was set aside and a new trial was ordered.</w:t>
            </w:r>
          </w:p>
          <w:p w:rsidR="00AE4EA0" w:rsidRPr="00F77596" w:rsidRDefault="00AE4EA0" w:rsidP="00B77038">
            <w:pPr>
              <w:jc w:val="both"/>
              <w:rPr>
                <w:sz w:val="20"/>
              </w:rPr>
            </w:pPr>
          </w:p>
        </w:tc>
      </w:tr>
      <w:tr w:rsidR="00AE4EA0" w:rsidRPr="00E007CB" w:rsidTr="00B77038">
        <w:trPr>
          <w:cantSplit/>
        </w:trPr>
        <w:tc>
          <w:tcPr>
            <w:tcW w:w="2427" w:type="pct"/>
          </w:tcPr>
          <w:p w:rsidR="00511E6C" w:rsidRPr="00F77596" w:rsidRDefault="00511E6C" w:rsidP="00511E6C">
            <w:pPr>
              <w:jc w:val="both"/>
              <w:rPr>
                <w:sz w:val="20"/>
              </w:rPr>
            </w:pPr>
            <w:r w:rsidRPr="00F77596">
              <w:rPr>
                <w:sz w:val="20"/>
              </w:rPr>
              <w:t>September 17, 2010</w:t>
            </w:r>
          </w:p>
          <w:p w:rsidR="00511E6C" w:rsidRPr="00F77596" w:rsidRDefault="00511E6C" w:rsidP="00511E6C">
            <w:pPr>
              <w:jc w:val="both"/>
              <w:rPr>
                <w:sz w:val="20"/>
              </w:rPr>
            </w:pPr>
            <w:r w:rsidRPr="00F77596">
              <w:rPr>
                <w:sz w:val="20"/>
              </w:rPr>
              <w:t>Provincial Court of Saskatchewan</w:t>
            </w:r>
          </w:p>
          <w:p w:rsidR="00511E6C" w:rsidRPr="00F77596" w:rsidRDefault="00511E6C" w:rsidP="00511E6C">
            <w:pPr>
              <w:jc w:val="both"/>
              <w:rPr>
                <w:sz w:val="20"/>
              </w:rPr>
            </w:pPr>
            <w:r w:rsidRPr="00F77596">
              <w:rPr>
                <w:sz w:val="20"/>
              </w:rPr>
              <w:t>(Halliday P.C.J.)</w:t>
            </w:r>
          </w:p>
          <w:p w:rsidR="00AE4EA0" w:rsidRPr="00E007CB" w:rsidRDefault="00AE4EA0" w:rsidP="00B77038">
            <w:pPr>
              <w:jc w:val="both"/>
              <w:rPr>
                <w:rFonts w:eastAsia="Calibri"/>
                <w:sz w:val="20"/>
              </w:rPr>
            </w:pPr>
          </w:p>
        </w:tc>
        <w:tc>
          <w:tcPr>
            <w:tcW w:w="243" w:type="pct"/>
          </w:tcPr>
          <w:p w:rsidR="00AE4EA0" w:rsidRPr="00E007CB" w:rsidRDefault="00AE4EA0" w:rsidP="00B77038">
            <w:pPr>
              <w:jc w:val="both"/>
              <w:rPr>
                <w:rFonts w:eastAsia="Calibri"/>
                <w:sz w:val="20"/>
              </w:rPr>
            </w:pPr>
          </w:p>
        </w:tc>
        <w:tc>
          <w:tcPr>
            <w:tcW w:w="2330" w:type="pct"/>
          </w:tcPr>
          <w:p w:rsidR="00511E6C" w:rsidRPr="00F77596" w:rsidRDefault="00511E6C" w:rsidP="00511E6C">
            <w:pPr>
              <w:jc w:val="both"/>
              <w:rPr>
                <w:sz w:val="20"/>
              </w:rPr>
            </w:pPr>
            <w:r w:rsidRPr="00F77596">
              <w:rPr>
                <w:sz w:val="20"/>
              </w:rPr>
              <w:t>Conviction: assault with a weapon</w:t>
            </w:r>
          </w:p>
          <w:p w:rsidR="00AE4EA0" w:rsidRPr="00F77596" w:rsidRDefault="00AE4EA0" w:rsidP="00B77038">
            <w:pPr>
              <w:jc w:val="both"/>
              <w:rPr>
                <w:sz w:val="20"/>
              </w:rPr>
            </w:pPr>
          </w:p>
        </w:tc>
      </w:tr>
      <w:tr w:rsidR="00AE4EA0" w:rsidRPr="00E007CB" w:rsidTr="00B77038">
        <w:trPr>
          <w:cantSplit/>
        </w:trPr>
        <w:tc>
          <w:tcPr>
            <w:tcW w:w="2427" w:type="pct"/>
          </w:tcPr>
          <w:p w:rsidR="00511E6C" w:rsidRPr="00F77596" w:rsidRDefault="00511E6C" w:rsidP="00511E6C">
            <w:pPr>
              <w:jc w:val="both"/>
              <w:rPr>
                <w:sz w:val="20"/>
              </w:rPr>
            </w:pPr>
            <w:r w:rsidRPr="00F77596">
              <w:rPr>
                <w:sz w:val="20"/>
              </w:rPr>
              <w:t>April 8, 2015</w:t>
            </w:r>
          </w:p>
          <w:p w:rsidR="00511E6C" w:rsidRPr="00F77596" w:rsidRDefault="00511E6C" w:rsidP="00511E6C">
            <w:pPr>
              <w:jc w:val="both"/>
              <w:rPr>
                <w:sz w:val="20"/>
              </w:rPr>
            </w:pPr>
            <w:r w:rsidRPr="00F77596">
              <w:rPr>
                <w:sz w:val="20"/>
              </w:rPr>
              <w:t>Court of Appeal for Saskatchewan</w:t>
            </w:r>
          </w:p>
          <w:p w:rsidR="00511E6C" w:rsidRPr="00F77596" w:rsidRDefault="00511E6C" w:rsidP="00511E6C">
            <w:pPr>
              <w:jc w:val="both"/>
              <w:rPr>
                <w:sz w:val="20"/>
              </w:rPr>
            </w:pPr>
            <w:r w:rsidRPr="00F77596">
              <w:rPr>
                <w:sz w:val="20"/>
              </w:rPr>
              <w:t xml:space="preserve">(Richards C.J.S., Caldwell and Whitmore </w:t>
            </w:r>
          </w:p>
          <w:p w:rsidR="00511E6C" w:rsidRPr="00F77596" w:rsidRDefault="00511E6C" w:rsidP="00511E6C">
            <w:pPr>
              <w:jc w:val="both"/>
              <w:rPr>
                <w:sz w:val="20"/>
                <w:lang w:val="fr-CA"/>
              </w:rPr>
            </w:pPr>
            <w:r w:rsidRPr="00F77596">
              <w:rPr>
                <w:sz w:val="20"/>
                <w:lang w:val="fr-CA"/>
              </w:rPr>
              <w:t>JJ.A.)</w:t>
            </w:r>
          </w:p>
          <w:p w:rsidR="00511E6C" w:rsidRPr="00F77596" w:rsidRDefault="00511E6C" w:rsidP="00511E6C">
            <w:pPr>
              <w:jc w:val="both"/>
              <w:rPr>
                <w:sz w:val="20"/>
                <w:lang w:val="fr-CA"/>
              </w:rPr>
            </w:pPr>
            <w:r w:rsidRPr="00F77596">
              <w:rPr>
                <w:sz w:val="20"/>
                <w:lang w:val="fr-CA"/>
              </w:rPr>
              <w:t>2015 SKCA 32; CACR 1891</w:t>
            </w:r>
          </w:p>
          <w:p w:rsidR="00511E6C" w:rsidRPr="00F77596" w:rsidRDefault="00EC4FDF" w:rsidP="00511E6C">
            <w:pPr>
              <w:jc w:val="both"/>
              <w:rPr>
                <w:sz w:val="20"/>
                <w:lang w:val="fr-CA"/>
              </w:rPr>
            </w:pPr>
            <w:hyperlink r:id="rId84" w:history="1">
              <w:r w:rsidR="00511E6C" w:rsidRPr="00F77596">
                <w:rPr>
                  <w:rStyle w:val="Hyperlink"/>
                  <w:rFonts w:eastAsiaTheme="majorEastAsia"/>
                  <w:sz w:val="20"/>
                  <w:lang w:val="fr-CA"/>
                </w:rPr>
                <w:t>http://canlii.ca/t/gh67b</w:t>
              </w:r>
            </w:hyperlink>
          </w:p>
          <w:p w:rsidR="00AE4EA0" w:rsidRDefault="00AE4EA0" w:rsidP="00B77038">
            <w:pPr>
              <w:jc w:val="both"/>
              <w:rPr>
                <w:rFonts w:eastAsia="Calibri"/>
                <w:sz w:val="20"/>
              </w:rPr>
            </w:pPr>
          </w:p>
        </w:tc>
        <w:tc>
          <w:tcPr>
            <w:tcW w:w="243" w:type="pct"/>
          </w:tcPr>
          <w:p w:rsidR="00AE4EA0" w:rsidRPr="00E007CB" w:rsidRDefault="00AE4EA0" w:rsidP="00B77038">
            <w:pPr>
              <w:jc w:val="both"/>
              <w:rPr>
                <w:rFonts w:eastAsia="Calibri"/>
                <w:sz w:val="20"/>
              </w:rPr>
            </w:pPr>
          </w:p>
        </w:tc>
        <w:tc>
          <w:tcPr>
            <w:tcW w:w="2330" w:type="pct"/>
          </w:tcPr>
          <w:p w:rsidR="00511E6C" w:rsidRPr="00F77596" w:rsidRDefault="00511E6C" w:rsidP="00511E6C">
            <w:pPr>
              <w:jc w:val="both"/>
              <w:rPr>
                <w:sz w:val="20"/>
              </w:rPr>
            </w:pPr>
            <w:r w:rsidRPr="00F77596">
              <w:rPr>
                <w:sz w:val="20"/>
              </w:rPr>
              <w:t>Appeal allowed: new trial ordered</w:t>
            </w:r>
          </w:p>
          <w:p w:rsidR="00AE4EA0" w:rsidRPr="00F77596" w:rsidRDefault="00AE4EA0" w:rsidP="00B77038">
            <w:pPr>
              <w:jc w:val="both"/>
              <w:rPr>
                <w:sz w:val="20"/>
              </w:rPr>
            </w:pPr>
          </w:p>
        </w:tc>
      </w:tr>
      <w:tr w:rsidR="00AE4EA0" w:rsidRPr="00E007CB" w:rsidTr="00B77038">
        <w:trPr>
          <w:cantSplit/>
        </w:trPr>
        <w:tc>
          <w:tcPr>
            <w:tcW w:w="2427" w:type="pct"/>
          </w:tcPr>
          <w:p w:rsidR="00AE4EA0" w:rsidRPr="00E007CB" w:rsidRDefault="00511E6C" w:rsidP="00B77038">
            <w:pPr>
              <w:jc w:val="both"/>
              <w:rPr>
                <w:rFonts w:eastAsia="Calibri"/>
                <w:sz w:val="20"/>
              </w:rPr>
            </w:pPr>
            <w:r>
              <w:rPr>
                <w:rFonts w:eastAsia="Calibri"/>
                <w:sz w:val="20"/>
              </w:rPr>
              <w:t>June</w:t>
            </w:r>
            <w:r w:rsidR="00AE4EA0">
              <w:rPr>
                <w:rFonts w:eastAsia="Calibri"/>
                <w:sz w:val="20"/>
              </w:rPr>
              <w:t xml:space="preserve"> </w:t>
            </w:r>
            <w:r>
              <w:rPr>
                <w:rFonts w:eastAsia="Calibri"/>
                <w:sz w:val="20"/>
              </w:rPr>
              <w:t>3</w:t>
            </w:r>
            <w:r w:rsidR="00AE4EA0">
              <w:rPr>
                <w:rFonts w:eastAsia="Calibri"/>
                <w:sz w:val="20"/>
              </w:rPr>
              <w:t>,</w:t>
            </w:r>
            <w:r w:rsidR="00AE4EA0" w:rsidRPr="00E007CB">
              <w:rPr>
                <w:rFonts w:eastAsia="Calibri"/>
                <w:sz w:val="20"/>
              </w:rPr>
              <w:t xml:space="preserve"> 201</w:t>
            </w:r>
            <w:r w:rsidR="00AE4EA0">
              <w:rPr>
                <w:rFonts w:eastAsia="Calibri"/>
                <w:sz w:val="20"/>
              </w:rPr>
              <w:t>5</w:t>
            </w:r>
          </w:p>
          <w:p w:rsidR="00AE4EA0" w:rsidRPr="00E007CB" w:rsidRDefault="00AE4EA0" w:rsidP="00B77038">
            <w:pPr>
              <w:jc w:val="both"/>
              <w:rPr>
                <w:rFonts w:eastAsia="Calibri"/>
                <w:sz w:val="20"/>
              </w:rPr>
            </w:pPr>
            <w:r w:rsidRPr="00E007CB">
              <w:rPr>
                <w:rFonts w:eastAsia="Calibri"/>
                <w:sz w:val="20"/>
              </w:rPr>
              <w:t>Supreme Court of Canada</w:t>
            </w:r>
          </w:p>
        </w:tc>
        <w:tc>
          <w:tcPr>
            <w:tcW w:w="243" w:type="pct"/>
          </w:tcPr>
          <w:p w:rsidR="00AE4EA0" w:rsidRPr="00E007CB" w:rsidRDefault="00AE4EA0" w:rsidP="00B77038">
            <w:pPr>
              <w:jc w:val="both"/>
              <w:rPr>
                <w:rFonts w:eastAsia="Calibri"/>
                <w:sz w:val="20"/>
              </w:rPr>
            </w:pPr>
          </w:p>
        </w:tc>
        <w:tc>
          <w:tcPr>
            <w:tcW w:w="2330" w:type="pct"/>
          </w:tcPr>
          <w:p w:rsidR="00AE4EA0" w:rsidRPr="00F77596" w:rsidRDefault="00AE4EA0" w:rsidP="00B77038">
            <w:pPr>
              <w:jc w:val="both"/>
              <w:rPr>
                <w:sz w:val="20"/>
              </w:rPr>
            </w:pPr>
            <w:r w:rsidRPr="00F77596">
              <w:rPr>
                <w:sz w:val="20"/>
              </w:rPr>
              <w:t>Application for leave to appeal filed</w:t>
            </w:r>
          </w:p>
          <w:p w:rsidR="00AE4EA0" w:rsidRPr="00F77596" w:rsidRDefault="00AE4EA0" w:rsidP="00B77038">
            <w:pPr>
              <w:jc w:val="both"/>
              <w:rPr>
                <w:sz w:val="20"/>
              </w:rPr>
            </w:pPr>
          </w:p>
        </w:tc>
      </w:tr>
    </w:tbl>
    <w:p w:rsidR="00AE4EA0" w:rsidRDefault="00AE4EA0" w:rsidP="00AE4EA0">
      <w:pPr>
        <w:rPr>
          <w:sz w:val="20"/>
          <w:szCs w:val="20"/>
        </w:rPr>
      </w:pPr>
    </w:p>
    <w:p w:rsidR="00AE4EA0" w:rsidRPr="00C50A5C" w:rsidRDefault="00EC4FDF" w:rsidP="00AE4EA0">
      <w:pPr>
        <w:rPr>
          <w:sz w:val="20"/>
          <w:szCs w:val="20"/>
        </w:rPr>
      </w:pPr>
      <w:r>
        <w:rPr>
          <w:sz w:val="20"/>
          <w:szCs w:val="20"/>
          <w:lang w:val="fr-CA"/>
        </w:rPr>
        <w:pict>
          <v:rect id="_x0000_i1071" style="width:2in;height:1pt" o:hrpct="0" o:hralign="center" o:hrstd="t" o:hrnoshade="t" o:hr="t" fillcolor="black [3213]" stroked="f"/>
        </w:pict>
      </w:r>
    </w:p>
    <w:p w:rsidR="00AE4EA0" w:rsidRDefault="00AE4EA0" w:rsidP="00AE4EA0">
      <w:pPr>
        <w:rPr>
          <w:sz w:val="20"/>
          <w:szCs w:val="20"/>
        </w:rPr>
      </w:pPr>
    </w:p>
    <w:p w:rsidR="00AE4EA0" w:rsidRPr="001B157C" w:rsidRDefault="00AE4EA0" w:rsidP="00AE4EA0">
      <w:pPr>
        <w:rPr>
          <w:sz w:val="20"/>
          <w:szCs w:val="20"/>
          <w:u w:val="single"/>
          <w:lang w:val="fr-CA"/>
        </w:rPr>
      </w:pPr>
      <w:r w:rsidRPr="001B157C">
        <w:rPr>
          <w:sz w:val="20"/>
          <w:szCs w:val="20"/>
          <w:u w:val="single"/>
          <w:lang w:val="fr-CA"/>
        </w:rPr>
        <w:t>RÉSUMÉ DE L’AFFAIRE</w:t>
      </w:r>
    </w:p>
    <w:p w:rsidR="00AE4EA0" w:rsidRDefault="00AE4EA0" w:rsidP="00AE4E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E4EA0" w:rsidRPr="00002704" w:rsidTr="00B77038">
        <w:tc>
          <w:tcPr>
            <w:tcW w:w="5000" w:type="pct"/>
            <w:gridSpan w:val="3"/>
          </w:tcPr>
          <w:p w:rsidR="00AE4EA0" w:rsidRDefault="00A7767B" w:rsidP="00B77038">
            <w:pPr>
              <w:jc w:val="both"/>
              <w:rPr>
                <w:sz w:val="20"/>
                <w:lang w:val="fr-CA"/>
              </w:rPr>
            </w:pPr>
            <w:r w:rsidRPr="00F77596">
              <w:rPr>
                <w:sz w:val="20"/>
                <w:lang w:val="fr-CA"/>
              </w:rPr>
              <w:t>Droit criminel – Appels – Norme de contrôle en appel – La Cour d’appel a-t-elle commis une erreur en appliquant la mauvaise norme de contrôle en appel? – La Cour d’appel a-t-elle eu tort d’annuler un verdict en application du sous-al. 686(1)</w:t>
            </w:r>
            <w:r w:rsidRPr="00F77596">
              <w:rPr>
                <w:i/>
                <w:sz w:val="20"/>
                <w:lang w:val="fr-CA"/>
              </w:rPr>
              <w:t>a</w:t>
            </w:r>
            <w:r w:rsidRPr="00F77596">
              <w:rPr>
                <w:sz w:val="20"/>
                <w:lang w:val="fr-CA"/>
              </w:rPr>
              <w:t xml:space="preserve">)(ii) du </w:t>
            </w:r>
            <w:r w:rsidRPr="00F77596">
              <w:rPr>
                <w:i/>
                <w:sz w:val="20"/>
                <w:lang w:val="fr-CA"/>
              </w:rPr>
              <w:t>Code criminel</w:t>
            </w:r>
            <w:r w:rsidRPr="00F77596">
              <w:rPr>
                <w:sz w:val="20"/>
                <w:lang w:val="fr-CA"/>
              </w:rPr>
              <w:t xml:space="preserve"> parce que les motifs du juge de première instance auraient été insuffisants? – La Cour d’appel a-t-elle eu tort d’infirmer des conclusions de fait en l’absence d’erreur manifeste et dominante?</w:t>
            </w:r>
          </w:p>
          <w:p w:rsidR="00A7767B" w:rsidRPr="00E007CB" w:rsidRDefault="00A7767B" w:rsidP="00B77038">
            <w:pPr>
              <w:jc w:val="both"/>
              <w:rPr>
                <w:rFonts w:eastAsia="Calibri"/>
                <w:sz w:val="20"/>
                <w:lang w:val="fr-CA"/>
              </w:rPr>
            </w:pPr>
          </w:p>
        </w:tc>
      </w:tr>
      <w:tr w:rsidR="00AE4EA0" w:rsidRPr="00002704" w:rsidTr="00B77038">
        <w:tc>
          <w:tcPr>
            <w:tcW w:w="5000" w:type="pct"/>
            <w:gridSpan w:val="3"/>
          </w:tcPr>
          <w:p w:rsidR="00A7767B" w:rsidRPr="00F77596" w:rsidRDefault="00A7767B" w:rsidP="00A7767B">
            <w:pPr>
              <w:jc w:val="both"/>
              <w:rPr>
                <w:sz w:val="20"/>
                <w:lang w:val="fr-CA"/>
              </w:rPr>
            </w:pPr>
            <w:r w:rsidRPr="00F77596">
              <w:rPr>
                <w:sz w:val="20"/>
                <w:lang w:val="fr-CA"/>
              </w:rPr>
              <w:t>Dans son témoignage, la victime a affirmé s’être rendue à la maison d’une connaissance lorsqu’elle s’est fait pourchasser par deux ou trois hommes et a failli être atteinte par un coup de machette. Après avoir examiné la preuve, la juge du procès a déclaré l’intimé coupable d’agression armée. La déclaration de culpabilité a été annulée et un nouveau procès a été ordonné.</w:t>
            </w:r>
          </w:p>
          <w:p w:rsidR="00AE4EA0" w:rsidRPr="00F77596" w:rsidRDefault="00AE4EA0" w:rsidP="00B77038">
            <w:pPr>
              <w:jc w:val="both"/>
              <w:rPr>
                <w:sz w:val="20"/>
                <w:lang w:val="fr-CA"/>
              </w:rPr>
            </w:pPr>
          </w:p>
        </w:tc>
      </w:tr>
      <w:tr w:rsidR="00AE4EA0" w:rsidRPr="00002704" w:rsidTr="00B77038">
        <w:trPr>
          <w:cantSplit/>
        </w:trPr>
        <w:tc>
          <w:tcPr>
            <w:tcW w:w="2427" w:type="pct"/>
          </w:tcPr>
          <w:p w:rsidR="00846918" w:rsidRPr="00F77596" w:rsidRDefault="00846918" w:rsidP="00846918">
            <w:pPr>
              <w:jc w:val="both"/>
              <w:rPr>
                <w:sz w:val="20"/>
                <w:lang w:val="fr-CA"/>
              </w:rPr>
            </w:pPr>
            <w:r w:rsidRPr="00F77596">
              <w:rPr>
                <w:sz w:val="20"/>
                <w:lang w:val="fr-CA"/>
              </w:rPr>
              <w:lastRenderedPageBreak/>
              <w:t>17 septembre 2010</w:t>
            </w:r>
          </w:p>
          <w:p w:rsidR="00846918" w:rsidRPr="00F77596" w:rsidRDefault="00846918" w:rsidP="00846918">
            <w:pPr>
              <w:jc w:val="both"/>
              <w:rPr>
                <w:sz w:val="20"/>
                <w:lang w:val="fr-CA"/>
              </w:rPr>
            </w:pPr>
            <w:r w:rsidRPr="00F77596">
              <w:rPr>
                <w:sz w:val="20"/>
                <w:lang w:val="fr-CA"/>
              </w:rPr>
              <w:t>Cour provinciale de la Saskatchewan</w:t>
            </w:r>
          </w:p>
          <w:p w:rsidR="00846918" w:rsidRPr="00F77596" w:rsidRDefault="00846918" w:rsidP="00846918">
            <w:pPr>
              <w:jc w:val="both"/>
              <w:rPr>
                <w:sz w:val="20"/>
                <w:lang w:val="fr-CA"/>
              </w:rPr>
            </w:pPr>
            <w:r w:rsidRPr="00F77596">
              <w:rPr>
                <w:sz w:val="20"/>
                <w:lang w:val="fr-CA"/>
              </w:rPr>
              <w:t>(Juge Halliday)</w:t>
            </w:r>
          </w:p>
          <w:p w:rsidR="00AE4EA0" w:rsidRPr="00E007CB" w:rsidRDefault="00AE4EA0" w:rsidP="00B77038">
            <w:pPr>
              <w:jc w:val="both"/>
              <w:rPr>
                <w:rFonts w:eastAsia="Calibri"/>
                <w:sz w:val="20"/>
                <w:lang w:val="fr-CA"/>
              </w:rPr>
            </w:pPr>
          </w:p>
        </w:tc>
        <w:tc>
          <w:tcPr>
            <w:tcW w:w="243" w:type="pct"/>
          </w:tcPr>
          <w:p w:rsidR="00AE4EA0" w:rsidRPr="00E007CB" w:rsidRDefault="00AE4EA0" w:rsidP="00B77038">
            <w:pPr>
              <w:jc w:val="both"/>
              <w:rPr>
                <w:rFonts w:eastAsia="Calibri"/>
                <w:sz w:val="20"/>
                <w:lang w:val="fr-CA"/>
              </w:rPr>
            </w:pPr>
          </w:p>
        </w:tc>
        <w:tc>
          <w:tcPr>
            <w:tcW w:w="2330" w:type="pct"/>
          </w:tcPr>
          <w:p w:rsidR="00846918" w:rsidRPr="00F77596" w:rsidRDefault="00846918" w:rsidP="00846918">
            <w:pPr>
              <w:jc w:val="both"/>
              <w:rPr>
                <w:sz w:val="20"/>
                <w:lang w:val="fr-CA"/>
              </w:rPr>
            </w:pPr>
            <w:r w:rsidRPr="00F77596">
              <w:rPr>
                <w:sz w:val="20"/>
                <w:lang w:val="fr-CA"/>
              </w:rPr>
              <w:t>Déclaration de culpabilité : agression armée</w:t>
            </w:r>
          </w:p>
          <w:p w:rsidR="00AE4EA0" w:rsidRPr="00F77596" w:rsidRDefault="00AE4EA0" w:rsidP="00B77038">
            <w:pPr>
              <w:jc w:val="both"/>
              <w:rPr>
                <w:sz w:val="20"/>
                <w:lang w:val="fr-FR"/>
              </w:rPr>
            </w:pPr>
          </w:p>
        </w:tc>
      </w:tr>
      <w:tr w:rsidR="00AE4EA0" w:rsidRPr="00E007CB" w:rsidTr="00B77038">
        <w:trPr>
          <w:cantSplit/>
        </w:trPr>
        <w:tc>
          <w:tcPr>
            <w:tcW w:w="2427" w:type="pct"/>
          </w:tcPr>
          <w:p w:rsidR="00846918" w:rsidRPr="00F77596" w:rsidRDefault="00846918" w:rsidP="00846918">
            <w:pPr>
              <w:jc w:val="both"/>
              <w:rPr>
                <w:sz w:val="20"/>
                <w:lang w:val="fr-CA"/>
              </w:rPr>
            </w:pPr>
            <w:r w:rsidRPr="00F77596">
              <w:rPr>
                <w:sz w:val="20"/>
                <w:lang w:val="fr-CA"/>
              </w:rPr>
              <w:t>8 avril 2015</w:t>
            </w:r>
          </w:p>
          <w:p w:rsidR="00846918" w:rsidRPr="00F77596" w:rsidRDefault="00846918" w:rsidP="00846918">
            <w:pPr>
              <w:jc w:val="both"/>
              <w:rPr>
                <w:sz w:val="20"/>
                <w:lang w:val="fr-CA"/>
              </w:rPr>
            </w:pPr>
            <w:r w:rsidRPr="00F77596">
              <w:rPr>
                <w:sz w:val="20"/>
                <w:lang w:val="fr-CA"/>
              </w:rPr>
              <w:t>Cour d’appel de la Saskatchewan</w:t>
            </w:r>
          </w:p>
          <w:p w:rsidR="00846918" w:rsidRPr="00F77596" w:rsidRDefault="00846918" w:rsidP="00846918">
            <w:pPr>
              <w:jc w:val="both"/>
              <w:rPr>
                <w:sz w:val="20"/>
                <w:lang w:val="fr-CA"/>
              </w:rPr>
            </w:pPr>
            <w:r w:rsidRPr="00F77596">
              <w:rPr>
                <w:sz w:val="20"/>
                <w:lang w:val="fr-CA"/>
              </w:rPr>
              <w:t>(Juge en chef Richards, juges Caldwell et Whitmore)</w:t>
            </w:r>
          </w:p>
          <w:p w:rsidR="00846918" w:rsidRPr="00F77596" w:rsidRDefault="00846918" w:rsidP="00846918">
            <w:pPr>
              <w:jc w:val="both"/>
              <w:rPr>
                <w:sz w:val="20"/>
                <w:lang w:val="fr-CA"/>
              </w:rPr>
            </w:pPr>
            <w:r w:rsidRPr="00F77596">
              <w:rPr>
                <w:sz w:val="20"/>
                <w:lang w:val="fr-CA"/>
              </w:rPr>
              <w:t>2015 SKCA 32; CACR 1891</w:t>
            </w:r>
          </w:p>
          <w:p w:rsidR="00846918" w:rsidRPr="00F77596" w:rsidRDefault="00EC4FDF" w:rsidP="00846918">
            <w:pPr>
              <w:jc w:val="both"/>
              <w:rPr>
                <w:sz w:val="20"/>
                <w:lang w:val="fr-CA"/>
              </w:rPr>
            </w:pPr>
            <w:hyperlink r:id="rId85" w:history="1">
              <w:r w:rsidR="00846918" w:rsidRPr="00F77596">
                <w:rPr>
                  <w:rStyle w:val="Hyperlink"/>
                  <w:rFonts w:eastAsiaTheme="majorEastAsia"/>
                  <w:sz w:val="20"/>
                  <w:lang w:val="fr-CA"/>
                </w:rPr>
                <w:t>http://canlii.ca/t/gh67b</w:t>
              </w:r>
            </w:hyperlink>
          </w:p>
          <w:p w:rsidR="00AE4EA0" w:rsidRDefault="00AE4EA0" w:rsidP="00B77038">
            <w:pPr>
              <w:jc w:val="both"/>
              <w:rPr>
                <w:rFonts w:eastAsia="Calibri"/>
                <w:sz w:val="20"/>
                <w:lang w:val="fr-CA"/>
              </w:rPr>
            </w:pPr>
          </w:p>
        </w:tc>
        <w:tc>
          <w:tcPr>
            <w:tcW w:w="243" w:type="pct"/>
          </w:tcPr>
          <w:p w:rsidR="00AE4EA0" w:rsidRPr="00E007CB" w:rsidRDefault="00AE4EA0" w:rsidP="00B77038">
            <w:pPr>
              <w:jc w:val="both"/>
              <w:rPr>
                <w:rFonts w:eastAsia="Calibri"/>
                <w:sz w:val="20"/>
                <w:lang w:val="fr-CA"/>
              </w:rPr>
            </w:pPr>
          </w:p>
        </w:tc>
        <w:tc>
          <w:tcPr>
            <w:tcW w:w="2330" w:type="pct"/>
          </w:tcPr>
          <w:p w:rsidR="00846918" w:rsidRPr="00F77596" w:rsidRDefault="00846918" w:rsidP="00846918">
            <w:pPr>
              <w:jc w:val="both"/>
              <w:rPr>
                <w:sz w:val="20"/>
                <w:lang w:val="fr-CA"/>
              </w:rPr>
            </w:pPr>
            <w:r w:rsidRPr="00F77596">
              <w:rPr>
                <w:sz w:val="20"/>
                <w:lang w:val="fr-CA"/>
              </w:rPr>
              <w:t>Arrêt accueillant l’appel; ordonnance de nouveau procès</w:t>
            </w:r>
          </w:p>
          <w:p w:rsidR="00AE4EA0" w:rsidRPr="00F77596" w:rsidRDefault="00AE4EA0" w:rsidP="00B77038">
            <w:pPr>
              <w:jc w:val="both"/>
              <w:rPr>
                <w:sz w:val="20"/>
                <w:lang w:val="fr-CA"/>
              </w:rPr>
            </w:pPr>
          </w:p>
        </w:tc>
      </w:tr>
      <w:tr w:rsidR="00AE4EA0" w:rsidRPr="00E007CB" w:rsidTr="00B77038">
        <w:trPr>
          <w:cantSplit/>
        </w:trPr>
        <w:tc>
          <w:tcPr>
            <w:tcW w:w="2427" w:type="pct"/>
          </w:tcPr>
          <w:p w:rsidR="00AE4EA0" w:rsidRPr="00E007CB" w:rsidRDefault="00846918" w:rsidP="00B77038">
            <w:pPr>
              <w:jc w:val="both"/>
              <w:rPr>
                <w:rFonts w:eastAsia="Calibri"/>
                <w:sz w:val="20"/>
                <w:lang w:val="fr-CA"/>
              </w:rPr>
            </w:pPr>
            <w:r>
              <w:rPr>
                <w:rFonts w:eastAsia="Calibri"/>
                <w:sz w:val="20"/>
                <w:lang w:val="fr-CA"/>
              </w:rPr>
              <w:t>3</w:t>
            </w:r>
            <w:r w:rsidR="00AE4EA0">
              <w:rPr>
                <w:rFonts w:eastAsia="Calibri"/>
                <w:sz w:val="20"/>
                <w:lang w:val="fr-CA"/>
              </w:rPr>
              <w:t xml:space="preserve"> </w:t>
            </w:r>
            <w:r>
              <w:rPr>
                <w:rFonts w:eastAsia="Calibri"/>
                <w:sz w:val="20"/>
                <w:lang w:val="fr-CA"/>
              </w:rPr>
              <w:t>juin</w:t>
            </w:r>
            <w:r w:rsidR="00AE4EA0" w:rsidRPr="00E007CB">
              <w:rPr>
                <w:rFonts w:eastAsia="Calibri"/>
                <w:sz w:val="20"/>
                <w:lang w:val="fr-CA"/>
              </w:rPr>
              <w:t xml:space="preserve"> 201</w:t>
            </w:r>
            <w:r w:rsidR="00AE4EA0">
              <w:rPr>
                <w:rFonts w:eastAsia="Calibri"/>
                <w:sz w:val="20"/>
                <w:lang w:val="fr-CA"/>
              </w:rPr>
              <w:t>5</w:t>
            </w:r>
          </w:p>
          <w:p w:rsidR="00AE4EA0" w:rsidRPr="00E007CB" w:rsidRDefault="00AE4EA0" w:rsidP="00B77038">
            <w:pPr>
              <w:jc w:val="both"/>
              <w:rPr>
                <w:rFonts w:eastAsia="Calibri"/>
                <w:sz w:val="20"/>
                <w:lang w:val="fr-CA"/>
              </w:rPr>
            </w:pPr>
            <w:r w:rsidRPr="00E007CB">
              <w:rPr>
                <w:rFonts w:eastAsia="Calibri"/>
                <w:sz w:val="20"/>
                <w:lang w:val="fr-CA"/>
              </w:rPr>
              <w:t>Cour suprême du Canada</w:t>
            </w:r>
          </w:p>
        </w:tc>
        <w:tc>
          <w:tcPr>
            <w:tcW w:w="243" w:type="pct"/>
          </w:tcPr>
          <w:p w:rsidR="00AE4EA0" w:rsidRPr="00E007CB" w:rsidRDefault="00AE4EA0" w:rsidP="00B77038">
            <w:pPr>
              <w:jc w:val="both"/>
              <w:rPr>
                <w:rFonts w:eastAsia="Calibri"/>
                <w:sz w:val="20"/>
                <w:lang w:val="fr-CA"/>
              </w:rPr>
            </w:pPr>
          </w:p>
        </w:tc>
        <w:tc>
          <w:tcPr>
            <w:tcW w:w="2330" w:type="pct"/>
          </w:tcPr>
          <w:p w:rsidR="00AE4EA0" w:rsidRPr="00F77596" w:rsidRDefault="00AE4EA0" w:rsidP="00B77038">
            <w:pPr>
              <w:contextualSpacing/>
              <w:jc w:val="both"/>
              <w:rPr>
                <w:sz w:val="20"/>
                <w:lang w:val="fr-CA"/>
              </w:rPr>
            </w:pPr>
            <w:r w:rsidRPr="00F77596">
              <w:rPr>
                <w:sz w:val="20"/>
                <w:lang w:val="fr-CA"/>
              </w:rPr>
              <w:t>Dépôt de la demande d’autorisation d’appel</w:t>
            </w:r>
          </w:p>
          <w:p w:rsidR="00AE4EA0" w:rsidRPr="00F77596" w:rsidRDefault="00AE4EA0" w:rsidP="00B77038">
            <w:pPr>
              <w:jc w:val="both"/>
              <w:rPr>
                <w:sz w:val="20"/>
                <w:lang w:val="fr-CA"/>
              </w:rPr>
            </w:pPr>
          </w:p>
        </w:tc>
      </w:tr>
    </w:tbl>
    <w:p w:rsidR="00AE4EA0" w:rsidRDefault="00AE4EA0" w:rsidP="00AE4EA0">
      <w:pPr>
        <w:rPr>
          <w:sz w:val="20"/>
          <w:szCs w:val="20"/>
        </w:rPr>
      </w:pPr>
    </w:p>
    <w:p w:rsidR="00AE4EA0" w:rsidRDefault="00EC4FDF" w:rsidP="00AE4EA0">
      <w:pPr>
        <w:rPr>
          <w:sz w:val="20"/>
          <w:szCs w:val="20"/>
        </w:rPr>
      </w:pPr>
      <w:r>
        <w:rPr>
          <w:sz w:val="20"/>
          <w:szCs w:val="20"/>
          <w:lang w:val="fr-CA"/>
        </w:rPr>
        <w:pict>
          <v:rect id="_x0000_i1072" style="width:2in;height:1pt" o:hrpct="0" o:hralign="center" o:hrstd="t" o:hrnoshade="t" o:hr="t" fillcolor="black [3213]" stroked="f"/>
        </w:pict>
      </w:r>
    </w:p>
    <w:p w:rsidR="00AE4EA0" w:rsidRDefault="00AE4EA0" w:rsidP="00AE4EA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509FB" w:rsidRPr="00A73D2C" w:rsidTr="00B77038">
        <w:trPr>
          <w:cantSplit/>
        </w:trPr>
        <w:tc>
          <w:tcPr>
            <w:tcW w:w="1458" w:type="dxa"/>
          </w:tcPr>
          <w:p w:rsidR="000509FB" w:rsidRPr="00A73D2C" w:rsidRDefault="000509FB" w:rsidP="00B77038">
            <w:pPr>
              <w:rPr>
                <w:sz w:val="20"/>
                <w:szCs w:val="20"/>
              </w:rPr>
            </w:pPr>
            <w:r w:rsidRPr="00A73D2C">
              <w:rPr>
                <w:rStyle w:val="SCCFileNumberChar"/>
                <w:sz w:val="20"/>
                <w:szCs w:val="20"/>
              </w:rPr>
              <w:t>36</w:t>
            </w:r>
            <w:r>
              <w:rPr>
                <w:rStyle w:val="SCCFileNumberChar"/>
                <w:sz w:val="20"/>
                <w:szCs w:val="20"/>
              </w:rPr>
              <w:t>469</w:t>
            </w:r>
          </w:p>
          <w:p w:rsidR="000509FB" w:rsidRPr="00A73D2C" w:rsidRDefault="000509FB" w:rsidP="00B77038">
            <w:pPr>
              <w:rPr>
                <w:b/>
                <w:sz w:val="20"/>
                <w:szCs w:val="20"/>
                <w:lang w:val="fr-CA"/>
              </w:rPr>
            </w:pPr>
          </w:p>
        </w:tc>
        <w:tc>
          <w:tcPr>
            <w:tcW w:w="8118" w:type="dxa"/>
          </w:tcPr>
          <w:p w:rsidR="000509FB" w:rsidRPr="00A73D2C" w:rsidRDefault="000509FB" w:rsidP="00B77038">
            <w:pPr>
              <w:rPr>
                <w:sz w:val="20"/>
                <w:szCs w:val="20"/>
              </w:rPr>
            </w:pPr>
            <w:r w:rsidRPr="000509FB">
              <w:rPr>
                <w:rStyle w:val="SCCLsocChar"/>
                <w:sz w:val="20"/>
                <w:szCs w:val="20"/>
                <w:lang w:val="en-CA"/>
              </w:rPr>
              <w:t>Sean William Doak v. Attorney General of Canada on behalf of the United States of America</w:t>
            </w:r>
            <w:r w:rsidRPr="00A73D2C">
              <w:rPr>
                <w:sz w:val="20"/>
                <w:szCs w:val="20"/>
              </w:rPr>
              <w:t xml:space="preserve"> (</w:t>
            </w:r>
            <w:r>
              <w:rPr>
                <w:sz w:val="20"/>
                <w:szCs w:val="20"/>
              </w:rPr>
              <w:t>B.C.</w:t>
            </w:r>
            <w:r w:rsidRPr="00A73D2C">
              <w:rPr>
                <w:sz w:val="20"/>
                <w:szCs w:val="20"/>
              </w:rPr>
              <w:t>) (C</w:t>
            </w:r>
            <w:r>
              <w:rPr>
                <w:sz w:val="20"/>
                <w:szCs w:val="20"/>
              </w:rPr>
              <w:t>riminal</w:t>
            </w:r>
            <w:r w:rsidRPr="00A73D2C">
              <w:rPr>
                <w:sz w:val="20"/>
                <w:szCs w:val="20"/>
              </w:rPr>
              <w:t>) (By Leave)</w:t>
            </w:r>
          </w:p>
          <w:p w:rsidR="000509FB" w:rsidRPr="00A73D2C" w:rsidRDefault="000509FB" w:rsidP="00B77038">
            <w:pPr>
              <w:rPr>
                <w:sz w:val="20"/>
                <w:szCs w:val="20"/>
              </w:rPr>
            </w:pPr>
          </w:p>
        </w:tc>
      </w:tr>
      <w:tr w:rsidR="000509FB" w:rsidRPr="00A73D2C" w:rsidTr="00B77038">
        <w:trPr>
          <w:cantSplit/>
        </w:trPr>
        <w:tc>
          <w:tcPr>
            <w:tcW w:w="1458" w:type="dxa"/>
          </w:tcPr>
          <w:p w:rsidR="000509FB" w:rsidRPr="00A73D2C" w:rsidRDefault="000509FB" w:rsidP="00B77038">
            <w:pPr>
              <w:rPr>
                <w:sz w:val="20"/>
                <w:szCs w:val="20"/>
              </w:rPr>
            </w:pPr>
            <w:r w:rsidRPr="00A73D2C">
              <w:rPr>
                <w:sz w:val="20"/>
                <w:szCs w:val="20"/>
              </w:rPr>
              <w:t>Coram :</w:t>
            </w:r>
          </w:p>
        </w:tc>
        <w:tc>
          <w:tcPr>
            <w:tcW w:w="8118" w:type="dxa"/>
          </w:tcPr>
          <w:p w:rsidR="000509FB" w:rsidRDefault="00D262A9" w:rsidP="00B77038">
            <w:pPr>
              <w:rPr>
                <w:rStyle w:val="SCCCoramChar"/>
                <w:sz w:val="20"/>
                <w:szCs w:val="20"/>
                <w:lang w:val="en-CA"/>
              </w:rPr>
            </w:pPr>
            <w:r w:rsidRPr="00D262A9">
              <w:rPr>
                <w:rStyle w:val="SCCCoramChar"/>
                <w:sz w:val="20"/>
                <w:szCs w:val="20"/>
                <w:lang w:val="en-CA"/>
              </w:rPr>
              <w:t>McLachlin C.J. and Moldaver and Gascon JJ.</w:t>
            </w:r>
          </w:p>
          <w:p w:rsidR="00D262A9" w:rsidRPr="00A73D2C" w:rsidRDefault="00D262A9" w:rsidP="00B77038">
            <w:pPr>
              <w:rPr>
                <w:sz w:val="20"/>
                <w:szCs w:val="20"/>
                <w:u w:val="single"/>
              </w:rPr>
            </w:pPr>
          </w:p>
        </w:tc>
      </w:tr>
      <w:tr w:rsidR="000509FB" w:rsidRPr="00002704" w:rsidTr="00B77038">
        <w:trPr>
          <w:cantSplit/>
        </w:trPr>
        <w:tc>
          <w:tcPr>
            <w:tcW w:w="9576" w:type="dxa"/>
            <w:gridSpan w:val="2"/>
          </w:tcPr>
          <w:p w:rsidR="00D262A9" w:rsidRPr="00D262A9" w:rsidRDefault="00D262A9" w:rsidP="00D262A9">
            <w:pPr>
              <w:pStyle w:val="SCCShortJudgment"/>
              <w:rPr>
                <w:szCs w:val="20"/>
              </w:rPr>
            </w:pPr>
            <w:r w:rsidRPr="00D262A9">
              <w:rPr>
                <w:szCs w:val="20"/>
              </w:rPr>
              <w:t>The motions for an extension of time to serve and file the application for leave to appeal and to serve and file the reply in response to the application for leave to appeal are granted.  The motion to appoint counsel is dismissed. The application for leave to appeal from the judgment of the Court of Appeal for British Columbia (Vancouver), Number CA040087, 2015 BCCA 145, dated April 8, 2015, is dismissed without costs.</w:t>
            </w:r>
          </w:p>
          <w:p w:rsidR="00D262A9" w:rsidRPr="00D262A9" w:rsidRDefault="00D262A9" w:rsidP="00D262A9">
            <w:pPr>
              <w:pStyle w:val="SCCShortJudgment"/>
              <w:rPr>
                <w:szCs w:val="20"/>
              </w:rPr>
            </w:pPr>
          </w:p>
          <w:p w:rsidR="000509FB" w:rsidRPr="00A73D2C" w:rsidRDefault="00D262A9" w:rsidP="00D262A9">
            <w:pPr>
              <w:pStyle w:val="SCCShortJudgment"/>
              <w:rPr>
                <w:szCs w:val="20"/>
                <w:lang w:val="fr-CA"/>
              </w:rPr>
            </w:pPr>
            <w:r w:rsidRPr="00D262A9">
              <w:rPr>
                <w:szCs w:val="20"/>
              </w:rPr>
              <w:t>Les requêtes en prorogation du délai de signification et de dépôt de la demande d’autorisation d’appel et de signification et de signification et de dépôt de la réplique en réponse à la demande d’appel sont accueillies. La requête en nomination d’un procureur est rejetée. La demande d’autorisation d’appel de l’arrêt de la Cour d’appel de la Colombie-Britannique (Vancouver), numéro CA040087, 2015 BCCA 145, daté du 8 avril 2015, est rejetée sans dépens.</w:t>
            </w:r>
          </w:p>
        </w:tc>
      </w:tr>
    </w:tbl>
    <w:p w:rsidR="000509FB" w:rsidRPr="0016547E" w:rsidRDefault="000509FB" w:rsidP="000509FB">
      <w:pPr>
        <w:rPr>
          <w:sz w:val="20"/>
          <w:szCs w:val="20"/>
          <w:lang w:val="fr-CA"/>
        </w:rPr>
      </w:pPr>
    </w:p>
    <w:p w:rsidR="000509FB" w:rsidRPr="001B157C" w:rsidRDefault="000509FB" w:rsidP="000509FB">
      <w:pPr>
        <w:rPr>
          <w:sz w:val="20"/>
          <w:szCs w:val="20"/>
          <w:u w:val="single"/>
        </w:rPr>
      </w:pPr>
      <w:r w:rsidRPr="001B157C">
        <w:rPr>
          <w:sz w:val="20"/>
          <w:szCs w:val="20"/>
          <w:u w:val="single"/>
        </w:rPr>
        <w:t>CASE SUMMARY</w:t>
      </w:r>
    </w:p>
    <w:p w:rsidR="000509FB" w:rsidRDefault="000509FB" w:rsidP="000509F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09FB" w:rsidRPr="00E007CB" w:rsidTr="00B77038">
        <w:tc>
          <w:tcPr>
            <w:tcW w:w="5000" w:type="pct"/>
            <w:gridSpan w:val="3"/>
          </w:tcPr>
          <w:p w:rsidR="000509FB" w:rsidRDefault="00DC393D" w:rsidP="00B77038">
            <w:pPr>
              <w:jc w:val="both"/>
              <w:rPr>
                <w:sz w:val="20"/>
              </w:rPr>
            </w:pPr>
            <w:r w:rsidRPr="00F77596">
              <w:rPr>
                <w:sz w:val="20"/>
              </w:rPr>
              <w:t>Extradition – Committal hearings – Powers of extradition judge – Judicial review of Minister’s surrender order – Whether the Court of Appeal erred in upholding the extradition judge’s decision ordering the applicant’s committal into custody to await the Minister of Justice’s surrender decision, and in dismissing the application for judicial review of Minister’s surrender order.</w:t>
            </w:r>
          </w:p>
          <w:p w:rsidR="00DC393D" w:rsidRPr="00E007CB" w:rsidRDefault="00DC393D" w:rsidP="00B77038">
            <w:pPr>
              <w:jc w:val="both"/>
              <w:rPr>
                <w:rFonts w:eastAsia="Calibri"/>
                <w:sz w:val="20"/>
              </w:rPr>
            </w:pPr>
          </w:p>
        </w:tc>
      </w:tr>
      <w:tr w:rsidR="000509FB" w:rsidRPr="00E007CB" w:rsidTr="00B77038">
        <w:tc>
          <w:tcPr>
            <w:tcW w:w="5000" w:type="pct"/>
            <w:gridSpan w:val="3"/>
          </w:tcPr>
          <w:p w:rsidR="00DC393D" w:rsidRPr="00F77596" w:rsidRDefault="00DC393D" w:rsidP="00DC393D">
            <w:pPr>
              <w:jc w:val="both"/>
              <w:rPr>
                <w:sz w:val="20"/>
              </w:rPr>
            </w:pPr>
            <w:r w:rsidRPr="00F77596">
              <w:rPr>
                <w:sz w:val="20"/>
              </w:rPr>
              <w:t xml:space="preserve">The applicant, Sean Doak, is currently awaiting extradition to the United States in relation to criminal charges for his alleged involvement in a conspiracy to traffic large amounts of drugs across the Canada-US border. Following the issuance of the Supreme Court of British Columbia’s order committing Mr. Doak into custody under the </w:t>
            </w:r>
            <w:r w:rsidRPr="00F77596">
              <w:rPr>
                <w:i/>
                <w:sz w:val="20"/>
              </w:rPr>
              <w:t>Extradition Act</w:t>
            </w:r>
            <w:r w:rsidRPr="00F77596">
              <w:rPr>
                <w:sz w:val="20"/>
              </w:rPr>
              <w:t>, S.C. 1999, c. 18, the Minister ordered Mr. Doak’s surrender to the United States. Mr. Doak’s appeal and application for judicial review of the Minister’s surrender order were dismissed by the British Columbia Court of Appeal.</w:t>
            </w:r>
          </w:p>
          <w:p w:rsidR="000509FB" w:rsidRPr="00F77596" w:rsidRDefault="000509FB" w:rsidP="00B77038">
            <w:pPr>
              <w:jc w:val="both"/>
              <w:rPr>
                <w:sz w:val="20"/>
              </w:rPr>
            </w:pPr>
          </w:p>
        </w:tc>
      </w:tr>
      <w:tr w:rsidR="000509FB" w:rsidRPr="00E007CB" w:rsidTr="00B77038">
        <w:trPr>
          <w:cantSplit/>
        </w:trPr>
        <w:tc>
          <w:tcPr>
            <w:tcW w:w="2427" w:type="pct"/>
          </w:tcPr>
          <w:p w:rsidR="009C584E" w:rsidRPr="00F77596" w:rsidRDefault="009C584E" w:rsidP="009C584E">
            <w:pPr>
              <w:jc w:val="both"/>
              <w:rPr>
                <w:sz w:val="20"/>
              </w:rPr>
            </w:pPr>
            <w:r w:rsidRPr="00F77596">
              <w:rPr>
                <w:sz w:val="20"/>
              </w:rPr>
              <w:t>February 15, 2013</w:t>
            </w:r>
          </w:p>
          <w:p w:rsidR="009C584E" w:rsidRPr="00F77596" w:rsidRDefault="009C584E" w:rsidP="009C584E">
            <w:pPr>
              <w:jc w:val="both"/>
              <w:rPr>
                <w:sz w:val="20"/>
              </w:rPr>
            </w:pPr>
            <w:r w:rsidRPr="00F77596">
              <w:rPr>
                <w:sz w:val="20"/>
              </w:rPr>
              <w:t>Supreme Court of British Columbia</w:t>
            </w:r>
          </w:p>
          <w:p w:rsidR="009C584E" w:rsidRPr="00F77596" w:rsidRDefault="009C584E" w:rsidP="009C584E">
            <w:pPr>
              <w:jc w:val="both"/>
              <w:rPr>
                <w:sz w:val="20"/>
              </w:rPr>
            </w:pPr>
            <w:r w:rsidRPr="00F77596">
              <w:rPr>
                <w:sz w:val="20"/>
              </w:rPr>
              <w:t>(Holmes J.)</w:t>
            </w:r>
          </w:p>
          <w:p w:rsidR="009C584E" w:rsidRPr="00F77596" w:rsidRDefault="009C584E" w:rsidP="009C584E">
            <w:pPr>
              <w:jc w:val="both"/>
              <w:rPr>
                <w:sz w:val="20"/>
              </w:rPr>
            </w:pPr>
            <w:r w:rsidRPr="00F77596">
              <w:rPr>
                <w:sz w:val="20"/>
              </w:rPr>
              <w:t xml:space="preserve">Neutral citation: </w:t>
            </w:r>
            <w:hyperlink r:id="rId86" w:history="1">
              <w:r w:rsidRPr="00F77596">
                <w:rPr>
                  <w:rStyle w:val="Hyperlink"/>
                  <w:sz w:val="20"/>
                </w:rPr>
                <w:t>2013 BCSC 224</w:t>
              </w:r>
            </w:hyperlink>
          </w:p>
          <w:p w:rsidR="000509FB" w:rsidRPr="00E007CB" w:rsidRDefault="000509FB" w:rsidP="00B77038">
            <w:pPr>
              <w:jc w:val="both"/>
              <w:rPr>
                <w:rFonts w:eastAsia="Calibri"/>
                <w:sz w:val="20"/>
              </w:rPr>
            </w:pPr>
          </w:p>
        </w:tc>
        <w:tc>
          <w:tcPr>
            <w:tcW w:w="243" w:type="pct"/>
          </w:tcPr>
          <w:p w:rsidR="000509FB" w:rsidRPr="00E007CB" w:rsidRDefault="000509FB" w:rsidP="00B77038">
            <w:pPr>
              <w:jc w:val="both"/>
              <w:rPr>
                <w:rFonts w:eastAsia="Calibri"/>
                <w:sz w:val="20"/>
              </w:rPr>
            </w:pPr>
          </w:p>
        </w:tc>
        <w:tc>
          <w:tcPr>
            <w:tcW w:w="2330" w:type="pct"/>
          </w:tcPr>
          <w:p w:rsidR="009C584E" w:rsidRPr="00F77596" w:rsidRDefault="009C584E" w:rsidP="009C584E">
            <w:pPr>
              <w:jc w:val="both"/>
              <w:rPr>
                <w:sz w:val="20"/>
              </w:rPr>
            </w:pPr>
            <w:r w:rsidRPr="00F77596">
              <w:rPr>
                <w:sz w:val="20"/>
              </w:rPr>
              <w:t>Respondent’s application seeking order for applicant’s committal into custody to await Minister’s surrender decision, granted.</w:t>
            </w:r>
          </w:p>
          <w:p w:rsidR="000509FB" w:rsidRPr="00F77596" w:rsidRDefault="000509FB" w:rsidP="00B77038">
            <w:pPr>
              <w:jc w:val="both"/>
              <w:rPr>
                <w:sz w:val="20"/>
              </w:rPr>
            </w:pPr>
          </w:p>
        </w:tc>
      </w:tr>
      <w:tr w:rsidR="000509FB" w:rsidRPr="00E007CB" w:rsidTr="00B77038">
        <w:trPr>
          <w:cantSplit/>
        </w:trPr>
        <w:tc>
          <w:tcPr>
            <w:tcW w:w="2427" w:type="pct"/>
          </w:tcPr>
          <w:p w:rsidR="009C584E" w:rsidRPr="00F77596" w:rsidRDefault="009C584E" w:rsidP="009C584E">
            <w:pPr>
              <w:jc w:val="both"/>
              <w:rPr>
                <w:sz w:val="20"/>
              </w:rPr>
            </w:pPr>
            <w:r w:rsidRPr="00F77596">
              <w:rPr>
                <w:sz w:val="20"/>
              </w:rPr>
              <w:lastRenderedPageBreak/>
              <w:t>April 8, 2015</w:t>
            </w:r>
          </w:p>
          <w:p w:rsidR="009C584E" w:rsidRPr="00F77596" w:rsidRDefault="009C584E" w:rsidP="009C584E">
            <w:pPr>
              <w:jc w:val="both"/>
              <w:rPr>
                <w:sz w:val="20"/>
              </w:rPr>
            </w:pPr>
            <w:r w:rsidRPr="00F77596">
              <w:rPr>
                <w:sz w:val="20"/>
              </w:rPr>
              <w:t xml:space="preserve">Court of Appeal for British Columbia </w:t>
            </w:r>
          </w:p>
          <w:p w:rsidR="009C584E" w:rsidRPr="00F77596" w:rsidRDefault="009C584E" w:rsidP="009C584E">
            <w:pPr>
              <w:jc w:val="both"/>
              <w:rPr>
                <w:sz w:val="20"/>
              </w:rPr>
            </w:pPr>
            <w:r w:rsidRPr="00F77596">
              <w:rPr>
                <w:sz w:val="20"/>
              </w:rPr>
              <w:t>(Vancouver)</w:t>
            </w:r>
          </w:p>
          <w:p w:rsidR="009C584E" w:rsidRPr="00F77596" w:rsidRDefault="009C584E" w:rsidP="009C584E">
            <w:pPr>
              <w:jc w:val="both"/>
              <w:rPr>
                <w:sz w:val="20"/>
              </w:rPr>
            </w:pPr>
            <w:r w:rsidRPr="00F77596">
              <w:rPr>
                <w:sz w:val="20"/>
              </w:rPr>
              <w:t>(Kirkpatrick, Chiasson and Goepel JJ.A.)</w:t>
            </w:r>
          </w:p>
          <w:p w:rsidR="009C584E" w:rsidRPr="00F77596" w:rsidRDefault="009C584E" w:rsidP="009C584E">
            <w:pPr>
              <w:jc w:val="both"/>
              <w:rPr>
                <w:sz w:val="20"/>
              </w:rPr>
            </w:pPr>
            <w:r w:rsidRPr="00F77596">
              <w:rPr>
                <w:sz w:val="20"/>
              </w:rPr>
              <w:t xml:space="preserve">Neutral citation: </w:t>
            </w:r>
            <w:hyperlink r:id="rId87" w:history="1">
              <w:r w:rsidRPr="00F77596">
                <w:rPr>
                  <w:rStyle w:val="Hyperlink"/>
                  <w:sz w:val="20"/>
                </w:rPr>
                <w:t>2015 BCCA 145</w:t>
              </w:r>
            </w:hyperlink>
          </w:p>
          <w:p w:rsidR="000509FB" w:rsidRDefault="000509FB" w:rsidP="00B77038">
            <w:pPr>
              <w:jc w:val="both"/>
              <w:rPr>
                <w:rFonts w:eastAsia="Calibri"/>
                <w:sz w:val="20"/>
              </w:rPr>
            </w:pPr>
          </w:p>
        </w:tc>
        <w:tc>
          <w:tcPr>
            <w:tcW w:w="243" w:type="pct"/>
          </w:tcPr>
          <w:p w:rsidR="000509FB" w:rsidRPr="00E007CB" w:rsidRDefault="000509FB" w:rsidP="00B77038">
            <w:pPr>
              <w:jc w:val="both"/>
              <w:rPr>
                <w:rFonts w:eastAsia="Calibri"/>
                <w:sz w:val="20"/>
              </w:rPr>
            </w:pPr>
          </w:p>
        </w:tc>
        <w:tc>
          <w:tcPr>
            <w:tcW w:w="2330" w:type="pct"/>
          </w:tcPr>
          <w:p w:rsidR="009C584E" w:rsidRPr="00F77596" w:rsidRDefault="009C584E" w:rsidP="009C584E">
            <w:pPr>
              <w:jc w:val="both"/>
              <w:rPr>
                <w:sz w:val="20"/>
              </w:rPr>
            </w:pPr>
            <w:r w:rsidRPr="00F77596">
              <w:rPr>
                <w:sz w:val="20"/>
              </w:rPr>
              <w:t>Applicant’s appeal and application for judicial review of Minister’s surrender order, dismissed.</w:t>
            </w:r>
          </w:p>
          <w:p w:rsidR="000509FB" w:rsidRPr="00F77596" w:rsidRDefault="000509FB" w:rsidP="00B77038">
            <w:pPr>
              <w:jc w:val="both"/>
              <w:rPr>
                <w:sz w:val="20"/>
              </w:rPr>
            </w:pPr>
          </w:p>
        </w:tc>
      </w:tr>
      <w:tr w:rsidR="000509FB" w:rsidRPr="00E007CB" w:rsidTr="00B77038">
        <w:trPr>
          <w:cantSplit/>
        </w:trPr>
        <w:tc>
          <w:tcPr>
            <w:tcW w:w="2427" w:type="pct"/>
          </w:tcPr>
          <w:p w:rsidR="000509FB" w:rsidRPr="00E007CB" w:rsidRDefault="000509FB" w:rsidP="00B77038">
            <w:pPr>
              <w:jc w:val="both"/>
              <w:rPr>
                <w:rFonts w:eastAsia="Calibri"/>
                <w:sz w:val="20"/>
              </w:rPr>
            </w:pPr>
            <w:r>
              <w:rPr>
                <w:rFonts w:eastAsia="Calibri"/>
                <w:sz w:val="20"/>
              </w:rPr>
              <w:t xml:space="preserve">June </w:t>
            </w:r>
            <w:r w:rsidR="009C584E">
              <w:rPr>
                <w:rFonts w:eastAsia="Calibri"/>
                <w:sz w:val="20"/>
              </w:rPr>
              <w:t>8</w:t>
            </w:r>
            <w:r>
              <w:rPr>
                <w:rFonts w:eastAsia="Calibri"/>
                <w:sz w:val="20"/>
              </w:rPr>
              <w:t>,</w:t>
            </w:r>
            <w:r w:rsidRPr="00E007CB">
              <w:rPr>
                <w:rFonts w:eastAsia="Calibri"/>
                <w:sz w:val="20"/>
              </w:rPr>
              <w:t xml:space="preserve"> 201</w:t>
            </w:r>
            <w:r>
              <w:rPr>
                <w:rFonts w:eastAsia="Calibri"/>
                <w:sz w:val="20"/>
              </w:rPr>
              <w:t>5</w:t>
            </w:r>
          </w:p>
          <w:p w:rsidR="000509FB" w:rsidRPr="00E007CB" w:rsidRDefault="000509FB" w:rsidP="00B77038">
            <w:pPr>
              <w:jc w:val="both"/>
              <w:rPr>
                <w:rFonts w:eastAsia="Calibri"/>
                <w:sz w:val="20"/>
              </w:rPr>
            </w:pPr>
            <w:r w:rsidRPr="00E007CB">
              <w:rPr>
                <w:rFonts w:eastAsia="Calibri"/>
                <w:sz w:val="20"/>
              </w:rPr>
              <w:t>Supreme Court of Canada</w:t>
            </w:r>
          </w:p>
        </w:tc>
        <w:tc>
          <w:tcPr>
            <w:tcW w:w="243" w:type="pct"/>
          </w:tcPr>
          <w:p w:rsidR="000509FB" w:rsidRPr="00E007CB" w:rsidRDefault="000509FB" w:rsidP="00B77038">
            <w:pPr>
              <w:jc w:val="both"/>
              <w:rPr>
                <w:rFonts w:eastAsia="Calibri"/>
                <w:sz w:val="20"/>
              </w:rPr>
            </w:pPr>
          </w:p>
        </w:tc>
        <w:tc>
          <w:tcPr>
            <w:tcW w:w="2330" w:type="pct"/>
          </w:tcPr>
          <w:p w:rsidR="009C584E" w:rsidRPr="00F77596" w:rsidRDefault="009C584E" w:rsidP="009C584E">
            <w:pPr>
              <w:jc w:val="both"/>
              <w:rPr>
                <w:sz w:val="20"/>
              </w:rPr>
            </w:pPr>
            <w:r w:rsidRPr="00F77596">
              <w:rPr>
                <w:sz w:val="20"/>
              </w:rPr>
              <w:t>Motion for extension of time to serve and file the application for leave to appeal, motion to appoint counsel, and application for leave to appeal, filed.</w:t>
            </w:r>
          </w:p>
          <w:p w:rsidR="000509FB" w:rsidRPr="00F77596" w:rsidRDefault="000509FB" w:rsidP="00B77038">
            <w:pPr>
              <w:jc w:val="both"/>
              <w:rPr>
                <w:sz w:val="20"/>
              </w:rPr>
            </w:pPr>
          </w:p>
        </w:tc>
      </w:tr>
      <w:tr w:rsidR="00B83612" w:rsidRPr="00E007CB" w:rsidTr="00B77038">
        <w:trPr>
          <w:cantSplit/>
        </w:trPr>
        <w:tc>
          <w:tcPr>
            <w:tcW w:w="2427" w:type="pct"/>
          </w:tcPr>
          <w:p w:rsidR="00B83612" w:rsidRPr="00F77596" w:rsidRDefault="00B83612" w:rsidP="00B83612">
            <w:pPr>
              <w:jc w:val="both"/>
              <w:rPr>
                <w:sz w:val="20"/>
              </w:rPr>
            </w:pPr>
            <w:r w:rsidRPr="00F77596">
              <w:rPr>
                <w:sz w:val="20"/>
              </w:rPr>
              <w:t>August 31, 2015</w:t>
            </w:r>
          </w:p>
          <w:p w:rsidR="00B83612" w:rsidRPr="00F77596" w:rsidRDefault="00B83612" w:rsidP="00B83612">
            <w:pPr>
              <w:jc w:val="both"/>
              <w:rPr>
                <w:sz w:val="20"/>
              </w:rPr>
            </w:pPr>
            <w:r w:rsidRPr="00F77596">
              <w:rPr>
                <w:sz w:val="20"/>
              </w:rPr>
              <w:t>Supreme Court of Canada</w:t>
            </w:r>
          </w:p>
          <w:p w:rsidR="00B83612" w:rsidRDefault="00B83612" w:rsidP="00B77038">
            <w:pPr>
              <w:jc w:val="both"/>
              <w:rPr>
                <w:rFonts w:eastAsia="Calibri"/>
                <w:sz w:val="20"/>
              </w:rPr>
            </w:pPr>
          </w:p>
        </w:tc>
        <w:tc>
          <w:tcPr>
            <w:tcW w:w="243" w:type="pct"/>
          </w:tcPr>
          <w:p w:rsidR="00B83612" w:rsidRPr="00E007CB" w:rsidRDefault="00B83612" w:rsidP="00B77038">
            <w:pPr>
              <w:jc w:val="both"/>
              <w:rPr>
                <w:rFonts w:eastAsia="Calibri"/>
                <w:sz w:val="20"/>
              </w:rPr>
            </w:pPr>
          </w:p>
        </w:tc>
        <w:tc>
          <w:tcPr>
            <w:tcW w:w="2330" w:type="pct"/>
          </w:tcPr>
          <w:p w:rsidR="00B83612" w:rsidRDefault="00B83612" w:rsidP="009C584E">
            <w:pPr>
              <w:jc w:val="both"/>
              <w:rPr>
                <w:sz w:val="20"/>
              </w:rPr>
            </w:pPr>
            <w:r w:rsidRPr="00F77596">
              <w:rPr>
                <w:sz w:val="20"/>
              </w:rPr>
              <w:t>Motion for extension of time to serve and file the reply to the response to the application for leave to appeal, filed.</w:t>
            </w:r>
          </w:p>
          <w:p w:rsidR="00B83612" w:rsidRPr="00F77596" w:rsidRDefault="00B83612" w:rsidP="009C584E">
            <w:pPr>
              <w:jc w:val="both"/>
              <w:rPr>
                <w:sz w:val="20"/>
              </w:rPr>
            </w:pPr>
          </w:p>
        </w:tc>
      </w:tr>
    </w:tbl>
    <w:p w:rsidR="000509FB" w:rsidRDefault="000509FB" w:rsidP="000509FB">
      <w:pPr>
        <w:rPr>
          <w:sz w:val="20"/>
          <w:szCs w:val="20"/>
        </w:rPr>
      </w:pPr>
    </w:p>
    <w:p w:rsidR="000509FB" w:rsidRPr="00C50A5C" w:rsidRDefault="00EC4FDF" w:rsidP="000509FB">
      <w:pPr>
        <w:rPr>
          <w:sz w:val="20"/>
          <w:szCs w:val="20"/>
        </w:rPr>
      </w:pPr>
      <w:r>
        <w:rPr>
          <w:sz w:val="20"/>
          <w:szCs w:val="20"/>
          <w:lang w:val="fr-CA"/>
        </w:rPr>
        <w:pict>
          <v:rect id="_x0000_i1073" style="width:2in;height:1pt" o:hrpct="0" o:hralign="center" o:hrstd="t" o:hrnoshade="t" o:hr="t" fillcolor="black [3213]" stroked="f"/>
        </w:pict>
      </w:r>
    </w:p>
    <w:p w:rsidR="000509FB" w:rsidRDefault="000509FB" w:rsidP="000509FB">
      <w:pPr>
        <w:rPr>
          <w:sz w:val="20"/>
          <w:szCs w:val="20"/>
        </w:rPr>
      </w:pPr>
    </w:p>
    <w:p w:rsidR="000509FB" w:rsidRPr="001B157C" w:rsidRDefault="000509FB" w:rsidP="000509FB">
      <w:pPr>
        <w:rPr>
          <w:sz w:val="20"/>
          <w:szCs w:val="20"/>
          <w:u w:val="single"/>
          <w:lang w:val="fr-CA"/>
        </w:rPr>
      </w:pPr>
      <w:r w:rsidRPr="001B157C">
        <w:rPr>
          <w:sz w:val="20"/>
          <w:szCs w:val="20"/>
          <w:u w:val="single"/>
          <w:lang w:val="fr-CA"/>
        </w:rPr>
        <w:t>RÉSUMÉ DE L’AFFAIRE</w:t>
      </w:r>
    </w:p>
    <w:p w:rsidR="000509FB" w:rsidRDefault="000509FB" w:rsidP="000509F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09FB" w:rsidRPr="00002704" w:rsidTr="00B77038">
        <w:tc>
          <w:tcPr>
            <w:tcW w:w="5000" w:type="pct"/>
            <w:gridSpan w:val="3"/>
          </w:tcPr>
          <w:p w:rsidR="000509FB" w:rsidRDefault="00605F6E" w:rsidP="00B77038">
            <w:pPr>
              <w:jc w:val="both"/>
              <w:rPr>
                <w:sz w:val="20"/>
                <w:lang w:val="fr-CA"/>
              </w:rPr>
            </w:pPr>
            <w:r w:rsidRPr="00F77596">
              <w:rPr>
                <w:sz w:val="20"/>
                <w:lang w:val="fr-CA"/>
              </w:rPr>
              <w:t>Extradition – Audiences relatives à l’incarcération – Pouvoirs du juge d’extradition – Contrôle judiciaire de l’arrêté d’extradition pris par le ministre – Est-ce que la Cour d’appel a commis une erreur en confirmant la décision du juge d’extradition d’ordonner l’incarcération du demandeur en attendant la décision du ministre au sujet de l’extradition et en rejetant la demande de contrôle judiciaire de l’arrêté d’extradition pris par le ministre?</w:t>
            </w:r>
          </w:p>
          <w:p w:rsidR="00605F6E" w:rsidRPr="00E007CB" w:rsidRDefault="00605F6E" w:rsidP="00B77038">
            <w:pPr>
              <w:jc w:val="both"/>
              <w:rPr>
                <w:rFonts w:eastAsia="Calibri"/>
                <w:sz w:val="20"/>
                <w:lang w:val="fr-CA"/>
              </w:rPr>
            </w:pPr>
          </w:p>
        </w:tc>
      </w:tr>
      <w:tr w:rsidR="000509FB" w:rsidRPr="00002704" w:rsidTr="00B77038">
        <w:tc>
          <w:tcPr>
            <w:tcW w:w="5000" w:type="pct"/>
            <w:gridSpan w:val="3"/>
          </w:tcPr>
          <w:p w:rsidR="00605F6E" w:rsidRPr="00F77596" w:rsidRDefault="00605F6E" w:rsidP="00605F6E">
            <w:pPr>
              <w:jc w:val="both"/>
              <w:rPr>
                <w:sz w:val="20"/>
                <w:lang w:val="fr-CA"/>
              </w:rPr>
            </w:pPr>
            <w:r w:rsidRPr="00F77596">
              <w:rPr>
                <w:sz w:val="20"/>
                <w:lang w:val="fr-CA"/>
              </w:rPr>
              <w:t xml:space="preserve">Le demandeur, Sean Doak, est présentement en attente d’extradition vers les États-Unis relativement à des accusations criminelles pour sa prétendue implication dans un complot en vue de faire le trafic de grandes quantités de drogue par la frontière canado-américaine. Suite à l’ordonnance, émise par la Cour suprême de la Colombie-Britannique, d’incarcérer Monsieur Doak en vertu de la </w:t>
            </w:r>
            <w:r w:rsidRPr="00F77596">
              <w:rPr>
                <w:i/>
                <w:sz w:val="20"/>
                <w:lang w:val="fr-CA"/>
              </w:rPr>
              <w:t>Loi sur l’extradition</w:t>
            </w:r>
            <w:r w:rsidRPr="00F77596">
              <w:rPr>
                <w:sz w:val="20"/>
                <w:lang w:val="fr-CA"/>
              </w:rPr>
              <w:t>, L.C. 1999, c. 18, le ministre a pris un arrêté d’extradition envoyant Monsieur Doak vers les États-Unis. L’appel de Monsieur Doak et la demande de contrôle judiciaire de l’arrêté d’extradition pris par le ministre ont été rejetés par la Cour d’appel de la Colombie-Britannique.</w:t>
            </w:r>
          </w:p>
          <w:p w:rsidR="000509FB" w:rsidRPr="00F77596" w:rsidRDefault="000509FB" w:rsidP="00B77038">
            <w:pPr>
              <w:jc w:val="both"/>
              <w:rPr>
                <w:sz w:val="20"/>
                <w:lang w:val="fr-CA"/>
              </w:rPr>
            </w:pPr>
          </w:p>
        </w:tc>
      </w:tr>
      <w:tr w:rsidR="000509FB" w:rsidRPr="00002704" w:rsidTr="00B77038">
        <w:trPr>
          <w:cantSplit/>
        </w:trPr>
        <w:tc>
          <w:tcPr>
            <w:tcW w:w="2427" w:type="pct"/>
          </w:tcPr>
          <w:p w:rsidR="00125F1B" w:rsidRPr="00F77596" w:rsidRDefault="00125F1B" w:rsidP="00125F1B">
            <w:pPr>
              <w:jc w:val="both"/>
              <w:rPr>
                <w:sz w:val="20"/>
                <w:lang w:val="fr-CA"/>
              </w:rPr>
            </w:pPr>
            <w:r w:rsidRPr="00F77596">
              <w:rPr>
                <w:sz w:val="20"/>
                <w:lang w:val="fr-CA"/>
              </w:rPr>
              <w:t>15 février 2013</w:t>
            </w:r>
          </w:p>
          <w:p w:rsidR="00125F1B" w:rsidRPr="00F77596" w:rsidRDefault="00125F1B" w:rsidP="00125F1B">
            <w:pPr>
              <w:jc w:val="both"/>
              <w:rPr>
                <w:sz w:val="20"/>
                <w:lang w:val="fr-CA"/>
              </w:rPr>
            </w:pPr>
            <w:r w:rsidRPr="00F77596">
              <w:rPr>
                <w:sz w:val="20"/>
                <w:lang w:val="fr-CA"/>
              </w:rPr>
              <w:t>Cour suprême de la Colombie-Britannique</w:t>
            </w:r>
          </w:p>
          <w:p w:rsidR="00125F1B" w:rsidRPr="00F77596" w:rsidRDefault="00125F1B" w:rsidP="00125F1B">
            <w:pPr>
              <w:jc w:val="both"/>
              <w:rPr>
                <w:sz w:val="20"/>
                <w:lang w:val="fr-CA"/>
              </w:rPr>
            </w:pPr>
            <w:r w:rsidRPr="00F77596">
              <w:rPr>
                <w:sz w:val="20"/>
                <w:lang w:val="fr-CA"/>
              </w:rPr>
              <w:t>(Juge Holmes)</w:t>
            </w:r>
          </w:p>
          <w:p w:rsidR="00125F1B" w:rsidRPr="00F77596" w:rsidRDefault="00125F1B" w:rsidP="00125F1B">
            <w:pPr>
              <w:jc w:val="both"/>
              <w:rPr>
                <w:sz w:val="20"/>
                <w:lang w:val="fr-CA"/>
              </w:rPr>
            </w:pPr>
            <w:r w:rsidRPr="00F77596">
              <w:rPr>
                <w:sz w:val="20"/>
                <w:lang w:val="fr-CA"/>
              </w:rPr>
              <w:t xml:space="preserve">Référence neutre: </w:t>
            </w:r>
            <w:hyperlink r:id="rId88" w:history="1">
              <w:r w:rsidRPr="00F77596">
                <w:rPr>
                  <w:rStyle w:val="Hyperlink"/>
                  <w:sz w:val="20"/>
                  <w:lang w:val="fr-CA"/>
                </w:rPr>
                <w:t>2013 BCSC 224</w:t>
              </w:r>
            </w:hyperlink>
          </w:p>
          <w:p w:rsidR="000509FB" w:rsidRPr="00E007CB" w:rsidRDefault="000509FB" w:rsidP="00B77038">
            <w:pPr>
              <w:jc w:val="both"/>
              <w:rPr>
                <w:rFonts w:eastAsia="Calibri"/>
                <w:sz w:val="20"/>
                <w:lang w:val="fr-CA"/>
              </w:rPr>
            </w:pPr>
          </w:p>
        </w:tc>
        <w:tc>
          <w:tcPr>
            <w:tcW w:w="243" w:type="pct"/>
          </w:tcPr>
          <w:p w:rsidR="000509FB" w:rsidRPr="00E007CB" w:rsidRDefault="000509FB" w:rsidP="00B77038">
            <w:pPr>
              <w:jc w:val="both"/>
              <w:rPr>
                <w:rFonts w:eastAsia="Calibri"/>
                <w:sz w:val="20"/>
                <w:lang w:val="fr-CA"/>
              </w:rPr>
            </w:pPr>
          </w:p>
        </w:tc>
        <w:tc>
          <w:tcPr>
            <w:tcW w:w="2330" w:type="pct"/>
          </w:tcPr>
          <w:p w:rsidR="00125F1B" w:rsidRPr="00F77596" w:rsidRDefault="00125F1B" w:rsidP="00125F1B">
            <w:pPr>
              <w:jc w:val="both"/>
              <w:rPr>
                <w:sz w:val="20"/>
                <w:lang w:val="fr-CA"/>
              </w:rPr>
            </w:pPr>
            <w:r w:rsidRPr="00F77596">
              <w:rPr>
                <w:sz w:val="20"/>
                <w:lang w:val="fr-CA"/>
              </w:rPr>
              <w:t>Demande de l’intimé visant à obtenir l’incarcération du demandeur en attendant la décision du ministre au sujet de l’extradition, accueillie.</w:t>
            </w:r>
          </w:p>
          <w:p w:rsidR="000509FB" w:rsidRPr="00F77596" w:rsidRDefault="000509FB" w:rsidP="00B77038">
            <w:pPr>
              <w:jc w:val="both"/>
              <w:rPr>
                <w:sz w:val="20"/>
                <w:lang w:val="fr-FR"/>
              </w:rPr>
            </w:pPr>
          </w:p>
        </w:tc>
      </w:tr>
      <w:tr w:rsidR="000509FB" w:rsidRPr="00E007CB" w:rsidTr="00B77038">
        <w:trPr>
          <w:cantSplit/>
        </w:trPr>
        <w:tc>
          <w:tcPr>
            <w:tcW w:w="2427" w:type="pct"/>
          </w:tcPr>
          <w:p w:rsidR="00125F1B" w:rsidRPr="00F77596" w:rsidRDefault="00125F1B" w:rsidP="00125F1B">
            <w:pPr>
              <w:jc w:val="both"/>
              <w:rPr>
                <w:sz w:val="20"/>
                <w:lang w:val="fr-CA"/>
              </w:rPr>
            </w:pPr>
            <w:r w:rsidRPr="00F77596">
              <w:rPr>
                <w:sz w:val="20"/>
                <w:lang w:val="fr-CA"/>
              </w:rPr>
              <w:t>8 avril 2015</w:t>
            </w:r>
          </w:p>
          <w:p w:rsidR="00125F1B" w:rsidRPr="00F77596" w:rsidRDefault="00125F1B" w:rsidP="00125F1B">
            <w:pPr>
              <w:jc w:val="both"/>
              <w:rPr>
                <w:sz w:val="20"/>
                <w:lang w:val="fr-CA"/>
              </w:rPr>
            </w:pPr>
            <w:r w:rsidRPr="00F77596">
              <w:rPr>
                <w:sz w:val="20"/>
                <w:lang w:val="fr-CA"/>
              </w:rPr>
              <w:t xml:space="preserve">Cour d’appel de la Colombie-Britannique </w:t>
            </w:r>
          </w:p>
          <w:p w:rsidR="00125F1B" w:rsidRPr="00F77596" w:rsidRDefault="00125F1B" w:rsidP="00125F1B">
            <w:pPr>
              <w:jc w:val="both"/>
              <w:rPr>
                <w:sz w:val="20"/>
                <w:lang w:val="fr-CA"/>
              </w:rPr>
            </w:pPr>
            <w:r w:rsidRPr="00F77596">
              <w:rPr>
                <w:sz w:val="20"/>
                <w:lang w:val="fr-CA"/>
              </w:rPr>
              <w:t>(Vancouver)</w:t>
            </w:r>
          </w:p>
          <w:p w:rsidR="00125F1B" w:rsidRPr="00F77596" w:rsidRDefault="00125F1B" w:rsidP="00125F1B">
            <w:pPr>
              <w:jc w:val="both"/>
              <w:rPr>
                <w:sz w:val="20"/>
                <w:lang w:val="fr-CA"/>
              </w:rPr>
            </w:pPr>
            <w:r w:rsidRPr="00F77596">
              <w:rPr>
                <w:sz w:val="20"/>
                <w:lang w:val="fr-CA"/>
              </w:rPr>
              <w:t>(Juges Kirkpatrick, Chiasson et Goepel)</w:t>
            </w:r>
          </w:p>
          <w:p w:rsidR="00125F1B" w:rsidRPr="00F77596" w:rsidRDefault="00125F1B" w:rsidP="00125F1B">
            <w:pPr>
              <w:jc w:val="both"/>
              <w:rPr>
                <w:sz w:val="20"/>
              </w:rPr>
            </w:pPr>
            <w:r w:rsidRPr="00F77596">
              <w:rPr>
                <w:sz w:val="20"/>
              </w:rPr>
              <w:t xml:space="preserve">Référence neutre: </w:t>
            </w:r>
            <w:hyperlink r:id="rId89" w:history="1">
              <w:r w:rsidRPr="00F77596">
                <w:rPr>
                  <w:rStyle w:val="Hyperlink"/>
                  <w:sz w:val="20"/>
                </w:rPr>
                <w:t>2015 BCCA 145</w:t>
              </w:r>
            </w:hyperlink>
          </w:p>
          <w:p w:rsidR="000509FB" w:rsidRDefault="000509FB" w:rsidP="00B77038">
            <w:pPr>
              <w:jc w:val="both"/>
              <w:rPr>
                <w:rFonts w:eastAsia="Calibri"/>
                <w:sz w:val="20"/>
                <w:lang w:val="fr-CA"/>
              </w:rPr>
            </w:pPr>
          </w:p>
        </w:tc>
        <w:tc>
          <w:tcPr>
            <w:tcW w:w="243" w:type="pct"/>
          </w:tcPr>
          <w:p w:rsidR="000509FB" w:rsidRPr="00E007CB" w:rsidRDefault="000509FB" w:rsidP="00B77038">
            <w:pPr>
              <w:jc w:val="both"/>
              <w:rPr>
                <w:rFonts w:eastAsia="Calibri"/>
                <w:sz w:val="20"/>
                <w:lang w:val="fr-CA"/>
              </w:rPr>
            </w:pPr>
          </w:p>
        </w:tc>
        <w:tc>
          <w:tcPr>
            <w:tcW w:w="2330" w:type="pct"/>
          </w:tcPr>
          <w:p w:rsidR="00125F1B" w:rsidRPr="00F77596" w:rsidRDefault="00125F1B" w:rsidP="00125F1B">
            <w:pPr>
              <w:jc w:val="both"/>
              <w:rPr>
                <w:sz w:val="20"/>
                <w:lang w:val="fr-CA"/>
              </w:rPr>
            </w:pPr>
            <w:r w:rsidRPr="00F77596">
              <w:rPr>
                <w:sz w:val="20"/>
                <w:lang w:val="fr-CA"/>
              </w:rPr>
              <w:t>Appel du demandeur et demande de contrôle judiciaire de l’arrêté d’extradition pris par le ministre, rejetés.</w:t>
            </w:r>
          </w:p>
          <w:p w:rsidR="000509FB" w:rsidRPr="00F77596" w:rsidRDefault="000509FB" w:rsidP="00B77038">
            <w:pPr>
              <w:jc w:val="both"/>
              <w:rPr>
                <w:sz w:val="20"/>
                <w:lang w:val="fr-CA"/>
              </w:rPr>
            </w:pPr>
          </w:p>
        </w:tc>
      </w:tr>
      <w:tr w:rsidR="00125F1B" w:rsidRPr="00E007CB" w:rsidTr="00B77038">
        <w:trPr>
          <w:cantSplit/>
        </w:trPr>
        <w:tc>
          <w:tcPr>
            <w:tcW w:w="2427" w:type="pct"/>
          </w:tcPr>
          <w:p w:rsidR="00125F1B" w:rsidRPr="00F77596" w:rsidRDefault="00125F1B" w:rsidP="00125F1B">
            <w:pPr>
              <w:jc w:val="both"/>
              <w:rPr>
                <w:sz w:val="20"/>
              </w:rPr>
            </w:pPr>
            <w:r w:rsidRPr="00F77596">
              <w:rPr>
                <w:sz w:val="20"/>
              </w:rPr>
              <w:t>8 juin 2015</w:t>
            </w:r>
          </w:p>
          <w:p w:rsidR="00125F1B" w:rsidRPr="00F77596" w:rsidRDefault="00125F1B" w:rsidP="00125F1B">
            <w:pPr>
              <w:jc w:val="both"/>
              <w:rPr>
                <w:sz w:val="20"/>
              </w:rPr>
            </w:pPr>
            <w:r w:rsidRPr="00F77596">
              <w:rPr>
                <w:sz w:val="20"/>
              </w:rPr>
              <w:t>Cour suprême du Canada</w:t>
            </w:r>
          </w:p>
          <w:p w:rsidR="00125F1B" w:rsidRDefault="00125F1B" w:rsidP="00B77038">
            <w:pPr>
              <w:jc w:val="both"/>
              <w:rPr>
                <w:rFonts w:eastAsia="Calibri"/>
                <w:sz w:val="20"/>
                <w:lang w:val="fr-CA"/>
              </w:rPr>
            </w:pPr>
          </w:p>
        </w:tc>
        <w:tc>
          <w:tcPr>
            <w:tcW w:w="243" w:type="pct"/>
          </w:tcPr>
          <w:p w:rsidR="00125F1B" w:rsidRPr="00E007CB" w:rsidRDefault="00125F1B" w:rsidP="00B77038">
            <w:pPr>
              <w:jc w:val="both"/>
              <w:rPr>
                <w:rFonts w:eastAsia="Calibri"/>
                <w:sz w:val="20"/>
                <w:lang w:val="fr-CA"/>
              </w:rPr>
            </w:pPr>
          </w:p>
        </w:tc>
        <w:tc>
          <w:tcPr>
            <w:tcW w:w="2330" w:type="pct"/>
          </w:tcPr>
          <w:p w:rsidR="00125F1B" w:rsidRPr="00F77596" w:rsidRDefault="00125F1B" w:rsidP="00125F1B">
            <w:pPr>
              <w:jc w:val="both"/>
              <w:rPr>
                <w:sz w:val="20"/>
                <w:lang w:val="fr-CA"/>
              </w:rPr>
            </w:pPr>
            <w:r w:rsidRPr="00F77596">
              <w:rPr>
                <w:sz w:val="20"/>
                <w:lang w:val="fr-CA"/>
              </w:rPr>
              <w:t>Requête en prorogation de délai pour signification et dépôt de la demande d’autorisation d’appel, requête en nomination de procureur et demande d’autorisation d’appel, déposées.</w:t>
            </w:r>
          </w:p>
          <w:p w:rsidR="00125F1B" w:rsidRPr="00F77596" w:rsidRDefault="00125F1B" w:rsidP="00B77038">
            <w:pPr>
              <w:contextualSpacing/>
              <w:jc w:val="both"/>
              <w:rPr>
                <w:sz w:val="20"/>
                <w:lang w:val="fr-CA"/>
              </w:rPr>
            </w:pPr>
          </w:p>
        </w:tc>
      </w:tr>
      <w:tr w:rsidR="00125F1B" w:rsidRPr="00E007CB" w:rsidTr="00B77038">
        <w:trPr>
          <w:cantSplit/>
        </w:trPr>
        <w:tc>
          <w:tcPr>
            <w:tcW w:w="2427" w:type="pct"/>
          </w:tcPr>
          <w:p w:rsidR="00125F1B" w:rsidRPr="00F77596" w:rsidRDefault="00125F1B" w:rsidP="00125F1B">
            <w:pPr>
              <w:jc w:val="both"/>
              <w:rPr>
                <w:sz w:val="20"/>
              </w:rPr>
            </w:pPr>
            <w:r w:rsidRPr="00F77596">
              <w:rPr>
                <w:sz w:val="20"/>
              </w:rPr>
              <w:lastRenderedPageBreak/>
              <w:t>31 août 2015</w:t>
            </w:r>
          </w:p>
          <w:p w:rsidR="00125F1B" w:rsidRPr="00F77596" w:rsidRDefault="00125F1B" w:rsidP="00125F1B">
            <w:pPr>
              <w:jc w:val="both"/>
              <w:rPr>
                <w:sz w:val="20"/>
              </w:rPr>
            </w:pPr>
            <w:r w:rsidRPr="00F77596">
              <w:rPr>
                <w:sz w:val="20"/>
              </w:rPr>
              <w:t>Cour suprême du Canada</w:t>
            </w:r>
          </w:p>
          <w:p w:rsidR="00125F1B" w:rsidRPr="00E007CB" w:rsidRDefault="00125F1B" w:rsidP="00125F1B">
            <w:pPr>
              <w:jc w:val="both"/>
              <w:rPr>
                <w:rFonts w:eastAsia="Calibri"/>
                <w:sz w:val="20"/>
                <w:lang w:val="fr-CA"/>
              </w:rPr>
            </w:pPr>
          </w:p>
        </w:tc>
        <w:tc>
          <w:tcPr>
            <w:tcW w:w="243" w:type="pct"/>
          </w:tcPr>
          <w:p w:rsidR="00125F1B" w:rsidRPr="00E007CB" w:rsidRDefault="00125F1B" w:rsidP="00125F1B">
            <w:pPr>
              <w:jc w:val="both"/>
              <w:rPr>
                <w:rFonts w:eastAsia="Calibri"/>
                <w:sz w:val="20"/>
                <w:lang w:val="fr-CA"/>
              </w:rPr>
            </w:pPr>
          </w:p>
        </w:tc>
        <w:tc>
          <w:tcPr>
            <w:tcW w:w="2330" w:type="pct"/>
          </w:tcPr>
          <w:p w:rsidR="00125F1B" w:rsidRDefault="00125F1B" w:rsidP="00125F1B">
            <w:pPr>
              <w:jc w:val="both"/>
              <w:rPr>
                <w:sz w:val="20"/>
                <w:lang w:val="fr-CA"/>
              </w:rPr>
            </w:pPr>
            <w:r w:rsidRPr="00F77596">
              <w:rPr>
                <w:sz w:val="20"/>
                <w:lang w:val="fr-CA"/>
              </w:rPr>
              <w:t>Requête en prorogation de délai pour signification et dépôt de la réplique à la réponse à la demande d’autorisation d’appel, déposée.</w:t>
            </w:r>
          </w:p>
          <w:p w:rsidR="00125F1B" w:rsidRPr="00F77596" w:rsidRDefault="00125F1B" w:rsidP="00125F1B">
            <w:pPr>
              <w:jc w:val="both"/>
              <w:rPr>
                <w:sz w:val="20"/>
                <w:lang w:val="fr-CA"/>
              </w:rPr>
            </w:pPr>
          </w:p>
        </w:tc>
      </w:tr>
    </w:tbl>
    <w:p w:rsidR="000509FB" w:rsidRDefault="000509FB" w:rsidP="000509FB">
      <w:pPr>
        <w:rPr>
          <w:sz w:val="20"/>
          <w:szCs w:val="20"/>
        </w:rPr>
      </w:pPr>
    </w:p>
    <w:p w:rsidR="000509FB" w:rsidRDefault="00EC4FDF" w:rsidP="000509FB">
      <w:pPr>
        <w:rPr>
          <w:sz w:val="20"/>
          <w:szCs w:val="20"/>
        </w:rPr>
      </w:pPr>
      <w:r>
        <w:rPr>
          <w:sz w:val="20"/>
          <w:szCs w:val="20"/>
          <w:lang w:val="fr-CA"/>
        </w:rPr>
        <w:pict>
          <v:rect id="_x0000_i1074" style="width:2in;height:1pt" o:hrpct="0" o:hralign="center" o:hrstd="t" o:hrnoshade="t" o:hr="t" fillcolor="black [3213]" stroked="f"/>
        </w:pict>
      </w:r>
    </w:p>
    <w:p w:rsidR="000509FB" w:rsidRDefault="000509FB" w:rsidP="000509F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64A99" w:rsidRPr="00A73D2C" w:rsidTr="00B77038">
        <w:trPr>
          <w:cantSplit/>
        </w:trPr>
        <w:tc>
          <w:tcPr>
            <w:tcW w:w="1458" w:type="dxa"/>
          </w:tcPr>
          <w:p w:rsidR="00B64A99" w:rsidRPr="00A73D2C" w:rsidRDefault="00B64A99" w:rsidP="00B77038">
            <w:pPr>
              <w:rPr>
                <w:sz w:val="20"/>
                <w:szCs w:val="20"/>
              </w:rPr>
            </w:pPr>
            <w:r w:rsidRPr="00A73D2C">
              <w:rPr>
                <w:rStyle w:val="SCCFileNumberChar"/>
                <w:sz w:val="20"/>
                <w:szCs w:val="20"/>
              </w:rPr>
              <w:t>36</w:t>
            </w:r>
            <w:r>
              <w:rPr>
                <w:rStyle w:val="SCCFileNumberChar"/>
                <w:sz w:val="20"/>
                <w:szCs w:val="20"/>
              </w:rPr>
              <w:t>471</w:t>
            </w:r>
          </w:p>
          <w:p w:rsidR="00B64A99" w:rsidRPr="00A73D2C" w:rsidRDefault="00B64A99" w:rsidP="00B77038">
            <w:pPr>
              <w:rPr>
                <w:b/>
                <w:sz w:val="20"/>
                <w:szCs w:val="20"/>
                <w:lang w:val="fr-CA"/>
              </w:rPr>
            </w:pPr>
          </w:p>
        </w:tc>
        <w:tc>
          <w:tcPr>
            <w:tcW w:w="8118" w:type="dxa"/>
          </w:tcPr>
          <w:p w:rsidR="00B64A99" w:rsidRPr="00A73D2C" w:rsidRDefault="00A46E91" w:rsidP="00B77038">
            <w:pPr>
              <w:rPr>
                <w:sz w:val="20"/>
                <w:szCs w:val="20"/>
              </w:rPr>
            </w:pPr>
            <w:r w:rsidRPr="00A46E91">
              <w:rPr>
                <w:rStyle w:val="SCCLsocChar"/>
                <w:sz w:val="20"/>
                <w:szCs w:val="20"/>
                <w:lang w:val="en-CA"/>
              </w:rPr>
              <w:t>Her Majesty the Queen, Minister of Agriculture and Agri-Food and Canadian Food Inspection Agency v. Paradis Honey Ltd., Honeybee Enterprises Ltd. and Rocklake Apriaries Ltd.</w:t>
            </w:r>
            <w:r w:rsidR="00B64A99" w:rsidRPr="00A73D2C">
              <w:rPr>
                <w:sz w:val="20"/>
                <w:szCs w:val="20"/>
              </w:rPr>
              <w:t xml:space="preserve"> (</w:t>
            </w:r>
            <w:r w:rsidR="00B64A99">
              <w:rPr>
                <w:sz w:val="20"/>
                <w:szCs w:val="20"/>
              </w:rPr>
              <w:t>F.C.</w:t>
            </w:r>
            <w:r w:rsidR="00B64A99" w:rsidRPr="00A73D2C">
              <w:rPr>
                <w:sz w:val="20"/>
                <w:szCs w:val="20"/>
              </w:rPr>
              <w:t>) (C</w:t>
            </w:r>
            <w:r w:rsidR="00B64A99">
              <w:rPr>
                <w:sz w:val="20"/>
                <w:szCs w:val="20"/>
              </w:rPr>
              <w:t>ivil</w:t>
            </w:r>
            <w:r w:rsidR="00B64A99" w:rsidRPr="00A73D2C">
              <w:rPr>
                <w:sz w:val="20"/>
                <w:szCs w:val="20"/>
              </w:rPr>
              <w:t>) (By Leave)</w:t>
            </w:r>
          </w:p>
          <w:p w:rsidR="00B64A99" w:rsidRPr="00A73D2C" w:rsidRDefault="00B64A99" w:rsidP="00B77038">
            <w:pPr>
              <w:rPr>
                <w:sz w:val="20"/>
                <w:szCs w:val="20"/>
              </w:rPr>
            </w:pPr>
          </w:p>
        </w:tc>
      </w:tr>
      <w:tr w:rsidR="00B64A99" w:rsidRPr="00A73D2C" w:rsidTr="00B77038">
        <w:trPr>
          <w:cantSplit/>
        </w:trPr>
        <w:tc>
          <w:tcPr>
            <w:tcW w:w="1458" w:type="dxa"/>
          </w:tcPr>
          <w:p w:rsidR="00B64A99" w:rsidRPr="00A73D2C" w:rsidRDefault="00B64A99" w:rsidP="00B77038">
            <w:pPr>
              <w:rPr>
                <w:sz w:val="20"/>
                <w:szCs w:val="20"/>
              </w:rPr>
            </w:pPr>
            <w:r w:rsidRPr="00A73D2C">
              <w:rPr>
                <w:sz w:val="20"/>
                <w:szCs w:val="20"/>
              </w:rPr>
              <w:t>Coram :</w:t>
            </w:r>
          </w:p>
        </w:tc>
        <w:tc>
          <w:tcPr>
            <w:tcW w:w="8118" w:type="dxa"/>
          </w:tcPr>
          <w:p w:rsidR="00B64A99" w:rsidRDefault="00B514A7" w:rsidP="00B77038">
            <w:pPr>
              <w:rPr>
                <w:rStyle w:val="SCCCoramChar"/>
                <w:sz w:val="20"/>
                <w:szCs w:val="20"/>
                <w:lang w:val="en-CA"/>
              </w:rPr>
            </w:pPr>
            <w:r w:rsidRPr="00B514A7">
              <w:rPr>
                <w:rStyle w:val="SCCCoramChar"/>
                <w:sz w:val="20"/>
                <w:szCs w:val="20"/>
                <w:lang w:val="en-CA"/>
              </w:rPr>
              <w:t>Abella, Karakatsanis and Brown JJ.</w:t>
            </w:r>
          </w:p>
          <w:p w:rsidR="00B514A7" w:rsidRPr="00A73D2C" w:rsidRDefault="00B514A7" w:rsidP="00B77038">
            <w:pPr>
              <w:rPr>
                <w:sz w:val="20"/>
                <w:szCs w:val="20"/>
                <w:u w:val="single"/>
              </w:rPr>
            </w:pPr>
          </w:p>
        </w:tc>
      </w:tr>
      <w:tr w:rsidR="00B64A99" w:rsidRPr="00002704" w:rsidTr="00B77038">
        <w:trPr>
          <w:cantSplit/>
        </w:trPr>
        <w:tc>
          <w:tcPr>
            <w:tcW w:w="9576" w:type="dxa"/>
            <w:gridSpan w:val="2"/>
          </w:tcPr>
          <w:p w:rsidR="003321A8" w:rsidRPr="003321A8" w:rsidRDefault="003321A8" w:rsidP="003321A8">
            <w:pPr>
              <w:pStyle w:val="SCCShortJudgment"/>
              <w:rPr>
                <w:szCs w:val="20"/>
              </w:rPr>
            </w:pPr>
            <w:r w:rsidRPr="003321A8">
              <w:rPr>
                <w:szCs w:val="20"/>
              </w:rPr>
              <w:t>The application for leave to appeal from the judgment of the Federal Court of Appeal, Number A-169-14, 2015 FCA 89, dated April 8, 2015, is dismissed with costs.</w:t>
            </w:r>
          </w:p>
          <w:p w:rsidR="003321A8" w:rsidRPr="003321A8" w:rsidRDefault="003321A8" w:rsidP="003321A8">
            <w:pPr>
              <w:pStyle w:val="SCCShortJudgment"/>
              <w:rPr>
                <w:szCs w:val="20"/>
              </w:rPr>
            </w:pPr>
          </w:p>
          <w:p w:rsidR="00B64A99" w:rsidRPr="00A73D2C" w:rsidRDefault="003321A8" w:rsidP="003321A8">
            <w:pPr>
              <w:pStyle w:val="SCCShortJudgment"/>
              <w:rPr>
                <w:szCs w:val="20"/>
                <w:lang w:val="fr-CA"/>
              </w:rPr>
            </w:pPr>
            <w:r w:rsidRPr="003321A8">
              <w:rPr>
                <w:szCs w:val="20"/>
              </w:rPr>
              <w:t>La demande d’autorisation d’appel de l’arrêt de la Cour d’appel fédérale, numéro A-169-14, 2015 CAF 89, daté du 8 avril 2015, est rejetée avec dépens.</w:t>
            </w:r>
          </w:p>
        </w:tc>
      </w:tr>
    </w:tbl>
    <w:p w:rsidR="00B64A99" w:rsidRPr="0016547E" w:rsidRDefault="00B64A99" w:rsidP="00B64A99">
      <w:pPr>
        <w:rPr>
          <w:sz w:val="20"/>
          <w:szCs w:val="20"/>
          <w:lang w:val="fr-CA"/>
        </w:rPr>
      </w:pPr>
    </w:p>
    <w:p w:rsidR="00B64A99" w:rsidRPr="001B157C" w:rsidRDefault="00B64A99" w:rsidP="00B64A99">
      <w:pPr>
        <w:rPr>
          <w:sz w:val="20"/>
          <w:szCs w:val="20"/>
          <w:u w:val="single"/>
        </w:rPr>
      </w:pPr>
      <w:r w:rsidRPr="001B157C">
        <w:rPr>
          <w:sz w:val="20"/>
          <w:szCs w:val="20"/>
          <w:u w:val="single"/>
        </w:rPr>
        <w:t>CASE SUMMARY</w:t>
      </w:r>
    </w:p>
    <w:p w:rsidR="00B64A99" w:rsidRDefault="00B64A99" w:rsidP="00B64A9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64A99" w:rsidRPr="00E007CB" w:rsidTr="00B77038">
        <w:tc>
          <w:tcPr>
            <w:tcW w:w="5000" w:type="pct"/>
            <w:gridSpan w:val="3"/>
          </w:tcPr>
          <w:p w:rsidR="00B64A99" w:rsidRDefault="00E35B9D" w:rsidP="00B77038">
            <w:pPr>
              <w:jc w:val="both"/>
              <w:rPr>
                <w:sz w:val="20"/>
              </w:rPr>
            </w:pPr>
            <w:r w:rsidRPr="00F77596">
              <w:rPr>
                <w:sz w:val="20"/>
              </w:rPr>
              <w:t xml:space="preserve">Torts – Negligence – Duty of care – Civil procedure – Class actions – Pleadings – Motion to strike statement of claim as disclosing no reasonable cause of action – Is a new form of legal liability from wrongful actions of public officials necessary – Is the proposed species of action blending public law and tort law an intrusion on the legislative function – Can a </w:t>
            </w:r>
            <w:r w:rsidRPr="00F77596">
              <w:rPr>
                <w:i/>
                <w:sz w:val="20"/>
              </w:rPr>
              <w:t>prima facie</w:t>
            </w:r>
            <w:r w:rsidRPr="00F77596">
              <w:rPr>
                <w:sz w:val="20"/>
              </w:rPr>
              <w:t xml:space="preserve"> duty of care arise from statements of regulatory intent and undertakings to consult with industry</w:t>
            </w:r>
            <w:r>
              <w:rPr>
                <w:sz w:val="20"/>
              </w:rPr>
              <w:t>.</w:t>
            </w:r>
          </w:p>
          <w:p w:rsidR="00E35B9D" w:rsidRPr="00E007CB" w:rsidRDefault="00E35B9D" w:rsidP="00B77038">
            <w:pPr>
              <w:jc w:val="both"/>
              <w:rPr>
                <w:rFonts w:eastAsia="Calibri"/>
                <w:sz w:val="20"/>
              </w:rPr>
            </w:pPr>
          </w:p>
        </w:tc>
      </w:tr>
      <w:tr w:rsidR="00B64A99" w:rsidRPr="00E007CB" w:rsidTr="00B77038">
        <w:tc>
          <w:tcPr>
            <w:tcW w:w="5000" w:type="pct"/>
            <w:gridSpan w:val="3"/>
          </w:tcPr>
          <w:p w:rsidR="00E35B9D" w:rsidRPr="00F77596" w:rsidRDefault="00E35B9D" w:rsidP="00E35B9D">
            <w:pPr>
              <w:jc w:val="both"/>
              <w:rPr>
                <w:sz w:val="20"/>
              </w:rPr>
            </w:pPr>
            <w:r w:rsidRPr="00F77596">
              <w:rPr>
                <w:sz w:val="20"/>
              </w:rPr>
              <w:t xml:space="preserve">Beekeepers replenish losses to their colonies either by introducing a “package”, (a container holding a small colony, including a queen) or introducing a “queen” (with a few attendant bees). Under the </w:t>
            </w:r>
            <w:r w:rsidRPr="00F77596">
              <w:rPr>
                <w:i/>
                <w:sz w:val="20"/>
              </w:rPr>
              <w:t>Health of Animals Act</w:t>
            </w:r>
            <w:r w:rsidRPr="00F77596">
              <w:rPr>
                <w:sz w:val="20"/>
              </w:rPr>
              <w:t xml:space="preserve">, S.C. 1990, c. 21, the Minister may make regulations prohibiting the importation of any animal for the purpose of preventing a disease or toxic substance from being introduced into Canada. Absent specific regulations, animal importation is managed through ministerial permits under s. 160 of the </w:t>
            </w:r>
            <w:r w:rsidRPr="00F77596">
              <w:rPr>
                <w:i/>
                <w:sz w:val="20"/>
              </w:rPr>
              <w:t>Health of Animals Regulations</w:t>
            </w:r>
            <w:r w:rsidRPr="00F77596">
              <w:rPr>
                <w:sz w:val="20"/>
              </w:rPr>
              <w:t>, C.R.C. 296 (“</w:t>
            </w:r>
            <w:r w:rsidRPr="00F77596">
              <w:rPr>
                <w:i/>
                <w:sz w:val="20"/>
              </w:rPr>
              <w:t>Regulations</w:t>
            </w:r>
            <w:r w:rsidRPr="00F77596">
              <w:rPr>
                <w:sz w:val="20"/>
              </w:rPr>
              <w:t xml:space="preserve">”). The Minister made a series of specific regulations prohibiting the importation of honeybees into Canada from continental United States due to concerns about a tracheal mite bee pest. Under the last regulation, the prohibition did not apply to the importation of a honeybee queen and its attendant bees from the US pursuant to a permit issued under s. 160 of the </w:t>
            </w:r>
            <w:r w:rsidRPr="00F77596">
              <w:rPr>
                <w:i/>
                <w:sz w:val="20"/>
              </w:rPr>
              <w:t>Regulations</w:t>
            </w:r>
            <w:r w:rsidRPr="00F77596">
              <w:rPr>
                <w:sz w:val="20"/>
              </w:rPr>
              <w:t>. When it expired in 2006, the regulation was not renewed or replaced by formal Ministerial Order or Directive.  Instead, the continued importation of queen and attendant bees was allowed under permit, but the Minister adopted a policy that no permits would be issued for the importation of packages.</w:t>
            </w:r>
          </w:p>
          <w:p w:rsidR="00E35B9D" w:rsidRPr="00F77596" w:rsidRDefault="00E35B9D" w:rsidP="00E35B9D">
            <w:pPr>
              <w:jc w:val="both"/>
              <w:rPr>
                <w:sz w:val="20"/>
              </w:rPr>
            </w:pPr>
          </w:p>
          <w:p w:rsidR="00E35B9D" w:rsidRPr="00F77596" w:rsidRDefault="00E35B9D" w:rsidP="00E35B9D">
            <w:pPr>
              <w:jc w:val="both"/>
              <w:rPr>
                <w:sz w:val="20"/>
              </w:rPr>
            </w:pPr>
            <w:r w:rsidRPr="00F77596">
              <w:rPr>
                <w:sz w:val="20"/>
              </w:rPr>
              <w:t xml:space="preserve">The respondents filed a motion for certification of a class action. They claimed the applicants owed them a duty of care under the legislation and through their interactions with the beekeeping industry, and had been negligent in allowing an improper continuation of the prohibition on importation of honeybees from the US. They also claimed that the applicants acted without lawful authority by imposing a </w:t>
            </w:r>
            <w:r w:rsidRPr="00F77596">
              <w:rPr>
                <w:i/>
                <w:sz w:val="20"/>
              </w:rPr>
              <w:t>de facto</w:t>
            </w:r>
            <w:r w:rsidRPr="00F77596">
              <w:rPr>
                <w:sz w:val="20"/>
              </w:rPr>
              <w:t xml:space="preserve"> prohibition on importations in 2007 and onward, and abdicating their authority to an improper third party to make decisions on improper considerations. The applicants brought a motion to strike the statement of claim as disclosing no reasonable cause of action, and the respondents filed a motion record attaching a proposed amended statement of claim. The Federal Court granted the applicants’ motion to strike out the statement of claim as disclosing no reasonable cause of action, and dismissed the action with costs. The Federal Court of Appeal allowed the appeal, set aside the lower court judgment and dismissed the motion to strike, making no order as to costs.</w:t>
            </w:r>
          </w:p>
          <w:p w:rsidR="00B64A99" w:rsidRPr="00F77596" w:rsidRDefault="00B64A99" w:rsidP="00B77038">
            <w:pPr>
              <w:jc w:val="both"/>
              <w:rPr>
                <w:sz w:val="20"/>
              </w:rPr>
            </w:pPr>
          </w:p>
        </w:tc>
      </w:tr>
      <w:tr w:rsidR="009A6B97" w:rsidRPr="00E007CB" w:rsidTr="00B77038">
        <w:trPr>
          <w:cantSplit/>
        </w:trPr>
        <w:tc>
          <w:tcPr>
            <w:tcW w:w="2427" w:type="pct"/>
          </w:tcPr>
          <w:p w:rsidR="009A6B97" w:rsidRPr="00F77596" w:rsidRDefault="009A6B97" w:rsidP="009A6B97">
            <w:pPr>
              <w:jc w:val="both"/>
              <w:rPr>
                <w:sz w:val="20"/>
              </w:rPr>
            </w:pPr>
            <w:r w:rsidRPr="00F77596">
              <w:rPr>
                <w:sz w:val="20"/>
              </w:rPr>
              <w:lastRenderedPageBreak/>
              <w:t>March 5, 2014</w:t>
            </w:r>
          </w:p>
          <w:p w:rsidR="009A6B97" w:rsidRPr="00F77596" w:rsidRDefault="009A6B97" w:rsidP="009A6B97">
            <w:pPr>
              <w:jc w:val="both"/>
              <w:rPr>
                <w:sz w:val="20"/>
              </w:rPr>
            </w:pPr>
            <w:r w:rsidRPr="00F77596">
              <w:rPr>
                <w:sz w:val="20"/>
              </w:rPr>
              <w:t>Federal Court</w:t>
            </w:r>
          </w:p>
          <w:p w:rsidR="009A6B97" w:rsidRPr="00F77596" w:rsidRDefault="009A6B97" w:rsidP="009A6B97">
            <w:pPr>
              <w:jc w:val="both"/>
              <w:rPr>
                <w:sz w:val="20"/>
              </w:rPr>
            </w:pPr>
            <w:r w:rsidRPr="00F77596">
              <w:rPr>
                <w:sz w:val="20"/>
              </w:rPr>
              <w:t>(Scott J.)</w:t>
            </w:r>
          </w:p>
          <w:p w:rsidR="009A6B97" w:rsidRPr="00F77596" w:rsidRDefault="00EC4FDF" w:rsidP="009A6B97">
            <w:pPr>
              <w:jc w:val="both"/>
              <w:rPr>
                <w:rStyle w:val="Hyperlink"/>
                <w:sz w:val="20"/>
              </w:rPr>
            </w:pPr>
            <w:hyperlink r:id="rId90" w:history="1">
              <w:r w:rsidR="009A6B97" w:rsidRPr="00F77596">
                <w:rPr>
                  <w:rStyle w:val="Hyperlink"/>
                  <w:sz w:val="20"/>
                </w:rPr>
                <w:t>2014 FC 215</w:t>
              </w:r>
            </w:hyperlink>
          </w:p>
          <w:p w:rsidR="009A6B97" w:rsidRPr="00E007CB" w:rsidRDefault="009A6B97" w:rsidP="009A6B97">
            <w:pPr>
              <w:jc w:val="both"/>
              <w:rPr>
                <w:rFonts w:eastAsia="Calibri"/>
                <w:sz w:val="20"/>
              </w:rPr>
            </w:pPr>
          </w:p>
        </w:tc>
        <w:tc>
          <w:tcPr>
            <w:tcW w:w="243" w:type="pct"/>
          </w:tcPr>
          <w:p w:rsidR="009A6B97" w:rsidRPr="00E007CB" w:rsidRDefault="009A6B97" w:rsidP="009A6B97">
            <w:pPr>
              <w:jc w:val="both"/>
              <w:rPr>
                <w:rFonts w:eastAsia="Calibri"/>
                <w:sz w:val="20"/>
              </w:rPr>
            </w:pPr>
          </w:p>
        </w:tc>
        <w:tc>
          <w:tcPr>
            <w:tcW w:w="2330" w:type="pct"/>
          </w:tcPr>
          <w:p w:rsidR="009A6B97" w:rsidRPr="00F77596" w:rsidRDefault="009A6B97" w:rsidP="009A6B97">
            <w:pPr>
              <w:jc w:val="both"/>
              <w:rPr>
                <w:sz w:val="20"/>
              </w:rPr>
            </w:pPr>
            <w:r w:rsidRPr="00F77596">
              <w:rPr>
                <w:sz w:val="20"/>
              </w:rPr>
              <w:t xml:space="preserve">Applicant’s motion to strike respondents’ Statement of Claim in its entirety, granted </w:t>
            </w:r>
          </w:p>
        </w:tc>
      </w:tr>
      <w:tr w:rsidR="009A6B97" w:rsidRPr="00E007CB" w:rsidTr="00B77038">
        <w:trPr>
          <w:cantSplit/>
        </w:trPr>
        <w:tc>
          <w:tcPr>
            <w:tcW w:w="2427" w:type="pct"/>
          </w:tcPr>
          <w:p w:rsidR="009A6B97" w:rsidRPr="00F77596" w:rsidRDefault="009A6B97" w:rsidP="009A6B97">
            <w:pPr>
              <w:jc w:val="both"/>
              <w:rPr>
                <w:sz w:val="20"/>
              </w:rPr>
            </w:pPr>
            <w:r w:rsidRPr="00F77596">
              <w:rPr>
                <w:sz w:val="20"/>
              </w:rPr>
              <w:t>April 8, 2015</w:t>
            </w:r>
          </w:p>
          <w:p w:rsidR="009A6B97" w:rsidRPr="00F77596" w:rsidRDefault="009A6B97" w:rsidP="009A6B97">
            <w:pPr>
              <w:jc w:val="both"/>
              <w:rPr>
                <w:sz w:val="20"/>
              </w:rPr>
            </w:pPr>
            <w:r w:rsidRPr="00F77596">
              <w:rPr>
                <w:sz w:val="20"/>
              </w:rPr>
              <w:t>Federal Court of Appeal</w:t>
            </w:r>
          </w:p>
          <w:p w:rsidR="009A6B97" w:rsidRPr="00F77596" w:rsidRDefault="009A6B97" w:rsidP="009A6B97">
            <w:pPr>
              <w:jc w:val="both"/>
              <w:rPr>
                <w:sz w:val="20"/>
              </w:rPr>
            </w:pPr>
            <w:r w:rsidRPr="00F77596">
              <w:rPr>
                <w:sz w:val="20"/>
              </w:rPr>
              <w:t>(Nadon, Pelletier (dissenting) and Stratas JJ.A.)</w:t>
            </w:r>
          </w:p>
          <w:p w:rsidR="009A6B97" w:rsidRPr="00F77596" w:rsidRDefault="00EC4FDF" w:rsidP="009A6B97">
            <w:pPr>
              <w:jc w:val="both"/>
              <w:rPr>
                <w:sz w:val="20"/>
              </w:rPr>
            </w:pPr>
            <w:hyperlink r:id="rId91" w:history="1">
              <w:r w:rsidR="009A6B97" w:rsidRPr="00F77596">
                <w:rPr>
                  <w:rStyle w:val="Hyperlink"/>
                  <w:sz w:val="20"/>
                </w:rPr>
                <w:t>2015 FCA 89</w:t>
              </w:r>
            </w:hyperlink>
            <w:r w:rsidR="009A6B97" w:rsidRPr="00F77596">
              <w:rPr>
                <w:sz w:val="20"/>
              </w:rPr>
              <w:t>; A-169-14</w:t>
            </w:r>
          </w:p>
          <w:p w:rsidR="009A6B97" w:rsidRDefault="009A6B97" w:rsidP="009A6B97">
            <w:pPr>
              <w:jc w:val="both"/>
              <w:rPr>
                <w:rFonts w:eastAsia="Calibri"/>
                <w:sz w:val="20"/>
              </w:rPr>
            </w:pPr>
          </w:p>
        </w:tc>
        <w:tc>
          <w:tcPr>
            <w:tcW w:w="243" w:type="pct"/>
          </w:tcPr>
          <w:p w:rsidR="009A6B97" w:rsidRPr="00E007CB" w:rsidRDefault="009A6B97" w:rsidP="009A6B97">
            <w:pPr>
              <w:jc w:val="both"/>
              <w:rPr>
                <w:rFonts w:eastAsia="Calibri"/>
                <w:sz w:val="20"/>
              </w:rPr>
            </w:pPr>
          </w:p>
        </w:tc>
        <w:tc>
          <w:tcPr>
            <w:tcW w:w="2330" w:type="pct"/>
          </w:tcPr>
          <w:p w:rsidR="009A6B97" w:rsidRPr="00F77596" w:rsidRDefault="009A6B97" w:rsidP="009A6B97">
            <w:pPr>
              <w:jc w:val="both"/>
              <w:rPr>
                <w:sz w:val="20"/>
              </w:rPr>
            </w:pPr>
            <w:r w:rsidRPr="00F77596">
              <w:rPr>
                <w:sz w:val="20"/>
              </w:rPr>
              <w:t>Appeal allowed, judgment set aside and motion to strike dismissed</w:t>
            </w:r>
          </w:p>
          <w:p w:rsidR="009A6B97" w:rsidRPr="00F77596" w:rsidRDefault="009A6B97" w:rsidP="009A6B97">
            <w:pPr>
              <w:jc w:val="both"/>
              <w:rPr>
                <w:sz w:val="20"/>
              </w:rPr>
            </w:pPr>
          </w:p>
        </w:tc>
      </w:tr>
      <w:tr w:rsidR="009A6B97" w:rsidRPr="00E007CB" w:rsidTr="00B77038">
        <w:trPr>
          <w:cantSplit/>
        </w:trPr>
        <w:tc>
          <w:tcPr>
            <w:tcW w:w="2427" w:type="pct"/>
          </w:tcPr>
          <w:p w:rsidR="009A6B97" w:rsidRPr="00F77596" w:rsidRDefault="009A6B97" w:rsidP="009A6B97">
            <w:pPr>
              <w:jc w:val="both"/>
              <w:rPr>
                <w:sz w:val="20"/>
              </w:rPr>
            </w:pPr>
            <w:r w:rsidRPr="00F77596">
              <w:rPr>
                <w:sz w:val="20"/>
              </w:rPr>
              <w:t>June 8, 2015</w:t>
            </w:r>
          </w:p>
          <w:p w:rsidR="009A6B97" w:rsidRDefault="009A6B97" w:rsidP="009A6B97">
            <w:pPr>
              <w:jc w:val="both"/>
              <w:rPr>
                <w:rFonts w:eastAsia="Calibri"/>
                <w:sz w:val="20"/>
              </w:rPr>
            </w:pPr>
            <w:r w:rsidRPr="00F77596">
              <w:rPr>
                <w:sz w:val="20"/>
              </w:rPr>
              <w:t>Supreme Court of Canada</w:t>
            </w:r>
          </w:p>
          <w:p w:rsidR="009A6B97" w:rsidRDefault="009A6B97" w:rsidP="009A6B97">
            <w:pPr>
              <w:jc w:val="both"/>
              <w:rPr>
                <w:rFonts w:eastAsia="Calibri"/>
                <w:sz w:val="20"/>
              </w:rPr>
            </w:pPr>
          </w:p>
        </w:tc>
        <w:tc>
          <w:tcPr>
            <w:tcW w:w="243" w:type="pct"/>
          </w:tcPr>
          <w:p w:rsidR="009A6B97" w:rsidRPr="00E007CB" w:rsidRDefault="009A6B97" w:rsidP="009A6B97">
            <w:pPr>
              <w:jc w:val="both"/>
              <w:rPr>
                <w:rFonts w:eastAsia="Calibri"/>
                <w:sz w:val="20"/>
              </w:rPr>
            </w:pPr>
          </w:p>
        </w:tc>
        <w:tc>
          <w:tcPr>
            <w:tcW w:w="2330" w:type="pct"/>
          </w:tcPr>
          <w:p w:rsidR="009A6B97" w:rsidRPr="00F77596" w:rsidRDefault="009A6B97" w:rsidP="009A6B97">
            <w:pPr>
              <w:jc w:val="both"/>
              <w:rPr>
                <w:sz w:val="20"/>
              </w:rPr>
            </w:pPr>
            <w:r w:rsidRPr="00F77596">
              <w:rPr>
                <w:sz w:val="20"/>
              </w:rPr>
              <w:t>Application for leave to appeal filed</w:t>
            </w:r>
          </w:p>
        </w:tc>
      </w:tr>
    </w:tbl>
    <w:p w:rsidR="00B64A99" w:rsidRDefault="00B64A99" w:rsidP="00B64A99">
      <w:pPr>
        <w:rPr>
          <w:sz w:val="20"/>
          <w:szCs w:val="20"/>
        </w:rPr>
      </w:pPr>
    </w:p>
    <w:p w:rsidR="00B64A99" w:rsidRPr="00C50A5C" w:rsidRDefault="00EC4FDF" w:rsidP="00B64A99">
      <w:pPr>
        <w:rPr>
          <w:sz w:val="20"/>
          <w:szCs w:val="20"/>
        </w:rPr>
      </w:pPr>
      <w:r>
        <w:rPr>
          <w:sz w:val="20"/>
          <w:szCs w:val="20"/>
          <w:lang w:val="fr-CA"/>
        </w:rPr>
        <w:pict>
          <v:rect id="_x0000_i1075" style="width:2in;height:1pt" o:hrpct="0" o:hralign="center" o:hrstd="t" o:hrnoshade="t" o:hr="t" fillcolor="black [3213]" stroked="f"/>
        </w:pict>
      </w:r>
    </w:p>
    <w:p w:rsidR="00B64A99" w:rsidRDefault="00B64A99" w:rsidP="00B64A99">
      <w:pPr>
        <w:rPr>
          <w:sz w:val="20"/>
          <w:szCs w:val="20"/>
        </w:rPr>
      </w:pPr>
    </w:p>
    <w:p w:rsidR="00B64A99" w:rsidRPr="001B157C" w:rsidRDefault="00B64A99" w:rsidP="00B64A99">
      <w:pPr>
        <w:rPr>
          <w:sz w:val="20"/>
          <w:szCs w:val="20"/>
          <w:u w:val="single"/>
          <w:lang w:val="fr-CA"/>
        </w:rPr>
      </w:pPr>
      <w:r w:rsidRPr="001B157C">
        <w:rPr>
          <w:sz w:val="20"/>
          <w:szCs w:val="20"/>
          <w:u w:val="single"/>
          <w:lang w:val="fr-CA"/>
        </w:rPr>
        <w:t>RÉSUMÉ DE L’AFFAIRE</w:t>
      </w:r>
    </w:p>
    <w:p w:rsidR="00B64A99" w:rsidRDefault="00B64A99" w:rsidP="00B64A9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64A99" w:rsidRPr="00002704" w:rsidTr="00B77038">
        <w:tc>
          <w:tcPr>
            <w:tcW w:w="5000" w:type="pct"/>
            <w:gridSpan w:val="3"/>
          </w:tcPr>
          <w:p w:rsidR="00B64A99" w:rsidRDefault="00C6529C" w:rsidP="00B77038">
            <w:pPr>
              <w:jc w:val="both"/>
              <w:rPr>
                <w:sz w:val="20"/>
                <w:lang w:val="fr-CA"/>
              </w:rPr>
            </w:pPr>
            <w:r w:rsidRPr="00F77596">
              <w:rPr>
                <w:sz w:val="20"/>
                <w:lang w:val="fr-CA"/>
              </w:rPr>
              <w:t xml:space="preserve">Responsabilité civile – Négligence – Obligation de diligence – Procédure civile – Recours collectifs – Actes de procédure – Requête en radiation de la déclaration au motif qu’elle ne révèle aucune cause d’action valable – Une nouvelle forme de responsabilité juridique découlant des actes fautifs de fonctionnaires est-elle nécessaire? – L’espèce d’action proposée combinant le droit public et le droit de la responsabilité civile empiète-t-elle sur la fonction législative? – Les déclarations d’intention des autorités règlementaires et les engagements de consulter l’industrie donnent-elles naissance à une obligation de diligence </w:t>
            </w:r>
            <w:r w:rsidRPr="00F77596">
              <w:rPr>
                <w:i/>
                <w:sz w:val="20"/>
                <w:lang w:val="fr-CA"/>
              </w:rPr>
              <w:t>prima facie</w:t>
            </w:r>
            <w:r w:rsidRPr="00F77596">
              <w:rPr>
                <w:sz w:val="20"/>
                <w:lang w:val="fr-CA"/>
              </w:rPr>
              <w:t>?</w:t>
            </w:r>
          </w:p>
          <w:p w:rsidR="00C6529C" w:rsidRPr="00E007CB" w:rsidRDefault="00C6529C" w:rsidP="00B77038">
            <w:pPr>
              <w:jc w:val="both"/>
              <w:rPr>
                <w:rFonts w:eastAsia="Calibri"/>
                <w:sz w:val="20"/>
                <w:lang w:val="fr-CA"/>
              </w:rPr>
            </w:pPr>
          </w:p>
        </w:tc>
      </w:tr>
      <w:tr w:rsidR="00B64A99" w:rsidRPr="00002704" w:rsidTr="00B77038">
        <w:tc>
          <w:tcPr>
            <w:tcW w:w="5000" w:type="pct"/>
            <w:gridSpan w:val="3"/>
          </w:tcPr>
          <w:p w:rsidR="00C6529C" w:rsidRPr="00F77596" w:rsidRDefault="00C6529C" w:rsidP="00C6529C">
            <w:pPr>
              <w:jc w:val="both"/>
              <w:rPr>
                <w:sz w:val="20"/>
                <w:lang w:val="fr-CA"/>
              </w:rPr>
            </w:pPr>
            <w:r w:rsidRPr="00F77596">
              <w:rPr>
                <w:sz w:val="20"/>
                <w:lang w:val="fr-CA"/>
              </w:rPr>
              <w:t xml:space="preserve">Les apiculteurs regarnissent leurs colonies soit par l’introduction d’un « paquet » (un contenant renfermant une petite colonie, y compris une reine), soit par l’introduction d’une « reine » (avec quelques abeilles accompagnatrices). En vertu de la </w:t>
            </w:r>
            <w:r w:rsidRPr="00F77596">
              <w:rPr>
                <w:i/>
                <w:sz w:val="20"/>
                <w:lang w:val="fr-CA"/>
              </w:rPr>
              <w:t>Loi sur la santé des animaux</w:t>
            </w:r>
            <w:r w:rsidRPr="00F77596">
              <w:rPr>
                <w:sz w:val="20"/>
                <w:lang w:val="fr-CA"/>
              </w:rPr>
              <w:t xml:space="preserve">, L.C. 1990, ch. 21, le ministre peut, par règlement, interdire l’importation d’animaux au Canada pour prévenir l’introduction au Canada d’une maladie ou d’une substance toxique. En l’absence de règlements particuliers, l’importation des animaux est gérée au moyen de permis du ministre délivrés en application de l’art. 160 du </w:t>
            </w:r>
            <w:r w:rsidRPr="00F77596">
              <w:rPr>
                <w:i/>
                <w:sz w:val="20"/>
                <w:lang w:val="fr-CA"/>
              </w:rPr>
              <w:t>Règlement sur la santé des animaux</w:t>
            </w:r>
            <w:r w:rsidRPr="00F77596">
              <w:rPr>
                <w:sz w:val="20"/>
                <w:lang w:val="fr-CA"/>
              </w:rPr>
              <w:t>, C.R.C. 296 (le « </w:t>
            </w:r>
            <w:r w:rsidRPr="00F77596">
              <w:rPr>
                <w:i/>
                <w:sz w:val="20"/>
                <w:lang w:val="fr-CA"/>
              </w:rPr>
              <w:t>Règlement </w:t>
            </w:r>
            <w:r w:rsidRPr="00F77596">
              <w:rPr>
                <w:sz w:val="20"/>
                <w:lang w:val="fr-CA"/>
              </w:rPr>
              <w:t xml:space="preserve">»). Le ministre a pris une série de règlements particuliers interdisant l’importation d’abeilles domestiques au Canada en provenance du territoire continental des États-Unis en raison de préoccupations au sujet d’un organisme nuisible, l’acarien de l’abeille. En application du dernier règlement, l’interdiction ne s’appliquait pas à l’importation des États-Unis d’une reine et de ses abeilles accompagnatrices en vertu d’un permis délivré en application de l’art. 160 du </w:t>
            </w:r>
            <w:r w:rsidRPr="00F77596">
              <w:rPr>
                <w:i/>
                <w:sz w:val="20"/>
                <w:lang w:val="fr-CA"/>
              </w:rPr>
              <w:t>Règlement</w:t>
            </w:r>
            <w:r w:rsidRPr="00F77596">
              <w:rPr>
                <w:sz w:val="20"/>
                <w:lang w:val="fr-CA"/>
              </w:rPr>
              <w:t>. Lorsqu’il a expiré en 2006, le règlement n’a pas été renouvelé ou remplacé par arrêté ou directive officiels du ministre. L’importation de reines et d’abeilles accompagnatrices pouvait dorénavant se faire en vertu de permis, mais le ministre a adopté une politique en vertu de laquelle aucun permis ne serait délivré pour l’importation de paquets.</w:t>
            </w:r>
          </w:p>
          <w:p w:rsidR="00C6529C" w:rsidRPr="00F77596" w:rsidRDefault="00C6529C" w:rsidP="00C6529C">
            <w:pPr>
              <w:jc w:val="both"/>
              <w:rPr>
                <w:sz w:val="20"/>
                <w:lang w:val="fr-CA"/>
              </w:rPr>
            </w:pPr>
          </w:p>
          <w:p w:rsidR="00C6529C" w:rsidRPr="00F77596" w:rsidRDefault="00C6529C" w:rsidP="00C6529C">
            <w:pPr>
              <w:jc w:val="both"/>
              <w:rPr>
                <w:sz w:val="20"/>
                <w:lang w:val="fr-CA"/>
              </w:rPr>
            </w:pPr>
            <w:r w:rsidRPr="00F77596">
              <w:rPr>
                <w:sz w:val="20"/>
                <w:lang w:val="fr-CA"/>
              </w:rPr>
              <w:t xml:space="preserve">Les intimées ont déposé une requête en certification d’un recours collectif. Elles ont allégué que les demandeurs avaient à leur égard une obligation de diligence fondée sur la loi et leurs rapports avec l’industrie de l’apiculture, et que les demandeurs avaient été négligents en autorisant le maintien illicite de l’interdiction de l’importation d’abeilles domestiques des États-Unis. Les intimées ont également plaidé que les demandeurs avaient agi sans autorisation légale en imposant une interdiction </w:t>
            </w:r>
            <w:r w:rsidRPr="00F77596">
              <w:rPr>
                <w:i/>
                <w:sz w:val="20"/>
                <w:lang w:val="fr-CA"/>
              </w:rPr>
              <w:t>de facto</w:t>
            </w:r>
            <w:r w:rsidRPr="00F77596">
              <w:rPr>
                <w:sz w:val="20"/>
                <w:lang w:val="fr-CA"/>
              </w:rPr>
              <w:t xml:space="preserve"> d’importations à partir de 2007, et en abdiquant leurs pouvoirs en faveur d’un tiers, à qui ils ont permis illégitimement de prendre à leur place des décisions fondées sur des considérations non pertinentes. Les demandeurs ont présenté une requête en radiation de la demande au motif qu’elle ne révélait aucune cause d’action valable, et les intimées ont déposé un dossier de requête annexant un projet de déclaration modifiée. La Cour fédérale a accueilli la requête des demandeurs en radiation de la déclaration au motif qu’elle ne révélait aucune cause d’action valable et a rejeté l’action avec dépens. La Cour fédérale a accueilli l’appel, annulé le jugement de première instance et rejeté la requête en radiation, sans rendre d’ordonnance quant aux dépens.</w:t>
            </w:r>
          </w:p>
          <w:p w:rsidR="00B64A99" w:rsidRPr="00F77596" w:rsidRDefault="00B64A99" w:rsidP="00B77038">
            <w:pPr>
              <w:jc w:val="both"/>
              <w:rPr>
                <w:sz w:val="20"/>
                <w:lang w:val="fr-CA"/>
              </w:rPr>
            </w:pPr>
          </w:p>
        </w:tc>
      </w:tr>
      <w:tr w:rsidR="00A93777" w:rsidRPr="00002704" w:rsidTr="00B77038">
        <w:trPr>
          <w:cantSplit/>
        </w:trPr>
        <w:tc>
          <w:tcPr>
            <w:tcW w:w="2427" w:type="pct"/>
          </w:tcPr>
          <w:p w:rsidR="00A93777" w:rsidRPr="00F77596" w:rsidRDefault="00A93777" w:rsidP="00A93777">
            <w:pPr>
              <w:jc w:val="both"/>
              <w:rPr>
                <w:sz w:val="20"/>
                <w:lang w:val="fr-CA"/>
              </w:rPr>
            </w:pPr>
            <w:r w:rsidRPr="00F77596">
              <w:rPr>
                <w:sz w:val="20"/>
                <w:lang w:val="fr-CA"/>
              </w:rPr>
              <w:lastRenderedPageBreak/>
              <w:t>5 mars 2014</w:t>
            </w:r>
          </w:p>
          <w:p w:rsidR="00A93777" w:rsidRPr="00F77596" w:rsidRDefault="00A93777" w:rsidP="00A93777">
            <w:pPr>
              <w:jc w:val="both"/>
              <w:rPr>
                <w:sz w:val="20"/>
                <w:lang w:val="fr-CA"/>
              </w:rPr>
            </w:pPr>
            <w:r w:rsidRPr="00F77596">
              <w:rPr>
                <w:sz w:val="20"/>
                <w:lang w:val="fr-CA"/>
              </w:rPr>
              <w:t>Cour fédérale</w:t>
            </w:r>
          </w:p>
          <w:p w:rsidR="00A93777" w:rsidRPr="00F77596" w:rsidRDefault="00A93777" w:rsidP="00A93777">
            <w:pPr>
              <w:jc w:val="both"/>
              <w:rPr>
                <w:sz w:val="20"/>
                <w:lang w:val="fr-CA"/>
              </w:rPr>
            </w:pPr>
            <w:r w:rsidRPr="00F77596">
              <w:rPr>
                <w:sz w:val="20"/>
                <w:lang w:val="fr-CA"/>
              </w:rPr>
              <w:t>(Juge Scott)</w:t>
            </w:r>
          </w:p>
          <w:p w:rsidR="00A93777" w:rsidRPr="00F77596" w:rsidRDefault="00EC4FDF" w:rsidP="00A93777">
            <w:pPr>
              <w:jc w:val="both"/>
              <w:rPr>
                <w:rStyle w:val="Hyperlink"/>
                <w:sz w:val="20"/>
                <w:lang w:val="fr-CA"/>
              </w:rPr>
            </w:pPr>
            <w:hyperlink r:id="rId92" w:history="1">
              <w:r w:rsidR="00A93777" w:rsidRPr="00F77596">
                <w:rPr>
                  <w:rStyle w:val="Hyperlink"/>
                  <w:sz w:val="20"/>
                  <w:lang w:val="fr-CA"/>
                </w:rPr>
                <w:t>2014 FC 215</w:t>
              </w:r>
            </w:hyperlink>
          </w:p>
          <w:p w:rsidR="00A93777" w:rsidRPr="00E007CB" w:rsidRDefault="00A93777" w:rsidP="00A93777">
            <w:pPr>
              <w:jc w:val="both"/>
              <w:rPr>
                <w:rFonts w:eastAsia="Calibri"/>
                <w:sz w:val="20"/>
                <w:lang w:val="fr-CA"/>
              </w:rPr>
            </w:pPr>
          </w:p>
        </w:tc>
        <w:tc>
          <w:tcPr>
            <w:tcW w:w="243" w:type="pct"/>
          </w:tcPr>
          <w:p w:rsidR="00A93777" w:rsidRPr="00E007CB" w:rsidRDefault="00A93777" w:rsidP="00A93777">
            <w:pPr>
              <w:jc w:val="both"/>
              <w:rPr>
                <w:rFonts w:eastAsia="Calibri"/>
                <w:sz w:val="20"/>
                <w:lang w:val="fr-CA"/>
              </w:rPr>
            </w:pPr>
          </w:p>
        </w:tc>
        <w:tc>
          <w:tcPr>
            <w:tcW w:w="2330" w:type="pct"/>
          </w:tcPr>
          <w:p w:rsidR="00A93777" w:rsidRPr="00F77596" w:rsidRDefault="00A93777" w:rsidP="00A93777">
            <w:pPr>
              <w:jc w:val="both"/>
              <w:rPr>
                <w:sz w:val="20"/>
                <w:lang w:val="fr-CA"/>
              </w:rPr>
            </w:pPr>
            <w:r w:rsidRPr="00F77596">
              <w:rPr>
                <w:sz w:val="20"/>
                <w:lang w:val="fr-CA"/>
              </w:rPr>
              <w:t xml:space="preserve">Radiation au complet de la déclaration des intimées, sur requête des demandeurs </w:t>
            </w:r>
          </w:p>
        </w:tc>
      </w:tr>
      <w:tr w:rsidR="00A93777" w:rsidRPr="00E007CB" w:rsidTr="00B77038">
        <w:trPr>
          <w:cantSplit/>
        </w:trPr>
        <w:tc>
          <w:tcPr>
            <w:tcW w:w="2427" w:type="pct"/>
          </w:tcPr>
          <w:p w:rsidR="00A93777" w:rsidRPr="00F77596" w:rsidRDefault="00A93777" w:rsidP="00A93777">
            <w:pPr>
              <w:jc w:val="both"/>
              <w:rPr>
                <w:sz w:val="20"/>
                <w:lang w:val="fr-CA"/>
              </w:rPr>
            </w:pPr>
            <w:r w:rsidRPr="00F77596">
              <w:rPr>
                <w:sz w:val="20"/>
                <w:lang w:val="fr-CA"/>
              </w:rPr>
              <w:t>8 avril 2015</w:t>
            </w:r>
          </w:p>
          <w:p w:rsidR="00A93777" w:rsidRPr="00F77596" w:rsidRDefault="00A93777" w:rsidP="00A93777">
            <w:pPr>
              <w:jc w:val="both"/>
              <w:rPr>
                <w:sz w:val="20"/>
                <w:lang w:val="fr-CA"/>
              </w:rPr>
            </w:pPr>
            <w:r w:rsidRPr="00F77596">
              <w:rPr>
                <w:sz w:val="20"/>
                <w:lang w:val="fr-CA"/>
              </w:rPr>
              <w:t>Cour d’appel fédérale</w:t>
            </w:r>
          </w:p>
          <w:p w:rsidR="00A93777" w:rsidRPr="00F77596" w:rsidRDefault="00A93777" w:rsidP="00A93777">
            <w:pPr>
              <w:jc w:val="both"/>
              <w:rPr>
                <w:sz w:val="20"/>
                <w:lang w:val="fr-CA"/>
              </w:rPr>
            </w:pPr>
            <w:r w:rsidRPr="00F77596">
              <w:rPr>
                <w:sz w:val="20"/>
                <w:lang w:val="fr-CA"/>
              </w:rPr>
              <w:t>(Juges Nadon, Pelletier (dissident) et Stratas)</w:t>
            </w:r>
          </w:p>
          <w:p w:rsidR="00A93777" w:rsidRPr="00F77596" w:rsidRDefault="00EC4FDF" w:rsidP="00A93777">
            <w:pPr>
              <w:jc w:val="both"/>
              <w:rPr>
                <w:sz w:val="20"/>
                <w:lang w:val="fr-CA"/>
              </w:rPr>
            </w:pPr>
            <w:hyperlink r:id="rId93" w:history="1">
              <w:r w:rsidR="00A93777" w:rsidRPr="00F77596">
                <w:rPr>
                  <w:rStyle w:val="Hyperlink"/>
                  <w:sz w:val="20"/>
                  <w:lang w:val="fr-CA"/>
                </w:rPr>
                <w:t>2015 FCA 89</w:t>
              </w:r>
            </w:hyperlink>
            <w:r w:rsidR="00A93777" w:rsidRPr="00F77596">
              <w:rPr>
                <w:sz w:val="20"/>
                <w:lang w:val="fr-CA"/>
              </w:rPr>
              <w:t>; A-169-14</w:t>
            </w:r>
          </w:p>
          <w:p w:rsidR="00A93777" w:rsidRDefault="00A93777" w:rsidP="00A93777">
            <w:pPr>
              <w:jc w:val="both"/>
              <w:rPr>
                <w:rFonts w:eastAsia="Calibri"/>
                <w:sz w:val="20"/>
                <w:lang w:val="fr-CA"/>
              </w:rPr>
            </w:pPr>
          </w:p>
        </w:tc>
        <w:tc>
          <w:tcPr>
            <w:tcW w:w="243" w:type="pct"/>
          </w:tcPr>
          <w:p w:rsidR="00A93777" w:rsidRPr="00E007CB" w:rsidRDefault="00A93777" w:rsidP="00A93777">
            <w:pPr>
              <w:jc w:val="both"/>
              <w:rPr>
                <w:rFonts w:eastAsia="Calibri"/>
                <w:sz w:val="20"/>
                <w:lang w:val="fr-CA"/>
              </w:rPr>
            </w:pPr>
          </w:p>
        </w:tc>
        <w:tc>
          <w:tcPr>
            <w:tcW w:w="2330" w:type="pct"/>
          </w:tcPr>
          <w:p w:rsidR="00A93777" w:rsidRPr="00F77596" w:rsidRDefault="00A93777" w:rsidP="00A93777">
            <w:pPr>
              <w:jc w:val="both"/>
              <w:rPr>
                <w:sz w:val="20"/>
                <w:lang w:val="fr-CA"/>
              </w:rPr>
            </w:pPr>
            <w:r w:rsidRPr="00F77596">
              <w:rPr>
                <w:sz w:val="20"/>
                <w:lang w:val="fr-CA"/>
              </w:rPr>
              <w:t xml:space="preserve">Arrêt accueillant l’appel, annulant le jugement et rejetant la requête en radiation </w:t>
            </w:r>
          </w:p>
          <w:p w:rsidR="00A93777" w:rsidRPr="00F77596" w:rsidRDefault="00A93777" w:rsidP="00A93777">
            <w:pPr>
              <w:jc w:val="both"/>
              <w:rPr>
                <w:sz w:val="20"/>
                <w:lang w:val="fr-CA"/>
              </w:rPr>
            </w:pPr>
          </w:p>
        </w:tc>
      </w:tr>
      <w:tr w:rsidR="00A93777" w:rsidRPr="00E007CB" w:rsidTr="00B77038">
        <w:trPr>
          <w:cantSplit/>
        </w:trPr>
        <w:tc>
          <w:tcPr>
            <w:tcW w:w="2427" w:type="pct"/>
          </w:tcPr>
          <w:p w:rsidR="00A93777" w:rsidRPr="00F77596" w:rsidRDefault="00A93777" w:rsidP="00A93777">
            <w:pPr>
              <w:jc w:val="both"/>
              <w:rPr>
                <w:sz w:val="20"/>
              </w:rPr>
            </w:pPr>
            <w:r w:rsidRPr="00F77596">
              <w:rPr>
                <w:sz w:val="20"/>
              </w:rPr>
              <w:t>8 juin 2015</w:t>
            </w:r>
          </w:p>
          <w:p w:rsidR="00A93777" w:rsidRPr="00F77596" w:rsidRDefault="00A93777" w:rsidP="00A93777">
            <w:pPr>
              <w:jc w:val="both"/>
              <w:rPr>
                <w:sz w:val="20"/>
              </w:rPr>
            </w:pPr>
            <w:r w:rsidRPr="00F77596">
              <w:rPr>
                <w:sz w:val="20"/>
              </w:rPr>
              <w:t>Cour suprême du Canada</w:t>
            </w:r>
          </w:p>
          <w:p w:rsidR="00A93777" w:rsidRDefault="00A93777" w:rsidP="00A93777">
            <w:pPr>
              <w:jc w:val="both"/>
              <w:rPr>
                <w:rFonts w:eastAsia="Calibri"/>
                <w:sz w:val="20"/>
                <w:lang w:val="fr-CA"/>
              </w:rPr>
            </w:pPr>
          </w:p>
        </w:tc>
        <w:tc>
          <w:tcPr>
            <w:tcW w:w="243" w:type="pct"/>
          </w:tcPr>
          <w:p w:rsidR="00A93777" w:rsidRPr="00E007CB" w:rsidRDefault="00A93777" w:rsidP="00A93777">
            <w:pPr>
              <w:jc w:val="both"/>
              <w:rPr>
                <w:rFonts w:eastAsia="Calibri"/>
                <w:sz w:val="20"/>
                <w:lang w:val="fr-CA"/>
              </w:rPr>
            </w:pPr>
          </w:p>
        </w:tc>
        <w:tc>
          <w:tcPr>
            <w:tcW w:w="2330" w:type="pct"/>
          </w:tcPr>
          <w:p w:rsidR="00A93777" w:rsidRPr="00F77596" w:rsidRDefault="00A93777" w:rsidP="00A93777">
            <w:pPr>
              <w:jc w:val="both"/>
              <w:rPr>
                <w:sz w:val="20"/>
                <w:lang w:val="fr-CA"/>
              </w:rPr>
            </w:pPr>
            <w:r w:rsidRPr="00F77596">
              <w:rPr>
                <w:sz w:val="20"/>
                <w:lang w:val="fr-CA"/>
              </w:rPr>
              <w:t>Dépôt de la demande d’autorisation d’appel</w:t>
            </w:r>
          </w:p>
        </w:tc>
      </w:tr>
    </w:tbl>
    <w:p w:rsidR="00B64A99" w:rsidRDefault="00B64A99" w:rsidP="00B64A99">
      <w:pPr>
        <w:rPr>
          <w:sz w:val="20"/>
          <w:szCs w:val="20"/>
        </w:rPr>
      </w:pPr>
    </w:p>
    <w:p w:rsidR="00B64A99" w:rsidRDefault="00EC4FDF" w:rsidP="00B64A99">
      <w:pPr>
        <w:rPr>
          <w:sz w:val="20"/>
          <w:szCs w:val="20"/>
        </w:rPr>
      </w:pPr>
      <w:r>
        <w:rPr>
          <w:sz w:val="20"/>
          <w:szCs w:val="20"/>
          <w:lang w:val="fr-CA"/>
        </w:rPr>
        <w:pict>
          <v:rect id="_x0000_i1076" style="width:2in;height:1pt" o:hrpct="0" o:hralign="center" o:hrstd="t" o:hrnoshade="t" o:hr="t" fillcolor="black [3213]" stroked="f"/>
        </w:pict>
      </w:r>
    </w:p>
    <w:p w:rsidR="00B64A99" w:rsidRDefault="00B64A99" w:rsidP="00B64A9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D4AE3" w:rsidRPr="00A73D2C" w:rsidTr="00B77038">
        <w:trPr>
          <w:cantSplit/>
        </w:trPr>
        <w:tc>
          <w:tcPr>
            <w:tcW w:w="1458" w:type="dxa"/>
          </w:tcPr>
          <w:p w:rsidR="008D4AE3" w:rsidRPr="00A73D2C" w:rsidRDefault="008D4AE3" w:rsidP="00B77038">
            <w:pPr>
              <w:rPr>
                <w:sz w:val="20"/>
                <w:szCs w:val="20"/>
              </w:rPr>
            </w:pPr>
            <w:r w:rsidRPr="00A73D2C">
              <w:rPr>
                <w:rStyle w:val="SCCFileNumberChar"/>
                <w:sz w:val="20"/>
                <w:szCs w:val="20"/>
              </w:rPr>
              <w:t>36</w:t>
            </w:r>
            <w:r>
              <w:rPr>
                <w:rStyle w:val="SCCFileNumberChar"/>
                <w:sz w:val="20"/>
                <w:szCs w:val="20"/>
              </w:rPr>
              <w:t>478</w:t>
            </w:r>
          </w:p>
          <w:p w:rsidR="008D4AE3" w:rsidRPr="00A73D2C" w:rsidRDefault="008D4AE3" w:rsidP="00B77038">
            <w:pPr>
              <w:rPr>
                <w:b/>
                <w:sz w:val="20"/>
                <w:szCs w:val="20"/>
                <w:lang w:val="fr-CA"/>
              </w:rPr>
            </w:pPr>
          </w:p>
        </w:tc>
        <w:tc>
          <w:tcPr>
            <w:tcW w:w="8118" w:type="dxa"/>
          </w:tcPr>
          <w:p w:rsidR="008D4AE3" w:rsidRPr="00A73D2C" w:rsidRDefault="00F90070" w:rsidP="00B77038">
            <w:pPr>
              <w:rPr>
                <w:sz w:val="20"/>
                <w:szCs w:val="20"/>
              </w:rPr>
            </w:pPr>
            <w:r w:rsidRPr="00F90070">
              <w:rPr>
                <w:rStyle w:val="SCCLsocChar"/>
                <w:sz w:val="20"/>
                <w:szCs w:val="20"/>
                <w:lang w:val="en-CA"/>
              </w:rPr>
              <w:t>Musqueam Indian Band v. Musqueam Indian Band Board of Review, Assessor of the Musqueam Indian Band</w:t>
            </w:r>
            <w:r w:rsidR="00FB52C9">
              <w:rPr>
                <w:rStyle w:val="SCCLsocChar"/>
                <w:sz w:val="20"/>
                <w:szCs w:val="20"/>
                <w:lang w:val="en-CA"/>
              </w:rPr>
              <w:t xml:space="preserve"> and</w:t>
            </w:r>
            <w:r w:rsidRPr="00F90070">
              <w:rPr>
                <w:rStyle w:val="SCCLsocChar"/>
                <w:sz w:val="20"/>
                <w:szCs w:val="20"/>
                <w:lang w:val="en-CA"/>
              </w:rPr>
              <w:t xml:space="preserve"> Shaughnessy Golf and Country Club</w:t>
            </w:r>
            <w:r w:rsidR="008D4AE3" w:rsidRPr="008D4AE3">
              <w:rPr>
                <w:rStyle w:val="SCCLsocChar"/>
                <w:sz w:val="20"/>
                <w:szCs w:val="20"/>
                <w:u w:val="none"/>
                <w:lang w:val="en-CA"/>
              </w:rPr>
              <w:t xml:space="preserve"> </w:t>
            </w:r>
            <w:r w:rsidR="008D4AE3" w:rsidRPr="00A73D2C">
              <w:rPr>
                <w:sz w:val="20"/>
                <w:szCs w:val="20"/>
              </w:rPr>
              <w:t>(</w:t>
            </w:r>
            <w:r w:rsidR="008D4AE3">
              <w:rPr>
                <w:sz w:val="20"/>
                <w:szCs w:val="20"/>
              </w:rPr>
              <w:t>B.C.</w:t>
            </w:r>
            <w:r w:rsidR="008D4AE3" w:rsidRPr="00A73D2C">
              <w:rPr>
                <w:sz w:val="20"/>
                <w:szCs w:val="20"/>
              </w:rPr>
              <w:t>) (C</w:t>
            </w:r>
            <w:r w:rsidR="008D4AE3">
              <w:rPr>
                <w:sz w:val="20"/>
                <w:szCs w:val="20"/>
              </w:rPr>
              <w:t>ivil</w:t>
            </w:r>
            <w:r w:rsidR="008D4AE3" w:rsidRPr="00A73D2C">
              <w:rPr>
                <w:sz w:val="20"/>
                <w:szCs w:val="20"/>
              </w:rPr>
              <w:t>) (By Leave)</w:t>
            </w:r>
          </w:p>
          <w:p w:rsidR="008D4AE3" w:rsidRPr="00A73D2C" w:rsidRDefault="008D4AE3" w:rsidP="00B77038">
            <w:pPr>
              <w:rPr>
                <w:sz w:val="20"/>
                <w:szCs w:val="20"/>
              </w:rPr>
            </w:pPr>
          </w:p>
        </w:tc>
      </w:tr>
      <w:tr w:rsidR="008D4AE3" w:rsidRPr="00A73D2C" w:rsidTr="00B77038">
        <w:trPr>
          <w:cantSplit/>
        </w:trPr>
        <w:tc>
          <w:tcPr>
            <w:tcW w:w="1458" w:type="dxa"/>
          </w:tcPr>
          <w:p w:rsidR="008D4AE3" w:rsidRPr="00A73D2C" w:rsidRDefault="008D4AE3" w:rsidP="00B77038">
            <w:pPr>
              <w:rPr>
                <w:sz w:val="20"/>
                <w:szCs w:val="20"/>
              </w:rPr>
            </w:pPr>
            <w:r w:rsidRPr="00A73D2C">
              <w:rPr>
                <w:sz w:val="20"/>
                <w:szCs w:val="20"/>
              </w:rPr>
              <w:t>Coram :</w:t>
            </w:r>
          </w:p>
        </w:tc>
        <w:tc>
          <w:tcPr>
            <w:tcW w:w="8118" w:type="dxa"/>
          </w:tcPr>
          <w:p w:rsidR="008D4AE3" w:rsidRDefault="00E96234" w:rsidP="00B77038">
            <w:pPr>
              <w:rPr>
                <w:rStyle w:val="SCCCoramChar"/>
                <w:sz w:val="20"/>
                <w:szCs w:val="20"/>
                <w:lang w:val="en-CA"/>
              </w:rPr>
            </w:pPr>
            <w:r w:rsidRPr="00E96234">
              <w:rPr>
                <w:rStyle w:val="SCCCoramChar"/>
                <w:sz w:val="20"/>
                <w:szCs w:val="20"/>
                <w:lang w:val="en-CA"/>
              </w:rPr>
              <w:t>McLachlin C.J. and Moldaver and Gascon JJ.</w:t>
            </w:r>
          </w:p>
          <w:p w:rsidR="00E96234" w:rsidRPr="00A73D2C" w:rsidRDefault="00E96234" w:rsidP="00B77038">
            <w:pPr>
              <w:rPr>
                <w:sz w:val="20"/>
                <w:szCs w:val="20"/>
                <w:u w:val="single"/>
              </w:rPr>
            </w:pPr>
          </w:p>
        </w:tc>
      </w:tr>
      <w:tr w:rsidR="008D4AE3" w:rsidRPr="00002704" w:rsidTr="00B77038">
        <w:trPr>
          <w:cantSplit/>
        </w:trPr>
        <w:tc>
          <w:tcPr>
            <w:tcW w:w="9576" w:type="dxa"/>
            <w:gridSpan w:val="2"/>
          </w:tcPr>
          <w:p w:rsidR="00503C7C" w:rsidRPr="00503C7C" w:rsidRDefault="00503C7C" w:rsidP="00503C7C">
            <w:pPr>
              <w:pStyle w:val="SCCShortJudgment"/>
              <w:rPr>
                <w:szCs w:val="20"/>
              </w:rPr>
            </w:pPr>
            <w:r w:rsidRPr="00503C7C">
              <w:rPr>
                <w:szCs w:val="20"/>
              </w:rPr>
              <w:t>The application for leave to appeal from the judgment of the Court of Appeal for British Columbia (Vancouver), Number CA041156, 2015 BCCA 158, dated April 17, 2015, is granted with costs in the cause.</w:t>
            </w:r>
          </w:p>
          <w:p w:rsidR="00503C7C" w:rsidRPr="00503C7C" w:rsidRDefault="00503C7C" w:rsidP="00503C7C">
            <w:pPr>
              <w:pStyle w:val="SCCShortJudgment"/>
              <w:rPr>
                <w:szCs w:val="20"/>
              </w:rPr>
            </w:pPr>
          </w:p>
          <w:p w:rsidR="008D4AE3" w:rsidRPr="00A73D2C" w:rsidRDefault="00503C7C" w:rsidP="00503C7C">
            <w:pPr>
              <w:pStyle w:val="SCCShortJudgment"/>
              <w:rPr>
                <w:szCs w:val="20"/>
                <w:lang w:val="fr-CA"/>
              </w:rPr>
            </w:pPr>
            <w:r w:rsidRPr="00503C7C">
              <w:rPr>
                <w:szCs w:val="20"/>
              </w:rPr>
              <w:t>La demande d’autorisation d’appel de l’arrêt de la Cour d’appel de la Colombie-Britannique (Vancouver), numéro CA041156, 2015 BCCA 158, daté du 17 avril 2015, est accueillie avec dépens selon l’issue de la cause.</w:t>
            </w:r>
          </w:p>
        </w:tc>
      </w:tr>
    </w:tbl>
    <w:p w:rsidR="008D4AE3" w:rsidRPr="0016547E" w:rsidRDefault="008D4AE3" w:rsidP="008D4AE3">
      <w:pPr>
        <w:rPr>
          <w:sz w:val="20"/>
          <w:szCs w:val="20"/>
          <w:lang w:val="fr-CA"/>
        </w:rPr>
      </w:pPr>
    </w:p>
    <w:p w:rsidR="008D4AE3" w:rsidRPr="001B157C" w:rsidRDefault="008D4AE3" w:rsidP="008D4AE3">
      <w:pPr>
        <w:rPr>
          <w:sz w:val="20"/>
          <w:szCs w:val="20"/>
          <w:u w:val="single"/>
        </w:rPr>
      </w:pPr>
      <w:r w:rsidRPr="001B157C">
        <w:rPr>
          <w:sz w:val="20"/>
          <w:szCs w:val="20"/>
          <w:u w:val="single"/>
        </w:rPr>
        <w:t>CASE SUMMARY</w:t>
      </w:r>
    </w:p>
    <w:p w:rsidR="008D4AE3" w:rsidRDefault="008D4AE3" w:rsidP="008D4AE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D4AE3" w:rsidRPr="00E007CB" w:rsidTr="00B77038">
        <w:tc>
          <w:tcPr>
            <w:tcW w:w="5000" w:type="pct"/>
            <w:gridSpan w:val="3"/>
          </w:tcPr>
          <w:p w:rsidR="008D4AE3" w:rsidRDefault="00975FC1" w:rsidP="00B77038">
            <w:pPr>
              <w:jc w:val="both"/>
              <w:rPr>
                <w:sz w:val="20"/>
              </w:rPr>
            </w:pPr>
            <w:r w:rsidRPr="00F77596">
              <w:rPr>
                <w:sz w:val="20"/>
              </w:rPr>
              <w:t>Aboriginal law – Indian Reserves – Indian Band By-laws – Taxation – Property Assessments – Interpretation – Taxation Legislation – Golf course operating on Indian Reserve and paying rent and taxes to Indian Band – Band challenging property tax assessment on the basis that the property’s highest and best use should reflect its potential residential use – Whether the Court of Appeal erred in its interpretation and application of the Band’s property assessment by-law – Whether a restriction in use specified in the lease entered into by the Crown on behalf of the Band can be said to have been placed “by the band”, under the terms of the by-law</w:t>
            </w:r>
            <w:r w:rsidR="008D4AE3">
              <w:rPr>
                <w:sz w:val="20"/>
              </w:rPr>
              <w:t>.</w:t>
            </w:r>
          </w:p>
          <w:p w:rsidR="008D4AE3" w:rsidRPr="00E007CB" w:rsidRDefault="008D4AE3" w:rsidP="00B77038">
            <w:pPr>
              <w:jc w:val="both"/>
              <w:rPr>
                <w:rFonts w:eastAsia="Calibri"/>
                <w:sz w:val="20"/>
              </w:rPr>
            </w:pPr>
          </w:p>
        </w:tc>
      </w:tr>
      <w:tr w:rsidR="008D4AE3" w:rsidRPr="00E007CB" w:rsidTr="00B77038">
        <w:tc>
          <w:tcPr>
            <w:tcW w:w="5000" w:type="pct"/>
            <w:gridSpan w:val="3"/>
          </w:tcPr>
          <w:p w:rsidR="00975FC1" w:rsidRPr="00F77596" w:rsidRDefault="00975FC1" w:rsidP="00975FC1">
            <w:pPr>
              <w:jc w:val="both"/>
              <w:rPr>
                <w:sz w:val="20"/>
              </w:rPr>
            </w:pPr>
            <w:r w:rsidRPr="00F77596">
              <w:rPr>
                <w:sz w:val="20"/>
              </w:rPr>
              <w:t>The Shaughnessy Golf and Country Club operates its golf course in Vancouver on reserve land belonging to the Musqueam Indian Band. Since 1958, the Club has leased this land from the Band, and the lease restricts the use of the property to that of a golf course. During that time, the Club has paid property taxes, first to the City of Vancouver, and then to the Band, based on the value of the land as a golf course. The Band appealed a 2011 tax assessment to the Musqueam Indian Band Board of Review, contending that the true assessed value of the property should be its value as residential land. The Board sought a determination from the Supreme Court of British Columbia on whether the use of the land as a golf course could properly be considered in assessing the value of the property. The Supreme Court of British Columbia answered the question in the affirmative, holding that the use of the property as a golf course could be considered in assessing the value of the land to determine its highest and best use. On appeal by the Band, the British Columbia Court of Appeal upheld this result but varied the Supreme Court of British Columbia’s answers, finding that the use of the land as a golf course constituted a “restriction” on use specified in the lease, which was “placed by the Band”, and was therefore to be considered by the Board in assessing the property’s value under the terms of the Band’s property assessment by-law.</w:t>
            </w:r>
          </w:p>
          <w:p w:rsidR="008D4AE3" w:rsidRPr="00F77596" w:rsidRDefault="008D4AE3" w:rsidP="00B77038">
            <w:pPr>
              <w:jc w:val="both"/>
              <w:rPr>
                <w:sz w:val="20"/>
              </w:rPr>
            </w:pPr>
          </w:p>
        </w:tc>
      </w:tr>
      <w:tr w:rsidR="008D4AE3" w:rsidRPr="00E007CB" w:rsidTr="00B77038">
        <w:trPr>
          <w:cantSplit/>
        </w:trPr>
        <w:tc>
          <w:tcPr>
            <w:tcW w:w="2427" w:type="pct"/>
          </w:tcPr>
          <w:p w:rsidR="002350A9" w:rsidRPr="00F77596" w:rsidRDefault="002350A9" w:rsidP="002350A9">
            <w:pPr>
              <w:jc w:val="both"/>
              <w:rPr>
                <w:sz w:val="20"/>
              </w:rPr>
            </w:pPr>
            <w:r w:rsidRPr="00F77596">
              <w:rPr>
                <w:sz w:val="20"/>
              </w:rPr>
              <w:lastRenderedPageBreak/>
              <w:t>July 31, 2013</w:t>
            </w:r>
          </w:p>
          <w:p w:rsidR="002350A9" w:rsidRPr="00F77596" w:rsidRDefault="002350A9" w:rsidP="002350A9">
            <w:pPr>
              <w:jc w:val="both"/>
              <w:rPr>
                <w:sz w:val="20"/>
              </w:rPr>
            </w:pPr>
            <w:r w:rsidRPr="00F77596">
              <w:rPr>
                <w:sz w:val="20"/>
              </w:rPr>
              <w:t>Supreme Court of British Columbia</w:t>
            </w:r>
          </w:p>
          <w:p w:rsidR="002350A9" w:rsidRPr="00F77596" w:rsidRDefault="002350A9" w:rsidP="002350A9">
            <w:pPr>
              <w:jc w:val="both"/>
              <w:rPr>
                <w:sz w:val="20"/>
              </w:rPr>
            </w:pPr>
            <w:r w:rsidRPr="00F77596">
              <w:rPr>
                <w:sz w:val="20"/>
              </w:rPr>
              <w:t>(Maisonville J.)</w:t>
            </w:r>
          </w:p>
          <w:p w:rsidR="008D4AE3" w:rsidRPr="00E007CB" w:rsidRDefault="00EC4FDF" w:rsidP="002350A9">
            <w:pPr>
              <w:jc w:val="both"/>
              <w:rPr>
                <w:rFonts w:eastAsia="Calibri"/>
                <w:sz w:val="20"/>
              </w:rPr>
            </w:pPr>
            <w:hyperlink r:id="rId94" w:history="1">
              <w:r w:rsidR="002350A9" w:rsidRPr="00F77596">
                <w:rPr>
                  <w:rStyle w:val="Hyperlink"/>
                  <w:sz w:val="20"/>
                  <w:lang w:val="fr-FR"/>
                </w:rPr>
                <w:t>2013 BCSC 1362</w:t>
              </w:r>
            </w:hyperlink>
          </w:p>
        </w:tc>
        <w:tc>
          <w:tcPr>
            <w:tcW w:w="243" w:type="pct"/>
          </w:tcPr>
          <w:p w:rsidR="008D4AE3" w:rsidRPr="00E007CB" w:rsidRDefault="008D4AE3" w:rsidP="00B77038">
            <w:pPr>
              <w:jc w:val="both"/>
              <w:rPr>
                <w:rFonts w:eastAsia="Calibri"/>
                <w:sz w:val="20"/>
              </w:rPr>
            </w:pPr>
          </w:p>
        </w:tc>
        <w:tc>
          <w:tcPr>
            <w:tcW w:w="2330" w:type="pct"/>
          </w:tcPr>
          <w:p w:rsidR="002350A9" w:rsidRPr="00F77596" w:rsidRDefault="002350A9" w:rsidP="002350A9">
            <w:pPr>
              <w:jc w:val="both"/>
              <w:rPr>
                <w:sz w:val="20"/>
              </w:rPr>
            </w:pPr>
            <w:r w:rsidRPr="00F77596">
              <w:rPr>
                <w:sz w:val="20"/>
              </w:rPr>
              <w:t>Decision on questions of law stated by the Musqueam Indian Band Board of Review, concluding that a restriction on use contained in a lease could be considered in determining a property’s actual value and its highest and best use</w:t>
            </w:r>
          </w:p>
          <w:p w:rsidR="008D4AE3" w:rsidRPr="00F77596" w:rsidRDefault="008D4AE3" w:rsidP="00B77038">
            <w:pPr>
              <w:jc w:val="both"/>
              <w:rPr>
                <w:sz w:val="20"/>
              </w:rPr>
            </w:pPr>
          </w:p>
        </w:tc>
      </w:tr>
      <w:tr w:rsidR="008D4AE3" w:rsidRPr="00E007CB" w:rsidTr="00B77038">
        <w:trPr>
          <w:cantSplit/>
        </w:trPr>
        <w:tc>
          <w:tcPr>
            <w:tcW w:w="2427" w:type="pct"/>
          </w:tcPr>
          <w:p w:rsidR="002350A9" w:rsidRPr="00F77596" w:rsidRDefault="002350A9" w:rsidP="002350A9">
            <w:pPr>
              <w:jc w:val="both"/>
              <w:rPr>
                <w:sz w:val="20"/>
              </w:rPr>
            </w:pPr>
            <w:r w:rsidRPr="00F77596">
              <w:rPr>
                <w:sz w:val="20"/>
              </w:rPr>
              <w:t>April 17, 2015</w:t>
            </w:r>
          </w:p>
          <w:p w:rsidR="002350A9" w:rsidRPr="00F77596" w:rsidRDefault="002350A9" w:rsidP="002350A9">
            <w:pPr>
              <w:jc w:val="both"/>
              <w:rPr>
                <w:sz w:val="20"/>
              </w:rPr>
            </w:pPr>
            <w:r w:rsidRPr="00F77596">
              <w:rPr>
                <w:sz w:val="20"/>
              </w:rPr>
              <w:t>Court of Appeal for British Columbia (Vancouver)</w:t>
            </w:r>
          </w:p>
          <w:p w:rsidR="002350A9" w:rsidRPr="00F77596" w:rsidRDefault="002350A9" w:rsidP="002350A9">
            <w:pPr>
              <w:jc w:val="both"/>
              <w:rPr>
                <w:sz w:val="20"/>
              </w:rPr>
            </w:pPr>
            <w:r w:rsidRPr="00F77596">
              <w:rPr>
                <w:sz w:val="20"/>
              </w:rPr>
              <w:t>(Bauman C.J., and Lowry and Goepel JJ.A.)</w:t>
            </w:r>
          </w:p>
          <w:p w:rsidR="002350A9" w:rsidRPr="00F77596" w:rsidRDefault="00EC4FDF" w:rsidP="002350A9">
            <w:pPr>
              <w:jc w:val="both"/>
              <w:rPr>
                <w:sz w:val="20"/>
              </w:rPr>
            </w:pPr>
            <w:hyperlink r:id="rId95" w:history="1">
              <w:r w:rsidR="002350A9" w:rsidRPr="00F77596">
                <w:rPr>
                  <w:rStyle w:val="Hyperlink"/>
                  <w:sz w:val="20"/>
                </w:rPr>
                <w:t>2015 BCCA 158</w:t>
              </w:r>
            </w:hyperlink>
          </w:p>
          <w:p w:rsidR="008D4AE3" w:rsidRDefault="008D4AE3" w:rsidP="00B77038">
            <w:pPr>
              <w:jc w:val="both"/>
              <w:rPr>
                <w:rFonts w:eastAsia="Calibri"/>
                <w:sz w:val="20"/>
              </w:rPr>
            </w:pPr>
          </w:p>
        </w:tc>
        <w:tc>
          <w:tcPr>
            <w:tcW w:w="243" w:type="pct"/>
          </w:tcPr>
          <w:p w:rsidR="008D4AE3" w:rsidRPr="00E007CB" w:rsidRDefault="008D4AE3" w:rsidP="00B77038">
            <w:pPr>
              <w:jc w:val="both"/>
              <w:rPr>
                <w:rFonts w:eastAsia="Calibri"/>
                <w:sz w:val="20"/>
              </w:rPr>
            </w:pPr>
          </w:p>
        </w:tc>
        <w:tc>
          <w:tcPr>
            <w:tcW w:w="2330" w:type="pct"/>
          </w:tcPr>
          <w:p w:rsidR="002350A9" w:rsidRPr="00F77596" w:rsidRDefault="002350A9" w:rsidP="002350A9">
            <w:pPr>
              <w:jc w:val="both"/>
              <w:rPr>
                <w:sz w:val="20"/>
              </w:rPr>
            </w:pPr>
            <w:r w:rsidRPr="00F77596">
              <w:rPr>
                <w:sz w:val="20"/>
              </w:rPr>
              <w:t>Appeal by the Musqueam Indian Band; answers to questions of law altered to include, among other things, the fact that the restriction on use was “placed by the Band”</w:t>
            </w:r>
          </w:p>
          <w:p w:rsidR="008D4AE3" w:rsidRPr="00F77596" w:rsidRDefault="008D4AE3" w:rsidP="00B77038">
            <w:pPr>
              <w:jc w:val="both"/>
              <w:rPr>
                <w:sz w:val="20"/>
              </w:rPr>
            </w:pPr>
          </w:p>
        </w:tc>
      </w:tr>
      <w:tr w:rsidR="002350A9" w:rsidRPr="00E007CB" w:rsidTr="00B77038">
        <w:trPr>
          <w:cantSplit/>
        </w:trPr>
        <w:tc>
          <w:tcPr>
            <w:tcW w:w="2427" w:type="pct"/>
          </w:tcPr>
          <w:p w:rsidR="002350A9" w:rsidRPr="00F77596" w:rsidRDefault="002350A9" w:rsidP="002350A9">
            <w:pPr>
              <w:jc w:val="both"/>
              <w:rPr>
                <w:sz w:val="20"/>
              </w:rPr>
            </w:pPr>
            <w:r w:rsidRPr="00F77596">
              <w:rPr>
                <w:sz w:val="20"/>
              </w:rPr>
              <w:t xml:space="preserve">June </w:t>
            </w:r>
            <w:r>
              <w:rPr>
                <w:sz w:val="20"/>
              </w:rPr>
              <w:t>16</w:t>
            </w:r>
            <w:r w:rsidRPr="00F77596">
              <w:rPr>
                <w:sz w:val="20"/>
              </w:rPr>
              <w:t>, 2015</w:t>
            </w:r>
          </w:p>
          <w:p w:rsidR="002350A9" w:rsidRDefault="002350A9" w:rsidP="002350A9">
            <w:pPr>
              <w:jc w:val="both"/>
              <w:rPr>
                <w:rFonts w:eastAsia="Calibri"/>
                <w:sz w:val="20"/>
              </w:rPr>
            </w:pPr>
            <w:r w:rsidRPr="00F77596">
              <w:rPr>
                <w:sz w:val="20"/>
              </w:rPr>
              <w:t>Supreme Court of Canada</w:t>
            </w:r>
          </w:p>
          <w:p w:rsidR="002350A9" w:rsidRDefault="002350A9" w:rsidP="002350A9">
            <w:pPr>
              <w:jc w:val="both"/>
              <w:rPr>
                <w:rFonts w:eastAsia="Calibri"/>
                <w:sz w:val="20"/>
              </w:rPr>
            </w:pPr>
          </w:p>
        </w:tc>
        <w:tc>
          <w:tcPr>
            <w:tcW w:w="243" w:type="pct"/>
          </w:tcPr>
          <w:p w:rsidR="002350A9" w:rsidRPr="00E007CB" w:rsidRDefault="002350A9" w:rsidP="002350A9">
            <w:pPr>
              <w:jc w:val="both"/>
              <w:rPr>
                <w:rFonts w:eastAsia="Calibri"/>
                <w:sz w:val="20"/>
              </w:rPr>
            </w:pPr>
          </w:p>
        </w:tc>
        <w:tc>
          <w:tcPr>
            <w:tcW w:w="2330" w:type="pct"/>
          </w:tcPr>
          <w:p w:rsidR="002350A9" w:rsidRPr="00F77596" w:rsidRDefault="002350A9" w:rsidP="002350A9">
            <w:pPr>
              <w:jc w:val="both"/>
              <w:rPr>
                <w:sz w:val="20"/>
              </w:rPr>
            </w:pPr>
            <w:r w:rsidRPr="00F77596">
              <w:rPr>
                <w:sz w:val="20"/>
              </w:rPr>
              <w:t>Application for leave to appeal filed by the Musqueam Indian Band</w:t>
            </w:r>
          </w:p>
        </w:tc>
      </w:tr>
    </w:tbl>
    <w:p w:rsidR="008D4AE3" w:rsidRDefault="008D4AE3" w:rsidP="008D4AE3">
      <w:pPr>
        <w:rPr>
          <w:sz w:val="20"/>
          <w:szCs w:val="20"/>
        </w:rPr>
      </w:pPr>
    </w:p>
    <w:p w:rsidR="008D4AE3" w:rsidRPr="00C50A5C" w:rsidRDefault="00EC4FDF" w:rsidP="008D4AE3">
      <w:pPr>
        <w:rPr>
          <w:sz w:val="20"/>
          <w:szCs w:val="20"/>
        </w:rPr>
      </w:pPr>
      <w:r>
        <w:rPr>
          <w:sz w:val="20"/>
          <w:szCs w:val="20"/>
          <w:lang w:val="fr-CA"/>
        </w:rPr>
        <w:pict>
          <v:rect id="_x0000_i1077" style="width:2in;height:1pt" o:hrpct="0" o:hralign="center" o:hrstd="t" o:hrnoshade="t" o:hr="t" fillcolor="black [3213]" stroked="f"/>
        </w:pict>
      </w:r>
    </w:p>
    <w:p w:rsidR="008D4AE3" w:rsidRDefault="008D4AE3" w:rsidP="008D4AE3">
      <w:pPr>
        <w:rPr>
          <w:sz w:val="20"/>
          <w:szCs w:val="20"/>
        </w:rPr>
      </w:pPr>
    </w:p>
    <w:p w:rsidR="008D4AE3" w:rsidRPr="001B157C" w:rsidRDefault="008D4AE3" w:rsidP="008D4AE3">
      <w:pPr>
        <w:rPr>
          <w:sz w:val="20"/>
          <w:szCs w:val="20"/>
          <w:u w:val="single"/>
          <w:lang w:val="fr-CA"/>
        </w:rPr>
      </w:pPr>
      <w:r w:rsidRPr="001B157C">
        <w:rPr>
          <w:sz w:val="20"/>
          <w:szCs w:val="20"/>
          <w:u w:val="single"/>
          <w:lang w:val="fr-CA"/>
        </w:rPr>
        <w:t>RÉSUMÉ DE L’AFFAIRE</w:t>
      </w:r>
    </w:p>
    <w:p w:rsidR="008D4AE3" w:rsidRDefault="008D4AE3" w:rsidP="008D4AE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D4AE3" w:rsidRPr="00002704" w:rsidTr="00B77038">
        <w:tc>
          <w:tcPr>
            <w:tcW w:w="5000" w:type="pct"/>
            <w:gridSpan w:val="3"/>
          </w:tcPr>
          <w:p w:rsidR="008D4AE3" w:rsidRDefault="000B3D10" w:rsidP="00B77038">
            <w:pPr>
              <w:jc w:val="both"/>
              <w:rPr>
                <w:sz w:val="20"/>
                <w:lang w:val="fr-CA"/>
              </w:rPr>
            </w:pPr>
            <w:r w:rsidRPr="00F77596">
              <w:rPr>
                <w:sz w:val="20"/>
                <w:lang w:val="fr-CA"/>
              </w:rPr>
              <w:t>Droit des autochtones – Réserves indiennes – Règlements pris par une bande indienne – Fiscalité – Évaluation foncière – Interprétation – Lois fiscales – Terrain de golf exploité sur une réserve indienne et payant un loyer et des taxes à la bande indienne – La bande conteste la cotisation de taxes foncières, car selon elle, l’utilisation optimale du bien-fonds doit correspondre à son utilisation éventuelle à des fins résidentielles – La Cour d’appel a-t-elle commis une erreur dans son interprétation et son application du règlement d’évaluation foncière de la bande? – Peut-on dire qu’une restriction à l’utilisation stipulée dans le bail conclu entre la Couronne au nom de la bande a été imposée [</w:t>
            </w:r>
            <w:r w:rsidRPr="00F77596">
              <w:rPr>
                <w:smallCaps/>
                <w:sz w:val="20"/>
                <w:lang w:val="fr-CA"/>
              </w:rPr>
              <w:t>traduction</w:t>
            </w:r>
            <w:r w:rsidRPr="00F77596">
              <w:rPr>
                <w:sz w:val="20"/>
                <w:lang w:val="fr-CA"/>
              </w:rPr>
              <w:t>] « par la Bande », comme le prévoit le règlement?</w:t>
            </w:r>
          </w:p>
          <w:p w:rsidR="000B3D10" w:rsidRPr="00E007CB" w:rsidRDefault="000B3D10" w:rsidP="00B77038">
            <w:pPr>
              <w:jc w:val="both"/>
              <w:rPr>
                <w:rFonts w:eastAsia="Calibri"/>
                <w:sz w:val="20"/>
                <w:lang w:val="fr-CA"/>
              </w:rPr>
            </w:pPr>
          </w:p>
        </w:tc>
      </w:tr>
      <w:tr w:rsidR="008D4AE3" w:rsidRPr="00002704" w:rsidTr="00B77038">
        <w:tc>
          <w:tcPr>
            <w:tcW w:w="5000" w:type="pct"/>
            <w:gridSpan w:val="3"/>
          </w:tcPr>
          <w:p w:rsidR="000B3D10" w:rsidRPr="00F77596" w:rsidRDefault="000B3D10" w:rsidP="000B3D10">
            <w:pPr>
              <w:jc w:val="both"/>
              <w:rPr>
                <w:sz w:val="20"/>
                <w:lang w:val="fr-CA"/>
              </w:rPr>
            </w:pPr>
            <w:r w:rsidRPr="00F77596">
              <w:rPr>
                <w:sz w:val="20"/>
                <w:lang w:val="fr-CA"/>
              </w:rPr>
              <w:t>Shaughnessy Golf and Country Club exploite son terrain de golf à Vancouver sur des terres de réserve appartenant à la bande indienne de Musqueam. Depuis 1958, le Club loue ce terrain de la bande et le bail limite l’utilisation du bien-fonds à l’exploitation d’un terrain de golf. Durant cette période, le Club a payé des taxes foncières, d’abord à la Cité de Vancouver, puis à la bande, en fonction de la valeur du terrain en tant que terrain de golf. La bande a contesté une cotisation fiscale établie en 2011 par le Musqueam Indian Band Board of Review (le « Bureau »), prétendant que l’évaluation foncière réelle du bien-fonds devait correspondre à sa valeur comme terrain résidentiel. Le Bureau a demandé à la Cour suprême de la Colombie-Britannique de statuer sur la question de savoir si l’utilisation du terrain comme terrain de golf pouvait à bon droit être prise en compte dans l’évaluation du bien-fonds. La Cour suprême de la Colombie-Britannique a répondu par l’affirmative, statuant que l’utilisation du bien-fonds comme terrain de golf pouvait être prise en compte dans l’évaluation foncière pour déterminer la valeur optimale du bien-fonds. En appel de la bande, la Cour d’appel de la Colombie-Britannique a confirmé ce résultat, mais a modifié les réponses données par la Cour suprême de la Colombie-Britannique, concluant que l’utilisation du bien-fonds comme terrain de golf constituait une [</w:t>
            </w:r>
            <w:r w:rsidRPr="00F77596">
              <w:rPr>
                <w:smallCaps/>
                <w:sz w:val="20"/>
                <w:lang w:val="fr-CA"/>
              </w:rPr>
              <w:t>traduction</w:t>
            </w:r>
            <w:r w:rsidRPr="00F77596">
              <w:rPr>
                <w:sz w:val="20"/>
                <w:lang w:val="fr-CA"/>
              </w:rPr>
              <w:t>] « restriction » à l’utilisation prévue dans le bail, laquelle a été imposée [</w:t>
            </w:r>
            <w:r w:rsidRPr="00F77596">
              <w:rPr>
                <w:smallCaps/>
                <w:sz w:val="20"/>
                <w:lang w:val="fr-CA"/>
              </w:rPr>
              <w:t>traduction</w:t>
            </w:r>
            <w:r w:rsidRPr="00F77596">
              <w:rPr>
                <w:sz w:val="20"/>
                <w:lang w:val="fr-CA"/>
              </w:rPr>
              <w:t>] « par la Bande », si bien que le Bureau devait la prendre en compte dans l’évaluation foncière du bien-fonds en application du règlement d’évaluation foncière de la bande.</w:t>
            </w:r>
          </w:p>
          <w:p w:rsidR="008D4AE3" w:rsidRPr="00F77596" w:rsidRDefault="008D4AE3" w:rsidP="00B77038">
            <w:pPr>
              <w:jc w:val="both"/>
              <w:rPr>
                <w:sz w:val="20"/>
                <w:lang w:val="fr-CA"/>
              </w:rPr>
            </w:pPr>
          </w:p>
        </w:tc>
      </w:tr>
      <w:tr w:rsidR="008D4AE3" w:rsidRPr="00002704" w:rsidTr="00B77038">
        <w:trPr>
          <w:cantSplit/>
        </w:trPr>
        <w:tc>
          <w:tcPr>
            <w:tcW w:w="2427" w:type="pct"/>
          </w:tcPr>
          <w:p w:rsidR="00D55034" w:rsidRPr="00F77596" w:rsidRDefault="00D55034" w:rsidP="00D55034">
            <w:pPr>
              <w:jc w:val="both"/>
              <w:rPr>
                <w:sz w:val="20"/>
                <w:lang w:val="fr-CA"/>
              </w:rPr>
            </w:pPr>
            <w:r w:rsidRPr="00F77596">
              <w:rPr>
                <w:sz w:val="20"/>
                <w:lang w:val="fr-CA"/>
              </w:rPr>
              <w:t>31 juillet 2013</w:t>
            </w:r>
          </w:p>
          <w:p w:rsidR="00D55034" w:rsidRPr="00F77596" w:rsidRDefault="00D55034" w:rsidP="00D55034">
            <w:pPr>
              <w:jc w:val="both"/>
              <w:rPr>
                <w:sz w:val="20"/>
                <w:lang w:val="fr-CA"/>
              </w:rPr>
            </w:pPr>
            <w:r w:rsidRPr="00F77596">
              <w:rPr>
                <w:sz w:val="20"/>
                <w:lang w:val="fr-CA"/>
              </w:rPr>
              <w:t>Cour suprême de la Colombie-Britannique</w:t>
            </w:r>
          </w:p>
          <w:p w:rsidR="00D55034" w:rsidRPr="00F77596" w:rsidRDefault="00D55034" w:rsidP="00D55034">
            <w:pPr>
              <w:jc w:val="both"/>
              <w:rPr>
                <w:sz w:val="20"/>
                <w:lang w:val="fr-CA"/>
              </w:rPr>
            </w:pPr>
            <w:r w:rsidRPr="00F77596">
              <w:rPr>
                <w:sz w:val="20"/>
                <w:lang w:val="fr-CA"/>
              </w:rPr>
              <w:t>(Juge Maisonville)</w:t>
            </w:r>
          </w:p>
          <w:p w:rsidR="008D4AE3" w:rsidRPr="00E007CB" w:rsidRDefault="00EC4FDF" w:rsidP="00D55034">
            <w:pPr>
              <w:jc w:val="both"/>
              <w:rPr>
                <w:rFonts w:eastAsia="Calibri"/>
                <w:sz w:val="20"/>
                <w:lang w:val="fr-CA"/>
              </w:rPr>
            </w:pPr>
            <w:hyperlink r:id="rId96" w:history="1">
              <w:r w:rsidR="00D55034" w:rsidRPr="00F77596">
                <w:rPr>
                  <w:rStyle w:val="Hyperlink"/>
                  <w:sz w:val="20"/>
                  <w:lang w:val="fr-CA"/>
                </w:rPr>
                <w:t>2013 BCSC 1362</w:t>
              </w:r>
            </w:hyperlink>
          </w:p>
        </w:tc>
        <w:tc>
          <w:tcPr>
            <w:tcW w:w="243" w:type="pct"/>
          </w:tcPr>
          <w:p w:rsidR="008D4AE3" w:rsidRPr="00E007CB" w:rsidRDefault="008D4AE3" w:rsidP="00B77038">
            <w:pPr>
              <w:jc w:val="both"/>
              <w:rPr>
                <w:rFonts w:eastAsia="Calibri"/>
                <w:sz w:val="20"/>
                <w:lang w:val="fr-CA"/>
              </w:rPr>
            </w:pPr>
          </w:p>
        </w:tc>
        <w:tc>
          <w:tcPr>
            <w:tcW w:w="2330" w:type="pct"/>
          </w:tcPr>
          <w:p w:rsidR="00D55034" w:rsidRPr="00F77596" w:rsidRDefault="00D55034" w:rsidP="00D55034">
            <w:pPr>
              <w:jc w:val="both"/>
              <w:rPr>
                <w:sz w:val="20"/>
                <w:lang w:val="fr-CA"/>
              </w:rPr>
            </w:pPr>
            <w:r w:rsidRPr="00F77596">
              <w:rPr>
                <w:sz w:val="20"/>
                <w:lang w:val="fr-CA"/>
              </w:rPr>
              <w:t>Décision sur les questions de droit énoncées par le Musqueam Indian Band Board of Review, concluant qu’une restriction à l’utilisation stipulée dans un bail pouvait être prise en compte dans la détermination de la valeur réelle d’un bien-fonds et de son utilisation optimale</w:t>
            </w:r>
          </w:p>
          <w:p w:rsidR="008D4AE3" w:rsidRPr="00F77596" w:rsidRDefault="008D4AE3" w:rsidP="00B77038">
            <w:pPr>
              <w:jc w:val="both"/>
              <w:rPr>
                <w:sz w:val="20"/>
                <w:lang w:val="fr-CA"/>
              </w:rPr>
            </w:pPr>
          </w:p>
        </w:tc>
      </w:tr>
      <w:tr w:rsidR="008D4AE3" w:rsidRPr="00E007CB" w:rsidTr="00B77038">
        <w:trPr>
          <w:cantSplit/>
        </w:trPr>
        <w:tc>
          <w:tcPr>
            <w:tcW w:w="2427" w:type="pct"/>
          </w:tcPr>
          <w:p w:rsidR="00D55034" w:rsidRPr="00F77596" w:rsidRDefault="00D55034" w:rsidP="00D55034">
            <w:pPr>
              <w:jc w:val="both"/>
              <w:rPr>
                <w:sz w:val="20"/>
                <w:lang w:val="fr-CA"/>
              </w:rPr>
            </w:pPr>
            <w:r w:rsidRPr="00F77596">
              <w:rPr>
                <w:sz w:val="20"/>
                <w:lang w:val="fr-CA"/>
              </w:rPr>
              <w:lastRenderedPageBreak/>
              <w:t>17 avril 2015</w:t>
            </w:r>
          </w:p>
          <w:p w:rsidR="00D55034" w:rsidRPr="00F77596" w:rsidRDefault="00D55034" w:rsidP="00D55034">
            <w:pPr>
              <w:jc w:val="both"/>
              <w:rPr>
                <w:sz w:val="20"/>
                <w:lang w:val="fr-CA"/>
              </w:rPr>
            </w:pPr>
            <w:r w:rsidRPr="00F77596">
              <w:rPr>
                <w:sz w:val="20"/>
                <w:lang w:val="fr-CA"/>
              </w:rPr>
              <w:t>Cour d’appel de la Colombie-Britannique (Vancouver)</w:t>
            </w:r>
          </w:p>
          <w:p w:rsidR="00D55034" w:rsidRPr="00F77596" w:rsidRDefault="00D55034" w:rsidP="00D55034">
            <w:pPr>
              <w:jc w:val="both"/>
              <w:rPr>
                <w:sz w:val="20"/>
                <w:lang w:val="fr-CA"/>
              </w:rPr>
            </w:pPr>
            <w:r w:rsidRPr="00F77596">
              <w:rPr>
                <w:sz w:val="20"/>
                <w:lang w:val="fr-CA"/>
              </w:rPr>
              <w:t>(Juge en chef Bauman, juges Lowry et Goepel)</w:t>
            </w:r>
          </w:p>
          <w:p w:rsidR="00D55034" w:rsidRPr="00F77596" w:rsidRDefault="00EC4FDF" w:rsidP="00D55034">
            <w:pPr>
              <w:jc w:val="both"/>
              <w:rPr>
                <w:sz w:val="20"/>
                <w:lang w:val="fr-CA"/>
              </w:rPr>
            </w:pPr>
            <w:hyperlink r:id="rId97" w:history="1">
              <w:r w:rsidR="00D55034" w:rsidRPr="00F77596">
                <w:rPr>
                  <w:rStyle w:val="Hyperlink"/>
                  <w:sz w:val="20"/>
                  <w:lang w:val="fr-CA"/>
                </w:rPr>
                <w:t>2015 BCCA 158</w:t>
              </w:r>
            </w:hyperlink>
          </w:p>
          <w:p w:rsidR="008D4AE3" w:rsidRDefault="008D4AE3" w:rsidP="00B77038">
            <w:pPr>
              <w:jc w:val="both"/>
              <w:rPr>
                <w:rFonts w:eastAsia="Calibri"/>
                <w:sz w:val="20"/>
                <w:lang w:val="fr-CA"/>
              </w:rPr>
            </w:pPr>
          </w:p>
        </w:tc>
        <w:tc>
          <w:tcPr>
            <w:tcW w:w="243" w:type="pct"/>
          </w:tcPr>
          <w:p w:rsidR="008D4AE3" w:rsidRPr="00E007CB" w:rsidRDefault="008D4AE3" w:rsidP="00B77038">
            <w:pPr>
              <w:jc w:val="both"/>
              <w:rPr>
                <w:rFonts w:eastAsia="Calibri"/>
                <w:sz w:val="20"/>
                <w:lang w:val="fr-CA"/>
              </w:rPr>
            </w:pPr>
          </w:p>
        </w:tc>
        <w:tc>
          <w:tcPr>
            <w:tcW w:w="2330" w:type="pct"/>
          </w:tcPr>
          <w:p w:rsidR="00D55034" w:rsidRPr="00F77596" w:rsidRDefault="00D55034" w:rsidP="00D55034">
            <w:pPr>
              <w:jc w:val="both"/>
              <w:rPr>
                <w:sz w:val="20"/>
                <w:lang w:val="fr-CA"/>
              </w:rPr>
            </w:pPr>
            <w:r w:rsidRPr="00F77596">
              <w:rPr>
                <w:sz w:val="20"/>
                <w:lang w:val="fr-CA"/>
              </w:rPr>
              <w:t>Appel de la bande indienne de Musqueam; modification des réponses données aux questions de droit pour ajouter notamment que la restriction à l’utilisation avait été [</w:t>
            </w:r>
            <w:r w:rsidRPr="00F77596">
              <w:rPr>
                <w:smallCaps/>
                <w:sz w:val="20"/>
                <w:lang w:val="fr-CA"/>
              </w:rPr>
              <w:t>traduction</w:t>
            </w:r>
            <w:r w:rsidRPr="00F77596">
              <w:rPr>
                <w:sz w:val="20"/>
                <w:lang w:val="fr-CA"/>
              </w:rPr>
              <w:t xml:space="preserve">] « imposée par la Bande » </w:t>
            </w:r>
          </w:p>
          <w:p w:rsidR="008D4AE3" w:rsidRPr="00F77596" w:rsidRDefault="008D4AE3" w:rsidP="00B77038">
            <w:pPr>
              <w:jc w:val="both"/>
              <w:rPr>
                <w:sz w:val="20"/>
                <w:lang w:val="fr-CA"/>
              </w:rPr>
            </w:pPr>
          </w:p>
        </w:tc>
      </w:tr>
      <w:tr w:rsidR="00D55034" w:rsidRPr="00E007CB" w:rsidTr="00B77038">
        <w:trPr>
          <w:cantSplit/>
        </w:trPr>
        <w:tc>
          <w:tcPr>
            <w:tcW w:w="2427" w:type="pct"/>
          </w:tcPr>
          <w:p w:rsidR="00D55034" w:rsidRPr="00F77596" w:rsidRDefault="00D55034" w:rsidP="00D55034">
            <w:pPr>
              <w:jc w:val="both"/>
              <w:rPr>
                <w:sz w:val="20"/>
              </w:rPr>
            </w:pPr>
            <w:r>
              <w:rPr>
                <w:sz w:val="20"/>
              </w:rPr>
              <w:t>16</w:t>
            </w:r>
            <w:r w:rsidRPr="00F77596">
              <w:rPr>
                <w:sz w:val="20"/>
              </w:rPr>
              <w:t xml:space="preserve"> juin 2015</w:t>
            </w:r>
          </w:p>
          <w:p w:rsidR="00D55034" w:rsidRPr="00F77596" w:rsidRDefault="00D55034" w:rsidP="00D55034">
            <w:pPr>
              <w:jc w:val="both"/>
              <w:rPr>
                <w:sz w:val="20"/>
              </w:rPr>
            </w:pPr>
            <w:r w:rsidRPr="00F77596">
              <w:rPr>
                <w:sz w:val="20"/>
              </w:rPr>
              <w:t>Cour suprême du Canada</w:t>
            </w:r>
          </w:p>
          <w:p w:rsidR="00D55034" w:rsidRDefault="00D55034" w:rsidP="00D55034">
            <w:pPr>
              <w:jc w:val="both"/>
              <w:rPr>
                <w:rFonts w:eastAsia="Calibri"/>
                <w:sz w:val="20"/>
                <w:lang w:val="fr-CA"/>
              </w:rPr>
            </w:pPr>
          </w:p>
        </w:tc>
        <w:tc>
          <w:tcPr>
            <w:tcW w:w="243" w:type="pct"/>
          </w:tcPr>
          <w:p w:rsidR="00D55034" w:rsidRPr="00E007CB" w:rsidRDefault="00D55034" w:rsidP="00D55034">
            <w:pPr>
              <w:jc w:val="both"/>
              <w:rPr>
                <w:rFonts w:eastAsia="Calibri"/>
                <w:sz w:val="20"/>
                <w:lang w:val="fr-CA"/>
              </w:rPr>
            </w:pPr>
          </w:p>
        </w:tc>
        <w:tc>
          <w:tcPr>
            <w:tcW w:w="2330" w:type="pct"/>
          </w:tcPr>
          <w:p w:rsidR="00D55034" w:rsidRPr="00F77596" w:rsidRDefault="00D55034" w:rsidP="00D55034">
            <w:pPr>
              <w:jc w:val="both"/>
              <w:rPr>
                <w:sz w:val="20"/>
                <w:lang w:val="fr-CA"/>
              </w:rPr>
            </w:pPr>
            <w:r w:rsidRPr="00F77596">
              <w:rPr>
                <w:sz w:val="20"/>
                <w:lang w:val="fr-CA"/>
              </w:rPr>
              <w:t>Dépôt par la bande indienne de Musqueam de la demande d’autorisation d’appel</w:t>
            </w:r>
          </w:p>
        </w:tc>
      </w:tr>
    </w:tbl>
    <w:p w:rsidR="008D4AE3" w:rsidRDefault="008D4AE3" w:rsidP="008D4AE3">
      <w:pPr>
        <w:rPr>
          <w:sz w:val="20"/>
          <w:szCs w:val="20"/>
        </w:rPr>
      </w:pPr>
    </w:p>
    <w:p w:rsidR="008D4AE3" w:rsidRDefault="00EC4FDF" w:rsidP="008D4AE3">
      <w:pPr>
        <w:rPr>
          <w:sz w:val="20"/>
          <w:szCs w:val="20"/>
        </w:rPr>
      </w:pPr>
      <w:r>
        <w:rPr>
          <w:sz w:val="20"/>
          <w:szCs w:val="20"/>
          <w:lang w:val="fr-CA"/>
        </w:rPr>
        <w:pict>
          <v:rect id="_x0000_i1078" style="width:2in;height:1pt" o:hrpct="0" o:hralign="center" o:hrstd="t" o:hrnoshade="t" o:hr="t" fillcolor="black [3213]" stroked="f"/>
        </w:pict>
      </w:r>
    </w:p>
    <w:p w:rsidR="008D4AE3" w:rsidRDefault="008D4AE3" w:rsidP="008D4AE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15F79" w:rsidRPr="00A73D2C" w:rsidTr="00B77038">
        <w:trPr>
          <w:cantSplit/>
        </w:trPr>
        <w:tc>
          <w:tcPr>
            <w:tcW w:w="1458" w:type="dxa"/>
          </w:tcPr>
          <w:p w:rsidR="00115F79" w:rsidRPr="00A73D2C" w:rsidRDefault="00115F79" w:rsidP="00B77038">
            <w:pPr>
              <w:rPr>
                <w:sz w:val="20"/>
                <w:szCs w:val="20"/>
              </w:rPr>
            </w:pPr>
            <w:r w:rsidRPr="00A73D2C">
              <w:rPr>
                <w:rStyle w:val="SCCFileNumberChar"/>
                <w:sz w:val="20"/>
                <w:szCs w:val="20"/>
              </w:rPr>
              <w:t>36</w:t>
            </w:r>
            <w:r>
              <w:rPr>
                <w:rStyle w:val="SCCFileNumberChar"/>
                <w:sz w:val="20"/>
                <w:szCs w:val="20"/>
              </w:rPr>
              <w:t>479</w:t>
            </w:r>
          </w:p>
          <w:p w:rsidR="00115F79" w:rsidRPr="00A73D2C" w:rsidRDefault="00115F79" w:rsidP="00B77038">
            <w:pPr>
              <w:rPr>
                <w:b/>
                <w:sz w:val="20"/>
                <w:szCs w:val="20"/>
                <w:lang w:val="fr-CA"/>
              </w:rPr>
            </w:pPr>
          </w:p>
        </w:tc>
        <w:tc>
          <w:tcPr>
            <w:tcW w:w="8118" w:type="dxa"/>
          </w:tcPr>
          <w:p w:rsidR="00115F79" w:rsidRPr="00A73D2C" w:rsidRDefault="00115F79" w:rsidP="00B77038">
            <w:pPr>
              <w:rPr>
                <w:sz w:val="20"/>
                <w:szCs w:val="20"/>
              </w:rPr>
            </w:pPr>
            <w:r w:rsidRPr="00115F79">
              <w:rPr>
                <w:rStyle w:val="SCCLsocChar"/>
                <w:sz w:val="20"/>
                <w:szCs w:val="20"/>
                <w:lang w:val="en-CA"/>
              </w:rPr>
              <w:t>Eleanor Martin v. Her Majesty the Queen</w:t>
            </w:r>
            <w:r w:rsidRPr="008D4AE3">
              <w:rPr>
                <w:rStyle w:val="SCCLsocChar"/>
                <w:sz w:val="20"/>
                <w:szCs w:val="20"/>
                <w:u w:val="none"/>
                <w:lang w:val="en-CA"/>
              </w:rPr>
              <w:t xml:space="preserve"> </w:t>
            </w:r>
            <w:r w:rsidRPr="00A73D2C">
              <w:rPr>
                <w:sz w:val="20"/>
                <w:szCs w:val="20"/>
              </w:rPr>
              <w:t>(</w:t>
            </w:r>
            <w:r>
              <w:rPr>
                <w:sz w:val="20"/>
                <w:szCs w:val="20"/>
              </w:rPr>
              <w:t>F.C.</w:t>
            </w:r>
            <w:r w:rsidRPr="00A73D2C">
              <w:rPr>
                <w:sz w:val="20"/>
                <w:szCs w:val="20"/>
              </w:rPr>
              <w:t>) (C</w:t>
            </w:r>
            <w:r>
              <w:rPr>
                <w:sz w:val="20"/>
                <w:szCs w:val="20"/>
              </w:rPr>
              <w:t>ivil</w:t>
            </w:r>
            <w:r w:rsidRPr="00A73D2C">
              <w:rPr>
                <w:sz w:val="20"/>
                <w:szCs w:val="20"/>
              </w:rPr>
              <w:t>) (By Leave)</w:t>
            </w:r>
          </w:p>
          <w:p w:rsidR="00115F79" w:rsidRPr="00A73D2C" w:rsidRDefault="00115F79" w:rsidP="00B77038">
            <w:pPr>
              <w:rPr>
                <w:sz w:val="20"/>
                <w:szCs w:val="20"/>
              </w:rPr>
            </w:pPr>
          </w:p>
        </w:tc>
      </w:tr>
      <w:tr w:rsidR="00115F79" w:rsidRPr="00A73D2C" w:rsidTr="00B77038">
        <w:trPr>
          <w:cantSplit/>
        </w:trPr>
        <w:tc>
          <w:tcPr>
            <w:tcW w:w="1458" w:type="dxa"/>
          </w:tcPr>
          <w:p w:rsidR="00115F79" w:rsidRPr="00A73D2C" w:rsidRDefault="00115F79" w:rsidP="00B77038">
            <w:pPr>
              <w:rPr>
                <w:sz w:val="20"/>
                <w:szCs w:val="20"/>
              </w:rPr>
            </w:pPr>
            <w:r w:rsidRPr="00A73D2C">
              <w:rPr>
                <w:sz w:val="20"/>
                <w:szCs w:val="20"/>
              </w:rPr>
              <w:t>Coram :</w:t>
            </w:r>
          </w:p>
        </w:tc>
        <w:tc>
          <w:tcPr>
            <w:tcW w:w="8118" w:type="dxa"/>
          </w:tcPr>
          <w:p w:rsidR="00115F79" w:rsidRDefault="00646DFD" w:rsidP="00B77038">
            <w:pPr>
              <w:rPr>
                <w:rStyle w:val="SCCCoramChar"/>
                <w:sz w:val="20"/>
                <w:szCs w:val="20"/>
                <w:lang w:val="en-CA"/>
              </w:rPr>
            </w:pPr>
            <w:r w:rsidRPr="00646DFD">
              <w:rPr>
                <w:rStyle w:val="SCCCoramChar"/>
                <w:sz w:val="20"/>
                <w:szCs w:val="20"/>
                <w:lang w:val="en-CA"/>
              </w:rPr>
              <w:t>Cromwell, Wagner and Côté JJ.</w:t>
            </w:r>
          </w:p>
          <w:p w:rsidR="00646DFD" w:rsidRPr="00A73D2C" w:rsidRDefault="00646DFD" w:rsidP="00B77038">
            <w:pPr>
              <w:rPr>
                <w:sz w:val="20"/>
                <w:szCs w:val="20"/>
                <w:u w:val="single"/>
              </w:rPr>
            </w:pPr>
          </w:p>
        </w:tc>
      </w:tr>
      <w:tr w:rsidR="00115F79" w:rsidRPr="00002704" w:rsidTr="00B77038">
        <w:trPr>
          <w:cantSplit/>
        </w:trPr>
        <w:tc>
          <w:tcPr>
            <w:tcW w:w="9576" w:type="dxa"/>
            <w:gridSpan w:val="2"/>
          </w:tcPr>
          <w:p w:rsidR="00646DFD" w:rsidRPr="00646DFD" w:rsidRDefault="00646DFD" w:rsidP="00646DFD">
            <w:pPr>
              <w:pStyle w:val="SCCShortJudgment"/>
              <w:rPr>
                <w:szCs w:val="20"/>
              </w:rPr>
            </w:pPr>
            <w:r w:rsidRPr="00646DFD">
              <w:rPr>
                <w:szCs w:val="20"/>
              </w:rPr>
              <w:t>The application for leave to appeal from the judgment of the Federal Court of Appeal, Number A-113-14, 2015 FCA 95, dated April 15, 2015, is dismissed with costs.</w:t>
            </w:r>
          </w:p>
          <w:p w:rsidR="00646DFD" w:rsidRPr="00646DFD" w:rsidRDefault="00646DFD" w:rsidP="00646DFD">
            <w:pPr>
              <w:pStyle w:val="SCCShortJudgment"/>
              <w:rPr>
                <w:szCs w:val="20"/>
              </w:rPr>
            </w:pPr>
          </w:p>
          <w:p w:rsidR="00115F79" w:rsidRPr="00A73D2C" w:rsidRDefault="00646DFD" w:rsidP="00646DFD">
            <w:pPr>
              <w:pStyle w:val="SCCShortJudgment"/>
              <w:rPr>
                <w:szCs w:val="20"/>
                <w:lang w:val="fr-CA"/>
              </w:rPr>
            </w:pPr>
            <w:r w:rsidRPr="00646DFD">
              <w:rPr>
                <w:szCs w:val="20"/>
              </w:rPr>
              <w:t>La demande d’autorisation d’appel de l’arrêt de la Cour d’appel fédérale, numéro A-113-14, 2015 CAF 95, daté du 15 avril 2015, est  rejetée avec dépens.</w:t>
            </w:r>
          </w:p>
        </w:tc>
      </w:tr>
    </w:tbl>
    <w:p w:rsidR="00115F79" w:rsidRPr="0016547E" w:rsidRDefault="00115F79" w:rsidP="00115F79">
      <w:pPr>
        <w:rPr>
          <w:sz w:val="20"/>
          <w:szCs w:val="20"/>
          <w:lang w:val="fr-CA"/>
        </w:rPr>
      </w:pPr>
    </w:p>
    <w:p w:rsidR="00115F79" w:rsidRPr="001B157C" w:rsidRDefault="00115F79" w:rsidP="00115F79">
      <w:pPr>
        <w:rPr>
          <w:sz w:val="20"/>
          <w:szCs w:val="20"/>
          <w:u w:val="single"/>
        </w:rPr>
      </w:pPr>
      <w:r w:rsidRPr="001B157C">
        <w:rPr>
          <w:sz w:val="20"/>
          <w:szCs w:val="20"/>
          <w:u w:val="single"/>
        </w:rPr>
        <w:t>CASE SUMMARY</w:t>
      </w:r>
    </w:p>
    <w:p w:rsidR="00115F79" w:rsidRDefault="00115F79" w:rsidP="00115F7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15F79" w:rsidRPr="00E007CB" w:rsidTr="00B77038">
        <w:tc>
          <w:tcPr>
            <w:tcW w:w="5000" w:type="pct"/>
            <w:gridSpan w:val="3"/>
          </w:tcPr>
          <w:p w:rsidR="008A34C6" w:rsidRPr="00F77596" w:rsidRDefault="008A34C6" w:rsidP="008A34C6">
            <w:pPr>
              <w:pStyle w:val="SCCBanSummary"/>
              <w:rPr>
                <w:smallCaps w:val="0"/>
                <w:sz w:val="20"/>
                <w:szCs w:val="20"/>
              </w:rPr>
            </w:pPr>
            <w:r w:rsidRPr="00F77596">
              <w:rPr>
                <w:smallCaps w:val="0"/>
                <w:sz w:val="20"/>
                <w:szCs w:val="20"/>
              </w:rPr>
              <w:t xml:space="preserve">Civil Procedure — Costs — Pre-proceedings conduct — Discretionary power to award costs — Taxpayer successfully appealing from an assessment under </w:t>
            </w:r>
            <w:r w:rsidRPr="00F77596">
              <w:rPr>
                <w:i/>
                <w:smallCaps w:val="0"/>
                <w:sz w:val="20"/>
                <w:szCs w:val="20"/>
              </w:rPr>
              <w:t>Income</w:t>
            </w:r>
            <w:r w:rsidRPr="00F77596">
              <w:rPr>
                <w:smallCaps w:val="0"/>
                <w:sz w:val="20"/>
                <w:szCs w:val="20"/>
              </w:rPr>
              <w:t xml:space="preserve"> </w:t>
            </w:r>
            <w:r w:rsidRPr="00F77596">
              <w:rPr>
                <w:i/>
                <w:smallCaps w:val="0"/>
                <w:sz w:val="20"/>
                <w:szCs w:val="20"/>
              </w:rPr>
              <w:t>Tax Act</w:t>
            </w:r>
            <w:r w:rsidRPr="00F77596">
              <w:rPr>
                <w:smallCaps w:val="0"/>
                <w:sz w:val="20"/>
                <w:szCs w:val="20"/>
              </w:rPr>
              <w:t xml:space="preserve"> — Tax Court awarding increased costs — Federal Court of Appeal setting aside increased cost award — Whether Tax Court and Federal Court of Appeal can consider actions of Minister of National Revenue during its interactions with taxpayers, prior to filing of an appeal to Tax Court, as part of their discretionary power to order costs to any party involved in any proceeding before them — </w:t>
            </w:r>
            <w:r w:rsidRPr="00F77596">
              <w:rPr>
                <w:i/>
                <w:smallCaps w:val="0"/>
                <w:sz w:val="20"/>
                <w:szCs w:val="20"/>
              </w:rPr>
              <w:t>Tax Court of Canada Rules (General Procedure)</w:t>
            </w:r>
            <w:r w:rsidRPr="00F77596">
              <w:rPr>
                <w:smallCaps w:val="0"/>
                <w:sz w:val="20"/>
                <w:szCs w:val="20"/>
              </w:rPr>
              <w:t>, sor/90-688A.</w:t>
            </w:r>
          </w:p>
          <w:p w:rsidR="00115F79" w:rsidRPr="00E007CB" w:rsidRDefault="00115F79" w:rsidP="00B77038">
            <w:pPr>
              <w:jc w:val="both"/>
              <w:rPr>
                <w:rFonts w:eastAsia="Calibri"/>
                <w:sz w:val="20"/>
              </w:rPr>
            </w:pPr>
          </w:p>
        </w:tc>
      </w:tr>
      <w:tr w:rsidR="00115F79" w:rsidRPr="00E007CB" w:rsidTr="00B77038">
        <w:tc>
          <w:tcPr>
            <w:tcW w:w="5000" w:type="pct"/>
            <w:gridSpan w:val="3"/>
          </w:tcPr>
          <w:p w:rsidR="00115F79" w:rsidRDefault="008A34C6" w:rsidP="00B77038">
            <w:pPr>
              <w:jc w:val="both"/>
              <w:rPr>
                <w:sz w:val="20"/>
              </w:rPr>
            </w:pPr>
            <w:r w:rsidRPr="00F77596">
              <w:rPr>
                <w:sz w:val="20"/>
              </w:rPr>
              <w:t xml:space="preserve">Ms. Martin was assessed under s. 160 of the </w:t>
            </w:r>
            <w:r w:rsidRPr="00F77596">
              <w:rPr>
                <w:i/>
                <w:sz w:val="20"/>
              </w:rPr>
              <w:t>Income Tax Act</w:t>
            </w:r>
            <w:r w:rsidRPr="00F77596">
              <w:rPr>
                <w:sz w:val="20"/>
              </w:rPr>
              <w:t>, R.S.C. 1985, c. 1 (5th Supp.) in respect of her late husband’s tax liability. Ms. Martin was successful in her appeal from this assessment at the Tax Court of Canada. The Tax Court released a subsequent cost decision and fixed costs to Ms. Martin at $10,635. The costs decision, not the main decision, was appealed to the Federal Court of Appeal. The Federal Court of Appeal allowed the appeal and set aside the cost order of the Tax Court and awarded Ms. Martin $4,800 in costs plus disbursements and taxes.</w:t>
            </w:r>
          </w:p>
          <w:p w:rsidR="008A34C6" w:rsidRPr="00F77596" w:rsidRDefault="008A34C6" w:rsidP="00B77038">
            <w:pPr>
              <w:jc w:val="both"/>
              <w:rPr>
                <w:sz w:val="20"/>
              </w:rPr>
            </w:pPr>
          </w:p>
        </w:tc>
      </w:tr>
      <w:tr w:rsidR="00115F79" w:rsidRPr="00E007CB" w:rsidTr="00B77038">
        <w:trPr>
          <w:cantSplit/>
        </w:trPr>
        <w:tc>
          <w:tcPr>
            <w:tcW w:w="2427" w:type="pct"/>
          </w:tcPr>
          <w:p w:rsidR="008A34C6" w:rsidRPr="00F77596" w:rsidRDefault="008A34C6" w:rsidP="008A34C6">
            <w:pPr>
              <w:jc w:val="both"/>
              <w:rPr>
                <w:sz w:val="20"/>
                <w:lang w:eastAsia="en-CA"/>
              </w:rPr>
            </w:pPr>
            <w:r w:rsidRPr="00F77596">
              <w:rPr>
                <w:sz w:val="20"/>
                <w:lang w:eastAsia="en-CA"/>
              </w:rPr>
              <w:t>February 13, 2014</w:t>
            </w:r>
          </w:p>
          <w:p w:rsidR="008A34C6" w:rsidRPr="00F77596" w:rsidRDefault="008A34C6" w:rsidP="008A34C6">
            <w:pPr>
              <w:jc w:val="both"/>
              <w:rPr>
                <w:sz w:val="20"/>
                <w:lang w:eastAsia="en-CA"/>
              </w:rPr>
            </w:pPr>
            <w:r w:rsidRPr="00F77596">
              <w:rPr>
                <w:sz w:val="20"/>
                <w:lang w:eastAsia="en-CA"/>
              </w:rPr>
              <w:t>Tax Court of Canada</w:t>
            </w:r>
          </w:p>
          <w:p w:rsidR="008A34C6" w:rsidRPr="00F77596" w:rsidRDefault="008A34C6" w:rsidP="008A34C6">
            <w:pPr>
              <w:jc w:val="both"/>
              <w:rPr>
                <w:sz w:val="20"/>
                <w:lang w:eastAsia="en-CA"/>
              </w:rPr>
            </w:pPr>
            <w:r w:rsidRPr="00F77596">
              <w:rPr>
                <w:sz w:val="20"/>
                <w:lang w:eastAsia="en-CA"/>
              </w:rPr>
              <w:t>(Boyle J.)</w:t>
            </w:r>
          </w:p>
          <w:p w:rsidR="008A34C6" w:rsidRPr="00F77596" w:rsidRDefault="00EC4FDF" w:rsidP="008A34C6">
            <w:pPr>
              <w:jc w:val="both"/>
              <w:rPr>
                <w:sz w:val="20"/>
                <w:lang w:eastAsia="en-CA"/>
              </w:rPr>
            </w:pPr>
            <w:hyperlink r:id="rId98" w:history="1">
              <w:r w:rsidR="008A34C6" w:rsidRPr="00F77596">
                <w:rPr>
                  <w:color w:val="0000FF" w:themeColor="hyperlink"/>
                  <w:sz w:val="20"/>
                  <w:u w:val="single"/>
                  <w:lang w:eastAsia="en-CA"/>
                </w:rPr>
                <w:t>2014 TCC 50</w:t>
              </w:r>
            </w:hyperlink>
          </w:p>
          <w:p w:rsidR="00115F79" w:rsidRPr="00E007CB" w:rsidRDefault="00115F79" w:rsidP="00B77038">
            <w:pPr>
              <w:jc w:val="both"/>
              <w:rPr>
                <w:rFonts w:eastAsia="Calibri"/>
                <w:sz w:val="20"/>
              </w:rPr>
            </w:pPr>
          </w:p>
        </w:tc>
        <w:tc>
          <w:tcPr>
            <w:tcW w:w="243" w:type="pct"/>
          </w:tcPr>
          <w:p w:rsidR="00115F79" w:rsidRPr="00E007CB" w:rsidRDefault="00115F79" w:rsidP="00B77038">
            <w:pPr>
              <w:jc w:val="both"/>
              <w:rPr>
                <w:rFonts w:eastAsia="Calibri"/>
                <w:sz w:val="20"/>
              </w:rPr>
            </w:pPr>
          </w:p>
        </w:tc>
        <w:tc>
          <w:tcPr>
            <w:tcW w:w="2330" w:type="pct"/>
          </w:tcPr>
          <w:p w:rsidR="008A34C6" w:rsidRPr="00F77596" w:rsidRDefault="008A34C6" w:rsidP="008A34C6">
            <w:pPr>
              <w:jc w:val="both"/>
              <w:rPr>
                <w:sz w:val="20"/>
                <w:lang w:eastAsia="en-CA"/>
              </w:rPr>
            </w:pPr>
            <w:r w:rsidRPr="00F77596">
              <w:rPr>
                <w:sz w:val="20"/>
                <w:lang w:eastAsia="en-CA"/>
              </w:rPr>
              <w:t>Cost award of $10,635 fixed and payable to Ms. Martin.</w:t>
            </w:r>
          </w:p>
          <w:p w:rsidR="00115F79" w:rsidRPr="00F77596" w:rsidRDefault="00115F79" w:rsidP="00B77038">
            <w:pPr>
              <w:jc w:val="both"/>
              <w:rPr>
                <w:sz w:val="20"/>
              </w:rPr>
            </w:pPr>
          </w:p>
        </w:tc>
      </w:tr>
      <w:tr w:rsidR="00115F79" w:rsidRPr="00E007CB" w:rsidTr="00B77038">
        <w:trPr>
          <w:cantSplit/>
        </w:trPr>
        <w:tc>
          <w:tcPr>
            <w:tcW w:w="2427" w:type="pct"/>
          </w:tcPr>
          <w:p w:rsidR="008A34C6" w:rsidRPr="00F77596" w:rsidRDefault="008A34C6" w:rsidP="008A34C6">
            <w:pPr>
              <w:jc w:val="both"/>
              <w:rPr>
                <w:sz w:val="20"/>
                <w:lang w:eastAsia="en-CA"/>
              </w:rPr>
            </w:pPr>
            <w:r w:rsidRPr="00F77596">
              <w:rPr>
                <w:sz w:val="20"/>
                <w:lang w:eastAsia="en-CA"/>
              </w:rPr>
              <w:t>April 15, 2015</w:t>
            </w:r>
          </w:p>
          <w:p w:rsidR="008A34C6" w:rsidRPr="00F77596" w:rsidRDefault="008A34C6" w:rsidP="008A34C6">
            <w:pPr>
              <w:jc w:val="both"/>
              <w:rPr>
                <w:sz w:val="20"/>
                <w:lang w:eastAsia="en-CA"/>
              </w:rPr>
            </w:pPr>
            <w:r w:rsidRPr="00F77596">
              <w:rPr>
                <w:sz w:val="20"/>
                <w:lang w:eastAsia="en-CA"/>
              </w:rPr>
              <w:t>Federal Court of Appeal</w:t>
            </w:r>
          </w:p>
          <w:p w:rsidR="008A34C6" w:rsidRPr="00F77596" w:rsidRDefault="008A34C6" w:rsidP="008A34C6">
            <w:pPr>
              <w:jc w:val="both"/>
              <w:rPr>
                <w:sz w:val="20"/>
                <w:lang w:eastAsia="en-CA"/>
              </w:rPr>
            </w:pPr>
            <w:r w:rsidRPr="00F77596">
              <w:rPr>
                <w:sz w:val="20"/>
                <w:lang w:eastAsia="en-CA"/>
              </w:rPr>
              <w:t>(Dawson, Webb, and Near JJ.A.)</w:t>
            </w:r>
          </w:p>
          <w:p w:rsidR="008A34C6" w:rsidRPr="00F77596" w:rsidRDefault="00EC4FDF" w:rsidP="008A34C6">
            <w:pPr>
              <w:jc w:val="both"/>
              <w:rPr>
                <w:sz w:val="20"/>
                <w:lang w:eastAsia="en-CA"/>
              </w:rPr>
            </w:pPr>
            <w:hyperlink r:id="rId99" w:history="1">
              <w:r w:rsidR="008A34C6" w:rsidRPr="00F77596">
                <w:rPr>
                  <w:color w:val="0000FF" w:themeColor="hyperlink"/>
                  <w:sz w:val="20"/>
                  <w:u w:val="single"/>
                  <w:lang w:eastAsia="en-CA"/>
                </w:rPr>
                <w:t>2015 FCA 95</w:t>
              </w:r>
            </w:hyperlink>
          </w:p>
          <w:p w:rsidR="008A34C6" w:rsidRPr="00F77596" w:rsidRDefault="008A34C6" w:rsidP="008A34C6">
            <w:pPr>
              <w:jc w:val="both"/>
              <w:rPr>
                <w:sz w:val="20"/>
                <w:lang w:eastAsia="en-CA"/>
              </w:rPr>
            </w:pPr>
            <w:r w:rsidRPr="00F77596">
              <w:rPr>
                <w:sz w:val="20"/>
                <w:lang w:eastAsia="en-CA"/>
              </w:rPr>
              <w:t>File No.: A-113-14</w:t>
            </w:r>
          </w:p>
          <w:p w:rsidR="00115F79" w:rsidRDefault="00115F79" w:rsidP="00B77038">
            <w:pPr>
              <w:jc w:val="both"/>
              <w:rPr>
                <w:rFonts w:eastAsia="Calibri"/>
                <w:sz w:val="20"/>
              </w:rPr>
            </w:pPr>
          </w:p>
        </w:tc>
        <w:tc>
          <w:tcPr>
            <w:tcW w:w="243" w:type="pct"/>
          </w:tcPr>
          <w:p w:rsidR="00115F79" w:rsidRPr="00E007CB" w:rsidRDefault="00115F79" w:rsidP="00B77038">
            <w:pPr>
              <w:jc w:val="both"/>
              <w:rPr>
                <w:rFonts w:eastAsia="Calibri"/>
                <w:sz w:val="20"/>
              </w:rPr>
            </w:pPr>
          </w:p>
        </w:tc>
        <w:tc>
          <w:tcPr>
            <w:tcW w:w="2330" w:type="pct"/>
          </w:tcPr>
          <w:p w:rsidR="008A34C6" w:rsidRPr="00F77596" w:rsidRDefault="008A34C6" w:rsidP="008A34C6">
            <w:pPr>
              <w:jc w:val="both"/>
              <w:rPr>
                <w:sz w:val="20"/>
                <w:lang w:eastAsia="en-CA"/>
              </w:rPr>
            </w:pPr>
            <w:r w:rsidRPr="00F77596">
              <w:rPr>
                <w:sz w:val="20"/>
                <w:lang w:eastAsia="en-CA"/>
              </w:rPr>
              <w:t xml:space="preserve">Appeal allowed; order as to costs issued by Tax Court set aside. Crown ordered to pay costs to Ms. Martin in the amount of $4,800.  Cross-appeal dismissed. </w:t>
            </w:r>
          </w:p>
          <w:p w:rsidR="00115F79" w:rsidRPr="00F77596" w:rsidRDefault="00115F79" w:rsidP="00B77038">
            <w:pPr>
              <w:jc w:val="both"/>
              <w:rPr>
                <w:sz w:val="20"/>
              </w:rPr>
            </w:pPr>
          </w:p>
        </w:tc>
      </w:tr>
      <w:tr w:rsidR="00115F79" w:rsidRPr="00E007CB" w:rsidTr="00B77038">
        <w:trPr>
          <w:cantSplit/>
        </w:trPr>
        <w:tc>
          <w:tcPr>
            <w:tcW w:w="2427" w:type="pct"/>
          </w:tcPr>
          <w:p w:rsidR="00115F79" w:rsidRPr="00F77596" w:rsidRDefault="00115F79" w:rsidP="00B77038">
            <w:pPr>
              <w:jc w:val="both"/>
              <w:rPr>
                <w:sz w:val="20"/>
              </w:rPr>
            </w:pPr>
            <w:r w:rsidRPr="00F77596">
              <w:rPr>
                <w:sz w:val="20"/>
              </w:rPr>
              <w:t xml:space="preserve">June </w:t>
            </w:r>
            <w:r>
              <w:rPr>
                <w:sz w:val="20"/>
              </w:rPr>
              <w:t>1</w:t>
            </w:r>
            <w:r w:rsidR="008A34C6">
              <w:rPr>
                <w:sz w:val="20"/>
              </w:rPr>
              <w:t>5</w:t>
            </w:r>
            <w:r w:rsidRPr="00F77596">
              <w:rPr>
                <w:sz w:val="20"/>
              </w:rPr>
              <w:t>, 2015</w:t>
            </w:r>
          </w:p>
          <w:p w:rsidR="00115F79" w:rsidRDefault="00115F79" w:rsidP="00B77038">
            <w:pPr>
              <w:jc w:val="both"/>
              <w:rPr>
                <w:rFonts w:eastAsia="Calibri"/>
                <w:sz w:val="20"/>
              </w:rPr>
            </w:pPr>
            <w:r w:rsidRPr="00F77596">
              <w:rPr>
                <w:sz w:val="20"/>
              </w:rPr>
              <w:t>Supreme Court of Canada</w:t>
            </w:r>
          </w:p>
          <w:p w:rsidR="00115F79" w:rsidRDefault="00115F79" w:rsidP="00B77038">
            <w:pPr>
              <w:jc w:val="both"/>
              <w:rPr>
                <w:rFonts w:eastAsia="Calibri"/>
                <w:sz w:val="20"/>
              </w:rPr>
            </w:pPr>
          </w:p>
        </w:tc>
        <w:tc>
          <w:tcPr>
            <w:tcW w:w="243" w:type="pct"/>
          </w:tcPr>
          <w:p w:rsidR="00115F79" w:rsidRPr="00E007CB" w:rsidRDefault="00115F79" w:rsidP="00B77038">
            <w:pPr>
              <w:jc w:val="both"/>
              <w:rPr>
                <w:rFonts w:eastAsia="Calibri"/>
                <w:sz w:val="20"/>
              </w:rPr>
            </w:pPr>
          </w:p>
        </w:tc>
        <w:tc>
          <w:tcPr>
            <w:tcW w:w="2330" w:type="pct"/>
          </w:tcPr>
          <w:p w:rsidR="008A34C6" w:rsidRPr="00F77596" w:rsidRDefault="008A34C6" w:rsidP="008A34C6">
            <w:pPr>
              <w:jc w:val="both"/>
              <w:rPr>
                <w:sz w:val="20"/>
              </w:rPr>
            </w:pPr>
            <w:r w:rsidRPr="00F77596">
              <w:rPr>
                <w:sz w:val="20"/>
              </w:rPr>
              <w:t>Application for leave to appeal filed.</w:t>
            </w:r>
          </w:p>
          <w:p w:rsidR="00115F79" w:rsidRPr="00F77596" w:rsidRDefault="00115F79" w:rsidP="00B77038">
            <w:pPr>
              <w:jc w:val="both"/>
              <w:rPr>
                <w:sz w:val="20"/>
              </w:rPr>
            </w:pPr>
          </w:p>
        </w:tc>
      </w:tr>
    </w:tbl>
    <w:p w:rsidR="00115F79" w:rsidRDefault="00115F79" w:rsidP="00115F79">
      <w:pPr>
        <w:rPr>
          <w:sz w:val="20"/>
          <w:szCs w:val="20"/>
        </w:rPr>
      </w:pPr>
    </w:p>
    <w:p w:rsidR="00115F79" w:rsidRPr="00C50A5C" w:rsidRDefault="00EC4FDF" w:rsidP="00115F79">
      <w:pPr>
        <w:rPr>
          <w:sz w:val="20"/>
          <w:szCs w:val="20"/>
        </w:rPr>
      </w:pPr>
      <w:r>
        <w:rPr>
          <w:sz w:val="20"/>
          <w:szCs w:val="20"/>
          <w:lang w:val="fr-CA"/>
        </w:rPr>
        <w:pict>
          <v:rect id="_x0000_i1079" style="width:2in;height:1pt" o:hrpct="0" o:hralign="center" o:hrstd="t" o:hrnoshade="t" o:hr="t" fillcolor="black [3213]" stroked="f"/>
        </w:pict>
      </w:r>
    </w:p>
    <w:p w:rsidR="00115F79" w:rsidRDefault="00115F79" w:rsidP="00115F79">
      <w:pPr>
        <w:rPr>
          <w:sz w:val="20"/>
          <w:szCs w:val="20"/>
        </w:rPr>
      </w:pPr>
    </w:p>
    <w:p w:rsidR="00115F79" w:rsidRPr="001B157C" w:rsidRDefault="00115F79" w:rsidP="00115F79">
      <w:pPr>
        <w:rPr>
          <w:sz w:val="20"/>
          <w:szCs w:val="20"/>
          <w:u w:val="single"/>
          <w:lang w:val="fr-CA"/>
        </w:rPr>
      </w:pPr>
      <w:r w:rsidRPr="001B157C">
        <w:rPr>
          <w:sz w:val="20"/>
          <w:szCs w:val="20"/>
          <w:u w:val="single"/>
          <w:lang w:val="fr-CA"/>
        </w:rPr>
        <w:t>RÉSUMÉ DE L’AFFAIRE</w:t>
      </w:r>
    </w:p>
    <w:p w:rsidR="00115F79" w:rsidRDefault="00115F79" w:rsidP="00115F7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15F79" w:rsidRPr="00002704" w:rsidTr="00B77038">
        <w:tc>
          <w:tcPr>
            <w:tcW w:w="5000" w:type="pct"/>
            <w:gridSpan w:val="3"/>
          </w:tcPr>
          <w:p w:rsidR="008A34C6" w:rsidRPr="00F77596" w:rsidRDefault="008A34C6" w:rsidP="008A34C6">
            <w:pPr>
              <w:pStyle w:val="SCCBanSummary"/>
              <w:rPr>
                <w:smallCaps w:val="0"/>
                <w:sz w:val="20"/>
                <w:szCs w:val="20"/>
                <w:lang w:val="fr-CA"/>
              </w:rPr>
            </w:pPr>
            <w:r w:rsidRPr="00F77596">
              <w:rPr>
                <w:smallCaps w:val="0"/>
                <w:sz w:val="20"/>
                <w:szCs w:val="20"/>
                <w:lang w:val="fr-CA"/>
              </w:rPr>
              <w:t xml:space="preserve">Procédure civile ― Dépens ― Conduite avant l’instance ― Pouvoir discrétionnaire d’accorder les dépens ― La contribuable a eu gain de cause en appel d’une cotisation établie en application de la </w:t>
            </w:r>
            <w:r w:rsidRPr="00F77596">
              <w:rPr>
                <w:i/>
                <w:smallCaps w:val="0"/>
                <w:sz w:val="20"/>
                <w:szCs w:val="20"/>
                <w:lang w:val="fr-CA"/>
              </w:rPr>
              <w:t>Loi de l’impôt sur le revenu</w:t>
            </w:r>
            <w:r w:rsidRPr="00F77596">
              <w:rPr>
                <w:smallCaps w:val="0"/>
                <w:sz w:val="20"/>
                <w:szCs w:val="20"/>
                <w:lang w:val="fr-CA"/>
              </w:rPr>
              <w:t xml:space="preserve"> ― La Cour de l’impôt a accordé des dépens majorés ― La Cour d’appel fédérale a annulé la décision d’accorder des dépens majorés ― La Cour de l’impôt et la Cour d’appel fédérale peuvent-elles prendre en compte la manière dont le ministre du Revenu national a agi dans ses rapports avec les contribuables, avant le dépôt de l’appel à la Cour de l’impôt, dans l’exercice de leur pouvoir discrétionnaire d’accorder les dépens d’une partie à une instance dont elles sont saisies? ― </w:t>
            </w:r>
            <w:r w:rsidRPr="00F77596">
              <w:rPr>
                <w:i/>
                <w:smallCaps w:val="0"/>
                <w:sz w:val="20"/>
                <w:szCs w:val="20"/>
                <w:lang w:val="fr-CA"/>
              </w:rPr>
              <w:t>Règles de la Cour canadienne de l’impôt (procédure générale)</w:t>
            </w:r>
            <w:r w:rsidRPr="00F77596">
              <w:rPr>
                <w:smallCaps w:val="0"/>
                <w:sz w:val="20"/>
                <w:szCs w:val="20"/>
                <w:lang w:val="fr-CA"/>
              </w:rPr>
              <w:t>, DORS/90-688A.</w:t>
            </w:r>
          </w:p>
          <w:p w:rsidR="00115F79" w:rsidRPr="00E007CB" w:rsidRDefault="00115F79" w:rsidP="00B77038">
            <w:pPr>
              <w:jc w:val="both"/>
              <w:rPr>
                <w:rFonts w:eastAsia="Calibri"/>
                <w:sz w:val="20"/>
                <w:lang w:val="fr-CA"/>
              </w:rPr>
            </w:pPr>
          </w:p>
        </w:tc>
      </w:tr>
      <w:tr w:rsidR="00115F79" w:rsidRPr="00002704" w:rsidTr="00B77038">
        <w:tc>
          <w:tcPr>
            <w:tcW w:w="5000" w:type="pct"/>
            <w:gridSpan w:val="3"/>
          </w:tcPr>
          <w:p w:rsidR="00115F79" w:rsidRDefault="000340DE" w:rsidP="00B77038">
            <w:pPr>
              <w:jc w:val="both"/>
              <w:rPr>
                <w:sz w:val="20"/>
                <w:lang w:val="fr-CA"/>
              </w:rPr>
            </w:pPr>
            <w:r w:rsidRPr="00F77596">
              <w:rPr>
                <w:sz w:val="20"/>
                <w:lang w:val="fr-CA"/>
              </w:rPr>
              <w:t xml:space="preserve">Madame Martin avait fait l’objet d’une cotisation établie au titre de l’article 160 de la </w:t>
            </w:r>
            <w:r w:rsidRPr="00F77596">
              <w:rPr>
                <w:i/>
                <w:iCs/>
                <w:sz w:val="20"/>
                <w:lang w:val="fr-CA"/>
              </w:rPr>
              <w:t>Loi de l’impôt sur le revenu</w:t>
            </w:r>
            <w:r w:rsidRPr="00F77596">
              <w:rPr>
                <w:iCs/>
                <w:sz w:val="20"/>
                <w:lang w:val="fr-CA"/>
              </w:rPr>
              <w:t>, L.R.C. 1985, ch. 1</w:t>
            </w:r>
            <w:r w:rsidRPr="00F77596">
              <w:rPr>
                <w:sz w:val="20"/>
                <w:lang w:val="fr-CA"/>
              </w:rPr>
              <w:t xml:space="preserve"> (5</w:t>
            </w:r>
            <w:r w:rsidRPr="00F77596">
              <w:rPr>
                <w:sz w:val="20"/>
                <w:vertAlign w:val="superscript"/>
                <w:lang w:val="fr-CA"/>
              </w:rPr>
              <w:t>e</w:t>
            </w:r>
            <w:r w:rsidRPr="00F77596">
              <w:rPr>
                <w:sz w:val="20"/>
                <w:lang w:val="fr-CA"/>
              </w:rPr>
              <w:t> suppl.) relativement à la dette fiscale de son défunt époux. Madame Martin a eu gain de cause dans son appel de cette cotisation à la Cour canadienne de l’impôt. La Cour de l’impôt a rendu une décision subséquente relative aux dépens et a fixé les dépens payables à Mme Martin à 10 635 $. La décision relative aux dépens, et non la décision principale, a été portée en appel à la Cour d’appel fédérale. La Cour d’appel fédérale a accueilli l’appel, annulé l’ordonnance relative aux dépens rendue par la Cour de l’impôt et accordé à Mme Martin des dépens de 4 800 $ plus les débours et les taxes.</w:t>
            </w:r>
          </w:p>
          <w:p w:rsidR="000340DE" w:rsidRPr="00F77596" w:rsidRDefault="000340DE" w:rsidP="00B77038">
            <w:pPr>
              <w:jc w:val="both"/>
              <w:rPr>
                <w:sz w:val="20"/>
                <w:lang w:val="fr-CA"/>
              </w:rPr>
            </w:pPr>
          </w:p>
        </w:tc>
      </w:tr>
      <w:tr w:rsidR="00115F79" w:rsidRPr="00002704" w:rsidTr="00B77038">
        <w:trPr>
          <w:cantSplit/>
        </w:trPr>
        <w:tc>
          <w:tcPr>
            <w:tcW w:w="2427" w:type="pct"/>
          </w:tcPr>
          <w:p w:rsidR="000340DE" w:rsidRPr="00F77596" w:rsidRDefault="000340DE" w:rsidP="000340DE">
            <w:pPr>
              <w:jc w:val="both"/>
              <w:rPr>
                <w:sz w:val="20"/>
                <w:lang w:val="fr-CA" w:eastAsia="en-CA"/>
              </w:rPr>
            </w:pPr>
            <w:r w:rsidRPr="00F77596">
              <w:rPr>
                <w:sz w:val="20"/>
                <w:lang w:val="fr-CA" w:eastAsia="en-CA"/>
              </w:rPr>
              <w:t>13 février 2014</w:t>
            </w:r>
          </w:p>
          <w:p w:rsidR="000340DE" w:rsidRPr="00F77596" w:rsidRDefault="000340DE" w:rsidP="000340DE">
            <w:pPr>
              <w:jc w:val="both"/>
              <w:rPr>
                <w:sz w:val="20"/>
                <w:lang w:val="fr-CA" w:eastAsia="en-CA"/>
              </w:rPr>
            </w:pPr>
            <w:r w:rsidRPr="00F77596">
              <w:rPr>
                <w:sz w:val="20"/>
                <w:lang w:val="fr-CA" w:eastAsia="en-CA"/>
              </w:rPr>
              <w:t>Cour canadienne de l’impôt</w:t>
            </w:r>
          </w:p>
          <w:p w:rsidR="000340DE" w:rsidRPr="00F77596" w:rsidRDefault="000340DE" w:rsidP="000340DE">
            <w:pPr>
              <w:jc w:val="both"/>
              <w:rPr>
                <w:sz w:val="20"/>
                <w:lang w:val="fr-CA" w:eastAsia="en-CA"/>
              </w:rPr>
            </w:pPr>
            <w:r w:rsidRPr="00F77596">
              <w:rPr>
                <w:sz w:val="20"/>
                <w:lang w:val="fr-CA" w:eastAsia="en-CA"/>
              </w:rPr>
              <w:t>(Juge Boyle)</w:t>
            </w:r>
          </w:p>
          <w:p w:rsidR="000340DE" w:rsidRPr="00F77596" w:rsidRDefault="00EC4FDF" w:rsidP="000340DE">
            <w:pPr>
              <w:jc w:val="both"/>
              <w:rPr>
                <w:sz w:val="20"/>
                <w:lang w:val="fr-CA" w:eastAsia="en-CA"/>
              </w:rPr>
            </w:pPr>
            <w:hyperlink r:id="rId100" w:history="1">
              <w:r w:rsidR="000340DE" w:rsidRPr="00F77596">
                <w:rPr>
                  <w:color w:val="0000FF" w:themeColor="hyperlink"/>
                  <w:sz w:val="20"/>
                  <w:u w:val="single"/>
                  <w:lang w:val="fr-CA" w:eastAsia="en-CA"/>
                </w:rPr>
                <w:t>2014 TCC 50</w:t>
              </w:r>
            </w:hyperlink>
          </w:p>
          <w:p w:rsidR="00115F79" w:rsidRPr="00E007CB" w:rsidRDefault="00115F79" w:rsidP="00B77038">
            <w:pPr>
              <w:jc w:val="both"/>
              <w:rPr>
                <w:rFonts w:eastAsia="Calibri"/>
                <w:sz w:val="20"/>
                <w:lang w:val="fr-CA"/>
              </w:rPr>
            </w:pPr>
          </w:p>
        </w:tc>
        <w:tc>
          <w:tcPr>
            <w:tcW w:w="243" w:type="pct"/>
          </w:tcPr>
          <w:p w:rsidR="00115F79" w:rsidRPr="00E007CB" w:rsidRDefault="00115F79" w:rsidP="00B77038">
            <w:pPr>
              <w:jc w:val="both"/>
              <w:rPr>
                <w:rFonts w:eastAsia="Calibri"/>
                <w:sz w:val="20"/>
                <w:lang w:val="fr-CA"/>
              </w:rPr>
            </w:pPr>
          </w:p>
        </w:tc>
        <w:tc>
          <w:tcPr>
            <w:tcW w:w="2330" w:type="pct"/>
          </w:tcPr>
          <w:p w:rsidR="000340DE" w:rsidRPr="00F77596" w:rsidRDefault="000340DE" w:rsidP="000340DE">
            <w:pPr>
              <w:jc w:val="both"/>
              <w:rPr>
                <w:sz w:val="20"/>
                <w:lang w:val="fr-CA" w:eastAsia="en-CA"/>
              </w:rPr>
            </w:pPr>
            <w:r w:rsidRPr="00F77596">
              <w:rPr>
                <w:sz w:val="20"/>
                <w:lang w:val="fr-CA" w:eastAsia="en-CA"/>
              </w:rPr>
              <w:t>Ordonnance fixant les dépens à 10 635 $ payables à Mme Martin.</w:t>
            </w:r>
          </w:p>
          <w:p w:rsidR="00115F79" w:rsidRPr="00F77596" w:rsidRDefault="00115F79" w:rsidP="00B77038">
            <w:pPr>
              <w:jc w:val="both"/>
              <w:rPr>
                <w:sz w:val="20"/>
                <w:lang w:val="fr-CA"/>
              </w:rPr>
            </w:pPr>
          </w:p>
        </w:tc>
      </w:tr>
      <w:tr w:rsidR="00115F79" w:rsidRPr="00E007CB" w:rsidTr="00B77038">
        <w:trPr>
          <w:cantSplit/>
        </w:trPr>
        <w:tc>
          <w:tcPr>
            <w:tcW w:w="2427" w:type="pct"/>
          </w:tcPr>
          <w:p w:rsidR="000340DE" w:rsidRPr="00F77596" w:rsidRDefault="000340DE" w:rsidP="000340DE">
            <w:pPr>
              <w:jc w:val="both"/>
              <w:rPr>
                <w:sz w:val="20"/>
                <w:lang w:val="fr-CA" w:eastAsia="en-CA"/>
              </w:rPr>
            </w:pPr>
            <w:r w:rsidRPr="00F77596">
              <w:rPr>
                <w:sz w:val="20"/>
                <w:lang w:val="fr-CA" w:eastAsia="en-CA"/>
              </w:rPr>
              <w:t>15 avril 2015</w:t>
            </w:r>
          </w:p>
          <w:p w:rsidR="000340DE" w:rsidRPr="00F77596" w:rsidRDefault="000340DE" w:rsidP="000340DE">
            <w:pPr>
              <w:jc w:val="both"/>
              <w:rPr>
                <w:sz w:val="20"/>
                <w:lang w:val="fr-CA" w:eastAsia="en-CA"/>
              </w:rPr>
            </w:pPr>
            <w:r w:rsidRPr="00F77596">
              <w:rPr>
                <w:sz w:val="20"/>
                <w:lang w:val="fr-CA" w:eastAsia="en-CA"/>
              </w:rPr>
              <w:t>Cour d’appel fédérale</w:t>
            </w:r>
          </w:p>
          <w:p w:rsidR="000340DE" w:rsidRPr="00F77596" w:rsidRDefault="000340DE" w:rsidP="000340DE">
            <w:pPr>
              <w:jc w:val="both"/>
              <w:rPr>
                <w:sz w:val="20"/>
                <w:lang w:val="fr-CA" w:eastAsia="en-CA"/>
              </w:rPr>
            </w:pPr>
            <w:r w:rsidRPr="00F77596">
              <w:rPr>
                <w:sz w:val="20"/>
                <w:lang w:val="fr-CA" w:eastAsia="en-CA"/>
              </w:rPr>
              <w:t>(Juges Dawson, Webb et Near)</w:t>
            </w:r>
          </w:p>
          <w:p w:rsidR="000340DE" w:rsidRPr="00F77596" w:rsidRDefault="00EC4FDF" w:rsidP="000340DE">
            <w:pPr>
              <w:jc w:val="both"/>
              <w:rPr>
                <w:sz w:val="20"/>
                <w:lang w:eastAsia="en-CA"/>
              </w:rPr>
            </w:pPr>
            <w:hyperlink r:id="rId101" w:history="1">
              <w:r w:rsidR="000340DE" w:rsidRPr="00F77596">
                <w:rPr>
                  <w:color w:val="0000FF" w:themeColor="hyperlink"/>
                  <w:sz w:val="20"/>
                  <w:u w:val="single"/>
                  <w:lang w:eastAsia="en-CA"/>
                </w:rPr>
                <w:t>2015 FCA 95</w:t>
              </w:r>
            </w:hyperlink>
          </w:p>
          <w:p w:rsidR="000340DE" w:rsidRPr="00F77596" w:rsidRDefault="000340DE" w:rsidP="000340DE">
            <w:pPr>
              <w:jc w:val="both"/>
              <w:rPr>
                <w:sz w:val="20"/>
                <w:lang w:eastAsia="en-CA"/>
              </w:rPr>
            </w:pPr>
            <w:r w:rsidRPr="00F77596">
              <w:rPr>
                <w:sz w:val="20"/>
                <w:lang w:eastAsia="en-CA"/>
              </w:rPr>
              <w:t>N</w:t>
            </w:r>
            <w:r w:rsidRPr="00F77596">
              <w:rPr>
                <w:sz w:val="20"/>
                <w:vertAlign w:val="superscript"/>
                <w:lang w:eastAsia="en-CA"/>
              </w:rPr>
              <w:t>o</w:t>
            </w:r>
            <w:r w:rsidRPr="00F77596">
              <w:rPr>
                <w:sz w:val="20"/>
                <w:lang w:eastAsia="en-CA"/>
              </w:rPr>
              <w:t xml:space="preserve"> du greffe : A-113-14</w:t>
            </w:r>
          </w:p>
          <w:p w:rsidR="00115F79" w:rsidRDefault="00115F79" w:rsidP="00B77038">
            <w:pPr>
              <w:jc w:val="both"/>
              <w:rPr>
                <w:rFonts w:eastAsia="Calibri"/>
                <w:sz w:val="20"/>
                <w:lang w:val="fr-CA"/>
              </w:rPr>
            </w:pPr>
          </w:p>
        </w:tc>
        <w:tc>
          <w:tcPr>
            <w:tcW w:w="243" w:type="pct"/>
          </w:tcPr>
          <w:p w:rsidR="00115F79" w:rsidRPr="00E007CB" w:rsidRDefault="00115F79" w:rsidP="00B77038">
            <w:pPr>
              <w:jc w:val="both"/>
              <w:rPr>
                <w:rFonts w:eastAsia="Calibri"/>
                <w:sz w:val="20"/>
                <w:lang w:val="fr-CA"/>
              </w:rPr>
            </w:pPr>
          </w:p>
        </w:tc>
        <w:tc>
          <w:tcPr>
            <w:tcW w:w="2330" w:type="pct"/>
          </w:tcPr>
          <w:p w:rsidR="000340DE" w:rsidRPr="00F77596" w:rsidRDefault="000340DE" w:rsidP="000340DE">
            <w:pPr>
              <w:jc w:val="both"/>
              <w:rPr>
                <w:sz w:val="20"/>
                <w:lang w:val="fr-CA" w:eastAsia="en-CA"/>
              </w:rPr>
            </w:pPr>
            <w:r w:rsidRPr="00F77596">
              <w:rPr>
                <w:sz w:val="20"/>
                <w:lang w:val="fr-CA" w:eastAsia="en-CA"/>
              </w:rPr>
              <w:t xml:space="preserve">Arrêt accueillant l’appel; annulation de l’ordonnance relative aux dépens rendue par la Cour de l’impôt. Ordonnance condamnant Sa Majesté à payer à Mme Martin la somme 4 800 $ à titre de dépens. Rejet de l’appel incident. </w:t>
            </w:r>
          </w:p>
          <w:p w:rsidR="00115F79" w:rsidRPr="00F77596" w:rsidRDefault="00115F79" w:rsidP="00B77038">
            <w:pPr>
              <w:jc w:val="both"/>
              <w:rPr>
                <w:sz w:val="20"/>
                <w:lang w:val="fr-CA"/>
              </w:rPr>
            </w:pPr>
          </w:p>
        </w:tc>
      </w:tr>
      <w:tr w:rsidR="00115F79" w:rsidRPr="00E007CB" w:rsidTr="00B77038">
        <w:trPr>
          <w:cantSplit/>
        </w:trPr>
        <w:tc>
          <w:tcPr>
            <w:tcW w:w="2427" w:type="pct"/>
          </w:tcPr>
          <w:p w:rsidR="00115F79" w:rsidRPr="00F77596" w:rsidRDefault="00115F79" w:rsidP="00B77038">
            <w:pPr>
              <w:jc w:val="both"/>
              <w:rPr>
                <w:sz w:val="20"/>
              </w:rPr>
            </w:pPr>
            <w:r>
              <w:rPr>
                <w:sz w:val="20"/>
              </w:rPr>
              <w:t>1</w:t>
            </w:r>
            <w:r w:rsidR="000340DE">
              <w:rPr>
                <w:sz w:val="20"/>
              </w:rPr>
              <w:t>5</w:t>
            </w:r>
            <w:r w:rsidRPr="00F77596">
              <w:rPr>
                <w:sz w:val="20"/>
              </w:rPr>
              <w:t xml:space="preserve"> juin 2015</w:t>
            </w:r>
          </w:p>
          <w:p w:rsidR="00115F79" w:rsidRPr="00F77596" w:rsidRDefault="00115F79" w:rsidP="00B77038">
            <w:pPr>
              <w:jc w:val="both"/>
              <w:rPr>
                <w:sz w:val="20"/>
              </w:rPr>
            </w:pPr>
            <w:r w:rsidRPr="00F77596">
              <w:rPr>
                <w:sz w:val="20"/>
              </w:rPr>
              <w:t>Cour suprême du Canada</w:t>
            </w:r>
          </w:p>
          <w:p w:rsidR="00115F79" w:rsidRDefault="00115F79" w:rsidP="00B77038">
            <w:pPr>
              <w:jc w:val="both"/>
              <w:rPr>
                <w:rFonts w:eastAsia="Calibri"/>
                <w:sz w:val="20"/>
                <w:lang w:val="fr-CA"/>
              </w:rPr>
            </w:pPr>
          </w:p>
        </w:tc>
        <w:tc>
          <w:tcPr>
            <w:tcW w:w="243" w:type="pct"/>
          </w:tcPr>
          <w:p w:rsidR="00115F79" w:rsidRPr="00E007CB" w:rsidRDefault="00115F79" w:rsidP="00B77038">
            <w:pPr>
              <w:jc w:val="both"/>
              <w:rPr>
                <w:rFonts w:eastAsia="Calibri"/>
                <w:sz w:val="20"/>
                <w:lang w:val="fr-CA"/>
              </w:rPr>
            </w:pPr>
          </w:p>
        </w:tc>
        <w:tc>
          <w:tcPr>
            <w:tcW w:w="2330" w:type="pct"/>
          </w:tcPr>
          <w:p w:rsidR="000340DE" w:rsidRPr="00F77596" w:rsidRDefault="000340DE" w:rsidP="000340DE">
            <w:pPr>
              <w:jc w:val="both"/>
              <w:rPr>
                <w:sz w:val="20"/>
                <w:lang w:val="fr-CA"/>
              </w:rPr>
            </w:pPr>
            <w:r w:rsidRPr="00F77596">
              <w:rPr>
                <w:sz w:val="20"/>
                <w:lang w:val="fr-CA"/>
              </w:rPr>
              <w:t>Dépôt de la demande d’autorisation d’appel.</w:t>
            </w:r>
          </w:p>
          <w:p w:rsidR="00115F79" w:rsidRPr="00F77596" w:rsidRDefault="00115F79" w:rsidP="00B77038">
            <w:pPr>
              <w:jc w:val="both"/>
              <w:rPr>
                <w:sz w:val="20"/>
                <w:lang w:val="fr-CA"/>
              </w:rPr>
            </w:pPr>
          </w:p>
        </w:tc>
      </w:tr>
    </w:tbl>
    <w:p w:rsidR="00115F79" w:rsidRDefault="00115F79" w:rsidP="00115F79">
      <w:pPr>
        <w:rPr>
          <w:sz w:val="20"/>
          <w:szCs w:val="20"/>
        </w:rPr>
      </w:pPr>
    </w:p>
    <w:p w:rsidR="00115F79" w:rsidRDefault="00EC4FDF" w:rsidP="00115F79">
      <w:pPr>
        <w:rPr>
          <w:sz w:val="20"/>
          <w:szCs w:val="20"/>
        </w:rPr>
      </w:pPr>
      <w:r>
        <w:rPr>
          <w:sz w:val="20"/>
          <w:szCs w:val="20"/>
          <w:lang w:val="fr-CA"/>
        </w:rPr>
        <w:pict>
          <v:rect id="_x0000_i1080" style="width:2in;height:1pt" o:hrpct="0" o:hralign="center" o:hrstd="t" o:hrnoshade="t" o:hr="t" fillcolor="black [3213]" stroked="f"/>
        </w:pict>
      </w:r>
    </w:p>
    <w:p w:rsidR="00115F79" w:rsidRDefault="00115F79" w:rsidP="00115F7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E72CD" w:rsidRPr="00A73D2C" w:rsidTr="00B77038">
        <w:trPr>
          <w:cantSplit/>
        </w:trPr>
        <w:tc>
          <w:tcPr>
            <w:tcW w:w="1458" w:type="dxa"/>
          </w:tcPr>
          <w:p w:rsidR="00FE72CD" w:rsidRPr="00A73D2C" w:rsidRDefault="00FE72CD" w:rsidP="00B77038">
            <w:pPr>
              <w:rPr>
                <w:sz w:val="20"/>
                <w:szCs w:val="20"/>
              </w:rPr>
            </w:pPr>
            <w:r w:rsidRPr="00A73D2C">
              <w:rPr>
                <w:rStyle w:val="SCCFileNumberChar"/>
                <w:sz w:val="20"/>
                <w:szCs w:val="20"/>
              </w:rPr>
              <w:t>36</w:t>
            </w:r>
            <w:r>
              <w:rPr>
                <w:rStyle w:val="SCCFileNumberChar"/>
                <w:sz w:val="20"/>
                <w:szCs w:val="20"/>
              </w:rPr>
              <w:t>487</w:t>
            </w:r>
          </w:p>
          <w:p w:rsidR="00FE72CD" w:rsidRPr="00A73D2C" w:rsidRDefault="00FE72CD" w:rsidP="00B77038">
            <w:pPr>
              <w:rPr>
                <w:b/>
                <w:sz w:val="20"/>
                <w:szCs w:val="20"/>
                <w:lang w:val="fr-CA"/>
              </w:rPr>
            </w:pPr>
          </w:p>
        </w:tc>
        <w:tc>
          <w:tcPr>
            <w:tcW w:w="8118" w:type="dxa"/>
          </w:tcPr>
          <w:p w:rsidR="00FE72CD" w:rsidRPr="00A73D2C" w:rsidRDefault="005250B8" w:rsidP="00B77038">
            <w:pPr>
              <w:rPr>
                <w:sz w:val="20"/>
                <w:szCs w:val="20"/>
              </w:rPr>
            </w:pPr>
            <w:r w:rsidRPr="005250B8">
              <w:rPr>
                <w:rStyle w:val="SCCLsocChar"/>
                <w:sz w:val="20"/>
                <w:szCs w:val="20"/>
                <w:lang w:val="en-CA"/>
              </w:rPr>
              <w:t>John Schertzer, Steven Correia, Joseph Miched</w:t>
            </w:r>
            <w:r>
              <w:rPr>
                <w:rStyle w:val="SCCLsocChar"/>
                <w:sz w:val="20"/>
                <w:szCs w:val="20"/>
                <w:lang w:val="en-CA"/>
              </w:rPr>
              <w:t xml:space="preserve"> and</w:t>
            </w:r>
            <w:r w:rsidRPr="005250B8">
              <w:rPr>
                <w:rStyle w:val="SCCLsocChar"/>
                <w:sz w:val="20"/>
                <w:szCs w:val="20"/>
                <w:lang w:val="en-CA"/>
              </w:rPr>
              <w:t xml:space="preserve"> Raymond Pollard v. Her Majesty the Queen</w:t>
            </w:r>
            <w:r w:rsidR="00FE72CD" w:rsidRPr="008D4AE3">
              <w:rPr>
                <w:rStyle w:val="SCCLsocChar"/>
                <w:sz w:val="20"/>
                <w:szCs w:val="20"/>
                <w:u w:val="none"/>
                <w:lang w:val="en-CA"/>
              </w:rPr>
              <w:t xml:space="preserve"> </w:t>
            </w:r>
            <w:r w:rsidR="00FE72CD" w:rsidRPr="00A73D2C">
              <w:rPr>
                <w:sz w:val="20"/>
                <w:szCs w:val="20"/>
              </w:rPr>
              <w:t>(</w:t>
            </w:r>
            <w:r w:rsidR="00FE72CD">
              <w:rPr>
                <w:sz w:val="20"/>
                <w:szCs w:val="20"/>
              </w:rPr>
              <w:t>Ont.</w:t>
            </w:r>
            <w:r w:rsidR="00FE72CD" w:rsidRPr="00A73D2C">
              <w:rPr>
                <w:sz w:val="20"/>
                <w:szCs w:val="20"/>
              </w:rPr>
              <w:t>) (C</w:t>
            </w:r>
            <w:r w:rsidR="00FE72CD">
              <w:rPr>
                <w:sz w:val="20"/>
                <w:szCs w:val="20"/>
              </w:rPr>
              <w:t>riminal</w:t>
            </w:r>
            <w:r w:rsidR="00FE72CD" w:rsidRPr="00A73D2C">
              <w:rPr>
                <w:sz w:val="20"/>
                <w:szCs w:val="20"/>
              </w:rPr>
              <w:t>) (By Leave)</w:t>
            </w:r>
          </w:p>
          <w:p w:rsidR="00FE72CD" w:rsidRPr="00A73D2C" w:rsidRDefault="00FE72CD" w:rsidP="00B77038">
            <w:pPr>
              <w:rPr>
                <w:sz w:val="20"/>
                <w:szCs w:val="20"/>
              </w:rPr>
            </w:pPr>
          </w:p>
        </w:tc>
      </w:tr>
      <w:tr w:rsidR="00FE72CD" w:rsidRPr="00A73D2C" w:rsidTr="00B77038">
        <w:trPr>
          <w:cantSplit/>
        </w:trPr>
        <w:tc>
          <w:tcPr>
            <w:tcW w:w="1458" w:type="dxa"/>
          </w:tcPr>
          <w:p w:rsidR="00FE72CD" w:rsidRPr="00A73D2C" w:rsidRDefault="00FE72CD" w:rsidP="00B77038">
            <w:pPr>
              <w:rPr>
                <w:sz w:val="20"/>
                <w:szCs w:val="20"/>
              </w:rPr>
            </w:pPr>
            <w:r w:rsidRPr="00A73D2C">
              <w:rPr>
                <w:sz w:val="20"/>
                <w:szCs w:val="20"/>
              </w:rPr>
              <w:t>Coram :</w:t>
            </w:r>
          </w:p>
        </w:tc>
        <w:tc>
          <w:tcPr>
            <w:tcW w:w="8118" w:type="dxa"/>
          </w:tcPr>
          <w:p w:rsidR="00FE72CD" w:rsidRDefault="00DF4D85" w:rsidP="00B77038">
            <w:pPr>
              <w:rPr>
                <w:rStyle w:val="SCCCoramChar"/>
                <w:sz w:val="20"/>
                <w:szCs w:val="20"/>
                <w:lang w:val="en-CA"/>
              </w:rPr>
            </w:pPr>
            <w:r w:rsidRPr="00DF4D85">
              <w:rPr>
                <w:rStyle w:val="SCCCoramChar"/>
                <w:sz w:val="20"/>
                <w:szCs w:val="20"/>
                <w:lang w:val="en-CA"/>
              </w:rPr>
              <w:t>Cromwell, Wagner and Côté JJ.</w:t>
            </w:r>
          </w:p>
          <w:p w:rsidR="00DF4D85" w:rsidRPr="00A73D2C" w:rsidRDefault="00DF4D85" w:rsidP="00B77038">
            <w:pPr>
              <w:rPr>
                <w:sz w:val="20"/>
                <w:szCs w:val="20"/>
                <w:u w:val="single"/>
              </w:rPr>
            </w:pPr>
          </w:p>
        </w:tc>
      </w:tr>
      <w:tr w:rsidR="00FE72CD" w:rsidRPr="00002704" w:rsidTr="00B77038">
        <w:trPr>
          <w:cantSplit/>
        </w:trPr>
        <w:tc>
          <w:tcPr>
            <w:tcW w:w="9576" w:type="dxa"/>
            <w:gridSpan w:val="2"/>
          </w:tcPr>
          <w:p w:rsidR="008011F5" w:rsidRPr="008011F5" w:rsidRDefault="008011F5" w:rsidP="008011F5">
            <w:pPr>
              <w:pStyle w:val="SCCShortJudgment"/>
              <w:rPr>
                <w:szCs w:val="20"/>
              </w:rPr>
            </w:pPr>
            <w:r w:rsidRPr="008011F5">
              <w:rPr>
                <w:szCs w:val="20"/>
              </w:rPr>
              <w:t>The motion to file a joint application for leave to appeal is granted. The application for leave to appeal from the judgment of the Court of Appeal for Ontario, Numbers C56396, C56397, C56399 and C56400, 2015 ONCA 259, dated April 20, 2015, is dismissed.</w:t>
            </w:r>
          </w:p>
          <w:p w:rsidR="008011F5" w:rsidRPr="008011F5" w:rsidRDefault="008011F5" w:rsidP="008011F5">
            <w:pPr>
              <w:pStyle w:val="SCCShortJudgment"/>
              <w:rPr>
                <w:szCs w:val="20"/>
              </w:rPr>
            </w:pPr>
          </w:p>
          <w:p w:rsidR="00FE72CD" w:rsidRPr="00A73D2C" w:rsidRDefault="008011F5" w:rsidP="008011F5">
            <w:pPr>
              <w:pStyle w:val="SCCShortJudgment"/>
              <w:rPr>
                <w:szCs w:val="20"/>
                <w:lang w:val="fr-CA"/>
              </w:rPr>
            </w:pPr>
            <w:r w:rsidRPr="008011F5">
              <w:rPr>
                <w:szCs w:val="20"/>
              </w:rPr>
              <w:t>La requête pour déposer une demande d’autorisation d’appel conjointe est accueillie. La demande d’autorisation d’appel de l’arrêt de la Cour d’appel de l’Ontario, numéros C56396, C56397,  C56399 et C56400, 2015 ONCA 259, daté du 20 avril 2015, est rejetée.</w:t>
            </w:r>
          </w:p>
        </w:tc>
      </w:tr>
    </w:tbl>
    <w:p w:rsidR="00FE72CD" w:rsidRPr="0016547E" w:rsidRDefault="00FE72CD" w:rsidP="00FE72CD">
      <w:pPr>
        <w:rPr>
          <w:sz w:val="20"/>
          <w:szCs w:val="20"/>
          <w:lang w:val="fr-CA"/>
        </w:rPr>
      </w:pPr>
    </w:p>
    <w:p w:rsidR="00FE72CD" w:rsidRPr="001B157C" w:rsidRDefault="00FE72CD" w:rsidP="00FE72CD">
      <w:pPr>
        <w:rPr>
          <w:sz w:val="20"/>
          <w:szCs w:val="20"/>
          <w:u w:val="single"/>
        </w:rPr>
      </w:pPr>
      <w:r w:rsidRPr="001B157C">
        <w:rPr>
          <w:sz w:val="20"/>
          <w:szCs w:val="20"/>
          <w:u w:val="single"/>
        </w:rPr>
        <w:lastRenderedPageBreak/>
        <w:t>CASE SUMMARY</w:t>
      </w:r>
    </w:p>
    <w:p w:rsidR="00FE72CD" w:rsidRDefault="00FE72CD" w:rsidP="00FE72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E72CD" w:rsidRPr="00E007CB" w:rsidTr="00B77038">
        <w:tc>
          <w:tcPr>
            <w:tcW w:w="5000" w:type="pct"/>
            <w:gridSpan w:val="3"/>
          </w:tcPr>
          <w:p w:rsidR="00FE72CD" w:rsidRPr="00F77596" w:rsidRDefault="00FE72CD" w:rsidP="00FE72CD">
            <w:pPr>
              <w:jc w:val="both"/>
              <w:rPr>
                <w:sz w:val="20"/>
              </w:rPr>
            </w:pPr>
            <w:r w:rsidRPr="00F77596">
              <w:rPr>
                <w:i/>
                <w:sz w:val="20"/>
              </w:rPr>
              <w:t>Canadian Charter of Rights and Freedoms</w:t>
            </w:r>
            <w:r w:rsidRPr="00F77596">
              <w:rPr>
                <w:sz w:val="20"/>
              </w:rPr>
              <w:t xml:space="preserve"> – Criminal law – Self-crimination – Misconduct – Remedies – Evidence – Reasons for judgment – Whether compelled incriminatory testimony given under oath at an earlier proceeding is substantively admissible at a subsequent trial on a charge of attempting to obstruct justice notwithstanding s. 13 of the </w:t>
            </w:r>
            <w:r w:rsidRPr="00F77596">
              <w:rPr>
                <w:i/>
                <w:iCs/>
                <w:sz w:val="20"/>
              </w:rPr>
              <w:t>Charter</w:t>
            </w:r>
            <w:r w:rsidRPr="00F77596">
              <w:rPr>
                <w:iCs/>
                <w:sz w:val="20"/>
              </w:rPr>
              <w:t xml:space="preserve"> – Whether remedy should have been granted for </w:t>
            </w:r>
            <w:r w:rsidRPr="00F77596">
              <w:rPr>
                <w:sz w:val="20"/>
              </w:rPr>
              <w:t>police misconduct in dictating to potential witnesses circumstances under which they were allowed to meet with defence – Whether evidence was admissible – Whether reasons for judgment were sufficient – Whether there was evidence upon which a reasonably instructed jury could convict?</w:t>
            </w:r>
          </w:p>
          <w:p w:rsidR="00FE72CD" w:rsidRPr="00E007CB" w:rsidRDefault="00FE72CD" w:rsidP="00B77038">
            <w:pPr>
              <w:jc w:val="both"/>
              <w:rPr>
                <w:rFonts w:eastAsia="Calibri"/>
                <w:sz w:val="20"/>
              </w:rPr>
            </w:pPr>
          </w:p>
        </w:tc>
      </w:tr>
      <w:tr w:rsidR="00FE72CD" w:rsidRPr="00E007CB" w:rsidTr="00B77038">
        <w:tc>
          <w:tcPr>
            <w:tcW w:w="5000" w:type="pct"/>
            <w:gridSpan w:val="3"/>
          </w:tcPr>
          <w:p w:rsidR="00FE72CD" w:rsidRPr="00F77596" w:rsidRDefault="00FE72CD" w:rsidP="00FE72CD">
            <w:pPr>
              <w:jc w:val="both"/>
              <w:rPr>
                <w:sz w:val="20"/>
              </w:rPr>
            </w:pPr>
            <w:r w:rsidRPr="00F77596">
              <w:rPr>
                <w:sz w:val="20"/>
              </w:rPr>
              <w:t>Toronto police officers searched an apartment. The officers allege that the search occurred after a search warrant was issued. The occupants of the apartment alleged that it occurred at a time before the search warrant was issued. The officers’ allegation was recorded in police memo books, a Supplementary Record of Arrest, an Information to obtain another search warrant and affidavits. It was repeated in testimony at a preliminary inquiry. Depending on their roles, officers were charged with attempting to obstruct justice or perjury or both offences. Before trial, a Toronto Police Services’ memo advised officers who were potential witnesses that they did not have to submit to an interview with defence counsel and they should notify Toronto Police Services if they intended to so, so arrangements could be made to have a Professional Standards Special Task Force officer present. The trial judge dismissed a motion by the defence to stay proceedings on the basis that the memo was an abuse of process. At trial, an officer testified that he received authorisation for the search at 10:32 pm at the police station, he served it at the apartment, and he returned to the station by 10:54 pm. To challenge this testimony, Crown counsel admitted the evidence of an officer who conducted trials of the time needed to drive from the police station to the apartment.</w:t>
            </w:r>
          </w:p>
          <w:p w:rsidR="00FE72CD" w:rsidRPr="00F77596" w:rsidRDefault="00FE72CD" w:rsidP="00B77038">
            <w:pPr>
              <w:jc w:val="both"/>
              <w:rPr>
                <w:sz w:val="20"/>
              </w:rPr>
            </w:pPr>
          </w:p>
        </w:tc>
      </w:tr>
      <w:tr w:rsidR="00FE72CD" w:rsidRPr="00E007CB" w:rsidTr="00B77038">
        <w:trPr>
          <w:cantSplit/>
        </w:trPr>
        <w:tc>
          <w:tcPr>
            <w:tcW w:w="2427" w:type="pct"/>
          </w:tcPr>
          <w:p w:rsidR="00926D48" w:rsidRPr="00F77596" w:rsidRDefault="00926D48" w:rsidP="00926D48">
            <w:pPr>
              <w:jc w:val="both"/>
              <w:rPr>
                <w:sz w:val="20"/>
              </w:rPr>
            </w:pPr>
            <w:r w:rsidRPr="00F77596">
              <w:rPr>
                <w:sz w:val="20"/>
              </w:rPr>
              <w:t>June 27, 2012</w:t>
            </w:r>
          </w:p>
          <w:p w:rsidR="00926D48" w:rsidRPr="00F77596" w:rsidRDefault="00926D48" w:rsidP="00926D48">
            <w:pPr>
              <w:jc w:val="both"/>
              <w:rPr>
                <w:sz w:val="20"/>
              </w:rPr>
            </w:pPr>
            <w:r w:rsidRPr="00F77596">
              <w:rPr>
                <w:sz w:val="20"/>
              </w:rPr>
              <w:t>Ontario Superior Court of Justice</w:t>
            </w:r>
          </w:p>
          <w:p w:rsidR="00926D48" w:rsidRPr="00F77596" w:rsidRDefault="00926D48" w:rsidP="00926D48">
            <w:pPr>
              <w:jc w:val="both"/>
              <w:rPr>
                <w:sz w:val="20"/>
              </w:rPr>
            </w:pPr>
            <w:r w:rsidRPr="00F77596">
              <w:rPr>
                <w:sz w:val="20"/>
              </w:rPr>
              <w:t xml:space="preserve">(Pardu J.) </w:t>
            </w:r>
          </w:p>
          <w:p w:rsidR="00FE72CD" w:rsidRPr="00E007CB" w:rsidRDefault="00FE72CD" w:rsidP="00B77038">
            <w:pPr>
              <w:jc w:val="both"/>
              <w:rPr>
                <w:rFonts w:eastAsia="Calibri"/>
                <w:sz w:val="20"/>
              </w:rPr>
            </w:pPr>
          </w:p>
        </w:tc>
        <w:tc>
          <w:tcPr>
            <w:tcW w:w="243" w:type="pct"/>
          </w:tcPr>
          <w:p w:rsidR="00FE72CD" w:rsidRPr="00E007CB" w:rsidRDefault="00FE72CD" w:rsidP="00B77038">
            <w:pPr>
              <w:jc w:val="both"/>
              <w:rPr>
                <w:rFonts w:eastAsia="Calibri"/>
                <w:sz w:val="20"/>
              </w:rPr>
            </w:pPr>
          </w:p>
        </w:tc>
        <w:tc>
          <w:tcPr>
            <w:tcW w:w="2330" w:type="pct"/>
          </w:tcPr>
          <w:p w:rsidR="00926D48" w:rsidRPr="00F77596" w:rsidRDefault="00926D48" w:rsidP="00926D48">
            <w:pPr>
              <w:jc w:val="both"/>
              <w:rPr>
                <w:sz w:val="20"/>
              </w:rPr>
            </w:pPr>
            <w:r w:rsidRPr="00F77596">
              <w:rPr>
                <w:sz w:val="20"/>
              </w:rPr>
              <w:t>Schertzer, Correia, Miched and Pollard convicted for attempting to obstruct justice; Correia and Pollard convicted for perjury</w:t>
            </w:r>
          </w:p>
          <w:p w:rsidR="00FE72CD" w:rsidRPr="00F77596" w:rsidRDefault="00FE72CD" w:rsidP="00B77038">
            <w:pPr>
              <w:jc w:val="both"/>
              <w:rPr>
                <w:sz w:val="20"/>
              </w:rPr>
            </w:pPr>
          </w:p>
        </w:tc>
      </w:tr>
      <w:tr w:rsidR="00FE72CD" w:rsidRPr="00E007CB" w:rsidTr="00B77038">
        <w:trPr>
          <w:cantSplit/>
        </w:trPr>
        <w:tc>
          <w:tcPr>
            <w:tcW w:w="2427" w:type="pct"/>
          </w:tcPr>
          <w:p w:rsidR="00926D48" w:rsidRPr="00F77596" w:rsidRDefault="00926D48" w:rsidP="00926D48">
            <w:pPr>
              <w:jc w:val="both"/>
              <w:rPr>
                <w:sz w:val="20"/>
              </w:rPr>
            </w:pPr>
            <w:r w:rsidRPr="00F77596">
              <w:rPr>
                <w:sz w:val="20"/>
              </w:rPr>
              <w:t>April 20, 2015</w:t>
            </w:r>
          </w:p>
          <w:p w:rsidR="00926D48" w:rsidRPr="00F77596" w:rsidRDefault="00926D48" w:rsidP="00926D48">
            <w:pPr>
              <w:jc w:val="both"/>
              <w:rPr>
                <w:sz w:val="20"/>
              </w:rPr>
            </w:pPr>
            <w:r w:rsidRPr="00F77596">
              <w:rPr>
                <w:sz w:val="20"/>
              </w:rPr>
              <w:t>Court of Appeal for Ontario</w:t>
            </w:r>
          </w:p>
          <w:p w:rsidR="00926D48" w:rsidRPr="00F77596" w:rsidRDefault="00926D48" w:rsidP="00926D48">
            <w:pPr>
              <w:jc w:val="both"/>
              <w:rPr>
                <w:sz w:val="20"/>
                <w:lang w:val="de-DE"/>
              </w:rPr>
            </w:pPr>
            <w:r w:rsidRPr="00F77596">
              <w:rPr>
                <w:sz w:val="20"/>
                <w:lang w:val="de-DE"/>
              </w:rPr>
              <w:t>(Watt, Tulloch, Benotto JJ.A.)</w:t>
            </w:r>
          </w:p>
          <w:p w:rsidR="00926D48" w:rsidRPr="00F77596" w:rsidRDefault="00926D48" w:rsidP="00926D48">
            <w:pPr>
              <w:jc w:val="both"/>
              <w:rPr>
                <w:sz w:val="20"/>
              </w:rPr>
            </w:pPr>
            <w:r w:rsidRPr="00F77596">
              <w:rPr>
                <w:sz w:val="20"/>
              </w:rPr>
              <w:t xml:space="preserve">C56396, C56397, C56399, C56400 </w:t>
            </w:r>
          </w:p>
          <w:p w:rsidR="00926D48" w:rsidRPr="00F77596" w:rsidRDefault="00EC4FDF" w:rsidP="00926D48">
            <w:pPr>
              <w:jc w:val="both"/>
              <w:rPr>
                <w:sz w:val="20"/>
              </w:rPr>
            </w:pPr>
            <w:hyperlink r:id="rId102" w:history="1">
              <w:r w:rsidR="00926D48" w:rsidRPr="00F77596">
                <w:rPr>
                  <w:rStyle w:val="Hyperlink"/>
                  <w:sz w:val="20"/>
                </w:rPr>
                <w:t>2015 ONCA 259</w:t>
              </w:r>
            </w:hyperlink>
          </w:p>
          <w:p w:rsidR="00FE72CD" w:rsidRDefault="00FE72CD" w:rsidP="00B77038">
            <w:pPr>
              <w:jc w:val="both"/>
              <w:rPr>
                <w:rFonts w:eastAsia="Calibri"/>
                <w:sz w:val="20"/>
              </w:rPr>
            </w:pPr>
          </w:p>
        </w:tc>
        <w:tc>
          <w:tcPr>
            <w:tcW w:w="243" w:type="pct"/>
          </w:tcPr>
          <w:p w:rsidR="00FE72CD" w:rsidRPr="00E007CB" w:rsidRDefault="00FE72CD" w:rsidP="00B77038">
            <w:pPr>
              <w:jc w:val="both"/>
              <w:rPr>
                <w:rFonts w:eastAsia="Calibri"/>
                <w:sz w:val="20"/>
              </w:rPr>
            </w:pPr>
          </w:p>
        </w:tc>
        <w:tc>
          <w:tcPr>
            <w:tcW w:w="2330" w:type="pct"/>
          </w:tcPr>
          <w:p w:rsidR="00926D48" w:rsidRPr="00F77596" w:rsidRDefault="00926D48" w:rsidP="00926D48">
            <w:pPr>
              <w:jc w:val="both"/>
              <w:rPr>
                <w:sz w:val="20"/>
              </w:rPr>
            </w:pPr>
            <w:r w:rsidRPr="00F77596">
              <w:rPr>
                <w:sz w:val="20"/>
              </w:rPr>
              <w:t>Appeals dismissed</w:t>
            </w:r>
          </w:p>
          <w:p w:rsidR="00FE72CD" w:rsidRPr="00F77596" w:rsidRDefault="00FE72CD" w:rsidP="00B77038">
            <w:pPr>
              <w:jc w:val="both"/>
              <w:rPr>
                <w:sz w:val="20"/>
              </w:rPr>
            </w:pPr>
          </w:p>
        </w:tc>
      </w:tr>
      <w:tr w:rsidR="00926D48" w:rsidRPr="00E007CB" w:rsidTr="00B77038">
        <w:trPr>
          <w:cantSplit/>
        </w:trPr>
        <w:tc>
          <w:tcPr>
            <w:tcW w:w="2427" w:type="pct"/>
          </w:tcPr>
          <w:p w:rsidR="00926D48" w:rsidRPr="00F77596" w:rsidRDefault="00926D48" w:rsidP="00926D48">
            <w:pPr>
              <w:jc w:val="both"/>
              <w:rPr>
                <w:sz w:val="20"/>
              </w:rPr>
            </w:pPr>
            <w:r w:rsidRPr="00F77596">
              <w:rPr>
                <w:sz w:val="20"/>
              </w:rPr>
              <w:t xml:space="preserve">June </w:t>
            </w:r>
            <w:r>
              <w:rPr>
                <w:sz w:val="20"/>
              </w:rPr>
              <w:t>19</w:t>
            </w:r>
            <w:r w:rsidRPr="00F77596">
              <w:rPr>
                <w:sz w:val="20"/>
              </w:rPr>
              <w:t>, 2015</w:t>
            </w:r>
          </w:p>
          <w:p w:rsidR="00926D48" w:rsidRDefault="00926D48" w:rsidP="00926D48">
            <w:pPr>
              <w:jc w:val="both"/>
              <w:rPr>
                <w:rFonts w:eastAsia="Calibri"/>
                <w:sz w:val="20"/>
              </w:rPr>
            </w:pPr>
            <w:r w:rsidRPr="00F77596">
              <w:rPr>
                <w:sz w:val="20"/>
              </w:rPr>
              <w:t>Supreme Court of Canada</w:t>
            </w:r>
          </w:p>
          <w:p w:rsidR="00926D48" w:rsidRDefault="00926D48" w:rsidP="00926D48">
            <w:pPr>
              <w:jc w:val="both"/>
              <w:rPr>
                <w:rFonts w:eastAsia="Calibri"/>
                <w:sz w:val="20"/>
              </w:rPr>
            </w:pPr>
          </w:p>
        </w:tc>
        <w:tc>
          <w:tcPr>
            <w:tcW w:w="243" w:type="pct"/>
          </w:tcPr>
          <w:p w:rsidR="00926D48" w:rsidRPr="00E007CB" w:rsidRDefault="00926D48" w:rsidP="00926D48">
            <w:pPr>
              <w:jc w:val="both"/>
              <w:rPr>
                <w:rFonts w:eastAsia="Calibri"/>
                <w:sz w:val="20"/>
              </w:rPr>
            </w:pPr>
          </w:p>
        </w:tc>
        <w:tc>
          <w:tcPr>
            <w:tcW w:w="2330" w:type="pct"/>
          </w:tcPr>
          <w:p w:rsidR="00926D48" w:rsidRPr="00F77596" w:rsidRDefault="00926D48" w:rsidP="00926D48">
            <w:pPr>
              <w:jc w:val="both"/>
              <w:rPr>
                <w:sz w:val="20"/>
              </w:rPr>
            </w:pPr>
            <w:r w:rsidRPr="00F77596">
              <w:rPr>
                <w:sz w:val="20"/>
              </w:rPr>
              <w:t>Motion to submit joint application for leave to appeal and Application for leave to appeal filed</w:t>
            </w:r>
          </w:p>
        </w:tc>
      </w:tr>
    </w:tbl>
    <w:p w:rsidR="00FE72CD" w:rsidRDefault="00FE72CD" w:rsidP="00FE72CD">
      <w:pPr>
        <w:rPr>
          <w:sz w:val="20"/>
          <w:szCs w:val="20"/>
        </w:rPr>
      </w:pPr>
    </w:p>
    <w:p w:rsidR="00FE72CD" w:rsidRPr="00C50A5C" w:rsidRDefault="00EC4FDF" w:rsidP="00FE72CD">
      <w:pPr>
        <w:rPr>
          <w:sz w:val="20"/>
          <w:szCs w:val="20"/>
        </w:rPr>
      </w:pPr>
      <w:r>
        <w:rPr>
          <w:sz w:val="20"/>
          <w:szCs w:val="20"/>
          <w:lang w:val="fr-CA"/>
        </w:rPr>
        <w:pict>
          <v:rect id="_x0000_i1081" style="width:2in;height:1pt" o:hrpct="0" o:hralign="center" o:hrstd="t" o:hrnoshade="t" o:hr="t" fillcolor="black [3213]" stroked="f"/>
        </w:pict>
      </w:r>
    </w:p>
    <w:p w:rsidR="00FE72CD" w:rsidRDefault="00FE72CD" w:rsidP="00FE72CD">
      <w:pPr>
        <w:rPr>
          <w:sz w:val="20"/>
          <w:szCs w:val="20"/>
        </w:rPr>
      </w:pPr>
    </w:p>
    <w:p w:rsidR="00FE72CD" w:rsidRPr="001B157C" w:rsidRDefault="00FE72CD" w:rsidP="00FE72CD">
      <w:pPr>
        <w:rPr>
          <w:sz w:val="20"/>
          <w:szCs w:val="20"/>
          <w:u w:val="single"/>
          <w:lang w:val="fr-CA"/>
        </w:rPr>
      </w:pPr>
      <w:r w:rsidRPr="001B157C">
        <w:rPr>
          <w:sz w:val="20"/>
          <w:szCs w:val="20"/>
          <w:u w:val="single"/>
          <w:lang w:val="fr-CA"/>
        </w:rPr>
        <w:t>RÉSUMÉ DE L’AFFAIRE</w:t>
      </w:r>
    </w:p>
    <w:p w:rsidR="00FE72CD" w:rsidRDefault="00FE72CD" w:rsidP="00FE72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E72CD" w:rsidRPr="00002704" w:rsidTr="00B77038">
        <w:tc>
          <w:tcPr>
            <w:tcW w:w="5000" w:type="pct"/>
            <w:gridSpan w:val="3"/>
          </w:tcPr>
          <w:p w:rsidR="00DF65C8" w:rsidRPr="00F77596" w:rsidRDefault="00DF65C8" w:rsidP="00DF65C8">
            <w:pPr>
              <w:jc w:val="both"/>
              <w:rPr>
                <w:sz w:val="20"/>
                <w:lang w:val="fr-CA"/>
              </w:rPr>
            </w:pPr>
            <w:r w:rsidRPr="00F77596">
              <w:rPr>
                <w:i/>
                <w:sz w:val="20"/>
                <w:lang w:val="fr-CA"/>
              </w:rPr>
              <w:t>Charte canadienne des droits et libertés</w:t>
            </w:r>
            <w:r w:rsidRPr="00F77596">
              <w:rPr>
                <w:sz w:val="20"/>
                <w:lang w:val="fr-CA"/>
              </w:rPr>
              <w:t xml:space="preserve"> – Droit criminel – Auto-incrimination – Inconduite – Recours – Preuve – Motifs du jugement – Un témoignage incriminant forcé donné sous serment dans une instance antérieure est-il admissible quant au fond à un procès subséquent sur une accusation de tentative d’entrave à la justice, malgré l’art. 13 de la </w:t>
            </w:r>
            <w:r w:rsidRPr="00F77596">
              <w:rPr>
                <w:i/>
                <w:iCs/>
                <w:sz w:val="20"/>
                <w:lang w:val="fr-CA"/>
              </w:rPr>
              <w:t>Charte</w:t>
            </w:r>
            <w:r w:rsidRPr="00F77596">
              <w:rPr>
                <w:iCs/>
                <w:sz w:val="20"/>
                <w:lang w:val="fr-CA"/>
              </w:rPr>
              <w:t>? – Aurait-il fallu accorder une réparation relativement à l’inconduite des policiers, qui avaient dicté aux témoins éventuels les circonstances dans lesquelles ils étaient autorisés à rencontrer la défense?</w:t>
            </w:r>
            <w:r w:rsidRPr="00F77596">
              <w:rPr>
                <w:sz w:val="20"/>
                <w:lang w:val="fr-CA"/>
              </w:rPr>
              <w:t xml:space="preserve"> – La preuve était-elle admissible? – Les motifs du jugement étaient-ils suffisants? – Existait-il une preuve qui permettrait à un jury ayant reçu des directives raisonnables de prononcer un verdict de culpabilité?</w:t>
            </w:r>
          </w:p>
          <w:p w:rsidR="00FE72CD" w:rsidRPr="00E007CB" w:rsidRDefault="00FE72CD" w:rsidP="00B77038">
            <w:pPr>
              <w:jc w:val="both"/>
              <w:rPr>
                <w:rFonts w:eastAsia="Calibri"/>
                <w:sz w:val="20"/>
                <w:lang w:val="fr-CA"/>
              </w:rPr>
            </w:pPr>
          </w:p>
        </w:tc>
      </w:tr>
      <w:tr w:rsidR="00FE72CD" w:rsidRPr="00002704" w:rsidTr="00B77038">
        <w:tc>
          <w:tcPr>
            <w:tcW w:w="5000" w:type="pct"/>
            <w:gridSpan w:val="3"/>
          </w:tcPr>
          <w:p w:rsidR="00DF65C8" w:rsidRPr="00F77596" w:rsidRDefault="00DF65C8" w:rsidP="00DF65C8">
            <w:pPr>
              <w:jc w:val="both"/>
              <w:rPr>
                <w:sz w:val="20"/>
                <w:lang w:val="fr-CA"/>
              </w:rPr>
            </w:pPr>
            <w:r w:rsidRPr="00F77596">
              <w:rPr>
                <w:sz w:val="20"/>
                <w:lang w:val="fr-CA"/>
              </w:rPr>
              <w:t xml:space="preserve">Des policiers de Toronto ont perquisitionné un appartement. Les policiers allèguent que la perquisition a eu lieu après la délivrance d’un mandat de perquisition. Les occupants de l’immeuble allèguent qu’elle a eu lieu avant la délivrance </w:t>
            </w:r>
            <w:r w:rsidRPr="00F77596">
              <w:rPr>
                <w:sz w:val="20"/>
                <w:lang w:val="fr-CA"/>
              </w:rPr>
              <w:lastRenderedPageBreak/>
              <w:t>du mandat. L’allégation des policiers a été consignée dans des cahiers de notes, un dossier complémentaire d’arrestation, une dénonciation en vue d’obtenir un autre mandat de perquisition et des affidavits. L’allégation a été répétée dans un témoignage à une enquête préliminaire. Selon leurs rôles respectifs, les policiers ont été accusés de tentative d’entrave à la justice, de parjure ou de ces deux infractions. Avant le procès, les policiers qui étaient susceptibles d’être appelés comme témoins ont été informés dans une note de service du Service de police de Toronto qu’ils n’étaient pas tenus de se soumettre à une entrevue avec les avocats de la défense et qu’ils devaient aviser le Service de police de Toronto s’ils avaient l’intention de le faire, afin de pouvoir prendre des dispositions pour qu’un agent de l’unité d’intervention spéciale en déontologie puisse être présent. Le juge du procès a rejeté une motion de la défense en arrêt des procédures au motif que la note de service était un abus de procédure. Au procès, un policier a affirmé dans son témoignage qu’il avait reçu l’autorisation de perquisition à 22 h 32 au poste de police, qu’il l’avait signifiée à l’appartement et qu’à 22 h 54 il était de retour au poste. Pour contester ce témoignage, l’avocat-conseil de la Couronne a présenté la preuve d’un policier qui avait effectué des essais du temps qu’il fallait pour se rendre en voiture du poste de police à l’appartement.</w:t>
            </w:r>
          </w:p>
          <w:p w:rsidR="00FE72CD" w:rsidRPr="00F77596" w:rsidRDefault="00FE72CD" w:rsidP="00B77038">
            <w:pPr>
              <w:jc w:val="both"/>
              <w:rPr>
                <w:sz w:val="20"/>
                <w:lang w:val="fr-CA"/>
              </w:rPr>
            </w:pPr>
          </w:p>
        </w:tc>
      </w:tr>
      <w:tr w:rsidR="00FE72CD" w:rsidRPr="00002704" w:rsidTr="00B77038">
        <w:trPr>
          <w:cantSplit/>
        </w:trPr>
        <w:tc>
          <w:tcPr>
            <w:tcW w:w="2427" w:type="pct"/>
          </w:tcPr>
          <w:p w:rsidR="00DF65C8" w:rsidRPr="00F77596" w:rsidRDefault="00DF65C8" w:rsidP="00DF65C8">
            <w:pPr>
              <w:jc w:val="both"/>
              <w:rPr>
                <w:sz w:val="20"/>
                <w:lang w:val="fr-CA"/>
              </w:rPr>
            </w:pPr>
            <w:r w:rsidRPr="00F77596">
              <w:rPr>
                <w:sz w:val="20"/>
                <w:lang w:val="fr-CA"/>
              </w:rPr>
              <w:lastRenderedPageBreak/>
              <w:t>27 juin 2012</w:t>
            </w:r>
          </w:p>
          <w:p w:rsidR="00DF65C8" w:rsidRPr="00F77596" w:rsidRDefault="00DF65C8" w:rsidP="00DF65C8">
            <w:pPr>
              <w:jc w:val="both"/>
              <w:rPr>
                <w:sz w:val="20"/>
                <w:lang w:val="fr-CA"/>
              </w:rPr>
            </w:pPr>
            <w:r w:rsidRPr="00F77596">
              <w:rPr>
                <w:sz w:val="20"/>
                <w:lang w:val="fr-CA"/>
              </w:rPr>
              <w:t>Cour supérieure de justice de l’Ontario</w:t>
            </w:r>
          </w:p>
          <w:p w:rsidR="00DF65C8" w:rsidRPr="00F77596" w:rsidRDefault="00DF65C8" w:rsidP="00DF65C8">
            <w:pPr>
              <w:jc w:val="both"/>
              <w:rPr>
                <w:sz w:val="20"/>
                <w:lang w:val="fr-CA"/>
              </w:rPr>
            </w:pPr>
            <w:r w:rsidRPr="00F77596">
              <w:rPr>
                <w:sz w:val="20"/>
                <w:lang w:val="fr-CA"/>
              </w:rPr>
              <w:t xml:space="preserve">(Juge Pardu) </w:t>
            </w:r>
          </w:p>
          <w:p w:rsidR="00FE72CD" w:rsidRPr="00E007CB" w:rsidRDefault="00FE72CD" w:rsidP="00B77038">
            <w:pPr>
              <w:jc w:val="both"/>
              <w:rPr>
                <w:rFonts w:eastAsia="Calibri"/>
                <w:sz w:val="20"/>
                <w:lang w:val="fr-CA"/>
              </w:rPr>
            </w:pPr>
          </w:p>
        </w:tc>
        <w:tc>
          <w:tcPr>
            <w:tcW w:w="243" w:type="pct"/>
          </w:tcPr>
          <w:p w:rsidR="00FE72CD" w:rsidRPr="00E007CB" w:rsidRDefault="00FE72CD" w:rsidP="00B77038">
            <w:pPr>
              <w:jc w:val="both"/>
              <w:rPr>
                <w:rFonts w:eastAsia="Calibri"/>
                <w:sz w:val="20"/>
                <w:lang w:val="fr-CA"/>
              </w:rPr>
            </w:pPr>
          </w:p>
        </w:tc>
        <w:tc>
          <w:tcPr>
            <w:tcW w:w="2330" w:type="pct"/>
          </w:tcPr>
          <w:p w:rsidR="00DF65C8" w:rsidRPr="00F77596" w:rsidRDefault="00DF65C8" w:rsidP="00DF65C8">
            <w:pPr>
              <w:jc w:val="both"/>
              <w:rPr>
                <w:sz w:val="20"/>
                <w:lang w:val="fr-CA"/>
              </w:rPr>
            </w:pPr>
            <w:r w:rsidRPr="00F77596">
              <w:rPr>
                <w:sz w:val="20"/>
                <w:lang w:val="fr-CA"/>
              </w:rPr>
              <w:t>Déclaration de culpabilité de tentative d’entrave à la justice prononcée à l’égard de MM. Schertzer, Correia, Miched et Pollard; déclaration de culpabilité de parjure prononcée à l’égard de MM. Correia et Pollard</w:t>
            </w:r>
          </w:p>
          <w:p w:rsidR="00FE72CD" w:rsidRPr="00F77596" w:rsidRDefault="00FE72CD" w:rsidP="00B77038">
            <w:pPr>
              <w:jc w:val="both"/>
              <w:rPr>
                <w:sz w:val="20"/>
                <w:lang w:val="fr-CA"/>
              </w:rPr>
            </w:pPr>
          </w:p>
        </w:tc>
      </w:tr>
      <w:tr w:rsidR="00FE72CD" w:rsidRPr="00E007CB" w:rsidTr="00B77038">
        <w:trPr>
          <w:cantSplit/>
        </w:trPr>
        <w:tc>
          <w:tcPr>
            <w:tcW w:w="2427" w:type="pct"/>
          </w:tcPr>
          <w:p w:rsidR="00DF65C8" w:rsidRPr="00F77596" w:rsidRDefault="00DF65C8" w:rsidP="00DF65C8">
            <w:pPr>
              <w:jc w:val="both"/>
              <w:rPr>
                <w:sz w:val="20"/>
                <w:lang w:val="fr-CA"/>
              </w:rPr>
            </w:pPr>
            <w:r w:rsidRPr="00F77596">
              <w:rPr>
                <w:sz w:val="20"/>
                <w:lang w:val="fr-CA"/>
              </w:rPr>
              <w:t>20 avril 2015</w:t>
            </w:r>
          </w:p>
          <w:p w:rsidR="00DF65C8" w:rsidRPr="00F77596" w:rsidRDefault="00DF65C8" w:rsidP="00DF65C8">
            <w:pPr>
              <w:jc w:val="both"/>
              <w:rPr>
                <w:sz w:val="20"/>
                <w:lang w:val="fr-CA"/>
              </w:rPr>
            </w:pPr>
            <w:r w:rsidRPr="00F77596">
              <w:rPr>
                <w:sz w:val="20"/>
                <w:lang w:val="fr-CA"/>
              </w:rPr>
              <w:t>Cour d’appel de l’Ontario</w:t>
            </w:r>
          </w:p>
          <w:p w:rsidR="00DF65C8" w:rsidRPr="00F77596" w:rsidRDefault="00DF65C8" w:rsidP="00DF65C8">
            <w:pPr>
              <w:jc w:val="both"/>
              <w:rPr>
                <w:sz w:val="20"/>
                <w:lang w:val="fr-CA"/>
              </w:rPr>
            </w:pPr>
            <w:r w:rsidRPr="00F77596">
              <w:rPr>
                <w:sz w:val="20"/>
                <w:lang w:val="fr-CA"/>
              </w:rPr>
              <w:t>(Juges Watt, Tulloch et Benotto)</w:t>
            </w:r>
          </w:p>
          <w:p w:rsidR="00DF65C8" w:rsidRPr="00F77596" w:rsidRDefault="00DF65C8" w:rsidP="00DF65C8">
            <w:pPr>
              <w:jc w:val="both"/>
              <w:rPr>
                <w:sz w:val="20"/>
                <w:lang w:val="fr-CA"/>
              </w:rPr>
            </w:pPr>
            <w:r w:rsidRPr="00F77596">
              <w:rPr>
                <w:sz w:val="20"/>
                <w:lang w:val="fr-CA"/>
              </w:rPr>
              <w:t xml:space="preserve">C56396, C56397, C56399, C56400 </w:t>
            </w:r>
          </w:p>
          <w:p w:rsidR="00DF65C8" w:rsidRPr="00F77596" w:rsidRDefault="00EC4FDF" w:rsidP="00DF65C8">
            <w:pPr>
              <w:jc w:val="both"/>
              <w:rPr>
                <w:sz w:val="20"/>
                <w:lang w:val="fr-CA"/>
              </w:rPr>
            </w:pPr>
            <w:hyperlink r:id="rId103" w:history="1">
              <w:r w:rsidR="00DF65C8" w:rsidRPr="00F77596">
                <w:rPr>
                  <w:rStyle w:val="Hyperlink"/>
                  <w:sz w:val="20"/>
                  <w:lang w:val="fr-CA"/>
                </w:rPr>
                <w:t>2015 ONCA 259</w:t>
              </w:r>
            </w:hyperlink>
          </w:p>
          <w:p w:rsidR="00FE72CD" w:rsidRDefault="00FE72CD" w:rsidP="00B77038">
            <w:pPr>
              <w:jc w:val="both"/>
              <w:rPr>
                <w:rFonts w:eastAsia="Calibri"/>
                <w:sz w:val="20"/>
                <w:lang w:val="fr-CA"/>
              </w:rPr>
            </w:pPr>
          </w:p>
        </w:tc>
        <w:tc>
          <w:tcPr>
            <w:tcW w:w="243" w:type="pct"/>
          </w:tcPr>
          <w:p w:rsidR="00FE72CD" w:rsidRPr="00E007CB" w:rsidRDefault="00FE72CD" w:rsidP="00B77038">
            <w:pPr>
              <w:jc w:val="both"/>
              <w:rPr>
                <w:rFonts w:eastAsia="Calibri"/>
                <w:sz w:val="20"/>
                <w:lang w:val="fr-CA"/>
              </w:rPr>
            </w:pPr>
          </w:p>
        </w:tc>
        <w:tc>
          <w:tcPr>
            <w:tcW w:w="2330" w:type="pct"/>
          </w:tcPr>
          <w:p w:rsidR="00DF65C8" w:rsidRPr="00F77596" w:rsidRDefault="00DF65C8" w:rsidP="00DF65C8">
            <w:pPr>
              <w:jc w:val="both"/>
              <w:rPr>
                <w:sz w:val="20"/>
                <w:lang w:val="fr-CA"/>
              </w:rPr>
            </w:pPr>
            <w:r w:rsidRPr="00F77596">
              <w:rPr>
                <w:sz w:val="20"/>
                <w:lang w:val="fr-CA"/>
              </w:rPr>
              <w:t>Rejet des appels</w:t>
            </w:r>
          </w:p>
          <w:p w:rsidR="00FE72CD" w:rsidRPr="00F77596" w:rsidRDefault="00FE72CD" w:rsidP="00B77038">
            <w:pPr>
              <w:jc w:val="both"/>
              <w:rPr>
                <w:sz w:val="20"/>
                <w:lang w:val="fr-CA"/>
              </w:rPr>
            </w:pPr>
          </w:p>
        </w:tc>
      </w:tr>
      <w:tr w:rsidR="00DF65C8" w:rsidRPr="00E007CB" w:rsidTr="00B77038">
        <w:trPr>
          <w:cantSplit/>
        </w:trPr>
        <w:tc>
          <w:tcPr>
            <w:tcW w:w="2427" w:type="pct"/>
          </w:tcPr>
          <w:p w:rsidR="00DF65C8" w:rsidRPr="00F77596" w:rsidRDefault="00DF65C8" w:rsidP="00DF65C8">
            <w:pPr>
              <w:jc w:val="both"/>
              <w:rPr>
                <w:sz w:val="20"/>
              </w:rPr>
            </w:pPr>
            <w:r>
              <w:rPr>
                <w:sz w:val="20"/>
              </w:rPr>
              <w:t>15</w:t>
            </w:r>
            <w:r w:rsidRPr="00F77596">
              <w:rPr>
                <w:sz w:val="20"/>
              </w:rPr>
              <w:t xml:space="preserve"> juin 2015</w:t>
            </w:r>
          </w:p>
          <w:p w:rsidR="00DF65C8" w:rsidRPr="00F77596" w:rsidRDefault="00DF65C8" w:rsidP="00DF65C8">
            <w:pPr>
              <w:jc w:val="both"/>
              <w:rPr>
                <w:sz w:val="20"/>
              </w:rPr>
            </w:pPr>
            <w:r w:rsidRPr="00F77596">
              <w:rPr>
                <w:sz w:val="20"/>
              </w:rPr>
              <w:t>Cour suprême du Canada</w:t>
            </w:r>
          </w:p>
          <w:p w:rsidR="00DF65C8" w:rsidRDefault="00DF65C8" w:rsidP="00DF65C8">
            <w:pPr>
              <w:jc w:val="both"/>
              <w:rPr>
                <w:rFonts w:eastAsia="Calibri"/>
                <w:sz w:val="20"/>
                <w:lang w:val="fr-CA"/>
              </w:rPr>
            </w:pPr>
          </w:p>
        </w:tc>
        <w:tc>
          <w:tcPr>
            <w:tcW w:w="243" w:type="pct"/>
          </w:tcPr>
          <w:p w:rsidR="00DF65C8" w:rsidRPr="00E007CB" w:rsidRDefault="00DF65C8" w:rsidP="00DF65C8">
            <w:pPr>
              <w:jc w:val="both"/>
              <w:rPr>
                <w:rFonts w:eastAsia="Calibri"/>
                <w:sz w:val="20"/>
                <w:lang w:val="fr-CA"/>
              </w:rPr>
            </w:pPr>
          </w:p>
        </w:tc>
        <w:tc>
          <w:tcPr>
            <w:tcW w:w="2330" w:type="pct"/>
          </w:tcPr>
          <w:p w:rsidR="00DF65C8" w:rsidRDefault="00DF65C8" w:rsidP="00DF65C8">
            <w:pPr>
              <w:jc w:val="both"/>
              <w:rPr>
                <w:sz w:val="20"/>
                <w:lang w:val="fr-CA"/>
              </w:rPr>
            </w:pPr>
            <w:r w:rsidRPr="00F77596">
              <w:rPr>
                <w:sz w:val="20"/>
                <w:lang w:val="fr-CA"/>
              </w:rPr>
              <w:t>Dépôt de la requête en vue de présenter une demande d’autorisation d’appel conjointe et de la demande d’autorisation d’appel</w:t>
            </w:r>
          </w:p>
          <w:p w:rsidR="00DF65C8" w:rsidRPr="00F77596" w:rsidRDefault="00DF65C8" w:rsidP="00DF65C8">
            <w:pPr>
              <w:jc w:val="both"/>
              <w:rPr>
                <w:sz w:val="20"/>
                <w:lang w:val="fr-CA"/>
              </w:rPr>
            </w:pPr>
          </w:p>
        </w:tc>
      </w:tr>
    </w:tbl>
    <w:p w:rsidR="00FE72CD" w:rsidRDefault="00FE72CD" w:rsidP="00FE72CD">
      <w:pPr>
        <w:rPr>
          <w:sz w:val="20"/>
          <w:szCs w:val="20"/>
        </w:rPr>
      </w:pPr>
    </w:p>
    <w:p w:rsidR="00FE72CD" w:rsidRDefault="00EC4FDF" w:rsidP="00FE72CD">
      <w:pPr>
        <w:rPr>
          <w:sz w:val="20"/>
          <w:szCs w:val="20"/>
        </w:rPr>
      </w:pPr>
      <w:r>
        <w:rPr>
          <w:sz w:val="20"/>
          <w:szCs w:val="20"/>
          <w:lang w:val="fr-CA"/>
        </w:rPr>
        <w:pict>
          <v:rect id="_x0000_i1082" style="width:2in;height:1pt" o:hrpct="0" o:hralign="center" o:hrstd="t" o:hrnoshade="t" o:hr="t" fillcolor="black [3213]" stroked="f"/>
        </w:pict>
      </w:r>
    </w:p>
    <w:p w:rsidR="00FE72CD" w:rsidRDefault="00FE72CD" w:rsidP="00FE72C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D4098" w:rsidRPr="00A73D2C" w:rsidTr="00B77038">
        <w:trPr>
          <w:cantSplit/>
        </w:trPr>
        <w:tc>
          <w:tcPr>
            <w:tcW w:w="1458" w:type="dxa"/>
          </w:tcPr>
          <w:p w:rsidR="00FD4098" w:rsidRPr="00A73D2C" w:rsidRDefault="00FD4098" w:rsidP="00B77038">
            <w:pPr>
              <w:rPr>
                <w:sz w:val="20"/>
                <w:szCs w:val="20"/>
              </w:rPr>
            </w:pPr>
            <w:r w:rsidRPr="00A73D2C">
              <w:rPr>
                <w:rStyle w:val="SCCFileNumberChar"/>
                <w:sz w:val="20"/>
                <w:szCs w:val="20"/>
              </w:rPr>
              <w:t>36</w:t>
            </w:r>
            <w:r>
              <w:rPr>
                <w:rStyle w:val="SCCFileNumberChar"/>
                <w:sz w:val="20"/>
                <w:szCs w:val="20"/>
              </w:rPr>
              <w:t>488</w:t>
            </w:r>
          </w:p>
          <w:p w:rsidR="00FD4098" w:rsidRPr="00A73D2C" w:rsidRDefault="00FD4098" w:rsidP="00B77038">
            <w:pPr>
              <w:rPr>
                <w:b/>
                <w:sz w:val="20"/>
                <w:szCs w:val="20"/>
                <w:lang w:val="fr-CA"/>
              </w:rPr>
            </w:pPr>
          </w:p>
        </w:tc>
        <w:tc>
          <w:tcPr>
            <w:tcW w:w="8118" w:type="dxa"/>
          </w:tcPr>
          <w:p w:rsidR="00FD4098" w:rsidRPr="00A73D2C" w:rsidRDefault="00FD4098" w:rsidP="00B77038">
            <w:pPr>
              <w:rPr>
                <w:sz w:val="20"/>
                <w:szCs w:val="20"/>
              </w:rPr>
            </w:pPr>
            <w:r w:rsidRPr="00FD4098">
              <w:rPr>
                <w:rStyle w:val="SCCLsocChar"/>
                <w:sz w:val="20"/>
                <w:szCs w:val="20"/>
                <w:lang w:val="en-CA"/>
              </w:rPr>
              <w:t xml:space="preserve">Chérita Johnson-Richard </w:t>
            </w:r>
            <w:r w:rsidR="008E4085">
              <w:rPr>
                <w:rStyle w:val="SCCLsocChar"/>
                <w:sz w:val="20"/>
                <w:szCs w:val="20"/>
                <w:lang w:val="en-CA"/>
              </w:rPr>
              <w:t>c</w:t>
            </w:r>
            <w:r w:rsidRPr="00FD4098">
              <w:rPr>
                <w:rStyle w:val="SCCLsocChar"/>
                <w:sz w:val="20"/>
                <w:szCs w:val="20"/>
                <w:lang w:val="en-CA"/>
              </w:rPr>
              <w:t>. Mario Bilodeau</w:t>
            </w:r>
            <w:r w:rsidR="008E4085">
              <w:rPr>
                <w:rStyle w:val="SCCLsocChar"/>
                <w:sz w:val="20"/>
                <w:szCs w:val="20"/>
                <w:lang w:val="en-CA"/>
              </w:rPr>
              <w:t xml:space="preserve"> et </w:t>
            </w:r>
            <w:r w:rsidR="00CF18F3">
              <w:rPr>
                <w:rStyle w:val="SCCLsocChar"/>
                <w:sz w:val="20"/>
                <w:szCs w:val="20"/>
                <w:lang w:val="en-CA"/>
              </w:rPr>
              <w:t>Comité de déontologie policière du Québec</w:t>
            </w:r>
            <w:r w:rsidRPr="008D4AE3">
              <w:rPr>
                <w:rStyle w:val="SCCLsocChar"/>
                <w:sz w:val="20"/>
                <w:szCs w:val="20"/>
                <w:u w:val="none"/>
                <w:lang w:val="en-CA"/>
              </w:rPr>
              <w:t xml:space="preserve"> </w:t>
            </w:r>
            <w:r w:rsidRPr="00A73D2C">
              <w:rPr>
                <w:sz w:val="20"/>
                <w:szCs w:val="20"/>
              </w:rPr>
              <w:t>(</w:t>
            </w:r>
            <w:r>
              <w:rPr>
                <w:sz w:val="20"/>
                <w:szCs w:val="20"/>
              </w:rPr>
              <w:t>Q</w:t>
            </w:r>
            <w:r w:rsidR="008E4085">
              <w:rPr>
                <w:sz w:val="20"/>
                <w:szCs w:val="20"/>
              </w:rPr>
              <w:t>c</w:t>
            </w:r>
            <w:r w:rsidRPr="00A73D2C">
              <w:rPr>
                <w:sz w:val="20"/>
                <w:szCs w:val="20"/>
              </w:rPr>
              <w:t>) (C</w:t>
            </w:r>
            <w:r>
              <w:rPr>
                <w:sz w:val="20"/>
                <w:szCs w:val="20"/>
              </w:rPr>
              <w:t>ivil</w:t>
            </w:r>
            <w:r w:rsidR="008E4085">
              <w:rPr>
                <w:sz w:val="20"/>
                <w:szCs w:val="20"/>
              </w:rPr>
              <w:t>e</w:t>
            </w:r>
            <w:r w:rsidRPr="00A73D2C">
              <w:rPr>
                <w:sz w:val="20"/>
                <w:szCs w:val="20"/>
              </w:rPr>
              <w:t>) (</w:t>
            </w:r>
            <w:r w:rsidR="008E4085">
              <w:rPr>
                <w:sz w:val="20"/>
                <w:szCs w:val="20"/>
              </w:rPr>
              <w:t>Autorisation</w:t>
            </w:r>
            <w:r w:rsidRPr="00A73D2C">
              <w:rPr>
                <w:sz w:val="20"/>
                <w:szCs w:val="20"/>
              </w:rPr>
              <w:t>)</w:t>
            </w:r>
          </w:p>
          <w:p w:rsidR="00FD4098" w:rsidRPr="00A73D2C" w:rsidRDefault="00FD4098" w:rsidP="00B77038">
            <w:pPr>
              <w:rPr>
                <w:sz w:val="20"/>
                <w:szCs w:val="20"/>
              </w:rPr>
            </w:pPr>
          </w:p>
        </w:tc>
      </w:tr>
      <w:tr w:rsidR="00FD4098" w:rsidRPr="00A73D2C" w:rsidTr="00B77038">
        <w:trPr>
          <w:cantSplit/>
        </w:trPr>
        <w:tc>
          <w:tcPr>
            <w:tcW w:w="1458" w:type="dxa"/>
          </w:tcPr>
          <w:p w:rsidR="00FD4098" w:rsidRPr="00A73D2C" w:rsidRDefault="00FD4098" w:rsidP="00B77038">
            <w:pPr>
              <w:rPr>
                <w:sz w:val="20"/>
                <w:szCs w:val="20"/>
              </w:rPr>
            </w:pPr>
            <w:r w:rsidRPr="00A73D2C">
              <w:rPr>
                <w:sz w:val="20"/>
                <w:szCs w:val="20"/>
              </w:rPr>
              <w:t>Coram :</w:t>
            </w:r>
          </w:p>
        </w:tc>
        <w:tc>
          <w:tcPr>
            <w:tcW w:w="8118" w:type="dxa"/>
          </w:tcPr>
          <w:p w:rsidR="00FD4098" w:rsidRDefault="00CF18F3" w:rsidP="00B77038">
            <w:pPr>
              <w:rPr>
                <w:rStyle w:val="SCCCoramChar"/>
                <w:sz w:val="20"/>
                <w:szCs w:val="20"/>
                <w:lang w:val="en-CA"/>
              </w:rPr>
            </w:pPr>
            <w:r w:rsidRPr="00CF18F3">
              <w:rPr>
                <w:rStyle w:val="SCCCoramChar"/>
                <w:sz w:val="20"/>
                <w:szCs w:val="20"/>
                <w:lang w:val="en-CA"/>
              </w:rPr>
              <w:t>Les juges Abella, Karakatsanis et Brown</w:t>
            </w:r>
          </w:p>
          <w:p w:rsidR="00CF18F3" w:rsidRPr="00A73D2C" w:rsidRDefault="00CF18F3" w:rsidP="00B77038">
            <w:pPr>
              <w:rPr>
                <w:sz w:val="20"/>
                <w:szCs w:val="20"/>
                <w:u w:val="single"/>
              </w:rPr>
            </w:pPr>
          </w:p>
        </w:tc>
      </w:tr>
      <w:tr w:rsidR="00FD4098" w:rsidRPr="00002704" w:rsidTr="00B77038">
        <w:trPr>
          <w:cantSplit/>
        </w:trPr>
        <w:tc>
          <w:tcPr>
            <w:tcW w:w="9576" w:type="dxa"/>
            <w:gridSpan w:val="2"/>
          </w:tcPr>
          <w:p w:rsidR="00DA48B3" w:rsidRPr="00DA48B3" w:rsidRDefault="00DA48B3" w:rsidP="00DA48B3">
            <w:pPr>
              <w:pStyle w:val="SCCShortJudgment"/>
              <w:rPr>
                <w:szCs w:val="20"/>
              </w:rPr>
            </w:pPr>
            <w:r w:rsidRPr="00DA48B3">
              <w:rPr>
                <w:szCs w:val="20"/>
              </w:rPr>
              <w:t>La requête en prorogation du délai de signification et de dépôt de la demande d’autorisation d’appel est accueillie. La demande d’autorisation d’appel de l’arrêt de la Cour d’appel du Québec (Montréal), numéro 500-09-024971-152, 2015 QCCA 626, daté du 15 avril 2015, est rejetée avec dépens.</w:t>
            </w:r>
          </w:p>
          <w:p w:rsidR="00DA48B3" w:rsidRPr="00DA48B3" w:rsidRDefault="00DA48B3" w:rsidP="00DA48B3">
            <w:pPr>
              <w:pStyle w:val="SCCShortJudgment"/>
              <w:rPr>
                <w:szCs w:val="20"/>
              </w:rPr>
            </w:pPr>
          </w:p>
          <w:p w:rsidR="00FD4098" w:rsidRPr="00A73D2C" w:rsidRDefault="00DA48B3" w:rsidP="00DA48B3">
            <w:pPr>
              <w:pStyle w:val="SCCShortJudgment"/>
              <w:rPr>
                <w:szCs w:val="20"/>
                <w:lang w:val="fr-CA"/>
              </w:rPr>
            </w:pPr>
            <w:r w:rsidRPr="00DA48B3">
              <w:rPr>
                <w:szCs w:val="20"/>
              </w:rPr>
              <w:t>The motion for an extension of time to serve and file the application for leave to appeal is granted. The application for leave to appeal from the judgment of the Court of Appeal of Quebec (Montréal), Number 500-09-024971-152, 2015 QCCA 626, dated April 15, 2015, is dismissed with costs.</w:t>
            </w:r>
          </w:p>
        </w:tc>
      </w:tr>
    </w:tbl>
    <w:p w:rsidR="00FD4098" w:rsidRPr="0016547E" w:rsidRDefault="00FD4098" w:rsidP="00FD4098">
      <w:pPr>
        <w:rPr>
          <w:sz w:val="20"/>
          <w:szCs w:val="20"/>
          <w:lang w:val="fr-CA"/>
        </w:rPr>
      </w:pPr>
    </w:p>
    <w:p w:rsidR="00FD4098" w:rsidRPr="001B157C" w:rsidRDefault="00FD4098" w:rsidP="00FD4098">
      <w:pPr>
        <w:rPr>
          <w:sz w:val="20"/>
          <w:szCs w:val="20"/>
          <w:u w:val="single"/>
        </w:rPr>
      </w:pPr>
      <w:r w:rsidRPr="001B157C">
        <w:rPr>
          <w:sz w:val="20"/>
          <w:szCs w:val="20"/>
          <w:u w:val="single"/>
        </w:rPr>
        <w:t>CASE SUMMARY</w:t>
      </w:r>
    </w:p>
    <w:p w:rsidR="00FD4098" w:rsidRDefault="00FD4098" w:rsidP="00FD409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D4098" w:rsidRPr="00E007CB" w:rsidTr="00B77038">
        <w:tc>
          <w:tcPr>
            <w:tcW w:w="5000" w:type="pct"/>
            <w:gridSpan w:val="3"/>
          </w:tcPr>
          <w:p w:rsidR="00FD4098" w:rsidRDefault="00FD4098" w:rsidP="00B77038">
            <w:pPr>
              <w:jc w:val="both"/>
              <w:rPr>
                <w:sz w:val="20"/>
              </w:rPr>
            </w:pPr>
            <w:r w:rsidRPr="00F77596">
              <w:rPr>
                <w:sz w:val="20"/>
              </w:rPr>
              <w:t>Administrative law – Police ethics committee – Immunity of administrative decision maker –   Prescription of action – Motion for leave to appeal dismissed – Whether Court of Appeal’s decision violates applicant’s right to be heard and right to make full answer and defence.</w:t>
            </w:r>
          </w:p>
          <w:p w:rsidR="00FD4098" w:rsidRPr="00E007CB" w:rsidRDefault="00FD4098" w:rsidP="00B77038">
            <w:pPr>
              <w:jc w:val="both"/>
              <w:rPr>
                <w:rFonts w:eastAsia="Calibri"/>
                <w:sz w:val="20"/>
              </w:rPr>
            </w:pPr>
          </w:p>
        </w:tc>
      </w:tr>
      <w:tr w:rsidR="00FD4098" w:rsidRPr="00E007CB" w:rsidTr="00B77038">
        <w:tc>
          <w:tcPr>
            <w:tcW w:w="5000" w:type="pct"/>
            <w:gridSpan w:val="3"/>
          </w:tcPr>
          <w:p w:rsidR="00FD4098" w:rsidRPr="00F77596" w:rsidRDefault="00FD4098" w:rsidP="00FD4098">
            <w:pPr>
              <w:jc w:val="both"/>
              <w:rPr>
                <w:sz w:val="20"/>
              </w:rPr>
            </w:pPr>
            <w:r w:rsidRPr="00F77596">
              <w:rPr>
                <w:sz w:val="20"/>
              </w:rPr>
              <w:lastRenderedPageBreak/>
              <w:t>The applicant went before the Superior Court to contest the decision of the Comité de déontologie policière, which allegedly contained comments damaging to her reputation. The Superior Court concluded that the administrative decision maker was immune and that the action was prescribed. The Court of Appeal refused to hear the appeal, a decision the applicant is challenging in this application for leave to appeal, relying on her right to be heard in court.</w:t>
            </w:r>
          </w:p>
          <w:p w:rsidR="00FD4098" w:rsidRPr="00F77596" w:rsidRDefault="00FD4098" w:rsidP="00B77038">
            <w:pPr>
              <w:jc w:val="both"/>
              <w:rPr>
                <w:sz w:val="20"/>
              </w:rPr>
            </w:pPr>
          </w:p>
        </w:tc>
      </w:tr>
      <w:tr w:rsidR="00FD4098" w:rsidRPr="00E007CB" w:rsidTr="00B77038">
        <w:trPr>
          <w:cantSplit/>
        </w:trPr>
        <w:tc>
          <w:tcPr>
            <w:tcW w:w="2427" w:type="pct"/>
          </w:tcPr>
          <w:p w:rsidR="001B0B33" w:rsidRPr="00F77596" w:rsidRDefault="001B0B33" w:rsidP="001B0B33">
            <w:pPr>
              <w:jc w:val="both"/>
              <w:rPr>
                <w:sz w:val="20"/>
              </w:rPr>
            </w:pPr>
            <w:r w:rsidRPr="00F77596">
              <w:rPr>
                <w:sz w:val="20"/>
              </w:rPr>
              <w:t>December 5, 2014</w:t>
            </w:r>
          </w:p>
          <w:p w:rsidR="001B0B33" w:rsidRPr="00F77596" w:rsidRDefault="001B0B33" w:rsidP="001B0B33">
            <w:pPr>
              <w:jc w:val="both"/>
              <w:rPr>
                <w:sz w:val="20"/>
              </w:rPr>
            </w:pPr>
            <w:r w:rsidRPr="00F77596">
              <w:rPr>
                <w:sz w:val="20"/>
              </w:rPr>
              <w:t>Quebec Superior Court</w:t>
            </w:r>
          </w:p>
          <w:p w:rsidR="001B0B33" w:rsidRPr="00F77596" w:rsidRDefault="001B0B33" w:rsidP="001B0B33">
            <w:pPr>
              <w:jc w:val="both"/>
              <w:rPr>
                <w:sz w:val="20"/>
              </w:rPr>
            </w:pPr>
            <w:r w:rsidRPr="00F77596">
              <w:rPr>
                <w:sz w:val="20"/>
              </w:rPr>
              <w:t>(Mayer J.)</w:t>
            </w:r>
          </w:p>
          <w:p w:rsidR="001B0B33" w:rsidRPr="00F77596" w:rsidRDefault="00EC4FDF" w:rsidP="001B0B33">
            <w:pPr>
              <w:jc w:val="both"/>
              <w:rPr>
                <w:sz w:val="20"/>
              </w:rPr>
            </w:pPr>
            <w:hyperlink r:id="rId104" w:history="1">
              <w:r w:rsidR="001B0B33" w:rsidRPr="00F77596">
                <w:rPr>
                  <w:rStyle w:val="Hyperlink"/>
                  <w:sz w:val="20"/>
                </w:rPr>
                <w:t>2014 QCCS 5934</w:t>
              </w:r>
            </w:hyperlink>
          </w:p>
          <w:p w:rsidR="00FD4098" w:rsidRPr="00E007CB" w:rsidRDefault="00FD4098" w:rsidP="00B77038">
            <w:pPr>
              <w:jc w:val="both"/>
              <w:rPr>
                <w:rFonts w:eastAsia="Calibri"/>
                <w:sz w:val="20"/>
              </w:rPr>
            </w:pPr>
          </w:p>
        </w:tc>
        <w:tc>
          <w:tcPr>
            <w:tcW w:w="243" w:type="pct"/>
          </w:tcPr>
          <w:p w:rsidR="00FD4098" w:rsidRPr="00E007CB" w:rsidRDefault="00FD4098" w:rsidP="00B77038">
            <w:pPr>
              <w:jc w:val="both"/>
              <w:rPr>
                <w:rFonts w:eastAsia="Calibri"/>
                <w:sz w:val="20"/>
              </w:rPr>
            </w:pPr>
          </w:p>
        </w:tc>
        <w:tc>
          <w:tcPr>
            <w:tcW w:w="2330" w:type="pct"/>
          </w:tcPr>
          <w:p w:rsidR="001B0B33" w:rsidRPr="00F77596" w:rsidRDefault="001B0B33" w:rsidP="001B0B33">
            <w:pPr>
              <w:jc w:val="both"/>
              <w:rPr>
                <w:sz w:val="20"/>
              </w:rPr>
            </w:pPr>
            <w:r w:rsidRPr="00F77596">
              <w:rPr>
                <w:sz w:val="20"/>
              </w:rPr>
              <w:t>Motion to dismiss allowed: action dismissed based on immunity of decision maker and  prescription of action</w:t>
            </w:r>
          </w:p>
          <w:p w:rsidR="00FD4098" w:rsidRPr="00F77596" w:rsidRDefault="00FD4098" w:rsidP="00B77038">
            <w:pPr>
              <w:jc w:val="both"/>
              <w:rPr>
                <w:sz w:val="20"/>
              </w:rPr>
            </w:pPr>
          </w:p>
        </w:tc>
      </w:tr>
      <w:tr w:rsidR="00FD4098" w:rsidRPr="00E007CB" w:rsidTr="00B77038">
        <w:trPr>
          <w:cantSplit/>
        </w:trPr>
        <w:tc>
          <w:tcPr>
            <w:tcW w:w="2427" w:type="pct"/>
          </w:tcPr>
          <w:p w:rsidR="001B0B33" w:rsidRPr="00F77596" w:rsidRDefault="001B0B33" w:rsidP="001B0B33">
            <w:pPr>
              <w:jc w:val="both"/>
              <w:rPr>
                <w:sz w:val="20"/>
              </w:rPr>
            </w:pPr>
            <w:r w:rsidRPr="00F77596">
              <w:rPr>
                <w:sz w:val="20"/>
              </w:rPr>
              <w:t>April 15, 2015</w:t>
            </w:r>
          </w:p>
          <w:p w:rsidR="001B0B33" w:rsidRPr="00F77596" w:rsidRDefault="001B0B33" w:rsidP="001B0B33">
            <w:pPr>
              <w:jc w:val="both"/>
              <w:rPr>
                <w:sz w:val="20"/>
              </w:rPr>
            </w:pPr>
            <w:r w:rsidRPr="00F77596">
              <w:rPr>
                <w:sz w:val="20"/>
              </w:rPr>
              <w:t>Quebec Court of Appeal (Montréal)</w:t>
            </w:r>
          </w:p>
          <w:p w:rsidR="001B0B33" w:rsidRPr="00F77596" w:rsidRDefault="001B0B33" w:rsidP="001B0B33">
            <w:pPr>
              <w:jc w:val="both"/>
              <w:rPr>
                <w:sz w:val="20"/>
              </w:rPr>
            </w:pPr>
            <w:r w:rsidRPr="00F77596">
              <w:rPr>
                <w:sz w:val="20"/>
              </w:rPr>
              <w:t>(Doyon, Giroux and Vauclair JJ.A.)</w:t>
            </w:r>
          </w:p>
          <w:p w:rsidR="001B0B33" w:rsidRPr="00F77596" w:rsidRDefault="00EC4FDF" w:rsidP="001B0B33">
            <w:pPr>
              <w:jc w:val="both"/>
              <w:rPr>
                <w:sz w:val="20"/>
              </w:rPr>
            </w:pPr>
            <w:hyperlink r:id="rId105" w:history="1">
              <w:r w:rsidR="001B0B33" w:rsidRPr="00F77596">
                <w:rPr>
                  <w:rStyle w:val="Hyperlink"/>
                  <w:sz w:val="20"/>
                </w:rPr>
                <w:t>2015 QCCA 626</w:t>
              </w:r>
            </w:hyperlink>
          </w:p>
          <w:p w:rsidR="00FD4098" w:rsidRDefault="00FD4098" w:rsidP="00B77038">
            <w:pPr>
              <w:jc w:val="both"/>
              <w:rPr>
                <w:rFonts w:eastAsia="Calibri"/>
                <w:sz w:val="20"/>
              </w:rPr>
            </w:pPr>
          </w:p>
        </w:tc>
        <w:tc>
          <w:tcPr>
            <w:tcW w:w="243" w:type="pct"/>
          </w:tcPr>
          <w:p w:rsidR="00FD4098" w:rsidRPr="00E007CB" w:rsidRDefault="00FD4098" w:rsidP="00B77038">
            <w:pPr>
              <w:jc w:val="both"/>
              <w:rPr>
                <w:rFonts w:eastAsia="Calibri"/>
                <w:sz w:val="20"/>
              </w:rPr>
            </w:pPr>
          </w:p>
        </w:tc>
        <w:tc>
          <w:tcPr>
            <w:tcW w:w="2330" w:type="pct"/>
          </w:tcPr>
          <w:p w:rsidR="001B0B33" w:rsidRPr="00F77596" w:rsidRDefault="001B0B33" w:rsidP="001B0B33">
            <w:pPr>
              <w:jc w:val="both"/>
              <w:rPr>
                <w:sz w:val="20"/>
              </w:rPr>
            </w:pPr>
            <w:r w:rsidRPr="00F77596">
              <w:rPr>
                <w:sz w:val="20"/>
              </w:rPr>
              <w:t>Leave to appeal refused</w:t>
            </w:r>
          </w:p>
          <w:p w:rsidR="00FD4098" w:rsidRPr="00F77596" w:rsidRDefault="00FD4098" w:rsidP="00B77038">
            <w:pPr>
              <w:jc w:val="both"/>
              <w:rPr>
                <w:sz w:val="20"/>
              </w:rPr>
            </w:pPr>
          </w:p>
        </w:tc>
      </w:tr>
      <w:tr w:rsidR="001B0B33" w:rsidRPr="00E007CB" w:rsidTr="00B77038">
        <w:trPr>
          <w:cantSplit/>
        </w:trPr>
        <w:tc>
          <w:tcPr>
            <w:tcW w:w="2427" w:type="pct"/>
          </w:tcPr>
          <w:p w:rsidR="001B0B33" w:rsidRPr="00F77596" w:rsidRDefault="001B0B33" w:rsidP="001B0B33">
            <w:pPr>
              <w:jc w:val="both"/>
              <w:rPr>
                <w:sz w:val="20"/>
              </w:rPr>
            </w:pPr>
            <w:r w:rsidRPr="00F77596">
              <w:rPr>
                <w:sz w:val="20"/>
              </w:rPr>
              <w:t>June 16, 2015</w:t>
            </w:r>
          </w:p>
          <w:p w:rsidR="001B0B33" w:rsidRPr="00F77596" w:rsidRDefault="001B0B33" w:rsidP="001B0B33">
            <w:pPr>
              <w:jc w:val="both"/>
              <w:rPr>
                <w:sz w:val="20"/>
              </w:rPr>
            </w:pPr>
            <w:r w:rsidRPr="00F77596">
              <w:rPr>
                <w:sz w:val="20"/>
              </w:rPr>
              <w:t>Supreme Court of Canada</w:t>
            </w:r>
          </w:p>
          <w:p w:rsidR="001B0B33" w:rsidRPr="00F77596" w:rsidRDefault="001B0B33" w:rsidP="00B77038">
            <w:pPr>
              <w:jc w:val="both"/>
              <w:rPr>
                <w:sz w:val="20"/>
              </w:rPr>
            </w:pPr>
          </w:p>
        </w:tc>
        <w:tc>
          <w:tcPr>
            <w:tcW w:w="243" w:type="pct"/>
          </w:tcPr>
          <w:p w:rsidR="001B0B33" w:rsidRPr="00E007CB" w:rsidRDefault="001B0B33" w:rsidP="00B77038">
            <w:pPr>
              <w:jc w:val="both"/>
              <w:rPr>
                <w:rFonts w:eastAsia="Calibri"/>
                <w:sz w:val="20"/>
              </w:rPr>
            </w:pPr>
          </w:p>
        </w:tc>
        <w:tc>
          <w:tcPr>
            <w:tcW w:w="2330" w:type="pct"/>
          </w:tcPr>
          <w:p w:rsidR="001B0B33" w:rsidRPr="00F77596" w:rsidRDefault="001B0B33" w:rsidP="001B0B33">
            <w:pPr>
              <w:jc w:val="both"/>
              <w:rPr>
                <w:sz w:val="20"/>
              </w:rPr>
            </w:pPr>
            <w:r w:rsidRPr="00F77596">
              <w:rPr>
                <w:sz w:val="20"/>
              </w:rPr>
              <w:t>Application for leave to appeal filed</w:t>
            </w:r>
          </w:p>
          <w:p w:rsidR="001B0B33" w:rsidRPr="00F77596" w:rsidRDefault="001B0B33" w:rsidP="00B77038">
            <w:pPr>
              <w:jc w:val="both"/>
              <w:rPr>
                <w:sz w:val="20"/>
              </w:rPr>
            </w:pPr>
          </w:p>
        </w:tc>
      </w:tr>
      <w:tr w:rsidR="001B0B33" w:rsidRPr="00E007CB" w:rsidTr="00B77038">
        <w:trPr>
          <w:cantSplit/>
        </w:trPr>
        <w:tc>
          <w:tcPr>
            <w:tcW w:w="2427" w:type="pct"/>
          </w:tcPr>
          <w:p w:rsidR="001B0B33" w:rsidRPr="00F77596" w:rsidRDefault="001B0B33" w:rsidP="001B0B33">
            <w:pPr>
              <w:jc w:val="both"/>
              <w:rPr>
                <w:sz w:val="20"/>
              </w:rPr>
            </w:pPr>
            <w:r w:rsidRPr="00F77596">
              <w:rPr>
                <w:sz w:val="20"/>
              </w:rPr>
              <w:t xml:space="preserve">June </w:t>
            </w:r>
            <w:r>
              <w:rPr>
                <w:sz w:val="20"/>
              </w:rPr>
              <w:t>22</w:t>
            </w:r>
            <w:r w:rsidRPr="00F77596">
              <w:rPr>
                <w:sz w:val="20"/>
              </w:rPr>
              <w:t>, 2015</w:t>
            </w:r>
          </w:p>
          <w:p w:rsidR="001B0B33" w:rsidRDefault="001B0B33" w:rsidP="001B0B33">
            <w:pPr>
              <w:jc w:val="both"/>
              <w:rPr>
                <w:rFonts w:eastAsia="Calibri"/>
                <w:sz w:val="20"/>
              </w:rPr>
            </w:pPr>
            <w:r w:rsidRPr="00F77596">
              <w:rPr>
                <w:sz w:val="20"/>
              </w:rPr>
              <w:t>Supreme Court of Canada</w:t>
            </w:r>
          </w:p>
          <w:p w:rsidR="001B0B33" w:rsidRDefault="001B0B33" w:rsidP="001B0B33">
            <w:pPr>
              <w:jc w:val="both"/>
              <w:rPr>
                <w:rFonts w:eastAsia="Calibri"/>
                <w:sz w:val="20"/>
              </w:rPr>
            </w:pPr>
          </w:p>
        </w:tc>
        <w:tc>
          <w:tcPr>
            <w:tcW w:w="243" w:type="pct"/>
          </w:tcPr>
          <w:p w:rsidR="001B0B33" w:rsidRPr="00E007CB" w:rsidRDefault="001B0B33" w:rsidP="001B0B33">
            <w:pPr>
              <w:jc w:val="both"/>
              <w:rPr>
                <w:rFonts w:eastAsia="Calibri"/>
                <w:sz w:val="20"/>
              </w:rPr>
            </w:pPr>
          </w:p>
        </w:tc>
        <w:tc>
          <w:tcPr>
            <w:tcW w:w="2330" w:type="pct"/>
          </w:tcPr>
          <w:p w:rsidR="001B0B33" w:rsidRPr="00F77596" w:rsidRDefault="001B0B33" w:rsidP="001B0B33">
            <w:pPr>
              <w:jc w:val="both"/>
              <w:rPr>
                <w:sz w:val="20"/>
              </w:rPr>
            </w:pPr>
            <w:r w:rsidRPr="00F77596">
              <w:rPr>
                <w:sz w:val="20"/>
              </w:rPr>
              <w:t>Motion to extend time to serve and file application for leave to appeal filed</w:t>
            </w:r>
          </w:p>
        </w:tc>
      </w:tr>
    </w:tbl>
    <w:p w:rsidR="00FD4098" w:rsidRDefault="00FD4098" w:rsidP="00FD4098">
      <w:pPr>
        <w:rPr>
          <w:sz w:val="20"/>
          <w:szCs w:val="20"/>
        </w:rPr>
      </w:pPr>
    </w:p>
    <w:p w:rsidR="00FD4098" w:rsidRPr="00C50A5C" w:rsidRDefault="00EC4FDF" w:rsidP="00FD4098">
      <w:pPr>
        <w:rPr>
          <w:sz w:val="20"/>
          <w:szCs w:val="20"/>
        </w:rPr>
      </w:pPr>
      <w:r>
        <w:rPr>
          <w:sz w:val="20"/>
          <w:szCs w:val="20"/>
          <w:lang w:val="fr-CA"/>
        </w:rPr>
        <w:pict>
          <v:rect id="_x0000_i1083" style="width:2in;height:1pt" o:hrpct="0" o:hralign="center" o:hrstd="t" o:hrnoshade="t" o:hr="t" fillcolor="black [3213]" stroked="f"/>
        </w:pict>
      </w:r>
    </w:p>
    <w:p w:rsidR="00FD4098" w:rsidRDefault="00FD4098" w:rsidP="00FD4098">
      <w:pPr>
        <w:rPr>
          <w:sz w:val="20"/>
          <w:szCs w:val="20"/>
        </w:rPr>
      </w:pPr>
    </w:p>
    <w:p w:rsidR="00FD4098" w:rsidRPr="001B157C" w:rsidRDefault="00FD4098" w:rsidP="00FD4098">
      <w:pPr>
        <w:rPr>
          <w:sz w:val="20"/>
          <w:szCs w:val="20"/>
          <w:u w:val="single"/>
          <w:lang w:val="fr-CA"/>
        </w:rPr>
      </w:pPr>
      <w:r w:rsidRPr="001B157C">
        <w:rPr>
          <w:sz w:val="20"/>
          <w:szCs w:val="20"/>
          <w:u w:val="single"/>
          <w:lang w:val="fr-CA"/>
        </w:rPr>
        <w:t>RÉSUMÉ DE L’AFFAIRE</w:t>
      </w:r>
    </w:p>
    <w:p w:rsidR="00FD4098" w:rsidRDefault="00FD4098" w:rsidP="00FD409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D4098" w:rsidRPr="00002704" w:rsidTr="00B77038">
        <w:tc>
          <w:tcPr>
            <w:tcW w:w="5000" w:type="pct"/>
            <w:gridSpan w:val="3"/>
          </w:tcPr>
          <w:p w:rsidR="00FD4098" w:rsidRDefault="00A47097" w:rsidP="00B77038">
            <w:pPr>
              <w:jc w:val="both"/>
              <w:rPr>
                <w:sz w:val="20"/>
                <w:lang w:val="fr-CA"/>
              </w:rPr>
            </w:pPr>
            <w:r w:rsidRPr="00F77596">
              <w:rPr>
                <w:sz w:val="20"/>
                <w:lang w:val="fr-CA"/>
              </w:rPr>
              <w:t>Droit administratif – Comité de déontologie policière – Immunité du décideur administratif –  Prescription du recours – Requête pour permission d’appeler rejetée – La décision de la Cour d’appel viole-t-elle les droits de la demanderesse d’être entendue et de faire valoir une défense pleine et entière?</w:t>
            </w:r>
          </w:p>
          <w:p w:rsidR="00A47097" w:rsidRPr="00E007CB" w:rsidRDefault="00A47097" w:rsidP="00B77038">
            <w:pPr>
              <w:jc w:val="both"/>
              <w:rPr>
                <w:rFonts w:eastAsia="Calibri"/>
                <w:sz w:val="20"/>
                <w:lang w:val="fr-CA"/>
              </w:rPr>
            </w:pPr>
          </w:p>
        </w:tc>
      </w:tr>
      <w:tr w:rsidR="00FD4098" w:rsidRPr="00002704" w:rsidTr="00B77038">
        <w:tc>
          <w:tcPr>
            <w:tcW w:w="5000" w:type="pct"/>
            <w:gridSpan w:val="3"/>
          </w:tcPr>
          <w:p w:rsidR="00A47097" w:rsidRPr="00F77596" w:rsidRDefault="00A47097" w:rsidP="00A47097">
            <w:pPr>
              <w:jc w:val="both"/>
              <w:rPr>
                <w:sz w:val="20"/>
                <w:lang w:val="fr-CA"/>
              </w:rPr>
            </w:pPr>
            <w:r w:rsidRPr="00F77596">
              <w:rPr>
                <w:sz w:val="20"/>
                <w:lang w:val="fr-CA"/>
              </w:rPr>
              <w:t>La demanderesse conteste en Cour supérieure la décision du comité de déontologie policière dans laquelle se trouveraient des propos portant atteinte à sa réputation. La Cour supérieure a conclu qu’il y avait immunité du décideur administratif et que le recours était prescrit. La Cour d’appel a refusé d’entendre l’appel, décision que la demanderesse conteste dans la présente demande d’autorisation d’appel, invoquant son droit d’être entendu devant les tribunaux.</w:t>
            </w:r>
          </w:p>
          <w:p w:rsidR="00FD4098" w:rsidRPr="00F77596" w:rsidRDefault="00FD4098" w:rsidP="00B77038">
            <w:pPr>
              <w:jc w:val="both"/>
              <w:rPr>
                <w:sz w:val="20"/>
                <w:lang w:val="fr-CA"/>
              </w:rPr>
            </w:pPr>
          </w:p>
        </w:tc>
      </w:tr>
      <w:tr w:rsidR="00FD4098" w:rsidRPr="00002704" w:rsidTr="00B77038">
        <w:trPr>
          <w:cantSplit/>
        </w:trPr>
        <w:tc>
          <w:tcPr>
            <w:tcW w:w="2427" w:type="pct"/>
          </w:tcPr>
          <w:p w:rsidR="00744E97" w:rsidRPr="00F77596" w:rsidRDefault="00744E97" w:rsidP="00744E97">
            <w:pPr>
              <w:jc w:val="both"/>
              <w:rPr>
                <w:sz w:val="20"/>
                <w:lang w:val="fr-CA"/>
              </w:rPr>
            </w:pPr>
            <w:r w:rsidRPr="00F77596">
              <w:rPr>
                <w:sz w:val="20"/>
                <w:lang w:val="fr-CA"/>
              </w:rPr>
              <w:t>Le 5 décembre 2014</w:t>
            </w:r>
          </w:p>
          <w:p w:rsidR="00744E97" w:rsidRPr="00F77596" w:rsidRDefault="00744E97" w:rsidP="00744E97">
            <w:pPr>
              <w:jc w:val="both"/>
              <w:rPr>
                <w:sz w:val="20"/>
                <w:lang w:val="fr-CA"/>
              </w:rPr>
            </w:pPr>
            <w:r w:rsidRPr="00F77596">
              <w:rPr>
                <w:sz w:val="20"/>
                <w:lang w:val="fr-CA"/>
              </w:rPr>
              <w:t>Cour supérieure du Québec</w:t>
            </w:r>
          </w:p>
          <w:p w:rsidR="00744E97" w:rsidRPr="00F77596" w:rsidRDefault="00744E97" w:rsidP="00744E97">
            <w:pPr>
              <w:jc w:val="both"/>
              <w:rPr>
                <w:sz w:val="20"/>
              </w:rPr>
            </w:pPr>
            <w:r w:rsidRPr="00F77596">
              <w:rPr>
                <w:sz w:val="20"/>
              </w:rPr>
              <w:t>(Le juge Mayer)</w:t>
            </w:r>
          </w:p>
          <w:p w:rsidR="00744E97" w:rsidRPr="00F77596" w:rsidRDefault="00EC4FDF" w:rsidP="00744E97">
            <w:pPr>
              <w:jc w:val="both"/>
              <w:rPr>
                <w:sz w:val="20"/>
              </w:rPr>
            </w:pPr>
            <w:hyperlink r:id="rId106" w:history="1">
              <w:r w:rsidR="00744E97" w:rsidRPr="00F77596">
                <w:rPr>
                  <w:rStyle w:val="Hyperlink"/>
                  <w:sz w:val="20"/>
                </w:rPr>
                <w:t>2014 QCCS 5934</w:t>
              </w:r>
            </w:hyperlink>
          </w:p>
          <w:p w:rsidR="00FD4098" w:rsidRPr="00E007CB" w:rsidRDefault="00FD4098" w:rsidP="00B77038">
            <w:pPr>
              <w:jc w:val="both"/>
              <w:rPr>
                <w:rFonts w:eastAsia="Calibri"/>
                <w:sz w:val="20"/>
                <w:lang w:val="fr-CA"/>
              </w:rPr>
            </w:pPr>
          </w:p>
        </w:tc>
        <w:tc>
          <w:tcPr>
            <w:tcW w:w="243" w:type="pct"/>
          </w:tcPr>
          <w:p w:rsidR="00FD4098" w:rsidRPr="00E007CB" w:rsidRDefault="00FD4098" w:rsidP="00B77038">
            <w:pPr>
              <w:jc w:val="both"/>
              <w:rPr>
                <w:rFonts w:eastAsia="Calibri"/>
                <w:sz w:val="20"/>
                <w:lang w:val="fr-CA"/>
              </w:rPr>
            </w:pPr>
          </w:p>
        </w:tc>
        <w:tc>
          <w:tcPr>
            <w:tcW w:w="2330" w:type="pct"/>
          </w:tcPr>
          <w:p w:rsidR="00744E97" w:rsidRPr="00F77596" w:rsidRDefault="00744E97" w:rsidP="00744E97">
            <w:pPr>
              <w:jc w:val="both"/>
              <w:rPr>
                <w:sz w:val="20"/>
                <w:lang w:val="fr-CA"/>
              </w:rPr>
            </w:pPr>
            <w:r w:rsidRPr="00F77596">
              <w:rPr>
                <w:sz w:val="20"/>
                <w:lang w:val="fr-CA"/>
              </w:rPr>
              <w:t>Accueille la requête en irrecevabilité : rejet de l’action pour immunité du décideur et prescription du recours</w:t>
            </w:r>
          </w:p>
          <w:p w:rsidR="00FD4098" w:rsidRPr="00F77596" w:rsidRDefault="00FD4098" w:rsidP="00B77038">
            <w:pPr>
              <w:jc w:val="both"/>
              <w:rPr>
                <w:sz w:val="20"/>
                <w:lang w:val="fr-CA"/>
              </w:rPr>
            </w:pPr>
          </w:p>
        </w:tc>
      </w:tr>
      <w:tr w:rsidR="00FD4098" w:rsidRPr="00E007CB" w:rsidTr="00B77038">
        <w:trPr>
          <w:cantSplit/>
        </w:trPr>
        <w:tc>
          <w:tcPr>
            <w:tcW w:w="2427" w:type="pct"/>
          </w:tcPr>
          <w:p w:rsidR="00744E97" w:rsidRPr="00F77596" w:rsidRDefault="00744E97" w:rsidP="00744E97">
            <w:pPr>
              <w:jc w:val="both"/>
              <w:rPr>
                <w:sz w:val="20"/>
                <w:lang w:val="fr-CA"/>
              </w:rPr>
            </w:pPr>
            <w:r w:rsidRPr="00F77596">
              <w:rPr>
                <w:sz w:val="20"/>
                <w:lang w:val="fr-CA"/>
              </w:rPr>
              <w:t>Le 15 avril 2015</w:t>
            </w:r>
          </w:p>
          <w:p w:rsidR="00744E97" w:rsidRPr="00F77596" w:rsidRDefault="00744E97" w:rsidP="00744E97">
            <w:pPr>
              <w:jc w:val="both"/>
              <w:rPr>
                <w:sz w:val="20"/>
                <w:lang w:val="fr-CA"/>
              </w:rPr>
            </w:pPr>
            <w:r w:rsidRPr="00F77596">
              <w:rPr>
                <w:sz w:val="20"/>
                <w:lang w:val="fr-CA"/>
              </w:rPr>
              <w:t>Cour d’appel du Québec (Montréal)</w:t>
            </w:r>
          </w:p>
          <w:p w:rsidR="00744E97" w:rsidRPr="00F77596" w:rsidRDefault="00744E97" w:rsidP="00744E97">
            <w:pPr>
              <w:jc w:val="both"/>
              <w:rPr>
                <w:sz w:val="20"/>
                <w:lang w:val="fr-CA"/>
              </w:rPr>
            </w:pPr>
            <w:r w:rsidRPr="00F77596">
              <w:rPr>
                <w:sz w:val="20"/>
                <w:lang w:val="fr-CA"/>
              </w:rPr>
              <w:t>(Les juges Doyon, Giroux et Vauclair)</w:t>
            </w:r>
          </w:p>
          <w:p w:rsidR="00744E97" w:rsidRPr="00F77596" w:rsidRDefault="00EC4FDF" w:rsidP="00744E97">
            <w:pPr>
              <w:jc w:val="both"/>
              <w:rPr>
                <w:sz w:val="20"/>
              </w:rPr>
            </w:pPr>
            <w:hyperlink r:id="rId107" w:history="1">
              <w:r w:rsidR="00744E97" w:rsidRPr="00F77596">
                <w:rPr>
                  <w:rStyle w:val="Hyperlink"/>
                  <w:sz w:val="20"/>
                </w:rPr>
                <w:t>2015 QCCA 626</w:t>
              </w:r>
            </w:hyperlink>
          </w:p>
          <w:p w:rsidR="00FD4098" w:rsidRDefault="00FD4098" w:rsidP="00B77038">
            <w:pPr>
              <w:jc w:val="both"/>
              <w:rPr>
                <w:rFonts w:eastAsia="Calibri"/>
                <w:sz w:val="20"/>
                <w:lang w:val="fr-CA"/>
              </w:rPr>
            </w:pPr>
          </w:p>
        </w:tc>
        <w:tc>
          <w:tcPr>
            <w:tcW w:w="243" w:type="pct"/>
          </w:tcPr>
          <w:p w:rsidR="00FD4098" w:rsidRPr="00E007CB" w:rsidRDefault="00FD4098" w:rsidP="00B77038">
            <w:pPr>
              <w:jc w:val="both"/>
              <w:rPr>
                <w:rFonts w:eastAsia="Calibri"/>
                <w:sz w:val="20"/>
                <w:lang w:val="fr-CA"/>
              </w:rPr>
            </w:pPr>
          </w:p>
        </w:tc>
        <w:tc>
          <w:tcPr>
            <w:tcW w:w="2330" w:type="pct"/>
          </w:tcPr>
          <w:p w:rsidR="00744E97" w:rsidRPr="00F77596" w:rsidRDefault="00744E97" w:rsidP="00744E97">
            <w:pPr>
              <w:jc w:val="both"/>
              <w:rPr>
                <w:sz w:val="20"/>
              </w:rPr>
            </w:pPr>
            <w:r w:rsidRPr="00F77596">
              <w:rPr>
                <w:sz w:val="20"/>
              </w:rPr>
              <w:t>Permission d’appeler refusée</w:t>
            </w:r>
          </w:p>
          <w:p w:rsidR="00FD4098" w:rsidRPr="00F77596" w:rsidRDefault="00FD4098" w:rsidP="00B77038">
            <w:pPr>
              <w:jc w:val="both"/>
              <w:rPr>
                <w:sz w:val="20"/>
                <w:lang w:val="fr-CA"/>
              </w:rPr>
            </w:pPr>
          </w:p>
        </w:tc>
      </w:tr>
      <w:tr w:rsidR="00744E97" w:rsidRPr="00E007CB" w:rsidTr="00B77038">
        <w:trPr>
          <w:cantSplit/>
        </w:trPr>
        <w:tc>
          <w:tcPr>
            <w:tcW w:w="2427" w:type="pct"/>
          </w:tcPr>
          <w:p w:rsidR="00744E97" w:rsidRPr="00F77596" w:rsidRDefault="00744E97" w:rsidP="00744E97">
            <w:pPr>
              <w:jc w:val="both"/>
              <w:rPr>
                <w:sz w:val="20"/>
                <w:lang w:val="fr-CA"/>
              </w:rPr>
            </w:pPr>
            <w:r w:rsidRPr="00F77596">
              <w:rPr>
                <w:sz w:val="20"/>
                <w:lang w:val="fr-CA"/>
              </w:rPr>
              <w:t>Le 16 juin 2015</w:t>
            </w:r>
          </w:p>
          <w:p w:rsidR="00744E97" w:rsidRPr="00F77596" w:rsidRDefault="00744E97" w:rsidP="00744E97">
            <w:pPr>
              <w:jc w:val="both"/>
              <w:rPr>
                <w:sz w:val="20"/>
                <w:lang w:val="fr-CA"/>
              </w:rPr>
            </w:pPr>
            <w:r w:rsidRPr="00F77596">
              <w:rPr>
                <w:sz w:val="20"/>
                <w:lang w:val="fr-CA"/>
              </w:rPr>
              <w:t>Cour suprême du Canada</w:t>
            </w:r>
          </w:p>
          <w:p w:rsidR="00744E97" w:rsidRDefault="00744E97" w:rsidP="00B77038">
            <w:pPr>
              <w:jc w:val="both"/>
              <w:rPr>
                <w:sz w:val="20"/>
              </w:rPr>
            </w:pPr>
          </w:p>
        </w:tc>
        <w:tc>
          <w:tcPr>
            <w:tcW w:w="243" w:type="pct"/>
          </w:tcPr>
          <w:p w:rsidR="00744E97" w:rsidRPr="00E007CB" w:rsidRDefault="00744E97" w:rsidP="00B77038">
            <w:pPr>
              <w:jc w:val="both"/>
              <w:rPr>
                <w:rFonts w:eastAsia="Calibri"/>
                <w:sz w:val="20"/>
                <w:lang w:val="fr-CA"/>
              </w:rPr>
            </w:pPr>
          </w:p>
        </w:tc>
        <w:tc>
          <w:tcPr>
            <w:tcW w:w="2330" w:type="pct"/>
          </w:tcPr>
          <w:p w:rsidR="00744E97" w:rsidRPr="00F77596" w:rsidRDefault="00744E97" w:rsidP="00744E97">
            <w:pPr>
              <w:jc w:val="both"/>
              <w:rPr>
                <w:sz w:val="20"/>
              </w:rPr>
            </w:pPr>
            <w:r w:rsidRPr="00F77596">
              <w:rPr>
                <w:sz w:val="20"/>
              </w:rPr>
              <w:t>Demande d’autorisation d’appel déposée</w:t>
            </w:r>
          </w:p>
          <w:p w:rsidR="00744E97" w:rsidRPr="00F77596" w:rsidRDefault="00744E97" w:rsidP="00B77038">
            <w:pPr>
              <w:jc w:val="both"/>
              <w:rPr>
                <w:sz w:val="20"/>
                <w:lang w:val="fr-CA"/>
              </w:rPr>
            </w:pPr>
          </w:p>
        </w:tc>
      </w:tr>
      <w:tr w:rsidR="00744E97" w:rsidRPr="00E007CB" w:rsidTr="00B77038">
        <w:trPr>
          <w:cantSplit/>
        </w:trPr>
        <w:tc>
          <w:tcPr>
            <w:tcW w:w="2427" w:type="pct"/>
          </w:tcPr>
          <w:p w:rsidR="00744E97" w:rsidRPr="00F77596" w:rsidRDefault="00744E97" w:rsidP="00744E97">
            <w:pPr>
              <w:jc w:val="both"/>
              <w:rPr>
                <w:sz w:val="20"/>
              </w:rPr>
            </w:pPr>
            <w:r>
              <w:rPr>
                <w:sz w:val="20"/>
              </w:rPr>
              <w:t>Le 22</w:t>
            </w:r>
            <w:r w:rsidRPr="00F77596">
              <w:rPr>
                <w:sz w:val="20"/>
              </w:rPr>
              <w:t xml:space="preserve"> juin 2015</w:t>
            </w:r>
          </w:p>
          <w:p w:rsidR="00744E97" w:rsidRPr="00F77596" w:rsidRDefault="00744E97" w:rsidP="00744E97">
            <w:pPr>
              <w:jc w:val="both"/>
              <w:rPr>
                <w:sz w:val="20"/>
              </w:rPr>
            </w:pPr>
            <w:r w:rsidRPr="00F77596">
              <w:rPr>
                <w:sz w:val="20"/>
              </w:rPr>
              <w:t>Cour suprême du Canada</w:t>
            </w:r>
          </w:p>
          <w:p w:rsidR="00744E97" w:rsidRDefault="00744E97" w:rsidP="00744E97">
            <w:pPr>
              <w:jc w:val="both"/>
              <w:rPr>
                <w:rFonts w:eastAsia="Calibri"/>
                <w:sz w:val="20"/>
                <w:lang w:val="fr-CA"/>
              </w:rPr>
            </w:pPr>
          </w:p>
        </w:tc>
        <w:tc>
          <w:tcPr>
            <w:tcW w:w="243" w:type="pct"/>
          </w:tcPr>
          <w:p w:rsidR="00744E97" w:rsidRPr="00E007CB" w:rsidRDefault="00744E97" w:rsidP="00744E97">
            <w:pPr>
              <w:jc w:val="both"/>
              <w:rPr>
                <w:rFonts w:eastAsia="Calibri"/>
                <w:sz w:val="20"/>
                <w:lang w:val="fr-CA"/>
              </w:rPr>
            </w:pPr>
          </w:p>
        </w:tc>
        <w:tc>
          <w:tcPr>
            <w:tcW w:w="2330" w:type="pct"/>
          </w:tcPr>
          <w:p w:rsidR="00744E97" w:rsidRPr="00F77596" w:rsidRDefault="00744E97" w:rsidP="00744E97">
            <w:pPr>
              <w:jc w:val="both"/>
              <w:rPr>
                <w:sz w:val="20"/>
                <w:lang w:val="fr-CA"/>
              </w:rPr>
            </w:pPr>
            <w:r w:rsidRPr="00F77596">
              <w:rPr>
                <w:sz w:val="20"/>
                <w:lang w:val="fr-CA"/>
              </w:rPr>
              <w:t>Requête en prorogation de délai pour signifier et déposer la demande d’autorisation d’appel</w:t>
            </w:r>
          </w:p>
        </w:tc>
      </w:tr>
    </w:tbl>
    <w:p w:rsidR="00FD4098" w:rsidRDefault="00FD4098" w:rsidP="00FD4098">
      <w:pPr>
        <w:rPr>
          <w:sz w:val="20"/>
          <w:szCs w:val="20"/>
        </w:rPr>
      </w:pPr>
    </w:p>
    <w:p w:rsidR="00FD4098" w:rsidRDefault="00EC4FDF" w:rsidP="00FD4098">
      <w:pPr>
        <w:rPr>
          <w:sz w:val="20"/>
          <w:szCs w:val="20"/>
        </w:rPr>
      </w:pPr>
      <w:r>
        <w:rPr>
          <w:sz w:val="20"/>
          <w:szCs w:val="20"/>
          <w:lang w:val="fr-CA"/>
        </w:rPr>
        <w:pict>
          <v:rect id="_x0000_i1084" style="width:2in;height:1pt" o:hrpct="0" o:hralign="center" o:hrstd="t" o:hrnoshade="t" o:hr="t" fillcolor="black [3213]" stroked="f"/>
        </w:pict>
      </w:r>
    </w:p>
    <w:p w:rsidR="00FD4098" w:rsidRDefault="00FD4098" w:rsidP="00FD409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60315" w:rsidRPr="00A73D2C" w:rsidTr="00B77038">
        <w:trPr>
          <w:cantSplit/>
        </w:trPr>
        <w:tc>
          <w:tcPr>
            <w:tcW w:w="1458" w:type="dxa"/>
          </w:tcPr>
          <w:p w:rsidR="00060315" w:rsidRPr="00A73D2C" w:rsidRDefault="00060315" w:rsidP="00B77038">
            <w:pPr>
              <w:rPr>
                <w:sz w:val="20"/>
                <w:szCs w:val="20"/>
              </w:rPr>
            </w:pPr>
            <w:r w:rsidRPr="00A73D2C">
              <w:rPr>
                <w:rStyle w:val="SCCFileNumberChar"/>
                <w:sz w:val="20"/>
                <w:szCs w:val="20"/>
              </w:rPr>
              <w:t>36</w:t>
            </w:r>
            <w:r>
              <w:rPr>
                <w:rStyle w:val="SCCFileNumberChar"/>
                <w:sz w:val="20"/>
                <w:szCs w:val="20"/>
              </w:rPr>
              <w:t>490</w:t>
            </w:r>
          </w:p>
          <w:p w:rsidR="00060315" w:rsidRPr="00A73D2C" w:rsidRDefault="00060315" w:rsidP="00B77038">
            <w:pPr>
              <w:rPr>
                <w:b/>
                <w:sz w:val="20"/>
                <w:szCs w:val="20"/>
                <w:lang w:val="fr-CA"/>
              </w:rPr>
            </w:pPr>
          </w:p>
        </w:tc>
        <w:tc>
          <w:tcPr>
            <w:tcW w:w="8118" w:type="dxa"/>
          </w:tcPr>
          <w:p w:rsidR="00060315" w:rsidRPr="00A73D2C" w:rsidRDefault="00060315" w:rsidP="00B77038">
            <w:pPr>
              <w:rPr>
                <w:sz w:val="20"/>
                <w:szCs w:val="20"/>
              </w:rPr>
            </w:pPr>
            <w:r w:rsidRPr="00060315">
              <w:rPr>
                <w:rStyle w:val="SCCLsocChar"/>
                <w:sz w:val="20"/>
                <w:szCs w:val="20"/>
                <w:lang w:val="en-CA"/>
              </w:rPr>
              <w:t>Community Association of New Yaletown v. City of Vancouver</w:t>
            </w:r>
            <w:r w:rsidR="00E6333F">
              <w:rPr>
                <w:rStyle w:val="SCCLsocChar"/>
                <w:sz w:val="20"/>
                <w:szCs w:val="20"/>
                <w:lang w:val="en-CA"/>
              </w:rPr>
              <w:t>, Development Permit Board and Brenhill Developments Limited</w:t>
            </w:r>
            <w:r w:rsidRPr="00FE3038">
              <w:rPr>
                <w:rStyle w:val="SCCLsocChar"/>
                <w:sz w:val="20"/>
                <w:szCs w:val="20"/>
                <w:u w:val="none"/>
                <w:lang w:val="en-CA"/>
              </w:rPr>
              <w:t xml:space="preserve"> </w:t>
            </w:r>
            <w:r w:rsidRPr="00A73D2C">
              <w:rPr>
                <w:sz w:val="20"/>
                <w:szCs w:val="20"/>
              </w:rPr>
              <w:t>(</w:t>
            </w:r>
            <w:r>
              <w:rPr>
                <w:sz w:val="20"/>
                <w:szCs w:val="20"/>
              </w:rPr>
              <w:t>B.C.</w:t>
            </w:r>
            <w:r w:rsidRPr="00A73D2C">
              <w:rPr>
                <w:sz w:val="20"/>
                <w:szCs w:val="20"/>
              </w:rPr>
              <w:t>) (C</w:t>
            </w:r>
            <w:r>
              <w:rPr>
                <w:sz w:val="20"/>
                <w:szCs w:val="20"/>
              </w:rPr>
              <w:t>ivil</w:t>
            </w:r>
            <w:r w:rsidRPr="00A73D2C">
              <w:rPr>
                <w:sz w:val="20"/>
                <w:szCs w:val="20"/>
              </w:rPr>
              <w:t>) (By Leave)</w:t>
            </w:r>
          </w:p>
          <w:p w:rsidR="00060315" w:rsidRPr="00A73D2C" w:rsidRDefault="00060315" w:rsidP="00B77038">
            <w:pPr>
              <w:rPr>
                <w:sz w:val="20"/>
                <w:szCs w:val="20"/>
              </w:rPr>
            </w:pPr>
          </w:p>
        </w:tc>
      </w:tr>
      <w:tr w:rsidR="00060315" w:rsidRPr="00A73D2C" w:rsidTr="00B77038">
        <w:trPr>
          <w:cantSplit/>
        </w:trPr>
        <w:tc>
          <w:tcPr>
            <w:tcW w:w="1458" w:type="dxa"/>
          </w:tcPr>
          <w:p w:rsidR="00060315" w:rsidRPr="00A73D2C" w:rsidRDefault="00060315" w:rsidP="00B77038">
            <w:pPr>
              <w:rPr>
                <w:sz w:val="20"/>
                <w:szCs w:val="20"/>
              </w:rPr>
            </w:pPr>
            <w:r w:rsidRPr="00A73D2C">
              <w:rPr>
                <w:sz w:val="20"/>
                <w:szCs w:val="20"/>
              </w:rPr>
              <w:t>Coram :</w:t>
            </w:r>
          </w:p>
        </w:tc>
        <w:tc>
          <w:tcPr>
            <w:tcW w:w="8118" w:type="dxa"/>
          </w:tcPr>
          <w:p w:rsidR="00060315" w:rsidRDefault="00FE2C75" w:rsidP="00B77038">
            <w:pPr>
              <w:rPr>
                <w:rStyle w:val="SCCCoramChar"/>
                <w:sz w:val="20"/>
                <w:szCs w:val="20"/>
                <w:lang w:val="en-CA"/>
              </w:rPr>
            </w:pPr>
            <w:r w:rsidRPr="00FE2C75">
              <w:rPr>
                <w:rStyle w:val="SCCCoramChar"/>
                <w:sz w:val="20"/>
                <w:szCs w:val="20"/>
                <w:lang w:val="en-CA"/>
              </w:rPr>
              <w:t>McLachlin C.J. and Moldaver and Gascon JJ.</w:t>
            </w:r>
          </w:p>
          <w:p w:rsidR="00FE2C75" w:rsidRPr="00A73D2C" w:rsidRDefault="00FE2C75" w:rsidP="00B77038">
            <w:pPr>
              <w:rPr>
                <w:sz w:val="20"/>
                <w:szCs w:val="20"/>
                <w:u w:val="single"/>
              </w:rPr>
            </w:pPr>
          </w:p>
        </w:tc>
      </w:tr>
      <w:tr w:rsidR="00060315" w:rsidRPr="00002704" w:rsidTr="00B77038">
        <w:trPr>
          <w:cantSplit/>
        </w:trPr>
        <w:tc>
          <w:tcPr>
            <w:tcW w:w="9576" w:type="dxa"/>
            <w:gridSpan w:val="2"/>
          </w:tcPr>
          <w:p w:rsidR="000F027A" w:rsidRPr="000F027A" w:rsidRDefault="000F027A" w:rsidP="000F027A">
            <w:pPr>
              <w:pStyle w:val="SCCShortJudgment"/>
              <w:rPr>
                <w:szCs w:val="20"/>
              </w:rPr>
            </w:pPr>
            <w:r w:rsidRPr="000F027A">
              <w:rPr>
                <w:szCs w:val="20"/>
              </w:rPr>
              <w:t>The motion to expedite the application for leave to appeal is dismissed.  The application for leave to appeal from the judgment of the Court of Appeal for British Columbia (Vancouver), Numbers CA42560 and CA42565, 2015 BCCA 227, dated April 23, 2015, is dismissed with costs.</w:t>
            </w:r>
          </w:p>
          <w:p w:rsidR="000F027A" w:rsidRPr="000F027A" w:rsidRDefault="000F027A" w:rsidP="000F027A">
            <w:pPr>
              <w:pStyle w:val="SCCShortJudgment"/>
              <w:rPr>
                <w:szCs w:val="20"/>
              </w:rPr>
            </w:pPr>
          </w:p>
          <w:p w:rsidR="00060315" w:rsidRPr="00A73D2C" w:rsidRDefault="000F027A" w:rsidP="000F027A">
            <w:pPr>
              <w:pStyle w:val="SCCShortJudgment"/>
              <w:rPr>
                <w:szCs w:val="20"/>
                <w:lang w:val="fr-CA"/>
              </w:rPr>
            </w:pPr>
            <w:r w:rsidRPr="000F027A">
              <w:rPr>
                <w:szCs w:val="20"/>
              </w:rPr>
              <w:t>La requête visant pour accélérer la demande d’autorisation d’appel est rejetée.  La demande d’autorisation d’appel de l’arrêt de la Cour d’appel de la Colombie-Britannique (Vancouver), numéros CA42560 et CA42565,  2015 BCCA 227, daté du 23 avril 2015, est rejetée avec dépens.</w:t>
            </w:r>
          </w:p>
        </w:tc>
      </w:tr>
    </w:tbl>
    <w:p w:rsidR="00060315" w:rsidRPr="0016547E" w:rsidRDefault="00060315" w:rsidP="00060315">
      <w:pPr>
        <w:rPr>
          <w:sz w:val="20"/>
          <w:szCs w:val="20"/>
          <w:lang w:val="fr-CA"/>
        </w:rPr>
      </w:pPr>
    </w:p>
    <w:p w:rsidR="00060315" w:rsidRPr="001B157C" w:rsidRDefault="00060315" w:rsidP="00060315">
      <w:pPr>
        <w:rPr>
          <w:sz w:val="20"/>
          <w:szCs w:val="20"/>
          <w:u w:val="single"/>
        </w:rPr>
      </w:pPr>
      <w:r w:rsidRPr="001B157C">
        <w:rPr>
          <w:sz w:val="20"/>
          <w:szCs w:val="20"/>
          <w:u w:val="single"/>
        </w:rPr>
        <w:t>CASE SUMMARY</w:t>
      </w:r>
    </w:p>
    <w:p w:rsidR="00060315" w:rsidRDefault="00060315" w:rsidP="0006031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0315" w:rsidRPr="00E007CB" w:rsidTr="00B77038">
        <w:tc>
          <w:tcPr>
            <w:tcW w:w="5000" w:type="pct"/>
            <w:gridSpan w:val="3"/>
          </w:tcPr>
          <w:p w:rsidR="00060315" w:rsidRDefault="00060315" w:rsidP="00B77038">
            <w:pPr>
              <w:jc w:val="both"/>
              <w:rPr>
                <w:sz w:val="20"/>
                <w:szCs w:val="20"/>
              </w:rPr>
            </w:pPr>
            <w:r w:rsidRPr="00F77596">
              <w:rPr>
                <w:sz w:val="20"/>
                <w:szCs w:val="20"/>
              </w:rPr>
              <w:t xml:space="preserve">Municipal law – By-laws – Validity – Does common law requirement to disclose to public, prior to a public hearing, “material” documents under </w:t>
            </w:r>
            <w:r w:rsidRPr="00F77596">
              <w:rPr>
                <w:i/>
                <w:iCs/>
                <w:sz w:val="20"/>
                <w:szCs w:val="20"/>
              </w:rPr>
              <w:t>Canadian Pacific Railway Co. v. Vancouver (City)</w:t>
            </w:r>
            <w:r w:rsidRPr="00F77596">
              <w:rPr>
                <w:iCs/>
                <w:sz w:val="20"/>
                <w:szCs w:val="20"/>
              </w:rPr>
              <w:t>,</w:t>
            </w:r>
            <w:r w:rsidRPr="00F77596">
              <w:rPr>
                <w:i/>
                <w:iCs/>
                <w:sz w:val="20"/>
                <w:szCs w:val="20"/>
              </w:rPr>
              <w:t xml:space="preserve"> </w:t>
            </w:r>
            <w:r w:rsidRPr="00F77596">
              <w:rPr>
                <w:sz w:val="20"/>
                <w:szCs w:val="20"/>
              </w:rPr>
              <w:t xml:space="preserve">[2006] 1 S.C.R. 227 extend to documents pertaining to “business decisions” made </w:t>
            </w:r>
            <w:r w:rsidRPr="00F77596">
              <w:rPr>
                <w:i/>
                <w:iCs/>
                <w:sz w:val="20"/>
                <w:szCs w:val="20"/>
              </w:rPr>
              <w:t xml:space="preserve">in camera </w:t>
            </w:r>
            <w:r w:rsidRPr="00F77596">
              <w:rPr>
                <w:sz w:val="20"/>
                <w:szCs w:val="20"/>
              </w:rPr>
              <w:t xml:space="preserve">pursuant to s. 165.2 of the </w:t>
            </w:r>
            <w:r w:rsidRPr="00F77596">
              <w:rPr>
                <w:i/>
                <w:iCs/>
                <w:sz w:val="20"/>
                <w:szCs w:val="20"/>
              </w:rPr>
              <w:t>Vancouver Charter</w:t>
            </w:r>
            <w:r w:rsidRPr="00F77596">
              <w:rPr>
                <w:iCs/>
                <w:sz w:val="20"/>
                <w:szCs w:val="20"/>
              </w:rPr>
              <w:t>;</w:t>
            </w:r>
            <w:r w:rsidRPr="00F77596">
              <w:rPr>
                <w:i/>
                <w:iCs/>
                <w:sz w:val="20"/>
                <w:szCs w:val="20"/>
              </w:rPr>
              <w:t xml:space="preserve"> </w:t>
            </w:r>
            <w:r w:rsidRPr="00F77596">
              <w:rPr>
                <w:sz w:val="20"/>
                <w:szCs w:val="20"/>
              </w:rPr>
              <w:t xml:space="preserve">documents not strictly about “matters contained in the proposed by-law” but are relevant to rezoning proposal; and documents considered by Council prior to public hearing? – Can Court of Appeal restore zoning bylaws quashed by a chambers judge where local government has exercised its statutory power to hold new public hearing and enact new bylaws prior to hearing of appeal? </w:t>
            </w:r>
          </w:p>
          <w:p w:rsidR="00060315" w:rsidRPr="00E007CB" w:rsidRDefault="00060315" w:rsidP="00B77038">
            <w:pPr>
              <w:jc w:val="both"/>
              <w:rPr>
                <w:rFonts w:eastAsia="Calibri"/>
                <w:sz w:val="20"/>
              </w:rPr>
            </w:pPr>
          </w:p>
        </w:tc>
      </w:tr>
      <w:tr w:rsidR="00060315" w:rsidRPr="00E007CB" w:rsidTr="00B77038">
        <w:tc>
          <w:tcPr>
            <w:tcW w:w="5000" w:type="pct"/>
            <w:gridSpan w:val="3"/>
          </w:tcPr>
          <w:p w:rsidR="00060315" w:rsidRPr="00F77596" w:rsidRDefault="00060315" w:rsidP="00060315">
            <w:pPr>
              <w:pStyle w:val="Default"/>
              <w:jc w:val="both"/>
              <w:rPr>
                <w:sz w:val="20"/>
                <w:szCs w:val="20"/>
              </w:rPr>
            </w:pPr>
            <w:r w:rsidRPr="00F77596">
              <w:rPr>
                <w:sz w:val="20"/>
                <w:szCs w:val="20"/>
              </w:rPr>
              <w:t>The applicant, Community Association of New Yaletown (“CANYˮ), is a group of citizens opposed to a development in downtown Vancouver. Jubilee House is an affordable housing building located at 508 Helmcken Street (“508”) that was owned by the City of Vancouver. It was in a state of disrepair and required significant expenditures to address its deficiencies. Brenhill Developments Limited (“Brenhillˮ) owned 1077-1099 Richards Street (“1099ˮ) across the street from 508 where it had an office and had several tenants. In 2011, Brenhill approached the City with a proposal to construct a 162-unit replacement building for Jubilee House on its 1099 property and, once completed, would turn it over to the City if the City transferred 508 to Brenhill and closed an adjacent lane. The City was interested in this project and its technical staff negotiated a Land Exchange Contract and other related agreements with Brenhill and issued a development permit for the new Jubilee House. City Council enacted a rezoning by-law for 508 to accommodate Brenhill’s proposed development and issued a development permit for 1099 and City Council adopted a new rezoning by-law for 508 largely replicating the one that was quashed. As a result, an issue of mootness lies at the threshold of this proceeding. CANY successfully applied to quash the by-laws and development permit, alleging that the City’s public disclosure was inadequate and the process was artificially divided into stages. Shortly before the appeals were heard, the Development Permit Board issued a new development permit for 1099 and City Council adopted a new rezoning by-law for 508 largely replicating the one that was quashed.</w:t>
            </w:r>
          </w:p>
          <w:p w:rsidR="00060315" w:rsidRPr="00F77596" w:rsidRDefault="00060315" w:rsidP="00B77038">
            <w:pPr>
              <w:jc w:val="both"/>
              <w:rPr>
                <w:sz w:val="20"/>
              </w:rPr>
            </w:pPr>
          </w:p>
        </w:tc>
      </w:tr>
      <w:tr w:rsidR="00060315" w:rsidRPr="00E007CB" w:rsidTr="00B77038">
        <w:trPr>
          <w:cantSplit/>
        </w:trPr>
        <w:tc>
          <w:tcPr>
            <w:tcW w:w="2427" w:type="pct"/>
          </w:tcPr>
          <w:p w:rsidR="00A76317" w:rsidRPr="00F77596" w:rsidRDefault="00A76317" w:rsidP="00A76317">
            <w:pPr>
              <w:jc w:val="both"/>
              <w:rPr>
                <w:sz w:val="20"/>
              </w:rPr>
            </w:pPr>
            <w:r w:rsidRPr="00F77596">
              <w:rPr>
                <w:sz w:val="20"/>
              </w:rPr>
              <w:t>January 27, 2015</w:t>
            </w:r>
          </w:p>
          <w:p w:rsidR="00A76317" w:rsidRPr="00F77596" w:rsidRDefault="00A76317" w:rsidP="00A76317">
            <w:pPr>
              <w:jc w:val="both"/>
              <w:rPr>
                <w:sz w:val="20"/>
              </w:rPr>
            </w:pPr>
            <w:r w:rsidRPr="00F77596">
              <w:rPr>
                <w:sz w:val="20"/>
              </w:rPr>
              <w:t>Supreme Court of British Columbia</w:t>
            </w:r>
          </w:p>
          <w:p w:rsidR="00A76317" w:rsidRPr="00F77596" w:rsidRDefault="00A76317" w:rsidP="00A76317">
            <w:pPr>
              <w:jc w:val="both"/>
              <w:rPr>
                <w:sz w:val="20"/>
              </w:rPr>
            </w:pPr>
            <w:r w:rsidRPr="00F77596">
              <w:rPr>
                <w:sz w:val="20"/>
              </w:rPr>
              <w:t>(McEwan J.)</w:t>
            </w:r>
          </w:p>
          <w:p w:rsidR="00A76317" w:rsidRPr="00F77596" w:rsidRDefault="00EC4FDF" w:rsidP="00A76317">
            <w:pPr>
              <w:jc w:val="both"/>
              <w:rPr>
                <w:sz w:val="20"/>
              </w:rPr>
            </w:pPr>
            <w:hyperlink r:id="rId108" w:history="1">
              <w:r w:rsidR="00A76317" w:rsidRPr="00F77596">
                <w:rPr>
                  <w:rStyle w:val="Hyperlink"/>
                  <w:sz w:val="20"/>
                </w:rPr>
                <w:t>2015 BCC 117</w:t>
              </w:r>
            </w:hyperlink>
          </w:p>
          <w:p w:rsidR="00060315" w:rsidRPr="00E007CB" w:rsidRDefault="00060315" w:rsidP="00B77038">
            <w:pPr>
              <w:jc w:val="both"/>
              <w:rPr>
                <w:rFonts w:eastAsia="Calibri"/>
                <w:sz w:val="20"/>
              </w:rPr>
            </w:pPr>
          </w:p>
        </w:tc>
        <w:tc>
          <w:tcPr>
            <w:tcW w:w="243" w:type="pct"/>
          </w:tcPr>
          <w:p w:rsidR="00060315" w:rsidRPr="00E007CB" w:rsidRDefault="00060315" w:rsidP="00B77038">
            <w:pPr>
              <w:jc w:val="both"/>
              <w:rPr>
                <w:rFonts w:eastAsia="Calibri"/>
                <w:sz w:val="20"/>
              </w:rPr>
            </w:pPr>
          </w:p>
        </w:tc>
        <w:tc>
          <w:tcPr>
            <w:tcW w:w="2330" w:type="pct"/>
          </w:tcPr>
          <w:p w:rsidR="00A76317" w:rsidRPr="00F77596" w:rsidRDefault="00A76317" w:rsidP="00A76317">
            <w:pPr>
              <w:jc w:val="both"/>
              <w:rPr>
                <w:sz w:val="20"/>
              </w:rPr>
            </w:pPr>
            <w:r w:rsidRPr="00F77596">
              <w:rPr>
                <w:sz w:val="20"/>
              </w:rPr>
              <w:t>Two city by-laws and development certificate quashed</w:t>
            </w:r>
          </w:p>
          <w:p w:rsidR="00060315" w:rsidRPr="00F77596" w:rsidRDefault="00060315" w:rsidP="00B77038">
            <w:pPr>
              <w:jc w:val="both"/>
              <w:rPr>
                <w:sz w:val="20"/>
              </w:rPr>
            </w:pPr>
          </w:p>
        </w:tc>
      </w:tr>
      <w:tr w:rsidR="00060315" w:rsidRPr="00E007CB" w:rsidTr="00B77038">
        <w:trPr>
          <w:cantSplit/>
        </w:trPr>
        <w:tc>
          <w:tcPr>
            <w:tcW w:w="2427" w:type="pct"/>
          </w:tcPr>
          <w:p w:rsidR="00A76317" w:rsidRPr="00F77596" w:rsidRDefault="00A76317" w:rsidP="00A76317">
            <w:pPr>
              <w:jc w:val="both"/>
              <w:rPr>
                <w:sz w:val="20"/>
              </w:rPr>
            </w:pPr>
            <w:r w:rsidRPr="00F77596">
              <w:rPr>
                <w:sz w:val="20"/>
              </w:rPr>
              <w:t>April 23, 2015</w:t>
            </w:r>
          </w:p>
          <w:p w:rsidR="00A76317" w:rsidRPr="00F77596" w:rsidRDefault="00A76317" w:rsidP="00A76317">
            <w:pPr>
              <w:jc w:val="both"/>
              <w:rPr>
                <w:sz w:val="20"/>
              </w:rPr>
            </w:pPr>
            <w:r w:rsidRPr="00F77596">
              <w:rPr>
                <w:sz w:val="20"/>
              </w:rPr>
              <w:t>Court of Appeal for British Columbia (Vancouver)</w:t>
            </w:r>
          </w:p>
          <w:p w:rsidR="00A76317" w:rsidRPr="00F77596" w:rsidRDefault="00A76317" w:rsidP="00A76317">
            <w:pPr>
              <w:jc w:val="both"/>
              <w:rPr>
                <w:sz w:val="20"/>
              </w:rPr>
            </w:pPr>
            <w:r w:rsidRPr="00F77596">
              <w:rPr>
                <w:sz w:val="20"/>
              </w:rPr>
              <w:t>(Bauman C.J., Willcock and Goepel JJ.A.)</w:t>
            </w:r>
          </w:p>
          <w:p w:rsidR="00A76317" w:rsidRPr="00F77596" w:rsidRDefault="00EC4FDF" w:rsidP="00A76317">
            <w:pPr>
              <w:jc w:val="both"/>
              <w:rPr>
                <w:sz w:val="20"/>
              </w:rPr>
            </w:pPr>
            <w:hyperlink r:id="rId109" w:history="1">
              <w:r w:rsidR="00A76317" w:rsidRPr="00F77596">
                <w:rPr>
                  <w:rStyle w:val="Hyperlink"/>
                  <w:sz w:val="20"/>
                </w:rPr>
                <w:t>2015 BCCA 227</w:t>
              </w:r>
            </w:hyperlink>
          </w:p>
          <w:p w:rsidR="00060315" w:rsidRDefault="00060315" w:rsidP="00B77038">
            <w:pPr>
              <w:jc w:val="both"/>
              <w:rPr>
                <w:rFonts w:eastAsia="Calibri"/>
                <w:sz w:val="20"/>
              </w:rPr>
            </w:pPr>
          </w:p>
        </w:tc>
        <w:tc>
          <w:tcPr>
            <w:tcW w:w="243" w:type="pct"/>
          </w:tcPr>
          <w:p w:rsidR="00060315" w:rsidRPr="00E007CB" w:rsidRDefault="00060315" w:rsidP="00B77038">
            <w:pPr>
              <w:jc w:val="both"/>
              <w:rPr>
                <w:rFonts w:eastAsia="Calibri"/>
                <w:sz w:val="20"/>
              </w:rPr>
            </w:pPr>
          </w:p>
        </w:tc>
        <w:tc>
          <w:tcPr>
            <w:tcW w:w="2330" w:type="pct"/>
          </w:tcPr>
          <w:p w:rsidR="00A76317" w:rsidRPr="00F77596" w:rsidRDefault="00A76317" w:rsidP="00A76317">
            <w:pPr>
              <w:jc w:val="both"/>
              <w:rPr>
                <w:sz w:val="20"/>
              </w:rPr>
            </w:pPr>
            <w:r w:rsidRPr="00F77596">
              <w:rPr>
                <w:sz w:val="20"/>
              </w:rPr>
              <w:t>Respondents’ appeals allowed; Declaration that by-laws and development permit valid</w:t>
            </w:r>
          </w:p>
          <w:p w:rsidR="00060315" w:rsidRPr="00F77596" w:rsidRDefault="00060315" w:rsidP="00B77038">
            <w:pPr>
              <w:jc w:val="both"/>
              <w:rPr>
                <w:sz w:val="20"/>
              </w:rPr>
            </w:pPr>
          </w:p>
        </w:tc>
      </w:tr>
      <w:tr w:rsidR="00A76317" w:rsidRPr="00E007CB" w:rsidTr="00B77038">
        <w:trPr>
          <w:cantSplit/>
        </w:trPr>
        <w:tc>
          <w:tcPr>
            <w:tcW w:w="2427" w:type="pct"/>
          </w:tcPr>
          <w:p w:rsidR="00A76317" w:rsidRPr="00F77596" w:rsidRDefault="00A76317" w:rsidP="00A76317">
            <w:pPr>
              <w:jc w:val="both"/>
              <w:rPr>
                <w:sz w:val="20"/>
              </w:rPr>
            </w:pPr>
            <w:r w:rsidRPr="00F77596">
              <w:rPr>
                <w:sz w:val="20"/>
              </w:rPr>
              <w:t xml:space="preserve">June </w:t>
            </w:r>
            <w:r>
              <w:rPr>
                <w:sz w:val="20"/>
              </w:rPr>
              <w:t>22</w:t>
            </w:r>
            <w:r w:rsidRPr="00F77596">
              <w:rPr>
                <w:sz w:val="20"/>
              </w:rPr>
              <w:t>, 2015</w:t>
            </w:r>
          </w:p>
          <w:p w:rsidR="00A76317" w:rsidRDefault="00A76317" w:rsidP="00A76317">
            <w:pPr>
              <w:jc w:val="both"/>
              <w:rPr>
                <w:rFonts w:eastAsia="Calibri"/>
                <w:sz w:val="20"/>
              </w:rPr>
            </w:pPr>
            <w:r w:rsidRPr="00F77596">
              <w:rPr>
                <w:sz w:val="20"/>
              </w:rPr>
              <w:t>Supreme Court of Canada</w:t>
            </w:r>
          </w:p>
          <w:p w:rsidR="00A76317" w:rsidRDefault="00A76317" w:rsidP="00A76317">
            <w:pPr>
              <w:jc w:val="both"/>
              <w:rPr>
                <w:rFonts w:eastAsia="Calibri"/>
                <w:sz w:val="20"/>
              </w:rPr>
            </w:pPr>
          </w:p>
        </w:tc>
        <w:tc>
          <w:tcPr>
            <w:tcW w:w="243" w:type="pct"/>
          </w:tcPr>
          <w:p w:rsidR="00A76317" w:rsidRPr="00E007CB" w:rsidRDefault="00A76317" w:rsidP="00A76317">
            <w:pPr>
              <w:jc w:val="both"/>
              <w:rPr>
                <w:rFonts w:eastAsia="Calibri"/>
                <w:sz w:val="20"/>
              </w:rPr>
            </w:pPr>
          </w:p>
        </w:tc>
        <w:tc>
          <w:tcPr>
            <w:tcW w:w="2330" w:type="pct"/>
          </w:tcPr>
          <w:p w:rsidR="00A76317" w:rsidRPr="00F77596" w:rsidRDefault="00A76317" w:rsidP="00A76317">
            <w:pPr>
              <w:jc w:val="both"/>
              <w:rPr>
                <w:sz w:val="20"/>
              </w:rPr>
            </w:pPr>
            <w:r w:rsidRPr="00F77596">
              <w:rPr>
                <w:sz w:val="20"/>
              </w:rPr>
              <w:t>Application for leave to appeal and motion to expedite filed</w:t>
            </w:r>
          </w:p>
        </w:tc>
      </w:tr>
    </w:tbl>
    <w:p w:rsidR="00060315" w:rsidRDefault="00060315" w:rsidP="00060315">
      <w:pPr>
        <w:rPr>
          <w:sz w:val="20"/>
          <w:szCs w:val="20"/>
        </w:rPr>
      </w:pPr>
    </w:p>
    <w:p w:rsidR="00060315" w:rsidRPr="00C50A5C" w:rsidRDefault="00EC4FDF" w:rsidP="00060315">
      <w:pPr>
        <w:rPr>
          <w:sz w:val="20"/>
          <w:szCs w:val="20"/>
        </w:rPr>
      </w:pPr>
      <w:r>
        <w:rPr>
          <w:sz w:val="20"/>
          <w:szCs w:val="20"/>
          <w:lang w:val="fr-CA"/>
        </w:rPr>
        <w:pict>
          <v:rect id="_x0000_i1085" style="width:2in;height:1pt" o:hrpct="0" o:hralign="center" o:hrstd="t" o:hrnoshade="t" o:hr="t" fillcolor="black [3213]" stroked="f"/>
        </w:pict>
      </w:r>
    </w:p>
    <w:p w:rsidR="00060315" w:rsidRDefault="00060315" w:rsidP="00060315">
      <w:pPr>
        <w:rPr>
          <w:sz w:val="20"/>
          <w:szCs w:val="20"/>
        </w:rPr>
      </w:pPr>
    </w:p>
    <w:p w:rsidR="00060315" w:rsidRPr="001B157C" w:rsidRDefault="00060315" w:rsidP="00060315">
      <w:pPr>
        <w:rPr>
          <w:sz w:val="20"/>
          <w:szCs w:val="20"/>
          <w:u w:val="single"/>
          <w:lang w:val="fr-CA"/>
        </w:rPr>
      </w:pPr>
      <w:r w:rsidRPr="001B157C">
        <w:rPr>
          <w:sz w:val="20"/>
          <w:szCs w:val="20"/>
          <w:u w:val="single"/>
          <w:lang w:val="fr-CA"/>
        </w:rPr>
        <w:t>RÉSUMÉ DE L’AFFAIRE</w:t>
      </w:r>
    </w:p>
    <w:p w:rsidR="00060315" w:rsidRDefault="00060315" w:rsidP="0006031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0315" w:rsidRPr="00002704" w:rsidTr="00B77038">
        <w:tc>
          <w:tcPr>
            <w:tcW w:w="5000" w:type="pct"/>
            <w:gridSpan w:val="3"/>
          </w:tcPr>
          <w:p w:rsidR="00060315" w:rsidRDefault="00001276" w:rsidP="00B77038">
            <w:pPr>
              <w:jc w:val="both"/>
              <w:rPr>
                <w:sz w:val="20"/>
                <w:szCs w:val="20"/>
                <w:lang w:val="fr-CA"/>
              </w:rPr>
            </w:pPr>
            <w:r w:rsidRPr="00F77596">
              <w:rPr>
                <w:sz w:val="20"/>
                <w:szCs w:val="20"/>
                <w:lang w:val="fr-CA"/>
              </w:rPr>
              <w:t xml:space="preserve">Droit municipal – Règlements – Validité – L’exigence de la common law de communiquer au public, avant la tenue d’une audience, les documents « pertinents » en application de l’arrêt </w:t>
            </w:r>
            <w:r w:rsidRPr="00F77596">
              <w:rPr>
                <w:i/>
                <w:iCs/>
                <w:sz w:val="20"/>
                <w:szCs w:val="20"/>
                <w:lang w:val="fr-CA"/>
              </w:rPr>
              <w:t>Chemin de fer Canadien Pacifique c. Vancouver (Ville)</w:t>
            </w:r>
            <w:r w:rsidRPr="00F77596">
              <w:rPr>
                <w:iCs/>
                <w:sz w:val="20"/>
                <w:szCs w:val="20"/>
                <w:lang w:val="fr-CA"/>
              </w:rPr>
              <w:t>,</w:t>
            </w:r>
            <w:r w:rsidRPr="00F77596">
              <w:rPr>
                <w:i/>
                <w:iCs/>
                <w:sz w:val="20"/>
                <w:szCs w:val="20"/>
                <w:lang w:val="fr-CA"/>
              </w:rPr>
              <w:t xml:space="preserve"> </w:t>
            </w:r>
            <w:r w:rsidRPr="00F77596">
              <w:rPr>
                <w:sz w:val="20"/>
                <w:szCs w:val="20"/>
                <w:lang w:val="fr-CA"/>
              </w:rPr>
              <w:t>[2006] 1 R.C.S. 227 s’étend-elle aux documents relatifs aux [</w:t>
            </w:r>
            <w:r w:rsidRPr="00F77596">
              <w:rPr>
                <w:smallCaps/>
                <w:sz w:val="20"/>
                <w:szCs w:val="20"/>
                <w:lang w:val="fr-CA"/>
              </w:rPr>
              <w:t>traduction</w:t>
            </w:r>
            <w:r w:rsidRPr="00F77596">
              <w:rPr>
                <w:sz w:val="20"/>
                <w:szCs w:val="20"/>
                <w:lang w:val="fr-CA"/>
              </w:rPr>
              <w:t xml:space="preserve">] « décisions d’affaires » prises à huis clos en application de l’art. 165.2 de la Charte de </w:t>
            </w:r>
            <w:r w:rsidRPr="00F77596">
              <w:rPr>
                <w:iCs/>
                <w:sz w:val="20"/>
                <w:szCs w:val="20"/>
                <w:lang w:val="fr-CA"/>
              </w:rPr>
              <w:t>Vancouver,</w:t>
            </w:r>
            <w:r w:rsidRPr="00F77596">
              <w:rPr>
                <w:i/>
                <w:iCs/>
                <w:sz w:val="20"/>
                <w:szCs w:val="20"/>
                <w:lang w:val="fr-CA"/>
              </w:rPr>
              <w:t xml:space="preserve"> </w:t>
            </w:r>
            <w:r w:rsidRPr="00F77596">
              <w:rPr>
                <w:iCs/>
                <w:sz w:val="20"/>
                <w:szCs w:val="20"/>
                <w:lang w:val="fr-CA"/>
              </w:rPr>
              <w:t xml:space="preserve">aux </w:t>
            </w:r>
            <w:r w:rsidRPr="00F77596">
              <w:rPr>
                <w:sz w:val="20"/>
                <w:szCs w:val="20"/>
                <w:lang w:val="fr-CA"/>
              </w:rPr>
              <w:t>documents qui ne concernent pas strictement des [</w:t>
            </w:r>
            <w:r w:rsidRPr="00F77596">
              <w:rPr>
                <w:smallCaps/>
                <w:sz w:val="20"/>
                <w:szCs w:val="20"/>
                <w:lang w:val="fr-CA"/>
              </w:rPr>
              <w:t>traduction</w:t>
            </w:r>
            <w:r w:rsidRPr="00F77596">
              <w:rPr>
                <w:sz w:val="20"/>
                <w:szCs w:val="20"/>
                <w:lang w:val="fr-CA"/>
              </w:rPr>
              <w:t xml:space="preserve">] « questions contenues dans le projet de règlement », mais qui sont pertinents pour la proposition de rezonage, et aux documents examinés par le conseil avant l’audience publique? – La Cour d’appel peut-elle rétablir des règlements de zonage annulés par un juge en son cabinet lorsque l’administration municipale a exercé son pouvoir légal de tenir une nouvelle audience publique et d’adopter de nouveaux règlements avant l’audition de l’appel? </w:t>
            </w:r>
          </w:p>
          <w:p w:rsidR="00001276" w:rsidRPr="00E007CB" w:rsidRDefault="00001276" w:rsidP="00B77038">
            <w:pPr>
              <w:jc w:val="both"/>
              <w:rPr>
                <w:rFonts w:eastAsia="Calibri"/>
                <w:sz w:val="20"/>
                <w:lang w:val="fr-CA"/>
              </w:rPr>
            </w:pPr>
          </w:p>
        </w:tc>
      </w:tr>
      <w:tr w:rsidR="00060315" w:rsidRPr="00002704" w:rsidTr="00B77038">
        <w:tc>
          <w:tcPr>
            <w:tcW w:w="5000" w:type="pct"/>
            <w:gridSpan w:val="3"/>
          </w:tcPr>
          <w:p w:rsidR="00001276" w:rsidRPr="00F77596" w:rsidRDefault="00001276" w:rsidP="00001276">
            <w:pPr>
              <w:pStyle w:val="Default"/>
              <w:jc w:val="both"/>
              <w:rPr>
                <w:sz w:val="20"/>
                <w:szCs w:val="20"/>
                <w:lang w:val="fr-CA"/>
              </w:rPr>
            </w:pPr>
            <w:r w:rsidRPr="00F77596">
              <w:rPr>
                <w:sz w:val="20"/>
                <w:szCs w:val="20"/>
                <w:lang w:val="fr-CA"/>
              </w:rPr>
              <w:t>La demanderesse, Community Association of New Yaletown (« CANY »), est un groupe de citoyens qui s’oppose à un projet immobilier au centre-ville de Vancouver. Jubilee House est un immeuble à logements à prix abordable situé au 508, rue Helmcken (le « 508 ») qui appartenait à la Ville de Vancouver. L’immeuble était en mauvais état et d’importantes dépenses devaient être engagées pour corriger ses déficiences. Brenhill Developments Limited (« Brenhill ») était propriétaire du 1077-1099, rue Richards (le « 1099 ») de l’autre côté de la rue du 508, où elle possédait un bureau et plusieurs locataires. En 2011, Brenhill a approché la Ville avec une proposition de construire un immeuble de 162 logements pour remplacer Jubilee House sur son terrain du 1099 et une fois achevé, Brehill le remettrait à la Ville si la Ville lui transférait le 508 et fermait une ruelle adjacente. La Ville était intéressée par ce projet et son équipe technique a négocié un contrat d’échange de terrains et d’autres ententes connexes avec Brenhill et a délivré un nouveau permis d’aménagement pour le nouveau Jubilee House. Le conseil municipal a adopté un règlement de rezonage à l’égard du 508 pour accommoder le projet d’aménagement de Brenhill  et a délivré un permis d’aménagement pour le 1099 et le conseil municipal a adopté un nouveau règlement de rezonage à l’égard du 508 qui reproduisait en grande partie celui qui avait été annulé. Par conséquent, la question du caractère théorique se pose à l’étape préliminaire de l’instance. CANY a demandé et obtenu l’annulation des règlements et du permis d’aménagement, alléguant que la communication publique par la Ville avait été inadéquate et que le processus avait été artificiellement divisé en étapes. Peu de temps avant l’audition des appels, le Development Permit Board a délivré un nouveau permis d’aménagement pour le 1099 et le conseil municipal a adopté un nouveau règlement de rezonage à l’égard du 508 qui reproduisait en grande partie celui qui avait été annulé.</w:t>
            </w:r>
          </w:p>
          <w:p w:rsidR="00060315" w:rsidRPr="00F77596" w:rsidRDefault="00060315" w:rsidP="00B77038">
            <w:pPr>
              <w:jc w:val="both"/>
              <w:rPr>
                <w:sz w:val="20"/>
                <w:lang w:val="fr-CA"/>
              </w:rPr>
            </w:pPr>
          </w:p>
        </w:tc>
      </w:tr>
      <w:tr w:rsidR="00060315" w:rsidRPr="00002704" w:rsidTr="00B77038">
        <w:trPr>
          <w:cantSplit/>
        </w:trPr>
        <w:tc>
          <w:tcPr>
            <w:tcW w:w="2427" w:type="pct"/>
          </w:tcPr>
          <w:p w:rsidR="00B24974" w:rsidRPr="00F77596" w:rsidRDefault="00B24974" w:rsidP="00B24974">
            <w:pPr>
              <w:jc w:val="both"/>
              <w:rPr>
                <w:sz w:val="20"/>
                <w:lang w:val="fr-CA"/>
              </w:rPr>
            </w:pPr>
            <w:r w:rsidRPr="00F77596">
              <w:rPr>
                <w:sz w:val="20"/>
                <w:lang w:val="fr-CA"/>
              </w:rPr>
              <w:t>27 janvier 2015</w:t>
            </w:r>
          </w:p>
          <w:p w:rsidR="00B24974" w:rsidRPr="00F77596" w:rsidRDefault="00B24974" w:rsidP="00B24974">
            <w:pPr>
              <w:jc w:val="both"/>
              <w:rPr>
                <w:sz w:val="20"/>
                <w:lang w:val="fr-CA"/>
              </w:rPr>
            </w:pPr>
            <w:r w:rsidRPr="00F77596">
              <w:rPr>
                <w:sz w:val="20"/>
                <w:lang w:val="fr-CA"/>
              </w:rPr>
              <w:t>Cour suprême de la Colombie-Britannique</w:t>
            </w:r>
          </w:p>
          <w:p w:rsidR="00B24974" w:rsidRPr="00F77596" w:rsidRDefault="00B24974" w:rsidP="00B24974">
            <w:pPr>
              <w:jc w:val="both"/>
              <w:rPr>
                <w:sz w:val="20"/>
                <w:lang w:val="fr-CA"/>
              </w:rPr>
            </w:pPr>
            <w:r w:rsidRPr="00F77596">
              <w:rPr>
                <w:sz w:val="20"/>
                <w:lang w:val="fr-CA"/>
              </w:rPr>
              <w:t>(Juge McEwan)</w:t>
            </w:r>
          </w:p>
          <w:p w:rsidR="00B24974" w:rsidRPr="00F77596" w:rsidRDefault="00EC4FDF" w:rsidP="00B24974">
            <w:pPr>
              <w:jc w:val="both"/>
              <w:rPr>
                <w:sz w:val="20"/>
                <w:lang w:val="fr-CA"/>
              </w:rPr>
            </w:pPr>
            <w:hyperlink r:id="rId110" w:history="1">
              <w:r w:rsidR="00B24974" w:rsidRPr="00F77596">
                <w:rPr>
                  <w:rStyle w:val="Hyperlink"/>
                  <w:sz w:val="20"/>
                  <w:lang w:val="fr-CA"/>
                </w:rPr>
                <w:t>2015 BCC 117</w:t>
              </w:r>
            </w:hyperlink>
          </w:p>
          <w:p w:rsidR="00060315" w:rsidRPr="00E007CB" w:rsidRDefault="00060315" w:rsidP="00B77038">
            <w:pPr>
              <w:jc w:val="both"/>
              <w:rPr>
                <w:rFonts w:eastAsia="Calibri"/>
                <w:sz w:val="20"/>
                <w:lang w:val="fr-CA"/>
              </w:rPr>
            </w:pPr>
          </w:p>
        </w:tc>
        <w:tc>
          <w:tcPr>
            <w:tcW w:w="243" w:type="pct"/>
          </w:tcPr>
          <w:p w:rsidR="00060315" w:rsidRPr="00E007CB" w:rsidRDefault="00060315" w:rsidP="00B77038">
            <w:pPr>
              <w:jc w:val="both"/>
              <w:rPr>
                <w:rFonts w:eastAsia="Calibri"/>
                <w:sz w:val="20"/>
                <w:lang w:val="fr-CA"/>
              </w:rPr>
            </w:pPr>
          </w:p>
        </w:tc>
        <w:tc>
          <w:tcPr>
            <w:tcW w:w="2330" w:type="pct"/>
          </w:tcPr>
          <w:p w:rsidR="00B24974" w:rsidRPr="00F77596" w:rsidRDefault="00B24974" w:rsidP="00B24974">
            <w:pPr>
              <w:jc w:val="both"/>
              <w:rPr>
                <w:sz w:val="20"/>
                <w:lang w:val="fr-CA"/>
              </w:rPr>
            </w:pPr>
            <w:r w:rsidRPr="00F77596">
              <w:rPr>
                <w:sz w:val="20"/>
                <w:lang w:val="fr-CA"/>
              </w:rPr>
              <w:t>Annulation de deux règlements municipaux et d’un certificat d’aménagement</w:t>
            </w:r>
          </w:p>
          <w:p w:rsidR="00060315" w:rsidRPr="00F77596" w:rsidRDefault="00060315" w:rsidP="00B77038">
            <w:pPr>
              <w:jc w:val="both"/>
              <w:rPr>
                <w:sz w:val="20"/>
                <w:lang w:val="fr-CA"/>
              </w:rPr>
            </w:pPr>
          </w:p>
        </w:tc>
      </w:tr>
      <w:tr w:rsidR="00060315" w:rsidRPr="00E007CB" w:rsidTr="00B77038">
        <w:trPr>
          <w:cantSplit/>
        </w:trPr>
        <w:tc>
          <w:tcPr>
            <w:tcW w:w="2427" w:type="pct"/>
          </w:tcPr>
          <w:p w:rsidR="00B24974" w:rsidRPr="00F77596" w:rsidRDefault="00B24974" w:rsidP="00B24974">
            <w:pPr>
              <w:jc w:val="both"/>
              <w:rPr>
                <w:sz w:val="20"/>
                <w:lang w:val="fr-CA"/>
              </w:rPr>
            </w:pPr>
            <w:r w:rsidRPr="00F77596">
              <w:rPr>
                <w:sz w:val="20"/>
                <w:lang w:val="fr-CA"/>
              </w:rPr>
              <w:t>23 avril 2015</w:t>
            </w:r>
          </w:p>
          <w:p w:rsidR="00B24974" w:rsidRPr="00F77596" w:rsidRDefault="00B24974" w:rsidP="00B24974">
            <w:pPr>
              <w:jc w:val="both"/>
              <w:rPr>
                <w:sz w:val="20"/>
                <w:lang w:val="fr-CA"/>
              </w:rPr>
            </w:pPr>
            <w:r w:rsidRPr="00F77596">
              <w:rPr>
                <w:sz w:val="20"/>
                <w:lang w:val="fr-CA"/>
              </w:rPr>
              <w:t>Cour d’appel de la Colombie-Britannique (Vancouver)</w:t>
            </w:r>
          </w:p>
          <w:p w:rsidR="00B24974" w:rsidRPr="00F77596" w:rsidRDefault="00B24974" w:rsidP="00B24974">
            <w:pPr>
              <w:jc w:val="both"/>
              <w:rPr>
                <w:sz w:val="20"/>
                <w:lang w:val="fr-CA"/>
              </w:rPr>
            </w:pPr>
            <w:r w:rsidRPr="00F77596">
              <w:rPr>
                <w:sz w:val="20"/>
                <w:lang w:val="fr-CA"/>
              </w:rPr>
              <w:t>(Juge en chef Bauman, juges Willcock et Goepel)</w:t>
            </w:r>
          </w:p>
          <w:p w:rsidR="00B24974" w:rsidRPr="00F77596" w:rsidRDefault="00EC4FDF" w:rsidP="00B24974">
            <w:pPr>
              <w:jc w:val="both"/>
              <w:rPr>
                <w:sz w:val="20"/>
                <w:lang w:val="fr-CA"/>
              </w:rPr>
            </w:pPr>
            <w:hyperlink r:id="rId111" w:history="1">
              <w:r w:rsidR="00B24974" w:rsidRPr="00F77596">
                <w:rPr>
                  <w:rStyle w:val="Hyperlink"/>
                  <w:sz w:val="20"/>
                  <w:lang w:val="fr-CA"/>
                </w:rPr>
                <w:t>2015 BCCA 227</w:t>
              </w:r>
            </w:hyperlink>
          </w:p>
          <w:p w:rsidR="00060315" w:rsidRDefault="00060315" w:rsidP="00B77038">
            <w:pPr>
              <w:jc w:val="both"/>
              <w:rPr>
                <w:rFonts w:eastAsia="Calibri"/>
                <w:sz w:val="20"/>
                <w:lang w:val="fr-CA"/>
              </w:rPr>
            </w:pPr>
          </w:p>
        </w:tc>
        <w:tc>
          <w:tcPr>
            <w:tcW w:w="243" w:type="pct"/>
          </w:tcPr>
          <w:p w:rsidR="00060315" w:rsidRPr="00E007CB" w:rsidRDefault="00060315" w:rsidP="00B77038">
            <w:pPr>
              <w:jc w:val="both"/>
              <w:rPr>
                <w:rFonts w:eastAsia="Calibri"/>
                <w:sz w:val="20"/>
                <w:lang w:val="fr-CA"/>
              </w:rPr>
            </w:pPr>
          </w:p>
        </w:tc>
        <w:tc>
          <w:tcPr>
            <w:tcW w:w="2330" w:type="pct"/>
          </w:tcPr>
          <w:p w:rsidR="00B24974" w:rsidRPr="00F77596" w:rsidRDefault="00B24974" w:rsidP="00B24974">
            <w:pPr>
              <w:jc w:val="both"/>
              <w:rPr>
                <w:sz w:val="20"/>
                <w:lang w:val="fr-CA"/>
              </w:rPr>
            </w:pPr>
            <w:r w:rsidRPr="00F77596">
              <w:rPr>
                <w:sz w:val="20"/>
                <w:lang w:val="fr-CA"/>
              </w:rPr>
              <w:t>Arrêt accueillant l’appel des intimées; jugement déclarant que les règlements et le permis d’aménagement sont valides</w:t>
            </w:r>
          </w:p>
          <w:p w:rsidR="00060315" w:rsidRPr="00F77596" w:rsidRDefault="00060315" w:rsidP="00B77038">
            <w:pPr>
              <w:jc w:val="both"/>
              <w:rPr>
                <w:sz w:val="20"/>
                <w:lang w:val="fr-CA"/>
              </w:rPr>
            </w:pPr>
          </w:p>
        </w:tc>
      </w:tr>
      <w:tr w:rsidR="00B24974" w:rsidRPr="00E007CB" w:rsidTr="00B77038">
        <w:trPr>
          <w:cantSplit/>
        </w:trPr>
        <w:tc>
          <w:tcPr>
            <w:tcW w:w="2427" w:type="pct"/>
          </w:tcPr>
          <w:p w:rsidR="00B24974" w:rsidRPr="00F77596" w:rsidRDefault="00B24974" w:rsidP="00B24974">
            <w:pPr>
              <w:jc w:val="both"/>
              <w:rPr>
                <w:sz w:val="20"/>
              </w:rPr>
            </w:pPr>
            <w:r>
              <w:rPr>
                <w:sz w:val="20"/>
              </w:rPr>
              <w:t>Le 22</w:t>
            </w:r>
            <w:r w:rsidRPr="00F77596">
              <w:rPr>
                <w:sz w:val="20"/>
              </w:rPr>
              <w:t xml:space="preserve"> juin 2015</w:t>
            </w:r>
          </w:p>
          <w:p w:rsidR="00B24974" w:rsidRPr="00F77596" w:rsidRDefault="00B24974" w:rsidP="00B24974">
            <w:pPr>
              <w:jc w:val="both"/>
              <w:rPr>
                <w:sz w:val="20"/>
              </w:rPr>
            </w:pPr>
            <w:r w:rsidRPr="00F77596">
              <w:rPr>
                <w:sz w:val="20"/>
              </w:rPr>
              <w:t>Cour suprême du Canada</w:t>
            </w:r>
          </w:p>
          <w:p w:rsidR="00B24974" w:rsidRDefault="00B24974" w:rsidP="00B24974">
            <w:pPr>
              <w:jc w:val="both"/>
              <w:rPr>
                <w:rFonts w:eastAsia="Calibri"/>
                <w:sz w:val="20"/>
                <w:lang w:val="fr-CA"/>
              </w:rPr>
            </w:pPr>
          </w:p>
        </w:tc>
        <w:tc>
          <w:tcPr>
            <w:tcW w:w="243" w:type="pct"/>
          </w:tcPr>
          <w:p w:rsidR="00B24974" w:rsidRPr="00E007CB" w:rsidRDefault="00B24974" w:rsidP="00B24974">
            <w:pPr>
              <w:jc w:val="both"/>
              <w:rPr>
                <w:rFonts w:eastAsia="Calibri"/>
                <w:sz w:val="20"/>
                <w:lang w:val="fr-CA"/>
              </w:rPr>
            </w:pPr>
          </w:p>
        </w:tc>
        <w:tc>
          <w:tcPr>
            <w:tcW w:w="2330" w:type="pct"/>
          </w:tcPr>
          <w:p w:rsidR="00B24974" w:rsidRPr="00F77596" w:rsidRDefault="00B24974" w:rsidP="00B24974">
            <w:pPr>
              <w:jc w:val="both"/>
              <w:rPr>
                <w:sz w:val="20"/>
                <w:lang w:val="fr-CA"/>
              </w:rPr>
            </w:pPr>
            <w:r w:rsidRPr="00F77596">
              <w:rPr>
                <w:sz w:val="20"/>
                <w:lang w:val="fr-CA"/>
              </w:rPr>
              <w:t>Dépôt de la demande d’autorisation d’appel et requête visant à accélérer la procédure</w:t>
            </w:r>
          </w:p>
        </w:tc>
      </w:tr>
    </w:tbl>
    <w:p w:rsidR="00060315" w:rsidRDefault="00060315" w:rsidP="00060315">
      <w:pPr>
        <w:rPr>
          <w:sz w:val="20"/>
          <w:szCs w:val="20"/>
        </w:rPr>
      </w:pPr>
    </w:p>
    <w:p w:rsidR="00060315" w:rsidRDefault="00EC4FDF" w:rsidP="00060315">
      <w:pPr>
        <w:rPr>
          <w:sz w:val="20"/>
          <w:szCs w:val="20"/>
        </w:rPr>
      </w:pPr>
      <w:r>
        <w:rPr>
          <w:sz w:val="20"/>
          <w:szCs w:val="20"/>
          <w:lang w:val="fr-CA"/>
        </w:rPr>
        <w:pict>
          <v:rect id="_x0000_i1086" style="width:2in;height:1pt" o:hrpct="0" o:hralign="center" o:hrstd="t" o:hrnoshade="t" o:hr="t" fillcolor="black [3213]" stroked="f"/>
        </w:pict>
      </w:r>
    </w:p>
    <w:p w:rsidR="00060315" w:rsidRDefault="00060315" w:rsidP="0006031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65B6E" w:rsidRPr="00A73D2C" w:rsidTr="00B77038">
        <w:trPr>
          <w:cantSplit/>
        </w:trPr>
        <w:tc>
          <w:tcPr>
            <w:tcW w:w="1458" w:type="dxa"/>
          </w:tcPr>
          <w:p w:rsidR="00065B6E" w:rsidRPr="00A73D2C" w:rsidRDefault="00065B6E" w:rsidP="00B77038">
            <w:pPr>
              <w:rPr>
                <w:sz w:val="20"/>
                <w:szCs w:val="20"/>
              </w:rPr>
            </w:pPr>
            <w:r w:rsidRPr="00A73D2C">
              <w:rPr>
                <w:rStyle w:val="SCCFileNumberChar"/>
                <w:sz w:val="20"/>
                <w:szCs w:val="20"/>
              </w:rPr>
              <w:t>36</w:t>
            </w:r>
            <w:r>
              <w:rPr>
                <w:rStyle w:val="SCCFileNumberChar"/>
                <w:sz w:val="20"/>
                <w:szCs w:val="20"/>
              </w:rPr>
              <w:t>497</w:t>
            </w:r>
          </w:p>
          <w:p w:rsidR="00065B6E" w:rsidRPr="00A73D2C" w:rsidRDefault="00065B6E" w:rsidP="00B77038">
            <w:pPr>
              <w:rPr>
                <w:b/>
                <w:sz w:val="20"/>
                <w:szCs w:val="20"/>
                <w:lang w:val="fr-CA"/>
              </w:rPr>
            </w:pPr>
          </w:p>
        </w:tc>
        <w:tc>
          <w:tcPr>
            <w:tcW w:w="8118" w:type="dxa"/>
          </w:tcPr>
          <w:p w:rsidR="00065B6E" w:rsidRPr="00A73D2C" w:rsidRDefault="00065B6E" w:rsidP="00B77038">
            <w:pPr>
              <w:rPr>
                <w:sz w:val="20"/>
                <w:szCs w:val="20"/>
              </w:rPr>
            </w:pPr>
            <w:r w:rsidRPr="00065B6E">
              <w:rPr>
                <w:rStyle w:val="SCCLsocChar"/>
                <w:sz w:val="20"/>
                <w:szCs w:val="20"/>
                <w:lang w:val="en-CA"/>
              </w:rPr>
              <w:t>Lucian Baiu v. Angela Baiu</w:t>
            </w:r>
            <w:r w:rsidRPr="00FE3038">
              <w:rPr>
                <w:rStyle w:val="SCCLsocChar"/>
                <w:sz w:val="20"/>
                <w:szCs w:val="20"/>
                <w:u w:val="none"/>
                <w:lang w:val="en-CA"/>
              </w:rPr>
              <w:t xml:space="preserve"> </w:t>
            </w:r>
            <w:r w:rsidRPr="00A73D2C">
              <w:rPr>
                <w:sz w:val="20"/>
                <w:szCs w:val="20"/>
              </w:rPr>
              <w:t>(</w:t>
            </w:r>
            <w:r>
              <w:rPr>
                <w:sz w:val="20"/>
                <w:szCs w:val="20"/>
              </w:rPr>
              <w:t>Ont.</w:t>
            </w:r>
            <w:r w:rsidRPr="00A73D2C">
              <w:rPr>
                <w:sz w:val="20"/>
                <w:szCs w:val="20"/>
              </w:rPr>
              <w:t>) (C</w:t>
            </w:r>
            <w:r>
              <w:rPr>
                <w:sz w:val="20"/>
                <w:szCs w:val="20"/>
              </w:rPr>
              <w:t>ivil</w:t>
            </w:r>
            <w:r w:rsidRPr="00A73D2C">
              <w:rPr>
                <w:sz w:val="20"/>
                <w:szCs w:val="20"/>
              </w:rPr>
              <w:t>) (By Leave)</w:t>
            </w:r>
          </w:p>
          <w:p w:rsidR="00065B6E" w:rsidRPr="00A73D2C" w:rsidRDefault="00065B6E" w:rsidP="00B77038">
            <w:pPr>
              <w:rPr>
                <w:sz w:val="20"/>
                <w:szCs w:val="20"/>
              </w:rPr>
            </w:pPr>
          </w:p>
        </w:tc>
      </w:tr>
      <w:tr w:rsidR="00065B6E" w:rsidRPr="00A73D2C" w:rsidTr="00B77038">
        <w:trPr>
          <w:cantSplit/>
        </w:trPr>
        <w:tc>
          <w:tcPr>
            <w:tcW w:w="1458" w:type="dxa"/>
          </w:tcPr>
          <w:p w:rsidR="00065B6E" w:rsidRPr="00A73D2C" w:rsidRDefault="00065B6E" w:rsidP="00B77038">
            <w:pPr>
              <w:rPr>
                <w:sz w:val="20"/>
                <w:szCs w:val="20"/>
              </w:rPr>
            </w:pPr>
            <w:r w:rsidRPr="00A73D2C">
              <w:rPr>
                <w:sz w:val="20"/>
                <w:szCs w:val="20"/>
              </w:rPr>
              <w:t>Coram :</w:t>
            </w:r>
          </w:p>
        </w:tc>
        <w:tc>
          <w:tcPr>
            <w:tcW w:w="8118" w:type="dxa"/>
          </w:tcPr>
          <w:p w:rsidR="00065B6E" w:rsidRDefault="004C47EA" w:rsidP="00B77038">
            <w:pPr>
              <w:rPr>
                <w:rStyle w:val="SCCCoramChar"/>
                <w:sz w:val="20"/>
                <w:szCs w:val="20"/>
                <w:lang w:val="en-CA"/>
              </w:rPr>
            </w:pPr>
            <w:r w:rsidRPr="004C47EA">
              <w:rPr>
                <w:rStyle w:val="SCCCoramChar"/>
                <w:sz w:val="20"/>
                <w:szCs w:val="20"/>
                <w:lang w:val="en-CA"/>
              </w:rPr>
              <w:t>Cromwell, Wagner and Côté JJ.</w:t>
            </w:r>
          </w:p>
          <w:p w:rsidR="004C47EA" w:rsidRPr="00A73D2C" w:rsidRDefault="004C47EA" w:rsidP="00B77038">
            <w:pPr>
              <w:rPr>
                <w:sz w:val="20"/>
                <w:szCs w:val="20"/>
                <w:u w:val="single"/>
              </w:rPr>
            </w:pPr>
          </w:p>
        </w:tc>
      </w:tr>
      <w:tr w:rsidR="00065B6E" w:rsidRPr="00002704" w:rsidTr="00B77038">
        <w:trPr>
          <w:cantSplit/>
        </w:trPr>
        <w:tc>
          <w:tcPr>
            <w:tcW w:w="9576" w:type="dxa"/>
            <w:gridSpan w:val="2"/>
          </w:tcPr>
          <w:p w:rsidR="004C47EA" w:rsidRPr="004C47EA" w:rsidRDefault="004C47EA" w:rsidP="004C47EA">
            <w:pPr>
              <w:pStyle w:val="SCCShortJudgment"/>
              <w:rPr>
                <w:szCs w:val="20"/>
              </w:rPr>
            </w:pPr>
            <w:r w:rsidRPr="004C47EA">
              <w:rPr>
                <w:szCs w:val="20"/>
              </w:rPr>
              <w:t>The application for leave to appeal from the judgment of the Court of Appeal for Ontario, Number C58340, 2015 ONCA 288, dated April 24, 2015, is dismissed with costs.</w:t>
            </w:r>
          </w:p>
          <w:p w:rsidR="004C47EA" w:rsidRPr="004C47EA" w:rsidRDefault="004C47EA" w:rsidP="004C47EA">
            <w:pPr>
              <w:pStyle w:val="SCCShortJudgment"/>
              <w:rPr>
                <w:szCs w:val="20"/>
              </w:rPr>
            </w:pPr>
          </w:p>
          <w:p w:rsidR="00065B6E" w:rsidRPr="00A73D2C" w:rsidRDefault="004C47EA" w:rsidP="004C47EA">
            <w:pPr>
              <w:pStyle w:val="SCCShortJudgment"/>
              <w:rPr>
                <w:szCs w:val="20"/>
                <w:lang w:val="fr-CA"/>
              </w:rPr>
            </w:pPr>
            <w:r w:rsidRPr="004C47EA">
              <w:rPr>
                <w:szCs w:val="20"/>
              </w:rPr>
              <w:t>La demande d’autorisation d’appel de l’arrêt de la Cour d’appel de l’Ontario, numéro C58340, 2015 ONCA 288, daté du 24 avril 2015, est rejetée avec dépens.</w:t>
            </w:r>
          </w:p>
        </w:tc>
      </w:tr>
    </w:tbl>
    <w:p w:rsidR="00065B6E" w:rsidRPr="0016547E" w:rsidRDefault="00065B6E" w:rsidP="00065B6E">
      <w:pPr>
        <w:rPr>
          <w:sz w:val="20"/>
          <w:szCs w:val="20"/>
          <w:lang w:val="fr-CA"/>
        </w:rPr>
      </w:pPr>
    </w:p>
    <w:p w:rsidR="00065B6E" w:rsidRPr="001B157C" w:rsidRDefault="00065B6E" w:rsidP="00065B6E">
      <w:pPr>
        <w:rPr>
          <w:sz w:val="20"/>
          <w:szCs w:val="20"/>
          <w:u w:val="single"/>
        </w:rPr>
      </w:pPr>
      <w:r w:rsidRPr="001B157C">
        <w:rPr>
          <w:sz w:val="20"/>
          <w:szCs w:val="20"/>
          <w:u w:val="single"/>
        </w:rPr>
        <w:t>CASE SUMMARY</w:t>
      </w:r>
    </w:p>
    <w:p w:rsidR="00065B6E" w:rsidRDefault="00065B6E" w:rsidP="00065B6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5B6E" w:rsidRPr="00E007CB" w:rsidTr="00B77038">
        <w:tc>
          <w:tcPr>
            <w:tcW w:w="5000" w:type="pct"/>
            <w:gridSpan w:val="3"/>
          </w:tcPr>
          <w:p w:rsidR="00065B6E" w:rsidRDefault="004306A7" w:rsidP="00B77038">
            <w:pPr>
              <w:jc w:val="both"/>
              <w:rPr>
                <w:sz w:val="20"/>
              </w:rPr>
            </w:pPr>
            <w:r w:rsidRPr="00F77596">
              <w:rPr>
                <w:sz w:val="20"/>
              </w:rPr>
              <w:t xml:space="preserve">Family Law – Family assets – Net family property calculation – Treatment of shareholder loan – Can the definition of property in the </w:t>
            </w:r>
            <w:r w:rsidRPr="00F77596">
              <w:rPr>
                <w:i/>
                <w:sz w:val="20"/>
              </w:rPr>
              <w:t>Family Law Act</w:t>
            </w:r>
            <w:r w:rsidRPr="00F77596">
              <w:rPr>
                <w:sz w:val="20"/>
              </w:rPr>
              <w:t xml:space="preserve"> be interpreted to include work to be performed by either spouse in the future? – Whether monetary value should depend on the actual realization in time of the asset – What factors must be considered when determining the monetary value?</w:t>
            </w:r>
          </w:p>
          <w:p w:rsidR="004306A7" w:rsidRPr="00E007CB" w:rsidRDefault="004306A7" w:rsidP="00B77038">
            <w:pPr>
              <w:jc w:val="both"/>
              <w:rPr>
                <w:rFonts w:eastAsia="Calibri"/>
                <w:sz w:val="20"/>
              </w:rPr>
            </w:pPr>
          </w:p>
        </w:tc>
      </w:tr>
      <w:tr w:rsidR="00065B6E" w:rsidRPr="00E007CB" w:rsidTr="00B77038">
        <w:trPr>
          <w:cantSplit/>
        </w:trPr>
        <w:tc>
          <w:tcPr>
            <w:tcW w:w="2427" w:type="pct"/>
          </w:tcPr>
          <w:p w:rsidR="004306A7" w:rsidRPr="00F77596" w:rsidRDefault="004306A7" w:rsidP="004306A7">
            <w:pPr>
              <w:jc w:val="both"/>
              <w:rPr>
                <w:sz w:val="20"/>
              </w:rPr>
            </w:pPr>
            <w:r w:rsidRPr="00F77596">
              <w:rPr>
                <w:sz w:val="20"/>
              </w:rPr>
              <w:t>January 13, 2014</w:t>
            </w:r>
          </w:p>
          <w:p w:rsidR="004306A7" w:rsidRPr="00F77596" w:rsidRDefault="004306A7" w:rsidP="004306A7">
            <w:pPr>
              <w:jc w:val="both"/>
              <w:rPr>
                <w:sz w:val="20"/>
              </w:rPr>
            </w:pPr>
            <w:r w:rsidRPr="00F77596">
              <w:rPr>
                <w:sz w:val="20"/>
              </w:rPr>
              <w:t>Ontario Superior Court of Justice</w:t>
            </w:r>
          </w:p>
          <w:p w:rsidR="004306A7" w:rsidRPr="00F77596" w:rsidRDefault="004306A7" w:rsidP="004306A7">
            <w:pPr>
              <w:jc w:val="both"/>
              <w:rPr>
                <w:sz w:val="20"/>
              </w:rPr>
            </w:pPr>
            <w:r w:rsidRPr="00F77596">
              <w:rPr>
                <w:sz w:val="20"/>
              </w:rPr>
              <w:t>Gilmore J.)</w:t>
            </w:r>
          </w:p>
          <w:p w:rsidR="004306A7" w:rsidRPr="00F77596" w:rsidRDefault="00EC4FDF" w:rsidP="004306A7">
            <w:pPr>
              <w:jc w:val="both"/>
              <w:rPr>
                <w:sz w:val="20"/>
              </w:rPr>
            </w:pPr>
            <w:hyperlink r:id="rId112" w:history="1">
              <w:r w:rsidR="004306A7" w:rsidRPr="00F77596">
                <w:rPr>
                  <w:rStyle w:val="Hyperlink"/>
                  <w:sz w:val="20"/>
                </w:rPr>
                <w:t>2014 ONSC 216</w:t>
              </w:r>
            </w:hyperlink>
          </w:p>
          <w:p w:rsidR="00065B6E" w:rsidRPr="00E007CB" w:rsidRDefault="00065B6E" w:rsidP="00B77038">
            <w:pPr>
              <w:jc w:val="both"/>
              <w:rPr>
                <w:rFonts w:eastAsia="Calibri"/>
                <w:sz w:val="20"/>
              </w:rPr>
            </w:pPr>
          </w:p>
        </w:tc>
        <w:tc>
          <w:tcPr>
            <w:tcW w:w="243" w:type="pct"/>
          </w:tcPr>
          <w:p w:rsidR="00065B6E" w:rsidRPr="00E007CB" w:rsidRDefault="00065B6E" w:rsidP="00B77038">
            <w:pPr>
              <w:jc w:val="both"/>
              <w:rPr>
                <w:rFonts w:eastAsia="Calibri"/>
                <w:sz w:val="20"/>
              </w:rPr>
            </w:pPr>
          </w:p>
        </w:tc>
        <w:tc>
          <w:tcPr>
            <w:tcW w:w="2330" w:type="pct"/>
          </w:tcPr>
          <w:p w:rsidR="004306A7" w:rsidRPr="00F77596" w:rsidRDefault="004306A7" w:rsidP="004306A7">
            <w:pPr>
              <w:jc w:val="both"/>
              <w:rPr>
                <w:sz w:val="20"/>
              </w:rPr>
            </w:pPr>
            <w:r w:rsidRPr="00F77596">
              <w:rPr>
                <w:sz w:val="20"/>
              </w:rPr>
              <w:t>Orders for custody, access, retroactive and continuing child support, spousal support for the respondent and for equalization payment payable by applicant in the amount of $134,808.49.</w:t>
            </w:r>
          </w:p>
          <w:p w:rsidR="00065B6E" w:rsidRPr="00F77596" w:rsidRDefault="00065B6E" w:rsidP="00B77038">
            <w:pPr>
              <w:jc w:val="both"/>
              <w:rPr>
                <w:sz w:val="20"/>
              </w:rPr>
            </w:pPr>
          </w:p>
        </w:tc>
      </w:tr>
      <w:tr w:rsidR="00065B6E" w:rsidRPr="00E007CB" w:rsidTr="00B77038">
        <w:trPr>
          <w:cantSplit/>
        </w:trPr>
        <w:tc>
          <w:tcPr>
            <w:tcW w:w="2427" w:type="pct"/>
          </w:tcPr>
          <w:p w:rsidR="004306A7" w:rsidRPr="00F77596" w:rsidRDefault="004306A7" w:rsidP="004306A7">
            <w:pPr>
              <w:jc w:val="both"/>
              <w:rPr>
                <w:sz w:val="20"/>
              </w:rPr>
            </w:pPr>
            <w:r w:rsidRPr="00F77596">
              <w:rPr>
                <w:sz w:val="20"/>
              </w:rPr>
              <w:t>April 24, 2015</w:t>
            </w:r>
          </w:p>
          <w:p w:rsidR="004306A7" w:rsidRPr="00F77596" w:rsidRDefault="004306A7" w:rsidP="004306A7">
            <w:pPr>
              <w:jc w:val="both"/>
              <w:rPr>
                <w:sz w:val="20"/>
              </w:rPr>
            </w:pPr>
            <w:r w:rsidRPr="00F77596">
              <w:rPr>
                <w:sz w:val="20"/>
              </w:rPr>
              <w:t>Court of Appeal for Ontario</w:t>
            </w:r>
          </w:p>
          <w:p w:rsidR="004306A7" w:rsidRPr="00F77596" w:rsidRDefault="004306A7" w:rsidP="004306A7">
            <w:pPr>
              <w:jc w:val="both"/>
              <w:rPr>
                <w:sz w:val="20"/>
              </w:rPr>
            </w:pPr>
            <w:r w:rsidRPr="00F77596">
              <w:rPr>
                <w:sz w:val="20"/>
              </w:rPr>
              <w:t>(Doherty, Pepall and Rensburg JJ.A.)</w:t>
            </w:r>
          </w:p>
          <w:p w:rsidR="004306A7" w:rsidRPr="00F77596" w:rsidRDefault="00EC4FDF" w:rsidP="004306A7">
            <w:pPr>
              <w:jc w:val="both"/>
              <w:rPr>
                <w:sz w:val="20"/>
              </w:rPr>
            </w:pPr>
            <w:hyperlink r:id="rId113" w:history="1">
              <w:r w:rsidR="004306A7" w:rsidRPr="00F77596">
                <w:rPr>
                  <w:rStyle w:val="Hyperlink"/>
                  <w:sz w:val="20"/>
                </w:rPr>
                <w:t>2015 ONCA 288</w:t>
              </w:r>
            </w:hyperlink>
          </w:p>
          <w:p w:rsidR="00065B6E" w:rsidRDefault="00065B6E" w:rsidP="00B77038">
            <w:pPr>
              <w:jc w:val="both"/>
              <w:rPr>
                <w:rFonts w:eastAsia="Calibri"/>
                <w:sz w:val="20"/>
              </w:rPr>
            </w:pPr>
          </w:p>
        </w:tc>
        <w:tc>
          <w:tcPr>
            <w:tcW w:w="243" w:type="pct"/>
          </w:tcPr>
          <w:p w:rsidR="00065B6E" w:rsidRPr="00E007CB" w:rsidRDefault="00065B6E" w:rsidP="00B77038">
            <w:pPr>
              <w:jc w:val="both"/>
              <w:rPr>
                <w:rFonts w:eastAsia="Calibri"/>
                <w:sz w:val="20"/>
              </w:rPr>
            </w:pPr>
          </w:p>
        </w:tc>
        <w:tc>
          <w:tcPr>
            <w:tcW w:w="2330" w:type="pct"/>
          </w:tcPr>
          <w:p w:rsidR="004306A7" w:rsidRPr="00F77596" w:rsidRDefault="004306A7" w:rsidP="004306A7">
            <w:pPr>
              <w:jc w:val="both"/>
              <w:rPr>
                <w:sz w:val="20"/>
              </w:rPr>
            </w:pPr>
            <w:r w:rsidRPr="00F77596">
              <w:rPr>
                <w:sz w:val="20"/>
              </w:rPr>
              <w:t>Applicant’s appeal dismissed except order for spousal support of $1 per annum payable by applicant deleted from judgment.</w:t>
            </w:r>
          </w:p>
          <w:p w:rsidR="00065B6E" w:rsidRPr="00F77596" w:rsidRDefault="00065B6E" w:rsidP="00B77038">
            <w:pPr>
              <w:jc w:val="both"/>
              <w:rPr>
                <w:sz w:val="20"/>
              </w:rPr>
            </w:pPr>
          </w:p>
        </w:tc>
      </w:tr>
      <w:tr w:rsidR="00065B6E" w:rsidRPr="00E007CB" w:rsidTr="00B77038">
        <w:trPr>
          <w:cantSplit/>
        </w:trPr>
        <w:tc>
          <w:tcPr>
            <w:tcW w:w="2427" w:type="pct"/>
          </w:tcPr>
          <w:p w:rsidR="00065B6E" w:rsidRPr="00F77596" w:rsidRDefault="00065B6E" w:rsidP="00B77038">
            <w:pPr>
              <w:jc w:val="both"/>
              <w:rPr>
                <w:sz w:val="20"/>
              </w:rPr>
            </w:pPr>
            <w:r w:rsidRPr="00F77596">
              <w:rPr>
                <w:sz w:val="20"/>
              </w:rPr>
              <w:t xml:space="preserve">June </w:t>
            </w:r>
            <w:r>
              <w:rPr>
                <w:sz w:val="20"/>
              </w:rPr>
              <w:t>22</w:t>
            </w:r>
            <w:r w:rsidRPr="00F77596">
              <w:rPr>
                <w:sz w:val="20"/>
              </w:rPr>
              <w:t>, 2015</w:t>
            </w:r>
          </w:p>
          <w:p w:rsidR="00065B6E" w:rsidRDefault="00065B6E" w:rsidP="00B77038">
            <w:pPr>
              <w:jc w:val="both"/>
              <w:rPr>
                <w:rFonts w:eastAsia="Calibri"/>
                <w:sz w:val="20"/>
              </w:rPr>
            </w:pPr>
            <w:r w:rsidRPr="00F77596">
              <w:rPr>
                <w:sz w:val="20"/>
              </w:rPr>
              <w:t>Supreme Court of Canada</w:t>
            </w:r>
          </w:p>
          <w:p w:rsidR="00065B6E" w:rsidRDefault="00065B6E" w:rsidP="00B77038">
            <w:pPr>
              <w:jc w:val="both"/>
              <w:rPr>
                <w:rFonts w:eastAsia="Calibri"/>
                <w:sz w:val="20"/>
              </w:rPr>
            </w:pPr>
          </w:p>
        </w:tc>
        <w:tc>
          <w:tcPr>
            <w:tcW w:w="243" w:type="pct"/>
          </w:tcPr>
          <w:p w:rsidR="00065B6E" w:rsidRPr="00E007CB" w:rsidRDefault="00065B6E" w:rsidP="00B77038">
            <w:pPr>
              <w:jc w:val="both"/>
              <w:rPr>
                <w:rFonts w:eastAsia="Calibri"/>
                <w:sz w:val="20"/>
              </w:rPr>
            </w:pPr>
          </w:p>
        </w:tc>
        <w:tc>
          <w:tcPr>
            <w:tcW w:w="2330" w:type="pct"/>
          </w:tcPr>
          <w:p w:rsidR="00065B6E" w:rsidRPr="00F77596" w:rsidRDefault="00065B6E" w:rsidP="004306A7">
            <w:pPr>
              <w:jc w:val="both"/>
              <w:rPr>
                <w:sz w:val="20"/>
              </w:rPr>
            </w:pPr>
            <w:r w:rsidRPr="00F77596">
              <w:rPr>
                <w:sz w:val="20"/>
              </w:rPr>
              <w:t>Application for leave to appeal filed</w:t>
            </w:r>
          </w:p>
        </w:tc>
      </w:tr>
    </w:tbl>
    <w:p w:rsidR="00065B6E" w:rsidRDefault="00065B6E" w:rsidP="00065B6E">
      <w:pPr>
        <w:rPr>
          <w:sz w:val="20"/>
          <w:szCs w:val="20"/>
        </w:rPr>
      </w:pPr>
    </w:p>
    <w:p w:rsidR="00065B6E" w:rsidRPr="00C50A5C" w:rsidRDefault="00EC4FDF" w:rsidP="00065B6E">
      <w:pPr>
        <w:rPr>
          <w:sz w:val="20"/>
          <w:szCs w:val="20"/>
        </w:rPr>
      </w:pPr>
      <w:r>
        <w:rPr>
          <w:sz w:val="20"/>
          <w:szCs w:val="20"/>
          <w:lang w:val="fr-CA"/>
        </w:rPr>
        <w:pict>
          <v:rect id="_x0000_i1087" style="width:2in;height:1pt" o:hrpct="0" o:hralign="center" o:hrstd="t" o:hrnoshade="t" o:hr="t" fillcolor="black [3213]" stroked="f"/>
        </w:pict>
      </w:r>
    </w:p>
    <w:p w:rsidR="00065B6E" w:rsidRDefault="00065B6E" w:rsidP="00065B6E">
      <w:pPr>
        <w:rPr>
          <w:sz w:val="20"/>
          <w:szCs w:val="20"/>
        </w:rPr>
      </w:pPr>
    </w:p>
    <w:p w:rsidR="00065B6E" w:rsidRPr="001B157C" w:rsidRDefault="00065B6E" w:rsidP="00065B6E">
      <w:pPr>
        <w:rPr>
          <w:sz w:val="20"/>
          <w:szCs w:val="20"/>
          <w:u w:val="single"/>
          <w:lang w:val="fr-CA"/>
        </w:rPr>
      </w:pPr>
      <w:r w:rsidRPr="001B157C">
        <w:rPr>
          <w:sz w:val="20"/>
          <w:szCs w:val="20"/>
          <w:u w:val="single"/>
          <w:lang w:val="fr-CA"/>
        </w:rPr>
        <w:t>RÉSUMÉ DE L’AFFAIRE</w:t>
      </w:r>
    </w:p>
    <w:p w:rsidR="00065B6E" w:rsidRDefault="00065B6E" w:rsidP="00065B6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5B6E" w:rsidRPr="00002704" w:rsidTr="00B77038">
        <w:tc>
          <w:tcPr>
            <w:tcW w:w="5000" w:type="pct"/>
            <w:gridSpan w:val="3"/>
          </w:tcPr>
          <w:p w:rsidR="00DE4042" w:rsidRDefault="00DE4042" w:rsidP="00DE4042">
            <w:pPr>
              <w:jc w:val="both"/>
              <w:rPr>
                <w:sz w:val="20"/>
                <w:lang w:val="fr-CA"/>
              </w:rPr>
            </w:pPr>
            <w:r w:rsidRPr="00F77596">
              <w:rPr>
                <w:sz w:val="20"/>
                <w:lang w:val="fr-CA"/>
              </w:rPr>
              <w:t xml:space="preserve">Droit de la famille – Bien familiaux – Calcul des biens familiaux nets – Traitement d’un prêt d’actionnaire – La définition de « bien » dans la </w:t>
            </w:r>
            <w:r w:rsidRPr="00F77596">
              <w:rPr>
                <w:i/>
                <w:sz w:val="20"/>
                <w:lang w:val="fr-CA"/>
              </w:rPr>
              <w:t>Loi sur le droit de la famille</w:t>
            </w:r>
            <w:r w:rsidRPr="00F77596">
              <w:rPr>
                <w:sz w:val="20"/>
                <w:lang w:val="fr-CA"/>
              </w:rPr>
              <w:t xml:space="preserve"> peut-elle être interprétée de manière à inclure le travail accompli par chaque époux dans le futur? – La valeur monétaire devrait-elle dépendre de la réalisation effective de l’actif dans le temps? – Quels facteurs doivent être pris en considération lors de la détermination de la valeur monétaire?</w:t>
            </w:r>
          </w:p>
          <w:p w:rsidR="00065B6E" w:rsidRPr="00E007CB" w:rsidRDefault="00065B6E" w:rsidP="00B77038">
            <w:pPr>
              <w:jc w:val="both"/>
              <w:rPr>
                <w:rFonts w:eastAsia="Calibri"/>
                <w:sz w:val="20"/>
                <w:lang w:val="fr-CA"/>
              </w:rPr>
            </w:pPr>
          </w:p>
        </w:tc>
      </w:tr>
      <w:tr w:rsidR="00065B6E" w:rsidRPr="00002704" w:rsidTr="00B77038">
        <w:trPr>
          <w:cantSplit/>
        </w:trPr>
        <w:tc>
          <w:tcPr>
            <w:tcW w:w="2427" w:type="pct"/>
          </w:tcPr>
          <w:p w:rsidR="00DE4042" w:rsidRPr="00F77596" w:rsidRDefault="00DE4042" w:rsidP="00DE4042">
            <w:pPr>
              <w:jc w:val="both"/>
              <w:rPr>
                <w:sz w:val="20"/>
                <w:lang w:val="fr-CA"/>
              </w:rPr>
            </w:pPr>
            <w:r w:rsidRPr="00F77596">
              <w:rPr>
                <w:sz w:val="20"/>
                <w:lang w:val="fr-CA"/>
              </w:rPr>
              <w:t>13 janvier 2014</w:t>
            </w:r>
          </w:p>
          <w:p w:rsidR="00DE4042" w:rsidRPr="00F77596" w:rsidRDefault="00DE4042" w:rsidP="00DE4042">
            <w:pPr>
              <w:jc w:val="both"/>
              <w:rPr>
                <w:sz w:val="20"/>
                <w:lang w:val="fr-CA"/>
              </w:rPr>
            </w:pPr>
            <w:r w:rsidRPr="00F77596">
              <w:rPr>
                <w:sz w:val="20"/>
                <w:lang w:val="fr-CA"/>
              </w:rPr>
              <w:t xml:space="preserve">Cour supérieure de justice de l’Ontario </w:t>
            </w:r>
          </w:p>
          <w:p w:rsidR="00DE4042" w:rsidRPr="00F77596" w:rsidRDefault="00DE4042" w:rsidP="00DE4042">
            <w:pPr>
              <w:jc w:val="both"/>
              <w:rPr>
                <w:sz w:val="20"/>
                <w:lang w:val="fr-CA"/>
              </w:rPr>
            </w:pPr>
            <w:r w:rsidRPr="00F77596">
              <w:rPr>
                <w:sz w:val="20"/>
                <w:lang w:val="fr-CA"/>
              </w:rPr>
              <w:t>(Juge Gilmore)</w:t>
            </w:r>
          </w:p>
          <w:p w:rsidR="00DE4042" w:rsidRPr="00F77596" w:rsidRDefault="00EC4FDF" w:rsidP="00DE4042">
            <w:pPr>
              <w:jc w:val="both"/>
              <w:rPr>
                <w:sz w:val="20"/>
                <w:lang w:val="fr-CA"/>
              </w:rPr>
            </w:pPr>
            <w:hyperlink r:id="rId114" w:history="1">
              <w:r w:rsidR="00DE4042" w:rsidRPr="00F77596">
                <w:rPr>
                  <w:rStyle w:val="Hyperlink"/>
                  <w:sz w:val="20"/>
                  <w:lang w:val="fr-CA"/>
                </w:rPr>
                <w:t>2014 ONSC 216</w:t>
              </w:r>
            </w:hyperlink>
          </w:p>
          <w:p w:rsidR="00065B6E" w:rsidRPr="00E007CB" w:rsidRDefault="00065B6E" w:rsidP="00B77038">
            <w:pPr>
              <w:jc w:val="both"/>
              <w:rPr>
                <w:rFonts w:eastAsia="Calibri"/>
                <w:sz w:val="20"/>
                <w:lang w:val="fr-CA"/>
              </w:rPr>
            </w:pPr>
          </w:p>
        </w:tc>
        <w:tc>
          <w:tcPr>
            <w:tcW w:w="243" w:type="pct"/>
          </w:tcPr>
          <w:p w:rsidR="00065B6E" w:rsidRPr="00E007CB" w:rsidRDefault="00065B6E" w:rsidP="00B77038">
            <w:pPr>
              <w:jc w:val="both"/>
              <w:rPr>
                <w:rFonts w:eastAsia="Calibri"/>
                <w:sz w:val="20"/>
                <w:lang w:val="fr-CA"/>
              </w:rPr>
            </w:pPr>
          </w:p>
        </w:tc>
        <w:tc>
          <w:tcPr>
            <w:tcW w:w="2330" w:type="pct"/>
          </w:tcPr>
          <w:p w:rsidR="00DE4042" w:rsidRPr="00F77596" w:rsidRDefault="00DE4042" w:rsidP="00DE4042">
            <w:pPr>
              <w:jc w:val="both"/>
              <w:rPr>
                <w:sz w:val="20"/>
                <w:lang w:val="fr-CA"/>
              </w:rPr>
            </w:pPr>
            <w:r w:rsidRPr="00F77596">
              <w:rPr>
                <w:sz w:val="20"/>
                <w:lang w:val="fr-CA"/>
              </w:rPr>
              <w:t>Ordonnances de garde, d’accès, de paiement d’une pension alimentaire rétroactive et continue au profit des enfants, de paiement d’une pension alimentaire au profit de l’intimée et de versement par le demandeur d’un paiement d’égalisation de 134 808,49 $.</w:t>
            </w:r>
          </w:p>
          <w:p w:rsidR="00065B6E" w:rsidRPr="00F77596" w:rsidRDefault="00065B6E" w:rsidP="00B77038">
            <w:pPr>
              <w:jc w:val="both"/>
              <w:rPr>
                <w:sz w:val="20"/>
                <w:lang w:val="fr-CA"/>
              </w:rPr>
            </w:pPr>
          </w:p>
        </w:tc>
      </w:tr>
      <w:tr w:rsidR="00065B6E" w:rsidRPr="00E007CB" w:rsidTr="00B77038">
        <w:trPr>
          <w:cantSplit/>
        </w:trPr>
        <w:tc>
          <w:tcPr>
            <w:tcW w:w="2427" w:type="pct"/>
          </w:tcPr>
          <w:p w:rsidR="00DE4042" w:rsidRPr="00F77596" w:rsidRDefault="00DE4042" w:rsidP="00DE4042">
            <w:pPr>
              <w:jc w:val="both"/>
              <w:rPr>
                <w:sz w:val="20"/>
                <w:lang w:val="fr-CA"/>
              </w:rPr>
            </w:pPr>
            <w:r w:rsidRPr="00F77596">
              <w:rPr>
                <w:sz w:val="20"/>
                <w:lang w:val="fr-CA"/>
              </w:rPr>
              <w:t>24 avril 2015</w:t>
            </w:r>
          </w:p>
          <w:p w:rsidR="00DE4042" w:rsidRPr="00F77596" w:rsidRDefault="00DE4042" w:rsidP="00DE4042">
            <w:pPr>
              <w:jc w:val="both"/>
              <w:rPr>
                <w:sz w:val="20"/>
                <w:lang w:val="fr-CA"/>
              </w:rPr>
            </w:pPr>
            <w:r w:rsidRPr="00F77596">
              <w:rPr>
                <w:sz w:val="20"/>
                <w:lang w:val="fr-CA"/>
              </w:rPr>
              <w:t>Cour d’appel de l’Ontario</w:t>
            </w:r>
          </w:p>
          <w:p w:rsidR="00DE4042" w:rsidRPr="00F77596" w:rsidRDefault="00DE4042" w:rsidP="00DE4042">
            <w:pPr>
              <w:jc w:val="both"/>
              <w:rPr>
                <w:sz w:val="20"/>
                <w:lang w:val="fr-CA"/>
              </w:rPr>
            </w:pPr>
            <w:r w:rsidRPr="00F77596">
              <w:rPr>
                <w:sz w:val="20"/>
                <w:lang w:val="fr-CA"/>
              </w:rPr>
              <w:t>(Juges Doherty, Pepall et Rensburg)</w:t>
            </w:r>
          </w:p>
          <w:p w:rsidR="00DE4042" w:rsidRPr="00F77596" w:rsidRDefault="00EC4FDF" w:rsidP="00DE4042">
            <w:pPr>
              <w:jc w:val="both"/>
              <w:rPr>
                <w:sz w:val="20"/>
                <w:lang w:val="fr-CA"/>
              </w:rPr>
            </w:pPr>
            <w:hyperlink r:id="rId115" w:history="1">
              <w:r w:rsidR="00DE4042" w:rsidRPr="00F77596">
                <w:rPr>
                  <w:rStyle w:val="Hyperlink"/>
                  <w:sz w:val="20"/>
                  <w:lang w:val="fr-CA"/>
                </w:rPr>
                <w:t>2015 ONCA 288</w:t>
              </w:r>
            </w:hyperlink>
          </w:p>
          <w:p w:rsidR="00065B6E" w:rsidRDefault="00065B6E" w:rsidP="00B77038">
            <w:pPr>
              <w:jc w:val="both"/>
              <w:rPr>
                <w:rFonts w:eastAsia="Calibri"/>
                <w:sz w:val="20"/>
                <w:lang w:val="fr-CA"/>
              </w:rPr>
            </w:pPr>
          </w:p>
        </w:tc>
        <w:tc>
          <w:tcPr>
            <w:tcW w:w="243" w:type="pct"/>
          </w:tcPr>
          <w:p w:rsidR="00065B6E" w:rsidRPr="00E007CB" w:rsidRDefault="00065B6E" w:rsidP="00B77038">
            <w:pPr>
              <w:jc w:val="both"/>
              <w:rPr>
                <w:rFonts w:eastAsia="Calibri"/>
                <w:sz w:val="20"/>
                <w:lang w:val="fr-CA"/>
              </w:rPr>
            </w:pPr>
          </w:p>
        </w:tc>
        <w:tc>
          <w:tcPr>
            <w:tcW w:w="2330" w:type="pct"/>
          </w:tcPr>
          <w:p w:rsidR="00DE4042" w:rsidRPr="00F77596" w:rsidRDefault="00DE4042" w:rsidP="00DE4042">
            <w:pPr>
              <w:jc w:val="both"/>
              <w:rPr>
                <w:sz w:val="20"/>
                <w:lang w:val="fr-CA"/>
              </w:rPr>
            </w:pPr>
            <w:r w:rsidRPr="00F77596">
              <w:rPr>
                <w:sz w:val="20"/>
                <w:lang w:val="fr-CA"/>
              </w:rPr>
              <w:t>Rejet de l’appel du demandeur, sauf à l’égard de l’ordonnance de paiement d’une pension alimentaire de 1 $ par année à l’intimée, laquelle est supprimée du jugement.</w:t>
            </w:r>
          </w:p>
          <w:p w:rsidR="00065B6E" w:rsidRPr="00F77596" w:rsidRDefault="00065B6E" w:rsidP="00B77038">
            <w:pPr>
              <w:jc w:val="both"/>
              <w:rPr>
                <w:sz w:val="20"/>
                <w:lang w:val="fr-CA"/>
              </w:rPr>
            </w:pPr>
          </w:p>
        </w:tc>
      </w:tr>
      <w:tr w:rsidR="00065B6E" w:rsidRPr="00E007CB" w:rsidTr="00B77038">
        <w:trPr>
          <w:cantSplit/>
        </w:trPr>
        <w:tc>
          <w:tcPr>
            <w:tcW w:w="2427" w:type="pct"/>
          </w:tcPr>
          <w:p w:rsidR="00065B6E" w:rsidRPr="00F77596" w:rsidRDefault="00065B6E" w:rsidP="00B77038">
            <w:pPr>
              <w:jc w:val="both"/>
              <w:rPr>
                <w:sz w:val="20"/>
              </w:rPr>
            </w:pPr>
            <w:r>
              <w:rPr>
                <w:sz w:val="20"/>
              </w:rPr>
              <w:t>22</w:t>
            </w:r>
            <w:r w:rsidRPr="00F77596">
              <w:rPr>
                <w:sz w:val="20"/>
              </w:rPr>
              <w:t xml:space="preserve"> juin 2015</w:t>
            </w:r>
          </w:p>
          <w:p w:rsidR="00065B6E" w:rsidRPr="00F77596" w:rsidRDefault="00065B6E" w:rsidP="00B77038">
            <w:pPr>
              <w:jc w:val="both"/>
              <w:rPr>
                <w:sz w:val="20"/>
              </w:rPr>
            </w:pPr>
            <w:r w:rsidRPr="00F77596">
              <w:rPr>
                <w:sz w:val="20"/>
              </w:rPr>
              <w:t>Cour suprême du Canada</w:t>
            </w:r>
          </w:p>
          <w:p w:rsidR="00065B6E" w:rsidRDefault="00065B6E" w:rsidP="00B77038">
            <w:pPr>
              <w:jc w:val="both"/>
              <w:rPr>
                <w:rFonts w:eastAsia="Calibri"/>
                <w:sz w:val="20"/>
                <w:lang w:val="fr-CA"/>
              </w:rPr>
            </w:pPr>
          </w:p>
        </w:tc>
        <w:tc>
          <w:tcPr>
            <w:tcW w:w="243" w:type="pct"/>
          </w:tcPr>
          <w:p w:rsidR="00065B6E" w:rsidRPr="00E007CB" w:rsidRDefault="00065B6E" w:rsidP="00B77038">
            <w:pPr>
              <w:jc w:val="both"/>
              <w:rPr>
                <w:rFonts w:eastAsia="Calibri"/>
                <w:sz w:val="20"/>
                <w:lang w:val="fr-CA"/>
              </w:rPr>
            </w:pPr>
          </w:p>
        </w:tc>
        <w:tc>
          <w:tcPr>
            <w:tcW w:w="2330" w:type="pct"/>
          </w:tcPr>
          <w:p w:rsidR="00DE4042" w:rsidRPr="00F77596" w:rsidRDefault="00DE4042" w:rsidP="00DE4042">
            <w:pPr>
              <w:jc w:val="both"/>
              <w:rPr>
                <w:sz w:val="20"/>
                <w:lang w:val="fr-CA"/>
              </w:rPr>
            </w:pPr>
            <w:r w:rsidRPr="00F77596">
              <w:rPr>
                <w:sz w:val="20"/>
                <w:lang w:val="fr-CA"/>
              </w:rPr>
              <w:t>Dépôt de la demande d’autorisation d’appel.</w:t>
            </w:r>
          </w:p>
          <w:p w:rsidR="00065B6E" w:rsidRPr="00F77596" w:rsidRDefault="00065B6E" w:rsidP="00B77038">
            <w:pPr>
              <w:jc w:val="both"/>
              <w:rPr>
                <w:sz w:val="20"/>
                <w:lang w:val="fr-CA"/>
              </w:rPr>
            </w:pPr>
          </w:p>
        </w:tc>
      </w:tr>
    </w:tbl>
    <w:p w:rsidR="00065B6E" w:rsidRDefault="00065B6E" w:rsidP="00065B6E">
      <w:pPr>
        <w:rPr>
          <w:sz w:val="20"/>
          <w:szCs w:val="20"/>
        </w:rPr>
      </w:pPr>
    </w:p>
    <w:p w:rsidR="00065B6E" w:rsidRDefault="00EC4FDF" w:rsidP="00065B6E">
      <w:pPr>
        <w:rPr>
          <w:sz w:val="20"/>
          <w:szCs w:val="20"/>
        </w:rPr>
      </w:pPr>
      <w:r>
        <w:rPr>
          <w:sz w:val="20"/>
          <w:szCs w:val="20"/>
          <w:lang w:val="fr-CA"/>
        </w:rPr>
        <w:pict>
          <v:rect id="_x0000_i1088" style="width:2in;height:1pt" o:hrpct="0" o:hralign="center" o:hrstd="t" o:hrnoshade="t" o:hr="t" fillcolor="black [3213]" stroked="f"/>
        </w:pict>
      </w:r>
    </w:p>
    <w:p w:rsidR="00065B6E" w:rsidRDefault="00065B6E" w:rsidP="00065B6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701C9" w:rsidRPr="00A73D2C" w:rsidTr="00B77038">
        <w:trPr>
          <w:cantSplit/>
        </w:trPr>
        <w:tc>
          <w:tcPr>
            <w:tcW w:w="1458" w:type="dxa"/>
          </w:tcPr>
          <w:p w:rsidR="00A701C9" w:rsidRPr="00A73D2C" w:rsidRDefault="00A701C9" w:rsidP="00B77038">
            <w:pPr>
              <w:rPr>
                <w:sz w:val="20"/>
                <w:szCs w:val="20"/>
              </w:rPr>
            </w:pPr>
            <w:r w:rsidRPr="00A73D2C">
              <w:rPr>
                <w:rStyle w:val="SCCFileNumberChar"/>
                <w:sz w:val="20"/>
                <w:szCs w:val="20"/>
              </w:rPr>
              <w:t>36</w:t>
            </w:r>
            <w:r>
              <w:rPr>
                <w:rStyle w:val="SCCFileNumberChar"/>
                <w:sz w:val="20"/>
                <w:szCs w:val="20"/>
              </w:rPr>
              <w:t>509</w:t>
            </w:r>
          </w:p>
          <w:p w:rsidR="00A701C9" w:rsidRPr="00A73D2C" w:rsidRDefault="00A701C9" w:rsidP="00B77038">
            <w:pPr>
              <w:rPr>
                <w:b/>
                <w:sz w:val="20"/>
                <w:szCs w:val="20"/>
                <w:lang w:val="fr-CA"/>
              </w:rPr>
            </w:pPr>
          </w:p>
        </w:tc>
        <w:tc>
          <w:tcPr>
            <w:tcW w:w="8118" w:type="dxa"/>
          </w:tcPr>
          <w:p w:rsidR="00A701C9" w:rsidRPr="00A73D2C" w:rsidRDefault="00A701C9" w:rsidP="00B77038">
            <w:pPr>
              <w:rPr>
                <w:sz w:val="20"/>
                <w:szCs w:val="20"/>
              </w:rPr>
            </w:pPr>
            <w:r w:rsidRPr="00A701C9">
              <w:rPr>
                <w:rStyle w:val="SCCLsocChar"/>
                <w:sz w:val="20"/>
                <w:szCs w:val="20"/>
                <w:lang w:val="en-CA"/>
              </w:rPr>
              <w:t>Kin Fong v. Her Majesty the Queen</w:t>
            </w:r>
            <w:r w:rsidRPr="00FE3038">
              <w:rPr>
                <w:rStyle w:val="SCCLsocChar"/>
                <w:sz w:val="20"/>
                <w:szCs w:val="20"/>
                <w:u w:val="none"/>
                <w:lang w:val="en-CA"/>
              </w:rPr>
              <w:t xml:space="preserve"> </w:t>
            </w:r>
            <w:r w:rsidRPr="00A73D2C">
              <w:rPr>
                <w:sz w:val="20"/>
                <w:szCs w:val="20"/>
              </w:rPr>
              <w:t>(</w:t>
            </w:r>
            <w:r>
              <w:rPr>
                <w:sz w:val="20"/>
                <w:szCs w:val="20"/>
              </w:rPr>
              <w:t>F.C.</w:t>
            </w:r>
            <w:r w:rsidRPr="00A73D2C">
              <w:rPr>
                <w:sz w:val="20"/>
                <w:szCs w:val="20"/>
              </w:rPr>
              <w:t>) (C</w:t>
            </w:r>
            <w:r>
              <w:rPr>
                <w:sz w:val="20"/>
                <w:szCs w:val="20"/>
              </w:rPr>
              <w:t>ivil</w:t>
            </w:r>
            <w:r w:rsidRPr="00A73D2C">
              <w:rPr>
                <w:sz w:val="20"/>
                <w:szCs w:val="20"/>
              </w:rPr>
              <w:t>) (By Leave)</w:t>
            </w:r>
          </w:p>
          <w:p w:rsidR="00A701C9" w:rsidRPr="00A73D2C" w:rsidRDefault="00A701C9" w:rsidP="00B77038">
            <w:pPr>
              <w:rPr>
                <w:sz w:val="20"/>
                <w:szCs w:val="20"/>
              </w:rPr>
            </w:pPr>
          </w:p>
        </w:tc>
      </w:tr>
      <w:tr w:rsidR="00A701C9" w:rsidRPr="00A73D2C" w:rsidTr="00B77038">
        <w:trPr>
          <w:cantSplit/>
        </w:trPr>
        <w:tc>
          <w:tcPr>
            <w:tcW w:w="1458" w:type="dxa"/>
          </w:tcPr>
          <w:p w:rsidR="00A701C9" w:rsidRPr="00A73D2C" w:rsidRDefault="00A701C9" w:rsidP="00B77038">
            <w:pPr>
              <w:rPr>
                <w:sz w:val="20"/>
                <w:szCs w:val="20"/>
              </w:rPr>
            </w:pPr>
            <w:r w:rsidRPr="00A73D2C">
              <w:rPr>
                <w:sz w:val="20"/>
                <w:szCs w:val="20"/>
              </w:rPr>
              <w:t>Coram :</w:t>
            </w:r>
          </w:p>
        </w:tc>
        <w:tc>
          <w:tcPr>
            <w:tcW w:w="8118" w:type="dxa"/>
          </w:tcPr>
          <w:p w:rsidR="00A701C9" w:rsidRDefault="00436494" w:rsidP="00B77038">
            <w:pPr>
              <w:rPr>
                <w:rStyle w:val="SCCCoramChar"/>
                <w:sz w:val="20"/>
                <w:szCs w:val="20"/>
                <w:lang w:val="en-CA"/>
              </w:rPr>
            </w:pPr>
            <w:r w:rsidRPr="00436494">
              <w:rPr>
                <w:rStyle w:val="SCCCoramChar"/>
                <w:sz w:val="20"/>
                <w:szCs w:val="20"/>
                <w:lang w:val="en-CA"/>
              </w:rPr>
              <w:t>Cromwell, Wagner and Côté JJ.</w:t>
            </w:r>
          </w:p>
          <w:p w:rsidR="00436494" w:rsidRPr="00A73D2C" w:rsidRDefault="00436494" w:rsidP="00B77038">
            <w:pPr>
              <w:rPr>
                <w:sz w:val="20"/>
                <w:szCs w:val="20"/>
                <w:u w:val="single"/>
              </w:rPr>
            </w:pPr>
          </w:p>
        </w:tc>
      </w:tr>
      <w:tr w:rsidR="00A701C9" w:rsidRPr="00002704" w:rsidTr="00B77038">
        <w:trPr>
          <w:cantSplit/>
        </w:trPr>
        <w:tc>
          <w:tcPr>
            <w:tcW w:w="9576" w:type="dxa"/>
            <w:gridSpan w:val="2"/>
          </w:tcPr>
          <w:p w:rsidR="00436494" w:rsidRPr="00436494" w:rsidRDefault="00436494" w:rsidP="00436494">
            <w:pPr>
              <w:pStyle w:val="SCCShortJudgment"/>
              <w:rPr>
                <w:szCs w:val="20"/>
              </w:rPr>
            </w:pPr>
            <w:r w:rsidRPr="00436494">
              <w:rPr>
                <w:szCs w:val="20"/>
              </w:rPr>
              <w:t>The application for leave to appeal from the judgment of the Federal Court of Appeal, Numbers A-238-14, A-239-14, A-240-14 and A-241-14, 2015 FCA 102, dated April 21, 2015, is dismissed with costs.</w:t>
            </w:r>
          </w:p>
          <w:p w:rsidR="00436494" w:rsidRPr="00436494" w:rsidRDefault="00436494" w:rsidP="00436494">
            <w:pPr>
              <w:pStyle w:val="SCCShortJudgment"/>
              <w:rPr>
                <w:szCs w:val="20"/>
              </w:rPr>
            </w:pPr>
          </w:p>
          <w:p w:rsidR="00A701C9" w:rsidRPr="00A73D2C" w:rsidRDefault="00436494" w:rsidP="00436494">
            <w:pPr>
              <w:pStyle w:val="SCCShortJudgment"/>
              <w:rPr>
                <w:szCs w:val="20"/>
                <w:lang w:val="fr-CA"/>
              </w:rPr>
            </w:pPr>
            <w:r w:rsidRPr="00436494">
              <w:rPr>
                <w:szCs w:val="20"/>
              </w:rPr>
              <w:t>La demande d’autorisation d’appel de l’arrêt de la Cour d’appel fédérale, numéros A-238-14, A-239-14, A-240-14 et A-241-14, 2015 CAF 102, daté du 21 avril 2015, est rejetée avec dépens.</w:t>
            </w:r>
          </w:p>
        </w:tc>
      </w:tr>
    </w:tbl>
    <w:p w:rsidR="00A701C9" w:rsidRPr="0016547E" w:rsidRDefault="00A701C9" w:rsidP="00A701C9">
      <w:pPr>
        <w:rPr>
          <w:sz w:val="20"/>
          <w:szCs w:val="20"/>
          <w:lang w:val="fr-CA"/>
        </w:rPr>
      </w:pPr>
    </w:p>
    <w:p w:rsidR="00A701C9" w:rsidRPr="001B157C" w:rsidRDefault="00A701C9" w:rsidP="00A701C9">
      <w:pPr>
        <w:rPr>
          <w:sz w:val="20"/>
          <w:szCs w:val="20"/>
          <w:u w:val="single"/>
        </w:rPr>
      </w:pPr>
      <w:r w:rsidRPr="001B157C">
        <w:rPr>
          <w:sz w:val="20"/>
          <w:szCs w:val="20"/>
          <w:u w:val="single"/>
        </w:rPr>
        <w:t>CASE SUMMARY</w:t>
      </w:r>
    </w:p>
    <w:p w:rsidR="00A701C9" w:rsidRDefault="00A701C9" w:rsidP="00A701C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701C9" w:rsidRPr="00E007CB" w:rsidTr="00B77038">
        <w:tc>
          <w:tcPr>
            <w:tcW w:w="5000" w:type="pct"/>
            <w:gridSpan w:val="3"/>
          </w:tcPr>
          <w:p w:rsidR="00A701C9" w:rsidRDefault="00A701C9" w:rsidP="00B77038">
            <w:pPr>
              <w:jc w:val="both"/>
              <w:rPr>
                <w:sz w:val="20"/>
              </w:rPr>
            </w:pPr>
            <w:r w:rsidRPr="00F77596">
              <w:rPr>
                <w:i/>
                <w:sz w:val="20"/>
              </w:rPr>
              <w:t>Charter of Rights</w:t>
            </w:r>
            <w:r w:rsidRPr="00F77596">
              <w:rPr>
                <w:sz w:val="20"/>
              </w:rPr>
              <w:t xml:space="preserve"> – Presumption of innocence – Right to fair hearing – Violation of rights – Taxation – Income tax – Assessment – Applicant’s motions for discretionary and declaratory relief dismissed – Whether Tax Court allowed a re-statement to ignore, deny or abrogate constitutional rights guaranteed to all Canadians – Whether the Canada Revenue Agency actually exists as a lawful and legal entity – Whether it and its personnel are bound by </w:t>
            </w:r>
            <w:r w:rsidRPr="00F77596">
              <w:rPr>
                <w:i/>
                <w:sz w:val="20"/>
              </w:rPr>
              <w:t>Constitution Act, 1982</w:t>
            </w:r>
            <w:r w:rsidRPr="00F77596">
              <w:rPr>
                <w:sz w:val="20"/>
              </w:rPr>
              <w:t xml:space="preserve"> and </w:t>
            </w:r>
            <w:r w:rsidRPr="00F77596">
              <w:rPr>
                <w:i/>
                <w:sz w:val="20"/>
              </w:rPr>
              <w:t>Charter</w:t>
            </w:r>
            <w:r w:rsidRPr="00F77596">
              <w:rPr>
                <w:sz w:val="20"/>
              </w:rPr>
              <w:t xml:space="preserve"> – Whether effect of discretion by both courts was to violate, ignore, avoid, deny and abrogate applicant’s guaranteed constitutional rights – What does Supremacy of God and rule of law promised in preamble of </w:t>
            </w:r>
            <w:r w:rsidRPr="00F77596">
              <w:rPr>
                <w:i/>
                <w:sz w:val="20"/>
              </w:rPr>
              <w:t xml:space="preserve">Charter </w:t>
            </w:r>
            <w:r w:rsidRPr="00F77596">
              <w:rPr>
                <w:sz w:val="20"/>
              </w:rPr>
              <w:t xml:space="preserve">actually mean? </w:t>
            </w:r>
          </w:p>
          <w:p w:rsidR="00A701C9" w:rsidRPr="00E007CB" w:rsidRDefault="00A701C9" w:rsidP="00B77038">
            <w:pPr>
              <w:jc w:val="both"/>
              <w:rPr>
                <w:rFonts w:eastAsia="Calibri"/>
                <w:sz w:val="20"/>
              </w:rPr>
            </w:pPr>
          </w:p>
        </w:tc>
      </w:tr>
      <w:tr w:rsidR="00A701C9" w:rsidRPr="00E007CB" w:rsidTr="00B77038">
        <w:tc>
          <w:tcPr>
            <w:tcW w:w="5000" w:type="pct"/>
            <w:gridSpan w:val="3"/>
          </w:tcPr>
          <w:p w:rsidR="00A701C9" w:rsidRPr="00F77596" w:rsidRDefault="00A701C9" w:rsidP="00A701C9">
            <w:pPr>
              <w:jc w:val="both"/>
              <w:rPr>
                <w:sz w:val="20"/>
              </w:rPr>
            </w:pPr>
            <w:r w:rsidRPr="00F77596">
              <w:rPr>
                <w:sz w:val="20"/>
              </w:rPr>
              <w:t>Mr. Fong filed four appeals from four orders made by the Tax Court of Canada. The appeals all challenged the Minister’s tax reassessments for Mr. Fong for the 2001-2009 taxation years. The Federal Court of Appeal categorized some of these appeals as discretionary while other appeals sought legal relief.</w:t>
            </w:r>
          </w:p>
          <w:p w:rsidR="00A701C9" w:rsidRPr="00F77596" w:rsidRDefault="00A701C9" w:rsidP="00B77038">
            <w:pPr>
              <w:jc w:val="both"/>
              <w:rPr>
                <w:sz w:val="20"/>
              </w:rPr>
            </w:pPr>
          </w:p>
        </w:tc>
      </w:tr>
      <w:tr w:rsidR="00A701C9" w:rsidRPr="00E007CB" w:rsidTr="00B77038">
        <w:trPr>
          <w:cantSplit/>
        </w:trPr>
        <w:tc>
          <w:tcPr>
            <w:tcW w:w="2427" w:type="pct"/>
          </w:tcPr>
          <w:p w:rsidR="005B3DB2" w:rsidRPr="00F77596" w:rsidRDefault="005B3DB2" w:rsidP="005B3DB2">
            <w:pPr>
              <w:jc w:val="both"/>
              <w:rPr>
                <w:sz w:val="20"/>
              </w:rPr>
            </w:pPr>
            <w:r w:rsidRPr="00F77596">
              <w:rPr>
                <w:sz w:val="20"/>
              </w:rPr>
              <w:t>April 21, 2015</w:t>
            </w:r>
          </w:p>
          <w:p w:rsidR="005B3DB2" w:rsidRPr="00F77596" w:rsidRDefault="005B3DB2" w:rsidP="005B3DB2">
            <w:pPr>
              <w:jc w:val="both"/>
              <w:rPr>
                <w:sz w:val="20"/>
              </w:rPr>
            </w:pPr>
            <w:r w:rsidRPr="00F77596">
              <w:rPr>
                <w:sz w:val="20"/>
              </w:rPr>
              <w:t>Federal Court of Appeal</w:t>
            </w:r>
          </w:p>
          <w:p w:rsidR="005B3DB2" w:rsidRPr="00F77596" w:rsidRDefault="005B3DB2" w:rsidP="005B3DB2">
            <w:pPr>
              <w:jc w:val="both"/>
              <w:rPr>
                <w:sz w:val="20"/>
              </w:rPr>
            </w:pPr>
            <w:r w:rsidRPr="00F77596">
              <w:rPr>
                <w:sz w:val="20"/>
              </w:rPr>
              <w:t>(Stratas, Ryer and Near JJ.A.)</w:t>
            </w:r>
          </w:p>
          <w:p w:rsidR="005B3DB2" w:rsidRPr="00F77596" w:rsidRDefault="00EC4FDF" w:rsidP="005B3DB2">
            <w:pPr>
              <w:jc w:val="both"/>
              <w:rPr>
                <w:sz w:val="20"/>
              </w:rPr>
            </w:pPr>
            <w:hyperlink r:id="rId116" w:history="1">
              <w:r w:rsidR="005B3DB2" w:rsidRPr="00F77596">
                <w:rPr>
                  <w:rStyle w:val="Hyperlink"/>
                  <w:sz w:val="20"/>
                </w:rPr>
                <w:t>2015 FCA 102</w:t>
              </w:r>
            </w:hyperlink>
          </w:p>
          <w:p w:rsidR="00A701C9" w:rsidRPr="00E007CB" w:rsidRDefault="00A701C9" w:rsidP="00B77038">
            <w:pPr>
              <w:jc w:val="both"/>
              <w:rPr>
                <w:rFonts w:eastAsia="Calibri"/>
                <w:sz w:val="20"/>
              </w:rPr>
            </w:pPr>
          </w:p>
        </w:tc>
        <w:tc>
          <w:tcPr>
            <w:tcW w:w="243" w:type="pct"/>
          </w:tcPr>
          <w:p w:rsidR="00A701C9" w:rsidRPr="00E007CB" w:rsidRDefault="00A701C9" w:rsidP="00B77038">
            <w:pPr>
              <w:jc w:val="both"/>
              <w:rPr>
                <w:rFonts w:eastAsia="Calibri"/>
                <w:sz w:val="20"/>
              </w:rPr>
            </w:pPr>
          </w:p>
        </w:tc>
        <w:tc>
          <w:tcPr>
            <w:tcW w:w="2330" w:type="pct"/>
          </w:tcPr>
          <w:p w:rsidR="005B3DB2" w:rsidRPr="00F77596" w:rsidRDefault="005B3DB2" w:rsidP="005B3DB2">
            <w:pPr>
              <w:jc w:val="both"/>
              <w:rPr>
                <w:sz w:val="20"/>
              </w:rPr>
            </w:pPr>
            <w:r w:rsidRPr="00F77596">
              <w:rPr>
                <w:sz w:val="20"/>
              </w:rPr>
              <w:t>Applicant’s appeals from orders of Tax Court dismissed</w:t>
            </w:r>
          </w:p>
          <w:p w:rsidR="00A701C9" w:rsidRPr="00F77596" w:rsidRDefault="00A701C9" w:rsidP="00B77038">
            <w:pPr>
              <w:jc w:val="both"/>
              <w:rPr>
                <w:sz w:val="20"/>
              </w:rPr>
            </w:pPr>
          </w:p>
        </w:tc>
      </w:tr>
      <w:tr w:rsidR="005B3DB2" w:rsidRPr="00E007CB" w:rsidTr="00B77038">
        <w:trPr>
          <w:cantSplit/>
        </w:trPr>
        <w:tc>
          <w:tcPr>
            <w:tcW w:w="2427" w:type="pct"/>
          </w:tcPr>
          <w:p w:rsidR="005B3DB2" w:rsidRPr="00F77596" w:rsidRDefault="005B3DB2" w:rsidP="005B3DB2">
            <w:pPr>
              <w:jc w:val="both"/>
              <w:rPr>
                <w:sz w:val="20"/>
              </w:rPr>
            </w:pPr>
            <w:r w:rsidRPr="00F77596">
              <w:rPr>
                <w:sz w:val="20"/>
              </w:rPr>
              <w:t xml:space="preserve">June </w:t>
            </w:r>
            <w:r>
              <w:rPr>
                <w:sz w:val="20"/>
              </w:rPr>
              <w:t>18</w:t>
            </w:r>
            <w:r w:rsidRPr="00F77596">
              <w:rPr>
                <w:sz w:val="20"/>
              </w:rPr>
              <w:t>, 2015</w:t>
            </w:r>
          </w:p>
          <w:p w:rsidR="005B3DB2" w:rsidRDefault="005B3DB2" w:rsidP="005B3DB2">
            <w:pPr>
              <w:jc w:val="both"/>
              <w:rPr>
                <w:rFonts w:eastAsia="Calibri"/>
                <w:sz w:val="20"/>
              </w:rPr>
            </w:pPr>
            <w:r w:rsidRPr="00F77596">
              <w:rPr>
                <w:sz w:val="20"/>
              </w:rPr>
              <w:t>Supreme Court of Canada</w:t>
            </w:r>
          </w:p>
          <w:p w:rsidR="005B3DB2" w:rsidRDefault="005B3DB2" w:rsidP="005B3DB2">
            <w:pPr>
              <w:jc w:val="both"/>
              <w:rPr>
                <w:rFonts w:eastAsia="Calibri"/>
                <w:sz w:val="20"/>
              </w:rPr>
            </w:pPr>
          </w:p>
        </w:tc>
        <w:tc>
          <w:tcPr>
            <w:tcW w:w="243" w:type="pct"/>
          </w:tcPr>
          <w:p w:rsidR="005B3DB2" w:rsidRPr="00E007CB" w:rsidRDefault="005B3DB2" w:rsidP="005B3DB2">
            <w:pPr>
              <w:jc w:val="both"/>
              <w:rPr>
                <w:rFonts w:eastAsia="Calibri"/>
                <w:sz w:val="20"/>
              </w:rPr>
            </w:pPr>
          </w:p>
        </w:tc>
        <w:tc>
          <w:tcPr>
            <w:tcW w:w="2330" w:type="pct"/>
          </w:tcPr>
          <w:p w:rsidR="005B3DB2" w:rsidRPr="00F77596" w:rsidRDefault="005B3DB2" w:rsidP="005B3DB2">
            <w:pPr>
              <w:jc w:val="both"/>
              <w:rPr>
                <w:sz w:val="20"/>
              </w:rPr>
            </w:pPr>
            <w:r w:rsidRPr="00F77596">
              <w:rPr>
                <w:sz w:val="20"/>
              </w:rPr>
              <w:t>Motion to extend time to serve and file the leave application and Application for leave to appeal filed</w:t>
            </w:r>
          </w:p>
        </w:tc>
      </w:tr>
    </w:tbl>
    <w:p w:rsidR="00A701C9" w:rsidRDefault="00A701C9" w:rsidP="00A701C9">
      <w:pPr>
        <w:rPr>
          <w:sz w:val="20"/>
          <w:szCs w:val="20"/>
        </w:rPr>
      </w:pPr>
    </w:p>
    <w:p w:rsidR="00A701C9" w:rsidRPr="00C50A5C" w:rsidRDefault="00EC4FDF" w:rsidP="00A701C9">
      <w:pPr>
        <w:rPr>
          <w:sz w:val="20"/>
          <w:szCs w:val="20"/>
        </w:rPr>
      </w:pPr>
      <w:r>
        <w:rPr>
          <w:sz w:val="20"/>
          <w:szCs w:val="20"/>
          <w:lang w:val="fr-CA"/>
        </w:rPr>
        <w:pict>
          <v:rect id="_x0000_i1089" style="width:2in;height:1pt" o:hrpct="0" o:hralign="center" o:hrstd="t" o:hrnoshade="t" o:hr="t" fillcolor="black [3213]" stroked="f"/>
        </w:pict>
      </w:r>
    </w:p>
    <w:p w:rsidR="00A701C9" w:rsidRDefault="00A701C9" w:rsidP="00A701C9">
      <w:pPr>
        <w:rPr>
          <w:sz w:val="20"/>
          <w:szCs w:val="20"/>
        </w:rPr>
      </w:pPr>
    </w:p>
    <w:p w:rsidR="00A701C9" w:rsidRPr="001B157C" w:rsidRDefault="00A701C9" w:rsidP="00A701C9">
      <w:pPr>
        <w:rPr>
          <w:sz w:val="20"/>
          <w:szCs w:val="20"/>
          <w:u w:val="single"/>
          <w:lang w:val="fr-CA"/>
        </w:rPr>
      </w:pPr>
      <w:r w:rsidRPr="001B157C">
        <w:rPr>
          <w:sz w:val="20"/>
          <w:szCs w:val="20"/>
          <w:u w:val="single"/>
          <w:lang w:val="fr-CA"/>
        </w:rPr>
        <w:t>RÉSUMÉ DE L’AFFAIRE</w:t>
      </w:r>
    </w:p>
    <w:p w:rsidR="00A701C9" w:rsidRDefault="00A701C9" w:rsidP="00A701C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701C9" w:rsidRPr="00002704" w:rsidTr="00B77038">
        <w:tc>
          <w:tcPr>
            <w:tcW w:w="5000" w:type="pct"/>
            <w:gridSpan w:val="3"/>
          </w:tcPr>
          <w:p w:rsidR="00A701C9" w:rsidRDefault="004D4E67" w:rsidP="00B77038">
            <w:pPr>
              <w:jc w:val="both"/>
              <w:rPr>
                <w:sz w:val="20"/>
                <w:lang w:val="fr-CA"/>
              </w:rPr>
            </w:pPr>
            <w:r w:rsidRPr="00F77596">
              <w:rPr>
                <w:i/>
                <w:sz w:val="20"/>
                <w:lang w:val="fr-CA"/>
              </w:rPr>
              <w:t>Charte des droits</w:t>
            </w:r>
            <w:r w:rsidRPr="00F77596">
              <w:rPr>
                <w:sz w:val="20"/>
                <w:lang w:val="fr-CA"/>
              </w:rPr>
              <w:t xml:space="preserve"> – Présomption d’innocence – Procès équitable – Violation de droits – Fiscalité – Impôt sur le revenu – Cotisation – Rejet des requêtes présentées par le demandeur pour obtenir des mesures de redressement discrétionnaires et déclaratoires – La Cour de l’impôt a-t-elle autorisé une reformulation qui méconnaît, nie ou abroge des droits constitutionnels garantis à l’ensemble des Canadiens? – L’Agence du revenu du Canada constitue-t-elle bel et bien une entité légitime et légale? – Son personnel et elle sont-ils liés par la </w:t>
            </w:r>
            <w:r w:rsidRPr="00F77596">
              <w:rPr>
                <w:i/>
                <w:sz w:val="20"/>
                <w:lang w:val="fr-CA"/>
              </w:rPr>
              <w:t>Loi constitutionnelle de 1982</w:t>
            </w:r>
            <w:r w:rsidRPr="00F77596">
              <w:rPr>
                <w:sz w:val="20"/>
                <w:lang w:val="fr-CA"/>
              </w:rPr>
              <w:t xml:space="preserve"> et la </w:t>
            </w:r>
            <w:r w:rsidRPr="00F77596">
              <w:rPr>
                <w:i/>
                <w:sz w:val="20"/>
                <w:lang w:val="fr-CA"/>
              </w:rPr>
              <w:t>Charte</w:t>
            </w:r>
            <w:r w:rsidRPr="00F77596">
              <w:rPr>
                <w:sz w:val="20"/>
                <w:lang w:val="fr-CA"/>
              </w:rPr>
              <w:t xml:space="preserve">? – Le pouvoir discrétionnaire exercé par les deux juridictions inférieures a-t-il eu pour effet de violer, de méconnaître, d’éviter, de nier et d’abroger des droits que la Constitution garantit au demandeur? – Que signifient réellement la suprématie de Dieu et la primauté de droit promises dans le préambule de la </w:t>
            </w:r>
            <w:r w:rsidRPr="00F77596">
              <w:rPr>
                <w:i/>
                <w:sz w:val="20"/>
                <w:lang w:val="fr-CA"/>
              </w:rPr>
              <w:t>Charte</w:t>
            </w:r>
            <w:r w:rsidRPr="00F77596">
              <w:rPr>
                <w:sz w:val="20"/>
                <w:lang w:val="fr-CA"/>
              </w:rPr>
              <w:t>?</w:t>
            </w:r>
          </w:p>
          <w:p w:rsidR="004D4E67" w:rsidRPr="00E007CB" w:rsidRDefault="004D4E67" w:rsidP="00B77038">
            <w:pPr>
              <w:jc w:val="both"/>
              <w:rPr>
                <w:rFonts w:eastAsia="Calibri"/>
                <w:sz w:val="20"/>
                <w:lang w:val="fr-CA"/>
              </w:rPr>
            </w:pPr>
          </w:p>
        </w:tc>
      </w:tr>
      <w:tr w:rsidR="004D4E67" w:rsidRPr="00002704" w:rsidTr="00B77038">
        <w:tc>
          <w:tcPr>
            <w:tcW w:w="5000" w:type="pct"/>
            <w:gridSpan w:val="3"/>
          </w:tcPr>
          <w:p w:rsidR="004D4E67" w:rsidRPr="00F77596" w:rsidRDefault="004D4E67" w:rsidP="004D4E67">
            <w:pPr>
              <w:jc w:val="both"/>
              <w:rPr>
                <w:sz w:val="20"/>
                <w:lang w:val="fr-CA"/>
              </w:rPr>
            </w:pPr>
            <w:r w:rsidRPr="00F77596">
              <w:rPr>
                <w:sz w:val="20"/>
                <w:lang w:val="fr-CA"/>
              </w:rPr>
              <w:t>M. Fong a déposé quatre appels visant quatre ordonnances prononcées par la Cour canadienne de l’impôt. Dans tous ces appels, il conteste les nouvelles cotisations établies par le ministre à son égard pour les années d’imposition 2001-2009. La Cour d’appel fédérale a rangé certains de ces appels dans la catégorie des appels portant sur des questions discrétionnaires et d’autres dans celle visant à obtenir des mesures de redressement judiciaires.</w:t>
            </w:r>
          </w:p>
          <w:p w:rsidR="004D4E67" w:rsidRPr="00F77596" w:rsidRDefault="004D4E67" w:rsidP="00B77038">
            <w:pPr>
              <w:jc w:val="both"/>
              <w:rPr>
                <w:sz w:val="20"/>
                <w:lang w:val="fr-CA"/>
              </w:rPr>
            </w:pPr>
          </w:p>
        </w:tc>
      </w:tr>
      <w:tr w:rsidR="00A701C9" w:rsidRPr="00002704" w:rsidTr="00B77038">
        <w:trPr>
          <w:cantSplit/>
        </w:trPr>
        <w:tc>
          <w:tcPr>
            <w:tcW w:w="2427" w:type="pct"/>
          </w:tcPr>
          <w:p w:rsidR="003728CF" w:rsidRPr="00F77596" w:rsidRDefault="003728CF" w:rsidP="003728CF">
            <w:pPr>
              <w:jc w:val="both"/>
              <w:rPr>
                <w:sz w:val="20"/>
                <w:lang w:val="fr-CA"/>
              </w:rPr>
            </w:pPr>
            <w:r w:rsidRPr="00F77596">
              <w:rPr>
                <w:sz w:val="20"/>
                <w:lang w:val="fr-CA"/>
              </w:rPr>
              <w:t>21 avril 2015</w:t>
            </w:r>
          </w:p>
          <w:p w:rsidR="003728CF" w:rsidRPr="00F77596" w:rsidRDefault="003728CF" w:rsidP="003728CF">
            <w:pPr>
              <w:jc w:val="both"/>
              <w:rPr>
                <w:sz w:val="20"/>
                <w:lang w:val="fr-CA"/>
              </w:rPr>
            </w:pPr>
            <w:r w:rsidRPr="00F77596">
              <w:rPr>
                <w:sz w:val="20"/>
                <w:lang w:val="fr-CA"/>
              </w:rPr>
              <w:t>Cour d’appel fédérale</w:t>
            </w:r>
          </w:p>
          <w:p w:rsidR="003728CF" w:rsidRPr="00F77596" w:rsidRDefault="003728CF" w:rsidP="003728CF">
            <w:pPr>
              <w:jc w:val="both"/>
              <w:rPr>
                <w:sz w:val="20"/>
                <w:lang w:val="fr-CA"/>
              </w:rPr>
            </w:pPr>
            <w:r w:rsidRPr="00F77596">
              <w:rPr>
                <w:sz w:val="20"/>
                <w:lang w:val="fr-CA"/>
              </w:rPr>
              <w:t>(Juges Stratas, Ryer et Near)</w:t>
            </w:r>
          </w:p>
          <w:p w:rsidR="003728CF" w:rsidRPr="00F77596" w:rsidRDefault="00EC4FDF" w:rsidP="003728CF">
            <w:pPr>
              <w:jc w:val="both"/>
              <w:rPr>
                <w:sz w:val="20"/>
                <w:lang w:val="fr-CA"/>
              </w:rPr>
            </w:pPr>
            <w:hyperlink r:id="rId117" w:history="1">
              <w:r w:rsidR="003728CF" w:rsidRPr="00F77596">
                <w:rPr>
                  <w:rStyle w:val="Hyperlink"/>
                  <w:sz w:val="20"/>
                  <w:lang w:val="fr-CA"/>
                </w:rPr>
                <w:t>2015 CAF 102</w:t>
              </w:r>
            </w:hyperlink>
          </w:p>
          <w:p w:rsidR="00A701C9" w:rsidRPr="00E007CB" w:rsidRDefault="00A701C9" w:rsidP="00B77038">
            <w:pPr>
              <w:jc w:val="both"/>
              <w:rPr>
                <w:rFonts w:eastAsia="Calibri"/>
                <w:sz w:val="20"/>
                <w:lang w:val="fr-CA"/>
              </w:rPr>
            </w:pPr>
          </w:p>
        </w:tc>
        <w:tc>
          <w:tcPr>
            <w:tcW w:w="243" w:type="pct"/>
          </w:tcPr>
          <w:p w:rsidR="00A701C9" w:rsidRPr="00E007CB" w:rsidRDefault="00A701C9" w:rsidP="00B77038">
            <w:pPr>
              <w:jc w:val="both"/>
              <w:rPr>
                <w:rFonts w:eastAsia="Calibri"/>
                <w:sz w:val="20"/>
                <w:lang w:val="fr-CA"/>
              </w:rPr>
            </w:pPr>
          </w:p>
        </w:tc>
        <w:tc>
          <w:tcPr>
            <w:tcW w:w="2330" w:type="pct"/>
          </w:tcPr>
          <w:p w:rsidR="003728CF" w:rsidRPr="00F77596" w:rsidRDefault="003728CF" w:rsidP="003728CF">
            <w:pPr>
              <w:jc w:val="both"/>
              <w:rPr>
                <w:sz w:val="20"/>
                <w:lang w:val="fr-CA"/>
              </w:rPr>
            </w:pPr>
            <w:r w:rsidRPr="00F77596">
              <w:rPr>
                <w:sz w:val="20"/>
                <w:lang w:val="fr-CA"/>
              </w:rPr>
              <w:t>Rejet des appels des ordonnances de la Cour de l’impôt interjetés par le demandeur</w:t>
            </w:r>
          </w:p>
          <w:p w:rsidR="00A701C9" w:rsidRPr="00F77596" w:rsidRDefault="00A701C9" w:rsidP="00B77038">
            <w:pPr>
              <w:jc w:val="both"/>
              <w:rPr>
                <w:sz w:val="20"/>
                <w:lang w:val="fr-CA"/>
              </w:rPr>
            </w:pPr>
          </w:p>
        </w:tc>
      </w:tr>
      <w:tr w:rsidR="003728CF" w:rsidRPr="00E007CB" w:rsidTr="00B77038">
        <w:trPr>
          <w:cantSplit/>
        </w:trPr>
        <w:tc>
          <w:tcPr>
            <w:tcW w:w="2427" w:type="pct"/>
          </w:tcPr>
          <w:p w:rsidR="003728CF" w:rsidRPr="00F77596" w:rsidRDefault="003728CF" w:rsidP="003728CF">
            <w:pPr>
              <w:jc w:val="both"/>
              <w:rPr>
                <w:sz w:val="20"/>
              </w:rPr>
            </w:pPr>
            <w:r>
              <w:rPr>
                <w:sz w:val="20"/>
              </w:rPr>
              <w:t>18</w:t>
            </w:r>
            <w:r w:rsidRPr="00F77596">
              <w:rPr>
                <w:sz w:val="20"/>
              </w:rPr>
              <w:t xml:space="preserve"> juin 2015</w:t>
            </w:r>
          </w:p>
          <w:p w:rsidR="003728CF" w:rsidRPr="00F77596" w:rsidRDefault="003728CF" w:rsidP="003728CF">
            <w:pPr>
              <w:jc w:val="both"/>
              <w:rPr>
                <w:sz w:val="20"/>
              </w:rPr>
            </w:pPr>
            <w:r w:rsidRPr="00F77596">
              <w:rPr>
                <w:sz w:val="20"/>
              </w:rPr>
              <w:t>Cour suprême du Canada</w:t>
            </w:r>
          </w:p>
          <w:p w:rsidR="003728CF" w:rsidRDefault="003728CF" w:rsidP="003728CF">
            <w:pPr>
              <w:jc w:val="both"/>
              <w:rPr>
                <w:rFonts w:eastAsia="Calibri"/>
                <w:sz w:val="20"/>
                <w:lang w:val="fr-CA"/>
              </w:rPr>
            </w:pPr>
          </w:p>
        </w:tc>
        <w:tc>
          <w:tcPr>
            <w:tcW w:w="243" w:type="pct"/>
          </w:tcPr>
          <w:p w:rsidR="003728CF" w:rsidRPr="00E007CB" w:rsidRDefault="003728CF" w:rsidP="003728CF">
            <w:pPr>
              <w:jc w:val="both"/>
              <w:rPr>
                <w:rFonts w:eastAsia="Calibri"/>
                <w:sz w:val="20"/>
                <w:lang w:val="fr-CA"/>
              </w:rPr>
            </w:pPr>
          </w:p>
        </w:tc>
        <w:tc>
          <w:tcPr>
            <w:tcW w:w="2330" w:type="pct"/>
          </w:tcPr>
          <w:p w:rsidR="003728CF" w:rsidRPr="00F77596" w:rsidRDefault="003728CF" w:rsidP="003728CF">
            <w:pPr>
              <w:jc w:val="both"/>
              <w:rPr>
                <w:sz w:val="20"/>
                <w:lang w:val="fr-CA"/>
              </w:rPr>
            </w:pPr>
            <w:r w:rsidRPr="00F77596">
              <w:rPr>
                <w:sz w:val="20"/>
                <w:lang w:val="fr-CA"/>
              </w:rPr>
              <w:t>Requête en prorogation du délai de signification et de dépôt de la demande d’autorisation et demande d’autorisation d’appel, déposées</w:t>
            </w:r>
          </w:p>
        </w:tc>
      </w:tr>
    </w:tbl>
    <w:p w:rsidR="00A701C9" w:rsidRDefault="00A701C9" w:rsidP="00A701C9">
      <w:pPr>
        <w:rPr>
          <w:sz w:val="20"/>
          <w:szCs w:val="20"/>
        </w:rPr>
      </w:pPr>
    </w:p>
    <w:p w:rsidR="00A701C9" w:rsidRDefault="00EC4FDF" w:rsidP="00A701C9">
      <w:pPr>
        <w:rPr>
          <w:sz w:val="20"/>
          <w:szCs w:val="20"/>
        </w:rPr>
      </w:pPr>
      <w:r>
        <w:rPr>
          <w:sz w:val="20"/>
          <w:szCs w:val="20"/>
          <w:lang w:val="fr-CA"/>
        </w:rPr>
        <w:pict>
          <v:rect id="_x0000_i1090" style="width:2in;height:1pt" o:hrpct="0" o:hralign="center" o:hrstd="t" o:hrnoshade="t" o:hr="t" fillcolor="black [3213]" stroked="f"/>
        </w:pict>
      </w:r>
    </w:p>
    <w:p w:rsidR="00C11C4D" w:rsidRDefault="00C11C4D" w:rsidP="00C11C4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11C4D" w:rsidRPr="00A73D2C" w:rsidTr="00B77038">
        <w:trPr>
          <w:cantSplit/>
        </w:trPr>
        <w:tc>
          <w:tcPr>
            <w:tcW w:w="1458" w:type="dxa"/>
          </w:tcPr>
          <w:p w:rsidR="00C11C4D" w:rsidRPr="00A73D2C" w:rsidRDefault="00C11C4D" w:rsidP="00B77038">
            <w:pPr>
              <w:rPr>
                <w:sz w:val="20"/>
                <w:szCs w:val="20"/>
              </w:rPr>
            </w:pPr>
            <w:r w:rsidRPr="00A73D2C">
              <w:rPr>
                <w:rStyle w:val="SCCFileNumberChar"/>
                <w:sz w:val="20"/>
                <w:szCs w:val="20"/>
              </w:rPr>
              <w:t>36</w:t>
            </w:r>
            <w:r>
              <w:rPr>
                <w:rStyle w:val="SCCFileNumberChar"/>
                <w:sz w:val="20"/>
                <w:szCs w:val="20"/>
              </w:rPr>
              <w:t>511</w:t>
            </w:r>
          </w:p>
          <w:p w:rsidR="00C11C4D" w:rsidRPr="00A73D2C" w:rsidRDefault="00C11C4D" w:rsidP="00487D10">
            <w:pPr>
              <w:jc w:val="center"/>
              <w:rPr>
                <w:b/>
                <w:sz w:val="20"/>
                <w:szCs w:val="20"/>
                <w:lang w:val="fr-CA"/>
              </w:rPr>
            </w:pPr>
          </w:p>
        </w:tc>
        <w:tc>
          <w:tcPr>
            <w:tcW w:w="8118" w:type="dxa"/>
          </w:tcPr>
          <w:p w:rsidR="00C11C4D" w:rsidRPr="00A73D2C" w:rsidRDefault="00C11C4D" w:rsidP="00B77038">
            <w:pPr>
              <w:rPr>
                <w:sz w:val="20"/>
                <w:szCs w:val="20"/>
              </w:rPr>
            </w:pPr>
            <w:r w:rsidRPr="00C11C4D">
              <w:rPr>
                <w:rStyle w:val="SCCLsocChar"/>
                <w:sz w:val="20"/>
                <w:szCs w:val="20"/>
                <w:lang w:val="en-CA"/>
              </w:rPr>
              <w:t xml:space="preserve">Loc Nguyen </w:t>
            </w:r>
            <w:r w:rsidR="00021E5F">
              <w:rPr>
                <w:rStyle w:val="SCCLsocChar"/>
                <w:sz w:val="20"/>
                <w:szCs w:val="20"/>
                <w:lang w:val="en-CA"/>
              </w:rPr>
              <w:t>c</w:t>
            </w:r>
            <w:r w:rsidRPr="00C11C4D">
              <w:rPr>
                <w:rStyle w:val="SCCLsocChar"/>
                <w:sz w:val="20"/>
                <w:szCs w:val="20"/>
                <w:lang w:val="en-CA"/>
              </w:rPr>
              <w:t xml:space="preserve">. </w:t>
            </w:r>
            <w:r w:rsidR="00021E5F">
              <w:rPr>
                <w:rStyle w:val="SCCLsocChar"/>
                <w:sz w:val="20"/>
                <w:szCs w:val="20"/>
                <w:lang w:val="en-CA"/>
              </w:rPr>
              <w:t>Procureure générale</w:t>
            </w:r>
            <w:r w:rsidRPr="00C11C4D">
              <w:rPr>
                <w:rStyle w:val="SCCLsocChar"/>
                <w:sz w:val="20"/>
                <w:szCs w:val="20"/>
                <w:lang w:val="en-CA"/>
              </w:rPr>
              <w:t xml:space="preserve"> </w:t>
            </w:r>
            <w:r w:rsidR="00021E5F">
              <w:rPr>
                <w:rStyle w:val="SCCLsocChar"/>
                <w:sz w:val="20"/>
                <w:szCs w:val="20"/>
                <w:lang w:val="en-CA"/>
              </w:rPr>
              <w:t>du Québec</w:t>
            </w:r>
            <w:r w:rsidRPr="00FE3038">
              <w:rPr>
                <w:rStyle w:val="SCCLsocChar"/>
                <w:sz w:val="20"/>
                <w:szCs w:val="20"/>
                <w:u w:val="none"/>
                <w:lang w:val="en-CA"/>
              </w:rPr>
              <w:t xml:space="preserve"> </w:t>
            </w:r>
            <w:r w:rsidRPr="00A73D2C">
              <w:rPr>
                <w:sz w:val="20"/>
                <w:szCs w:val="20"/>
              </w:rPr>
              <w:t>(</w:t>
            </w:r>
            <w:r>
              <w:rPr>
                <w:sz w:val="20"/>
                <w:szCs w:val="20"/>
              </w:rPr>
              <w:t>Q</w:t>
            </w:r>
            <w:r w:rsidR="00021E5F">
              <w:rPr>
                <w:sz w:val="20"/>
                <w:szCs w:val="20"/>
              </w:rPr>
              <w:t>c</w:t>
            </w:r>
            <w:r w:rsidRPr="00A73D2C">
              <w:rPr>
                <w:sz w:val="20"/>
                <w:szCs w:val="20"/>
              </w:rPr>
              <w:t>) (C</w:t>
            </w:r>
            <w:r>
              <w:rPr>
                <w:sz w:val="20"/>
                <w:szCs w:val="20"/>
              </w:rPr>
              <w:t>ivil</w:t>
            </w:r>
            <w:r w:rsidR="00021E5F">
              <w:rPr>
                <w:sz w:val="20"/>
                <w:szCs w:val="20"/>
              </w:rPr>
              <w:t>e</w:t>
            </w:r>
            <w:r w:rsidRPr="00A73D2C">
              <w:rPr>
                <w:sz w:val="20"/>
                <w:szCs w:val="20"/>
              </w:rPr>
              <w:t>) (</w:t>
            </w:r>
            <w:r w:rsidR="00021E5F">
              <w:rPr>
                <w:sz w:val="20"/>
                <w:szCs w:val="20"/>
              </w:rPr>
              <w:t>Autorisation</w:t>
            </w:r>
            <w:r w:rsidRPr="00A73D2C">
              <w:rPr>
                <w:sz w:val="20"/>
                <w:szCs w:val="20"/>
              </w:rPr>
              <w:t>)</w:t>
            </w:r>
          </w:p>
          <w:p w:rsidR="00C11C4D" w:rsidRPr="00A73D2C" w:rsidRDefault="00C11C4D" w:rsidP="00B77038">
            <w:pPr>
              <w:rPr>
                <w:sz w:val="20"/>
                <w:szCs w:val="20"/>
              </w:rPr>
            </w:pPr>
          </w:p>
        </w:tc>
      </w:tr>
      <w:tr w:rsidR="00C11C4D" w:rsidRPr="00A73D2C" w:rsidTr="00B77038">
        <w:trPr>
          <w:cantSplit/>
        </w:trPr>
        <w:tc>
          <w:tcPr>
            <w:tcW w:w="1458" w:type="dxa"/>
          </w:tcPr>
          <w:p w:rsidR="00C11C4D" w:rsidRPr="00A73D2C" w:rsidRDefault="00C11C4D" w:rsidP="00B77038">
            <w:pPr>
              <w:rPr>
                <w:sz w:val="20"/>
                <w:szCs w:val="20"/>
              </w:rPr>
            </w:pPr>
            <w:r w:rsidRPr="00A73D2C">
              <w:rPr>
                <w:sz w:val="20"/>
                <w:szCs w:val="20"/>
              </w:rPr>
              <w:t>Coram :</w:t>
            </w:r>
          </w:p>
        </w:tc>
        <w:tc>
          <w:tcPr>
            <w:tcW w:w="8118" w:type="dxa"/>
          </w:tcPr>
          <w:p w:rsidR="00C11C4D" w:rsidRDefault="00B23BD1" w:rsidP="00B77038">
            <w:pPr>
              <w:rPr>
                <w:rStyle w:val="SCCCoramChar"/>
                <w:sz w:val="20"/>
                <w:szCs w:val="20"/>
                <w:lang w:val="en-CA"/>
              </w:rPr>
            </w:pPr>
            <w:r w:rsidRPr="00B23BD1">
              <w:rPr>
                <w:rStyle w:val="SCCCoramChar"/>
                <w:sz w:val="20"/>
                <w:szCs w:val="20"/>
                <w:lang w:val="en-CA"/>
              </w:rPr>
              <w:t>Les juges Cromwell, Wagner et Côté</w:t>
            </w:r>
          </w:p>
          <w:p w:rsidR="00B23BD1" w:rsidRPr="00A73D2C" w:rsidRDefault="00B23BD1" w:rsidP="00B77038">
            <w:pPr>
              <w:rPr>
                <w:sz w:val="20"/>
                <w:szCs w:val="20"/>
                <w:u w:val="single"/>
              </w:rPr>
            </w:pPr>
          </w:p>
        </w:tc>
      </w:tr>
      <w:tr w:rsidR="00C11C4D" w:rsidRPr="00002704" w:rsidTr="00B77038">
        <w:trPr>
          <w:cantSplit/>
        </w:trPr>
        <w:tc>
          <w:tcPr>
            <w:tcW w:w="9576" w:type="dxa"/>
            <w:gridSpan w:val="2"/>
          </w:tcPr>
          <w:p w:rsidR="00B23BD1" w:rsidRPr="00B23BD1" w:rsidRDefault="00B23BD1" w:rsidP="00B23BD1">
            <w:pPr>
              <w:pStyle w:val="SCCShortJudgment"/>
              <w:rPr>
                <w:szCs w:val="20"/>
              </w:rPr>
            </w:pPr>
            <w:r w:rsidRPr="00B23BD1">
              <w:rPr>
                <w:szCs w:val="20"/>
              </w:rPr>
              <w:t>La demande d’autorisation d’appel de l’arrêt de la Cour d’appel du Québec (Québec), numéro 200-09-008976-158, 2015 QCCA 709, daté du 27 avril 2015, est rejetée.</w:t>
            </w:r>
          </w:p>
          <w:p w:rsidR="00B23BD1" w:rsidRPr="00B23BD1" w:rsidRDefault="00B23BD1" w:rsidP="00B23BD1">
            <w:pPr>
              <w:pStyle w:val="SCCShortJudgment"/>
              <w:rPr>
                <w:szCs w:val="20"/>
              </w:rPr>
            </w:pPr>
          </w:p>
          <w:p w:rsidR="00C11C4D" w:rsidRPr="00A73D2C" w:rsidRDefault="00B23BD1" w:rsidP="00B23BD1">
            <w:pPr>
              <w:pStyle w:val="SCCShortJudgment"/>
              <w:rPr>
                <w:szCs w:val="20"/>
                <w:lang w:val="fr-CA"/>
              </w:rPr>
            </w:pPr>
            <w:r w:rsidRPr="00B23BD1">
              <w:rPr>
                <w:szCs w:val="20"/>
              </w:rPr>
              <w:t>The application for leave to appeal from the judgment of the Court of Appeal of Quebec (Québec), Number 200-09-008976-158, 2015 QCCA 709, dated April 27, 2015, is dismissed.</w:t>
            </w:r>
          </w:p>
        </w:tc>
      </w:tr>
    </w:tbl>
    <w:p w:rsidR="00C11C4D" w:rsidRPr="0016547E" w:rsidRDefault="00C11C4D" w:rsidP="00C11C4D">
      <w:pPr>
        <w:rPr>
          <w:sz w:val="20"/>
          <w:szCs w:val="20"/>
          <w:lang w:val="fr-CA"/>
        </w:rPr>
      </w:pPr>
    </w:p>
    <w:p w:rsidR="00C11C4D" w:rsidRPr="001B157C" w:rsidRDefault="00C11C4D" w:rsidP="00C11C4D">
      <w:pPr>
        <w:rPr>
          <w:sz w:val="20"/>
          <w:szCs w:val="20"/>
          <w:u w:val="single"/>
        </w:rPr>
      </w:pPr>
      <w:r w:rsidRPr="001B157C">
        <w:rPr>
          <w:sz w:val="20"/>
          <w:szCs w:val="20"/>
          <w:u w:val="single"/>
        </w:rPr>
        <w:t>CASE SUMMARY</w:t>
      </w:r>
    </w:p>
    <w:p w:rsidR="00C11C4D" w:rsidRDefault="00C11C4D" w:rsidP="00C11C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0F4F" w:rsidRPr="00E007CB" w:rsidTr="00B77038">
        <w:tc>
          <w:tcPr>
            <w:tcW w:w="5000" w:type="pct"/>
            <w:gridSpan w:val="3"/>
          </w:tcPr>
          <w:p w:rsidR="00960F4F" w:rsidRDefault="00960F4F" w:rsidP="00960F4F">
            <w:pPr>
              <w:jc w:val="both"/>
              <w:rPr>
                <w:sz w:val="20"/>
              </w:rPr>
            </w:pPr>
            <w:r w:rsidRPr="00F77596">
              <w:rPr>
                <w:sz w:val="20"/>
              </w:rPr>
              <w:t>Civil procedure – Motion for leave to appeal – Whether applicant raising issue of law of public importance.</w:t>
            </w:r>
          </w:p>
          <w:p w:rsidR="00960F4F" w:rsidRPr="00F77596" w:rsidRDefault="00960F4F" w:rsidP="00960F4F">
            <w:pPr>
              <w:jc w:val="both"/>
              <w:rPr>
                <w:sz w:val="20"/>
              </w:rPr>
            </w:pPr>
          </w:p>
        </w:tc>
      </w:tr>
      <w:tr w:rsidR="00960F4F" w:rsidRPr="00E007CB" w:rsidTr="00B77038">
        <w:tc>
          <w:tcPr>
            <w:tcW w:w="5000" w:type="pct"/>
            <w:gridSpan w:val="3"/>
          </w:tcPr>
          <w:p w:rsidR="00960F4F" w:rsidRPr="00F77596" w:rsidRDefault="00960F4F" w:rsidP="00960F4F">
            <w:pPr>
              <w:jc w:val="both"/>
              <w:rPr>
                <w:sz w:val="20"/>
              </w:rPr>
            </w:pPr>
            <w:r w:rsidRPr="00F77596">
              <w:rPr>
                <w:sz w:val="20"/>
              </w:rPr>
              <w:t xml:space="preserve">This case arises out of an action brought against the Attorney General of Quebec on November 19, 2013, nearly a year after the Superior Court dismissed an action instituted around November 15, 2012 against the </w:t>
            </w:r>
            <w:r w:rsidRPr="00F77596">
              <w:rPr>
                <w:iCs/>
                <w:sz w:val="20"/>
              </w:rPr>
              <w:t>Société des loteries du Québec</w:t>
            </w:r>
            <w:r w:rsidRPr="00F77596">
              <w:rPr>
                <w:sz w:val="20"/>
              </w:rPr>
              <w:t xml:space="preserve"> and after a Court of Appeal judge refused to grant leave to appeal that judgment. The applicant has since claimed a trillion dollars from the respondent.</w:t>
            </w:r>
          </w:p>
          <w:p w:rsidR="00960F4F" w:rsidRPr="00F77596" w:rsidRDefault="00960F4F" w:rsidP="00960F4F">
            <w:pPr>
              <w:jc w:val="both"/>
              <w:rPr>
                <w:sz w:val="20"/>
              </w:rPr>
            </w:pPr>
          </w:p>
        </w:tc>
      </w:tr>
      <w:tr w:rsidR="00960F4F" w:rsidRPr="00E007CB" w:rsidTr="00B77038">
        <w:trPr>
          <w:cantSplit/>
        </w:trPr>
        <w:tc>
          <w:tcPr>
            <w:tcW w:w="2427" w:type="pct"/>
          </w:tcPr>
          <w:p w:rsidR="003F08F4" w:rsidRPr="00F77596" w:rsidRDefault="003F08F4" w:rsidP="003F08F4">
            <w:pPr>
              <w:jc w:val="both"/>
              <w:rPr>
                <w:sz w:val="20"/>
              </w:rPr>
            </w:pPr>
            <w:r w:rsidRPr="00F77596">
              <w:rPr>
                <w:sz w:val="20"/>
              </w:rPr>
              <w:t>January 16, 2015</w:t>
            </w:r>
          </w:p>
          <w:p w:rsidR="003F08F4" w:rsidRPr="00F77596" w:rsidRDefault="003F08F4" w:rsidP="003F08F4">
            <w:pPr>
              <w:jc w:val="both"/>
              <w:rPr>
                <w:sz w:val="20"/>
              </w:rPr>
            </w:pPr>
            <w:r w:rsidRPr="00F77596">
              <w:rPr>
                <w:sz w:val="20"/>
              </w:rPr>
              <w:t>Quebec Superior Court</w:t>
            </w:r>
          </w:p>
          <w:p w:rsidR="003F08F4" w:rsidRPr="00F77596" w:rsidRDefault="003F08F4" w:rsidP="003F08F4">
            <w:pPr>
              <w:jc w:val="both"/>
              <w:rPr>
                <w:sz w:val="20"/>
              </w:rPr>
            </w:pPr>
            <w:r w:rsidRPr="00F77596">
              <w:rPr>
                <w:sz w:val="20"/>
              </w:rPr>
              <w:t>(St-Pierre J.)</w:t>
            </w:r>
          </w:p>
          <w:p w:rsidR="003F08F4" w:rsidRPr="00F77596" w:rsidRDefault="003F08F4" w:rsidP="003F08F4">
            <w:pPr>
              <w:jc w:val="both"/>
              <w:rPr>
                <w:sz w:val="20"/>
              </w:rPr>
            </w:pPr>
            <w:r w:rsidRPr="00F77596">
              <w:rPr>
                <w:sz w:val="20"/>
              </w:rPr>
              <w:t>No.: 200-17-019308-139</w:t>
            </w:r>
          </w:p>
          <w:p w:rsidR="003F08F4" w:rsidRPr="00F77596" w:rsidRDefault="003F08F4" w:rsidP="003F08F4">
            <w:pPr>
              <w:jc w:val="both"/>
              <w:rPr>
                <w:sz w:val="20"/>
              </w:rPr>
            </w:pPr>
            <w:r w:rsidRPr="00F77596">
              <w:rPr>
                <w:sz w:val="20"/>
              </w:rPr>
              <w:t>2015 QCCS 1226</w:t>
            </w:r>
          </w:p>
          <w:p w:rsidR="00960F4F" w:rsidRPr="00E007CB" w:rsidRDefault="00960F4F" w:rsidP="00960F4F">
            <w:pPr>
              <w:jc w:val="both"/>
              <w:rPr>
                <w:rFonts w:eastAsia="Calibri"/>
                <w:sz w:val="20"/>
              </w:rPr>
            </w:pPr>
          </w:p>
        </w:tc>
        <w:tc>
          <w:tcPr>
            <w:tcW w:w="243" w:type="pct"/>
          </w:tcPr>
          <w:p w:rsidR="00960F4F" w:rsidRPr="00E007CB" w:rsidRDefault="00960F4F" w:rsidP="00960F4F">
            <w:pPr>
              <w:jc w:val="both"/>
              <w:rPr>
                <w:rFonts w:eastAsia="Calibri"/>
                <w:sz w:val="20"/>
              </w:rPr>
            </w:pPr>
          </w:p>
        </w:tc>
        <w:tc>
          <w:tcPr>
            <w:tcW w:w="2330" w:type="pct"/>
          </w:tcPr>
          <w:p w:rsidR="003F08F4" w:rsidRPr="00F77596" w:rsidRDefault="003F08F4" w:rsidP="003F08F4">
            <w:pPr>
              <w:jc w:val="both"/>
              <w:rPr>
                <w:sz w:val="20"/>
              </w:rPr>
            </w:pPr>
            <w:r w:rsidRPr="00F77596">
              <w:rPr>
                <w:sz w:val="20"/>
              </w:rPr>
              <w:t>Motion to dismiss allowed</w:t>
            </w:r>
          </w:p>
          <w:p w:rsidR="00960F4F" w:rsidRPr="00F77596" w:rsidRDefault="00960F4F" w:rsidP="00960F4F">
            <w:pPr>
              <w:jc w:val="both"/>
              <w:rPr>
                <w:sz w:val="20"/>
              </w:rPr>
            </w:pPr>
          </w:p>
        </w:tc>
      </w:tr>
      <w:tr w:rsidR="003F08F4" w:rsidRPr="00E007CB" w:rsidTr="00B77038">
        <w:trPr>
          <w:cantSplit/>
        </w:trPr>
        <w:tc>
          <w:tcPr>
            <w:tcW w:w="2427" w:type="pct"/>
          </w:tcPr>
          <w:p w:rsidR="003F08F4" w:rsidRPr="00F77596" w:rsidRDefault="003F08F4" w:rsidP="003F08F4">
            <w:pPr>
              <w:jc w:val="both"/>
              <w:rPr>
                <w:sz w:val="20"/>
              </w:rPr>
            </w:pPr>
            <w:r w:rsidRPr="00F77596">
              <w:rPr>
                <w:sz w:val="20"/>
              </w:rPr>
              <w:t>April 27, 2015</w:t>
            </w:r>
          </w:p>
          <w:p w:rsidR="003F08F4" w:rsidRPr="00F77596" w:rsidRDefault="003F08F4" w:rsidP="003F08F4">
            <w:pPr>
              <w:jc w:val="both"/>
              <w:rPr>
                <w:sz w:val="20"/>
              </w:rPr>
            </w:pPr>
            <w:r w:rsidRPr="00F77596">
              <w:rPr>
                <w:sz w:val="20"/>
              </w:rPr>
              <w:t>Quebec Court of Appeal (Québec)</w:t>
            </w:r>
          </w:p>
          <w:p w:rsidR="003F08F4" w:rsidRPr="00F77596" w:rsidRDefault="003F08F4" w:rsidP="003F08F4">
            <w:pPr>
              <w:jc w:val="both"/>
              <w:rPr>
                <w:sz w:val="20"/>
              </w:rPr>
            </w:pPr>
            <w:r w:rsidRPr="00F77596">
              <w:rPr>
                <w:sz w:val="20"/>
              </w:rPr>
              <w:t>(Chamberland, Giroux and Bélanger JJ.A.)</w:t>
            </w:r>
          </w:p>
          <w:p w:rsidR="003F08F4" w:rsidRPr="00F77596" w:rsidRDefault="003F08F4" w:rsidP="003F08F4">
            <w:pPr>
              <w:jc w:val="both"/>
              <w:rPr>
                <w:sz w:val="20"/>
              </w:rPr>
            </w:pPr>
            <w:r w:rsidRPr="00F77596">
              <w:rPr>
                <w:sz w:val="20"/>
              </w:rPr>
              <w:t>No.: 200-09-008976-158</w:t>
            </w:r>
          </w:p>
          <w:p w:rsidR="003F08F4" w:rsidRPr="00F77596" w:rsidRDefault="00EC4FDF" w:rsidP="003F08F4">
            <w:pPr>
              <w:jc w:val="both"/>
              <w:rPr>
                <w:sz w:val="20"/>
              </w:rPr>
            </w:pPr>
            <w:hyperlink r:id="rId118" w:history="1">
              <w:r w:rsidR="003F08F4" w:rsidRPr="00F77596">
                <w:rPr>
                  <w:rStyle w:val="Hyperlink"/>
                  <w:sz w:val="20"/>
                </w:rPr>
                <w:t>2015 QCCA 709</w:t>
              </w:r>
            </w:hyperlink>
          </w:p>
          <w:p w:rsidR="003F08F4" w:rsidRPr="00F77596" w:rsidRDefault="003F08F4" w:rsidP="00960F4F">
            <w:pPr>
              <w:jc w:val="both"/>
              <w:rPr>
                <w:sz w:val="20"/>
              </w:rPr>
            </w:pPr>
          </w:p>
        </w:tc>
        <w:tc>
          <w:tcPr>
            <w:tcW w:w="243" w:type="pct"/>
          </w:tcPr>
          <w:p w:rsidR="003F08F4" w:rsidRPr="00E007CB" w:rsidRDefault="003F08F4" w:rsidP="00960F4F">
            <w:pPr>
              <w:jc w:val="both"/>
              <w:rPr>
                <w:rFonts w:eastAsia="Calibri"/>
                <w:sz w:val="20"/>
              </w:rPr>
            </w:pPr>
          </w:p>
        </w:tc>
        <w:tc>
          <w:tcPr>
            <w:tcW w:w="2330" w:type="pct"/>
          </w:tcPr>
          <w:p w:rsidR="003F08F4" w:rsidRPr="00F77596" w:rsidRDefault="003F08F4" w:rsidP="003F08F4">
            <w:pPr>
              <w:jc w:val="both"/>
              <w:rPr>
                <w:sz w:val="20"/>
              </w:rPr>
            </w:pPr>
            <w:r w:rsidRPr="00F77596">
              <w:rPr>
                <w:sz w:val="20"/>
              </w:rPr>
              <w:t>Motion for leave to appeal dismissed</w:t>
            </w:r>
          </w:p>
          <w:p w:rsidR="003F08F4" w:rsidRPr="00F77596" w:rsidRDefault="003F08F4" w:rsidP="00960F4F">
            <w:pPr>
              <w:jc w:val="both"/>
              <w:rPr>
                <w:sz w:val="20"/>
              </w:rPr>
            </w:pPr>
          </w:p>
        </w:tc>
      </w:tr>
      <w:tr w:rsidR="003F08F4" w:rsidRPr="00E007CB" w:rsidTr="00B77038">
        <w:trPr>
          <w:cantSplit/>
        </w:trPr>
        <w:tc>
          <w:tcPr>
            <w:tcW w:w="2427" w:type="pct"/>
          </w:tcPr>
          <w:p w:rsidR="003F08F4" w:rsidRPr="00F77596" w:rsidRDefault="003F08F4" w:rsidP="003F08F4">
            <w:pPr>
              <w:jc w:val="both"/>
              <w:rPr>
                <w:sz w:val="20"/>
              </w:rPr>
            </w:pPr>
            <w:r w:rsidRPr="00F77596">
              <w:rPr>
                <w:sz w:val="20"/>
              </w:rPr>
              <w:t xml:space="preserve">June </w:t>
            </w:r>
            <w:r>
              <w:rPr>
                <w:sz w:val="20"/>
              </w:rPr>
              <w:t>12</w:t>
            </w:r>
            <w:r w:rsidRPr="00F77596">
              <w:rPr>
                <w:sz w:val="20"/>
              </w:rPr>
              <w:t>, 2015</w:t>
            </w:r>
          </w:p>
          <w:p w:rsidR="003F08F4" w:rsidRDefault="003F08F4" w:rsidP="003F08F4">
            <w:pPr>
              <w:jc w:val="both"/>
              <w:rPr>
                <w:rFonts w:eastAsia="Calibri"/>
                <w:sz w:val="20"/>
              </w:rPr>
            </w:pPr>
            <w:r w:rsidRPr="00F77596">
              <w:rPr>
                <w:sz w:val="20"/>
              </w:rPr>
              <w:t>Supreme Court of Canada</w:t>
            </w:r>
          </w:p>
          <w:p w:rsidR="003F08F4" w:rsidRDefault="003F08F4" w:rsidP="003F08F4">
            <w:pPr>
              <w:jc w:val="both"/>
              <w:rPr>
                <w:rFonts w:eastAsia="Calibri"/>
                <w:sz w:val="20"/>
              </w:rPr>
            </w:pPr>
          </w:p>
        </w:tc>
        <w:tc>
          <w:tcPr>
            <w:tcW w:w="243" w:type="pct"/>
          </w:tcPr>
          <w:p w:rsidR="003F08F4" w:rsidRPr="00E007CB" w:rsidRDefault="003F08F4" w:rsidP="003F08F4">
            <w:pPr>
              <w:jc w:val="both"/>
              <w:rPr>
                <w:rFonts w:eastAsia="Calibri"/>
                <w:sz w:val="20"/>
              </w:rPr>
            </w:pPr>
          </w:p>
        </w:tc>
        <w:tc>
          <w:tcPr>
            <w:tcW w:w="2330" w:type="pct"/>
          </w:tcPr>
          <w:p w:rsidR="003F08F4" w:rsidRPr="00F77596" w:rsidRDefault="003F08F4" w:rsidP="003F08F4">
            <w:pPr>
              <w:jc w:val="both"/>
              <w:rPr>
                <w:sz w:val="20"/>
              </w:rPr>
            </w:pPr>
            <w:r w:rsidRPr="00F77596">
              <w:rPr>
                <w:sz w:val="20"/>
              </w:rPr>
              <w:t>Application for leave to appeal filed</w:t>
            </w:r>
          </w:p>
        </w:tc>
      </w:tr>
    </w:tbl>
    <w:p w:rsidR="00C11C4D" w:rsidRDefault="00C11C4D" w:rsidP="00C11C4D">
      <w:pPr>
        <w:rPr>
          <w:sz w:val="20"/>
          <w:szCs w:val="20"/>
        </w:rPr>
      </w:pPr>
    </w:p>
    <w:p w:rsidR="00C11C4D" w:rsidRPr="00C50A5C" w:rsidRDefault="00EC4FDF" w:rsidP="00C11C4D">
      <w:pPr>
        <w:rPr>
          <w:sz w:val="20"/>
          <w:szCs w:val="20"/>
        </w:rPr>
      </w:pPr>
      <w:r>
        <w:rPr>
          <w:sz w:val="20"/>
          <w:szCs w:val="20"/>
          <w:lang w:val="fr-CA"/>
        </w:rPr>
        <w:pict>
          <v:rect id="_x0000_i1091" style="width:2in;height:1pt" o:hrpct="0" o:hralign="center" o:hrstd="t" o:hrnoshade="t" o:hr="t" fillcolor="black [3213]" stroked="f"/>
        </w:pict>
      </w:r>
    </w:p>
    <w:p w:rsidR="00C11C4D" w:rsidRDefault="00C11C4D" w:rsidP="00C11C4D">
      <w:pPr>
        <w:rPr>
          <w:sz w:val="20"/>
          <w:szCs w:val="20"/>
        </w:rPr>
      </w:pPr>
    </w:p>
    <w:p w:rsidR="00C11C4D" w:rsidRPr="001B157C" w:rsidRDefault="00C11C4D" w:rsidP="00C11C4D">
      <w:pPr>
        <w:rPr>
          <w:sz w:val="20"/>
          <w:szCs w:val="20"/>
          <w:u w:val="single"/>
          <w:lang w:val="fr-CA"/>
        </w:rPr>
      </w:pPr>
      <w:r w:rsidRPr="001B157C">
        <w:rPr>
          <w:sz w:val="20"/>
          <w:szCs w:val="20"/>
          <w:u w:val="single"/>
          <w:lang w:val="fr-CA"/>
        </w:rPr>
        <w:t>RÉSUMÉ DE L’AFFAIRE</w:t>
      </w:r>
    </w:p>
    <w:p w:rsidR="00C11C4D" w:rsidRDefault="00C11C4D" w:rsidP="00C11C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0BB5" w:rsidRPr="00002704" w:rsidTr="00B77038">
        <w:tc>
          <w:tcPr>
            <w:tcW w:w="5000" w:type="pct"/>
            <w:gridSpan w:val="3"/>
          </w:tcPr>
          <w:p w:rsidR="002B0BB5" w:rsidRDefault="002B0BB5" w:rsidP="002B0BB5">
            <w:pPr>
              <w:jc w:val="both"/>
              <w:rPr>
                <w:sz w:val="20"/>
                <w:lang w:val="fr-CA"/>
              </w:rPr>
            </w:pPr>
            <w:r w:rsidRPr="00F77596">
              <w:rPr>
                <w:sz w:val="20"/>
                <w:lang w:val="fr-CA"/>
              </w:rPr>
              <w:t>Procédure civile – Requête pour permission d’appeler – Le demandeur soulève-t-il une question juridique d’importance pour le public?</w:t>
            </w:r>
          </w:p>
          <w:p w:rsidR="002B0BB5" w:rsidRPr="00F77596" w:rsidRDefault="002B0BB5" w:rsidP="002B0BB5">
            <w:pPr>
              <w:jc w:val="both"/>
              <w:rPr>
                <w:sz w:val="20"/>
                <w:lang w:val="fr-CA"/>
              </w:rPr>
            </w:pPr>
          </w:p>
        </w:tc>
      </w:tr>
      <w:tr w:rsidR="002B0BB5" w:rsidRPr="00002704" w:rsidTr="00B77038">
        <w:tc>
          <w:tcPr>
            <w:tcW w:w="5000" w:type="pct"/>
            <w:gridSpan w:val="3"/>
          </w:tcPr>
          <w:p w:rsidR="002B0BB5" w:rsidRPr="00F77596" w:rsidRDefault="002B0BB5" w:rsidP="002B0BB5">
            <w:pPr>
              <w:jc w:val="both"/>
              <w:rPr>
                <w:sz w:val="20"/>
                <w:lang w:val="fr-CA"/>
              </w:rPr>
            </w:pPr>
            <w:r w:rsidRPr="00F77596">
              <w:rPr>
                <w:sz w:val="20"/>
                <w:lang w:val="fr-CA"/>
              </w:rPr>
              <w:t xml:space="preserve">Cette affaire découle d’une poursuite intentée contre la Procureure générale du Québec le 19 novembre 2013, près d’un an après le rejet par la Cour supérieure d’une poursuite intentée vers le 15 novembre 2012 contre la </w:t>
            </w:r>
            <w:r w:rsidRPr="00F77596">
              <w:rPr>
                <w:iCs/>
                <w:sz w:val="20"/>
                <w:lang w:val="fr-CA"/>
              </w:rPr>
              <w:t>Société des loteries du Québec</w:t>
            </w:r>
            <w:r w:rsidRPr="00F77596">
              <w:rPr>
                <w:sz w:val="20"/>
                <w:lang w:val="fr-CA"/>
              </w:rPr>
              <w:t xml:space="preserve"> et le refus par un juge de la Cour d’appel d’autoriser l’appel de ce jugement. Le demandeur réclame depuis un trillion de dollars de l’intimée.</w:t>
            </w:r>
          </w:p>
          <w:p w:rsidR="002B0BB5" w:rsidRPr="00F77596" w:rsidRDefault="002B0BB5" w:rsidP="002B0BB5">
            <w:pPr>
              <w:jc w:val="both"/>
              <w:rPr>
                <w:sz w:val="20"/>
                <w:lang w:val="fr-CA"/>
              </w:rPr>
            </w:pPr>
          </w:p>
        </w:tc>
      </w:tr>
      <w:tr w:rsidR="002B0BB5" w:rsidRPr="00002704" w:rsidTr="00B77038">
        <w:trPr>
          <w:cantSplit/>
        </w:trPr>
        <w:tc>
          <w:tcPr>
            <w:tcW w:w="2427" w:type="pct"/>
          </w:tcPr>
          <w:p w:rsidR="00D07C26" w:rsidRPr="00F77596" w:rsidRDefault="00D07C26" w:rsidP="00D07C26">
            <w:pPr>
              <w:jc w:val="both"/>
              <w:rPr>
                <w:sz w:val="20"/>
                <w:lang w:val="fr-CA"/>
              </w:rPr>
            </w:pPr>
            <w:r w:rsidRPr="00F77596">
              <w:rPr>
                <w:sz w:val="20"/>
                <w:lang w:val="fr-CA"/>
              </w:rPr>
              <w:t>Le 16 janvier 2015</w:t>
            </w:r>
          </w:p>
          <w:p w:rsidR="00D07C26" w:rsidRPr="00F77596" w:rsidRDefault="00D07C26" w:rsidP="00D07C26">
            <w:pPr>
              <w:jc w:val="both"/>
              <w:rPr>
                <w:sz w:val="20"/>
                <w:lang w:val="fr-CA"/>
              </w:rPr>
            </w:pPr>
            <w:r w:rsidRPr="00F77596">
              <w:rPr>
                <w:sz w:val="20"/>
                <w:lang w:val="fr-CA"/>
              </w:rPr>
              <w:t>Cour supérieure du Québec</w:t>
            </w:r>
          </w:p>
          <w:p w:rsidR="00D07C26" w:rsidRPr="00F77596" w:rsidRDefault="00D07C26" w:rsidP="00D07C26">
            <w:pPr>
              <w:jc w:val="both"/>
              <w:rPr>
                <w:sz w:val="20"/>
                <w:lang w:val="fr-CA"/>
              </w:rPr>
            </w:pPr>
            <w:r w:rsidRPr="00F77596">
              <w:rPr>
                <w:sz w:val="20"/>
                <w:lang w:val="fr-CA"/>
              </w:rPr>
              <w:t>(Le juge St-Pierre)</w:t>
            </w:r>
          </w:p>
          <w:p w:rsidR="00D07C26" w:rsidRPr="00F77596" w:rsidRDefault="00D07C26" w:rsidP="00D07C26">
            <w:pPr>
              <w:jc w:val="both"/>
              <w:rPr>
                <w:sz w:val="20"/>
                <w:lang w:val="fr-CA"/>
              </w:rPr>
            </w:pPr>
            <w:r w:rsidRPr="00F77596">
              <w:rPr>
                <w:sz w:val="20"/>
                <w:lang w:val="fr-CA"/>
              </w:rPr>
              <w:t>No : 200-17-019308-139</w:t>
            </w:r>
          </w:p>
          <w:p w:rsidR="00D07C26" w:rsidRPr="00F77596" w:rsidRDefault="00D07C26" w:rsidP="00D07C26">
            <w:pPr>
              <w:jc w:val="both"/>
              <w:rPr>
                <w:sz w:val="20"/>
              </w:rPr>
            </w:pPr>
            <w:r w:rsidRPr="00F77596">
              <w:rPr>
                <w:sz w:val="20"/>
              </w:rPr>
              <w:t>2015 QCCS 1226</w:t>
            </w:r>
          </w:p>
          <w:p w:rsidR="002B0BB5" w:rsidRPr="00E007CB" w:rsidRDefault="002B0BB5" w:rsidP="002B0BB5">
            <w:pPr>
              <w:jc w:val="both"/>
              <w:rPr>
                <w:rFonts w:eastAsia="Calibri"/>
                <w:sz w:val="20"/>
                <w:lang w:val="fr-CA"/>
              </w:rPr>
            </w:pPr>
          </w:p>
        </w:tc>
        <w:tc>
          <w:tcPr>
            <w:tcW w:w="243" w:type="pct"/>
          </w:tcPr>
          <w:p w:rsidR="002B0BB5" w:rsidRPr="00E007CB" w:rsidRDefault="002B0BB5" w:rsidP="002B0BB5">
            <w:pPr>
              <w:jc w:val="both"/>
              <w:rPr>
                <w:rFonts w:eastAsia="Calibri"/>
                <w:sz w:val="20"/>
                <w:lang w:val="fr-CA"/>
              </w:rPr>
            </w:pPr>
          </w:p>
        </w:tc>
        <w:tc>
          <w:tcPr>
            <w:tcW w:w="2330" w:type="pct"/>
          </w:tcPr>
          <w:p w:rsidR="00D07C26" w:rsidRPr="00F77596" w:rsidRDefault="00D07C26" w:rsidP="00D07C26">
            <w:pPr>
              <w:jc w:val="both"/>
              <w:rPr>
                <w:sz w:val="20"/>
              </w:rPr>
            </w:pPr>
            <w:r w:rsidRPr="00F77596">
              <w:rPr>
                <w:sz w:val="20"/>
              </w:rPr>
              <w:t>Requête en irrecevabilité accueillie.</w:t>
            </w:r>
          </w:p>
          <w:p w:rsidR="002B0BB5" w:rsidRPr="00F77596" w:rsidRDefault="002B0BB5" w:rsidP="002B0BB5">
            <w:pPr>
              <w:jc w:val="both"/>
              <w:rPr>
                <w:sz w:val="20"/>
                <w:lang w:val="fr-CA"/>
              </w:rPr>
            </w:pPr>
          </w:p>
        </w:tc>
      </w:tr>
      <w:tr w:rsidR="00D07C26" w:rsidRPr="00E007CB" w:rsidTr="00B77038">
        <w:trPr>
          <w:cantSplit/>
        </w:trPr>
        <w:tc>
          <w:tcPr>
            <w:tcW w:w="2427" w:type="pct"/>
          </w:tcPr>
          <w:p w:rsidR="00D07C26" w:rsidRPr="00F77596" w:rsidRDefault="00D07C26" w:rsidP="00D07C26">
            <w:pPr>
              <w:jc w:val="both"/>
              <w:rPr>
                <w:sz w:val="20"/>
                <w:lang w:val="fr-CA"/>
              </w:rPr>
            </w:pPr>
            <w:r w:rsidRPr="00F77596">
              <w:rPr>
                <w:sz w:val="20"/>
                <w:lang w:val="fr-CA"/>
              </w:rPr>
              <w:t>Le 27 avril 2015</w:t>
            </w:r>
          </w:p>
          <w:p w:rsidR="00D07C26" w:rsidRPr="00F77596" w:rsidRDefault="00D07C26" w:rsidP="00D07C26">
            <w:pPr>
              <w:jc w:val="both"/>
              <w:rPr>
                <w:sz w:val="20"/>
                <w:lang w:val="fr-CA"/>
              </w:rPr>
            </w:pPr>
            <w:r w:rsidRPr="00F77596">
              <w:rPr>
                <w:sz w:val="20"/>
                <w:lang w:val="fr-CA"/>
              </w:rPr>
              <w:t>Cour d’appel du Québec (Québec)</w:t>
            </w:r>
          </w:p>
          <w:p w:rsidR="00D07C26" w:rsidRPr="00F77596" w:rsidRDefault="00D07C26" w:rsidP="00D07C26">
            <w:pPr>
              <w:jc w:val="both"/>
              <w:rPr>
                <w:sz w:val="20"/>
                <w:lang w:val="fr-CA"/>
              </w:rPr>
            </w:pPr>
            <w:r w:rsidRPr="00F77596">
              <w:rPr>
                <w:sz w:val="20"/>
                <w:lang w:val="fr-CA"/>
              </w:rPr>
              <w:t>(Les juges Chamberland, Giroux et Bélanger)</w:t>
            </w:r>
          </w:p>
          <w:p w:rsidR="00D07C26" w:rsidRPr="00F77596" w:rsidRDefault="00D07C26" w:rsidP="00D07C26">
            <w:pPr>
              <w:jc w:val="both"/>
              <w:rPr>
                <w:sz w:val="20"/>
              </w:rPr>
            </w:pPr>
            <w:r w:rsidRPr="00F77596">
              <w:rPr>
                <w:sz w:val="20"/>
              </w:rPr>
              <w:t>No : 200-09-008976-158</w:t>
            </w:r>
          </w:p>
          <w:p w:rsidR="00D07C26" w:rsidRPr="00F77596" w:rsidRDefault="00EC4FDF" w:rsidP="00D07C26">
            <w:pPr>
              <w:jc w:val="both"/>
              <w:rPr>
                <w:sz w:val="20"/>
              </w:rPr>
            </w:pPr>
            <w:hyperlink r:id="rId119" w:history="1">
              <w:r w:rsidR="00D07C26" w:rsidRPr="00F77596">
                <w:rPr>
                  <w:rStyle w:val="Hyperlink"/>
                  <w:sz w:val="20"/>
                </w:rPr>
                <w:t>2015 QCCA 709</w:t>
              </w:r>
            </w:hyperlink>
          </w:p>
          <w:p w:rsidR="00D07C26" w:rsidRDefault="00D07C26" w:rsidP="002B0BB5">
            <w:pPr>
              <w:jc w:val="both"/>
              <w:rPr>
                <w:sz w:val="20"/>
              </w:rPr>
            </w:pPr>
          </w:p>
        </w:tc>
        <w:tc>
          <w:tcPr>
            <w:tcW w:w="243" w:type="pct"/>
          </w:tcPr>
          <w:p w:rsidR="00D07C26" w:rsidRPr="00E007CB" w:rsidRDefault="00D07C26" w:rsidP="002B0BB5">
            <w:pPr>
              <w:jc w:val="both"/>
              <w:rPr>
                <w:rFonts w:eastAsia="Calibri"/>
                <w:sz w:val="20"/>
                <w:lang w:val="fr-CA"/>
              </w:rPr>
            </w:pPr>
          </w:p>
        </w:tc>
        <w:tc>
          <w:tcPr>
            <w:tcW w:w="2330" w:type="pct"/>
          </w:tcPr>
          <w:p w:rsidR="00D07C26" w:rsidRPr="00F77596" w:rsidRDefault="00D07C26" w:rsidP="00D07C26">
            <w:pPr>
              <w:jc w:val="both"/>
              <w:rPr>
                <w:sz w:val="20"/>
                <w:lang w:val="fr-CA"/>
              </w:rPr>
            </w:pPr>
            <w:r w:rsidRPr="00F77596">
              <w:rPr>
                <w:sz w:val="20"/>
                <w:lang w:val="fr-CA"/>
              </w:rPr>
              <w:t>Requête pour permission d’appeler rejetée.</w:t>
            </w:r>
          </w:p>
          <w:p w:rsidR="00D07C26" w:rsidRDefault="00D07C26" w:rsidP="002B0BB5">
            <w:pPr>
              <w:jc w:val="both"/>
              <w:rPr>
                <w:sz w:val="20"/>
                <w:lang w:val="fr-CA"/>
              </w:rPr>
            </w:pPr>
          </w:p>
          <w:p w:rsidR="00D07C26" w:rsidRPr="00D07C26" w:rsidRDefault="00D07C26" w:rsidP="00D07C26">
            <w:pPr>
              <w:rPr>
                <w:sz w:val="20"/>
                <w:lang w:val="fr-CA"/>
              </w:rPr>
            </w:pPr>
          </w:p>
        </w:tc>
      </w:tr>
      <w:tr w:rsidR="00D07C26" w:rsidRPr="00E007CB" w:rsidTr="00B77038">
        <w:trPr>
          <w:cantSplit/>
        </w:trPr>
        <w:tc>
          <w:tcPr>
            <w:tcW w:w="2427" w:type="pct"/>
          </w:tcPr>
          <w:p w:rsidR="00D07C26" w:rsidRPr="00F77596" w:rsidRDefault="00D07C26" w:rsidP="00D07C26">
            <w:pPr>
              <w:jc w:val="both"/>
              <w:rPr>
                <w:sz w:val="20"/>
              </w:rPr>
            </w:pPr>
            <w:r>
              <w:rPr>
                <w:sz w:val="20"/>
              </w:rPr>
              <w:t>12</w:t>
            </w:r>
            <w:r w:rsidRPr="00F77596">
              <w:rPr>
                <w:sz w:val="20"/>
              </w:rPr>
              <w:t xml:space="preserve"> juin 2015</w:t>
            </w:r>
          </w:p>
          <w:p w:rsidR="00D07C26" w:rsidRPr="00F77596" w:rsidRDefault="00D07C26" w:rsidP="00D07C26">
            <w:pPr>
              <w:jc w:val="both"/>
              <w:rPr>
                <w:sz w:val="20"/>
              </w:rPr>
            </w:pPr>
            <w:r w:rsidRPr="00F77596">
              <w:rPr>
                <w:sz w:val="20"/>
              </w:rPr>
              <w:t>Cour suprême du Canada</w:t>
            </w:r>
          </w:p>
          <w:p w:rsidR="00D07C26" w:rsidRDefault="00D07C26" w:rsidP="00D07C26">
            <w:pPr>
              <w:jc w:val="both"/>
              <w:rPr>
                <w:rFonts w:eastAsia="Calibri"/>
                <w:sz w:val="20"/>
                <w:lang w:val="fr-CA"/>
              </w:rPr>
            </w:pPr>
          </w:p>
        </w:tc>
        <w:tc>
          <w:tcPr>
            <w:tcW w:w="243" w:type="pct"/>
          </w:tcPr>
          <w:p w:rsidR="00D07C26" w:rsidRPr="00E007CB" w:rsidRDefault="00D07C26" w:rsidP="00D07C26">
            <w:pPr>
              <w:jc w:val="both"/>
              <w:rPr>
                <w:rFonts w:eastAsia="Calibri"/>
                <w:sz w:val="20"/>
                <w:lang w:val="fr-CA"/>
              </w:rPr>
            </w:pPr>
          </w:p>
        </w:tc>
        <w:tc>
          <w:tcPr>
            <w:tcW w:w="2330" w:type="pct"/>
          </w:tcPr>
          <w:p w:rsidR="00D07C26" w:rsidRPr="00F77596" w:rsidRDefault="00D07C26" w:rsidP="00D07C26">
            <w:pPr>
              <w:jc w:val="both"/>
              <w:rPr>
                <w:sz w:val="20"/>
              </w:rPr>
            </w:pPr>
            <w:r w:rsidRPr="00F77596">
              <w:rPr>
                <w:sz w:val="20"/>
              </w:rPr>
              <w:t>Demande d’autorisation d’appel déposée.</w:t>
            </w:r>
          </w:p>
        </w:tc>
      </w:tr>
    </w:tbl>
    <w:p w:rsidR="00C11C4D" w:rsidRDefault="00C11C4D" w:rsidP="00C11C4D">
      <w:pPr>
        <w:rPr>
          <w:sz w:val="20"/>
          <w:szCs w:val="20"/>
        </w:rPr>
      </w:pPr>
    </w:p>
    <w:p w:rsidR="00C11C4D" w:rsidRDefault="00EC4FDF" w:rsidP="00C11C4D">
      <w:pPr>
        <w:rPr>
          <w:sz w:val="20"/>
          <w:szCs w:val="20"/>
        </w:rPr>
      </w:pPr>
      <w:r>
        <w:rPr>
          <w:sz w:val="20"/>
          <w:szCs w:val="20"/>
          <w:lang w:val="fr-CA"/>
        </w:rPr>
        <w:pict>
          <v:rect id="_x0000_i1092" style="width:2in;height:1pt" o:hrpct="0" o:hralign="center" o:hrstd="t" o:hrnoshade="t" o:hr="t" fillcolor="black [3213]" stroked="f"/>
        </w:pict>
      </w:r>
    </w:p>
    <w:p w:rsidR="00D56A64" w:rsidRDefault="00D56A64">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87D10" w:rsidRPr="00A73D2C" w:rsidTr="00B77038">
        <w:trPr>
          <w:cantSplit/>
        </w:trPr>
        <w:tc>
          <w:tcPr>
            <w:tcW w:w="1458" w:type="dxa"/>
          </w:tcPr>
          <w:p w:rsidR="00487D10" w:rsidRPr="00A73D2C" w:rsidRDefault="00487D10" w:rsidP="00B77038">
            <w:pPr>
              <w:rPr>
                <w:sz w:val="20"/>
                <w:szCs w:val="20"/>
              </w:rPr>
            </w:pPr>
            <w:r w:rsidRPr="00A73D2C">
              <w:rPr>
                <w:rStyle w:val="SCCFileNumberChar"/>
                <w:sz w:val="20"/>
                <w:szCs w:val="20"/>
              </w:rPr>
              <w:t>36</w:t>
            </w:r>
            <w:r>
              <w:rPr>
                <w:rStyle w:val="SCCFileNumberChar"/>
                <w:sz w:val="20"/>
                <w:szCs w:val="20"/>
              </w:rPr>
              <w:t>527</w:t>
            </w:r>
          </w:p>
          <w:p w:rsidR="00487D10" w:rsidRPr="00A73D2C" w:rsidRDefault="00487D10" w:rsidP="00B77038">
            <w:pPr>
              <w:jc w:val="center"/>
              <w:rPr>
                <w:b/>
                <w:sz w:val="20"/>
                <w:szCs w:val="20"/>
                <w:lang w:val="fr-CA"/>
              </w:rPr>
            </w:pPr>
          </w:p>
        </w:tc>
        <w:tc>
          <w:tcPr>
            <w:tcW w:w="8118" w:type="dxa"/>
          </w:tcPr>
          <w:p w:rsidR="00487D10" w:rsidRPr="00A73D2C" w:rsidRDefault="00E41665" w:rsidP="00B77038">
            <w:pPr>
              <w:rPr>
                <w:sz w:val="20"/>
                <w:szCs w:val="20"/>
              </w:rPr>
            </w:pPr>
            <w:r w:rsidRPr="00E41665">
              <w:rPr>
                <w:rStyle w:val="SCCLsocChar"/>
                <w:sz w:val="20"/>
                <w:szCs w:val="20"/>
                <w:lang w:val="en-CA"/>
              </w:rPr>
              <w:t>Khushwant Sidhu, also known as Kris Sidhu, Zafir Rashid, a</w:t>
            </w:r>
            <w:r w:rsidR="00B15BE1">
              <w:rPr>
                <w:rStyle w:val="SCCLsocChar"/>
                <w:sz w:val="20"/>
                <w:szCs w:val="20"/>
                <w:lang w:val="en-CA"/>
              </w:rPr>
              <w:t>ls</w:t>
            </w:r>
            <w:r w:rsidRPr="00E41665">
              <w:rPr>
                <w:rStyle w:val="SCCLsocChar"/>
                <w:sz w:val="20"/>
                <w:szCs w:val="20"/>
                <w:lang w:val="en-CA"/>
              </w:rPr>
              <w:t>o known as Zaf Rashid and Satpreet Thiara, also known as Sat Thiara v. Pitblado LLP</w:t>
            </w:r>
            <w:r w:rsidR="00487D10" w:rsidRPr="00FE3038">
              <w:rPr>
                <w:rStyle w:val="SCCLsocChar"/>
                <w:sz w:val="20"/>
                <w:szCs w:val="20"/>
                <w:u w:val="none"/>
                <w:lang w:val="en-CA"/>
              </w:rPr>
              <w:t xml:space="preserve"> </w:t>
            </w:r>
            <w:r w:rsidR="00487D10" w:rsidRPr="00A73D2C">
              <w:rPr>
                <w:sz w:val="20"/>
                <w:szCs w:val="20"/>
              </w:rPr>
              <w:t>(</w:t>
            </w:r>
            <w:r w:rsidR="00487D10">
              <w:rPr>
                <w:sz w:val="20"/>
                <w:szCs w:val="20"/>
              </w:rPr>
              <w:t>Man.</w:t>
            </w:r>
            <w:r w:rsidR="00487D10" w:rsidRPr="00A73D2C">
              <w:rPr>
                <w:sz w:val="20"/>
                <w:szCs w:val="20"/>
              </w:rPr>
              <w:t>) (C</w:t>
            </w:r>
            <w:r w:rsidR="00487D10">
              <w:rPr>
                <w:sz w:val="20"/>
                <w:szCs w:val="20"/>
              </w:rPr>
              <w:t>ivil</w:t>
            </w:r>
            <w:r w:rsidR="00487D10" w:rsidRPr="00A73D2C">
              <w:rPr>
                <w:sz w:val="20"/>
                <w:szCs w:val="20"/>
              </w:rPr>
              <w:t>) (By Leave)</w:t>
            </w:r>
          </w:p>
          <w:p w:rsidR="00487D10" w:rsidRPr="00A73D2C" w:rsidRDefault="00487D10" w:rsidP="00B77038">
            <w:pPr>
              <w:rPr>
                <w:sz w:val="20"/>
                <w:szCs w:val="20"/>
              </w:rPr>
            </w:pPr>
          </w:p>
        </w:tc>
      </w:tr>
      <w:tr w:rsidR="00487D10" w:rsidRPr="00A73D2C" w:rsidTr="00B77038">
        <w:trPr>
          <w:cantSplit/>
        </w:trPr>
        <w:tc>
          <w:tcPr>
            <w:tcW w:w="1458" w:type="dxa"/>
          </w:tcPr>
          <w:p w:rsidR="00487D10" w:rsidRPr="00A73D2C" w:rsidRDefault="00487D10" w:rsidP="00B77038">
            <w:pPr>
              <w:rPr>
                <w:sz w:val="20"/>
                <w:szCs w:val="20"/>
              </w:rPr>
            </w:pPr>
            <w:r w:rsidRPr="00A73D2C">
              <w:rPr>
                <w:sz w:val="20"/>
                <w:szCs w:val="20"/>
              </w:rPr>
              <w:t>Coram :</w:t>
            </w:r>
          </w:p>
        </w:tc>
        <w:tc>
          <w:tcPr>
            <w:tcW w:w="8118" w:type="dxa"/>
          </w:tcPr>
          <w:p w:rsidR="00487D10" w:rsidRDefault="00CF52CF" w:rsidP="00B77038">
            <w:pPr>
              <w:rPr>
                <w:rStyle w:val="SCCCoramChar"/>
                <w:sz w:val="20"/>
                <w:szCs w:val="20"/>
                <w:lang w:val="en-CA"/>
              </w:rPr>
            </w:pPr>
            <w:r w:rsidRPr="00CF52CF">
              <w:rPr>
                <w:rStyle w:val="SCCCoramChar"/>
                <w:sz w:val="20"/>
                <w:szCs w:val="20"/>
                <w:lang w:val="en-CA"/>
              </w:rPr>
              <w:t>McLachlin C.J. and Moldaver and Gascon JJ.</w:t>
            </w:r>
          </w:p>
          <w:p w:rsidR="00CF52CF" w:rsidRPr="00A73D2C" w:rsidRDefault="00CF52CF" w:rsidP="00B77038">
            <w:pPr>
              <w:rPr>
                <w:sz w:val="20"/>
                <w:szCs w:val="20"/>
                <w:u w:val="single"/>
              </w:rPr>
            </w:pPr>
          </w:p>
        </w:tc>
      </w:tr>
      <w:tr w:rsidR="00487D10" w:rsidRPr="00002704" w:rsidTr="00B77038">
        <w:trPr>
          <w:cantSplit/>
        </w:trPr>
        <w:tc>
          <w:tcPr>
            <w:tcW w:w="9576" w:type="dxa"/>
            <w:gridSpan w:val="2"/>
          </w:tcPr>
          <w:p w:rsidR="00CF52CF" w:rsidRPr="00CF52CF" w:rsidRDefault="00CF52CF" w:rsidP="00CF52CF">
            <w:pPr>
              <w:pStyle w:val="SCCShortJudgment"/>
              <w:rPr>
                <w:szCs w:val="20"/>
              </w:rPr>
            </w:pPr>
            <w:r w:rsidRPr="00CF52CF">
              <w:rPr>
                <w:szCs w:val="20"/>
              </w:rPr>
              <w:t>The application for leave to appeal from the judgment of the Court of Appeal of Manitoba, Number AI14-30-08255, 2015 MBCA 52, dated May 21, 2015, is dismissed with costs.</w:t>
            </w:r>
          </w:p>
          <w:p w:rsidR="00CF52CF" w:rsidRPr="00CF52CF" w:rsidRDefault="00CF52CF" w:rsidP="00CF52CF">
            <w:pPr>
              <w:pStyle w:val="SCCShortJudgment"/>
              <w:rPr>
                <w:szCs w:val="20"/>
              </w:rPr>
            </w:pPr>
          </w:p>
          <w:p w:rsidR="00487D10" w:rsidRPr="00A73D2C" w:rsidRDefault="00CF52CF" w:rsidP="00CF52CF">
            <w:pPr>
              <w:pStyle w:val="SCCShortJudgment"/>
              <w:rPr>
                <w:szCs w:val="20"/>
                <w:lang w:val="fr-CA"/>
              </w:rPr>
            </w:pPr>
            <w:r w:rsidRPr="00CF52CF">
              <w:rPr>
                <w:szCs w:val="20"/>
              </w:rPr>
              <w:t>La demande d’autorisation d’appel de l’arrêt de la Cour d’appel du Manitoba, numéro AI14-30-08255, 2015 MBCA 52, daté du 21 mai 2015, est rejetée avec dépens.</w:t>
            </w:r>
          </w:p>
        </w:tc>
      </w:tr>
    </w:tbl>
    <w:p w:rsidR="00487D10" w:rsidRPr="0016547E" w:rsidRDefault="00487D10" w:rsidP="00487D10">
      <w:pPr>
        <w:rPr>
          <w:sz w:val="20"/>
          <w:szCs w:val="20"/>
          <w:lang w:val="fr-CA"/>
        </w:rPr>
      </w:pPr>
    </w:p>
    <w:p w:rsidR="00487D10" w:rsidRPr="001B157C" w:rsidRDefault="00487D10" w:rsidP="00487D10">
      <w:pPr>
        <w:rPr>
          <w:sz w:val="20"/>
          <w:szCs w:val="20"/>
          <w:u w:val="single"/>
        </w:rPr>
      </w:pPr>
      <w:r w:rsidRPr="001B157C">
        <w:rPr>
          <w:sz w:val="20"/>
          <w:szCs w:val="20"/>
          <w:u w:val="single"/>
        </w:rPr>
        <w:t>CASE SUMMARY</w:t>
      </w:r>
    </w:p>
    <w:p w:rsidR="00487D10" w:rsidRDefault="00487D10" w:rsidP="00487D1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87D10" w:rsidRPr="00E007CB" w:rsidTr="00B77038">
        <w:tc>
          <w:tcPr>
            <w:tcW w:w="5000" w:type="pct"/>
            <w:gridSpan w:val="3"/>
          </w:tcPr>
          <w:p w:rsidR="00487D10" w:rsidRPr="00F77596" w:rsidRDefault="00487D10" w:rsidP="00487D10">
            <w:pPr>
              <w:jc w:val="both"/>
              <w:rPr>
                <w:sz w:val="20"/>
                <w:lang w:eastAsia="en-CA"/>
              </w:rPr>
            </w:pPr>
            <w:r w:rsidRPr="00F77596">
              <w:rPr>
                <w:sz w:val="20"/>
                <w:lang w:eastAsia="en-CA"/>
              </w:rPr>
              <w:t>Judgments and orders ― Summary judgments ― Law firm bringing action against clients for unpaid legal services ― Summary judgment upheld by Court of Appeal ― Whether trial judge presiding at case conferences precluded from hearing motion for summary judgment ― Whether clients,  who dispute fairness and reasonableness of services provided by law firm, entitled to an assessment or taxation of law firm’s account, as requested at trial ― Whether lower courts erred in their decision awarding summary judgment and costs.</w:t>
            </w:r>
          </w:p>
          <w:p w:rsidR="00487D10" w:rsidRPr="00F77596" w:rsidRDefault="00487D10" w:rsidP="00B77038">
            <w:pPr>
              <w:jc w:val="both"/>
              <w:rPr>
                <w:sz w:val="20"/>
              </w:rPr>
            </w:pPr>
          </w:p>
        </w:tc>
      </w:tr>
      <w:tr w:rsidR="00487D10" w:rsidRPr="00E007CB" w:rsidTr="00B77038">
        <w:tc>
          <w:tcPr>
            <w:tcW w:w="5000" w:type="pct"/>
            <w:gridSpan w:val="3"/>
          </w:tcPr>
          <w:p w:rsidR="00487D10" w:rsidRPr="00F77596" w:rsidRDefault="00487D10" w:rsidP="00487D10">
            <w:pPr>
              <w:jc w:val="both"/>
              <w:rPr>
                <w:sz w:val="20"/>
              </w:rPr>
            </w:pPr>
            <w:r w:rsidRPr="00F77596">
              <w:rPr>
                <w:sz w:val="20"/>
              </w:rPr>
              <w:t xml:space="preserve">In a summary judgment, the applicant clients were ordered to pay the respondent law firm $49,377.54 plus interest and costs. The amount of the summary judgment represented the outstanding balance owed to the law firm by the clients as fees for services rendered. </w:t>
            </w:r>
          </w:p>
          <w:p w:rsidR="00487D10" w:rsidRPr="00F77596" w:rsidRDefault="00487D10" w:rsidP="00B77038">
            <w:pPr>
              <w:jc w:val="both"/>
              <w:rPr>
                <w:sz w:val="20"/>
              </w:rPr>
            </w:pPr>
          </w:p>
        </w:tc>
      </w:tr>
      <w:tr w:rsidR="00E80301" w:rsidRPr="00E007CB" w:rsidTr="00B77038">
        <w:tc>
          <w:tcPr>
            <w:tcW w:w="5000" w:type="pct"/>
            <w:gridSpan w:val="3"/>
          </w:tcPr>
          <w:p w:rsidR="00E80301" w:rsidRPr="00F77596" w:rsidRDefault="00E80301" w:rsidP="00E80301">
            <w:pPr>
              <w:jc w:val="both"/>
              <w:rPr>
                <w:sz w:val="20"/>
              </w:rPr>
            </w:pPr>
            <w:r w:rsidRPr="00F77596">
              <w:rPr>
                <w:sz w:val="20"/>
              </w:rPr>
              <w:t>The Court of Appeal dismissed the appeal.</w:t>
            </w:r>
          </w:p>
          <w:p w:rsidR="00E80301" w:rsidRPr="00F77596" w:rsidRDefault="00E80301" w:rsidP="00487D10">
            <w:pPr>
              <w:jc w:val="both"/>
              <w:rPr>
                <w:sz w:val="20"/>
              </w:rPr>
            </w:pPr>
          </w:p>
        </w:tc>
      </w:tr>
      <w:tr w:rsidR="00487D10" w:rsidRPr="00E007CB" w:rsidTr="00B77038">
        <w:trPr>
          <w:cantSplit/>
        </w:trPr>
        <w:tc>
          <w:tcPr>
            <w:tcW w:w="2427" w:type="pct"/>
          </w:tcPr>
          <w:p w:rsidR="00E153BC" w:rsidRPr="00F77596" w:rsidRDefault="00E153BC" w:rsidP="00E153BC">
            <w:pPr>
              <w:jc w:val="both"/>
              <w:rPr>
                <w:sz w:val="20"/>
              </w:rPr>
            </w:pPr>
            <w:r w:rsidRPr="00F77596">
              <w:rPr>
                <w:sz w:val="20"/>
              </w:rPr>
              <w:t>September 2, 2014</w:t>
            </w:r>
          </w:p>
          <w:p w:rsidR="00E153BC" w:rsidRPr="00F77596" w:rsidRDefault="00E153BC" w:rsidP="00E153BC">
            <w:pPr>
              <w:jc w:val="both"/>
              <w:rPr>
                <w:sz w:val="20"/>
              </w:rPr>
            </w:pPr>
            <w:r w:rsidRPr="00F77596">
              <w:rPr>
                <w:sz w:val="20"/>
              </w:rPr>
              <w:t>Court of Queen’s Bench of Manitoba</w:t>
            </w:r>
          </w:p>
          <w:p w:rsidR="00E153BC" w:rsidRPr="00F77596" w:rsidRDefault="00E153BC" w:rsidP="00E153BC">
            <w:pPr>
              <w:jc w:val="both"/>
              <w:rPr>
                <w:sz w:val="20"/>
              </w:rPr>
            </w:pPr>
            <w:r w:rsidRPr="00F77596">
              <w:rPr>
                <w:sz w:val="20"/>
              </w:rPr>
              <w:t>(Abra J.)</w:t>
            </w:r>
          </w:p>
          <w:p w:rsidR="00487D10" w:rsidRPr="00E007CB" w:rsidRDefault="00487D10" w:rsidP="00B77038">
            <w:pPr>
              <w:jc w:val="both"/>
              <w:rPr>
                <w:rFonts w:eastAsia="Calibri"/>
                <w:sz w:val="20"/>
              </w:rPr>
            </w:pPr>
          </w:p>
        </w:tc>
        <w:tc>
          <w:tcPr>
            <w:tcW w:w="243" w:type="pct"/>
          </w:tcPr>
          <w:p w:rsidR="00487D10" w:rsidRPr="00E007CB" w:rsidRDefault="00487D10" w:rsidP="00B77038">
            <w:pPr>
              <w:jc w:val="both"/>
              <w:rPr>
                <w:rFonts w:eastAsia="Calibri"/>
                <w:sz w:val="20"/>
              </w:rPr>
            </w:pPr>
          </w:p>
        </w:tc>
        <w:tc>
          <w:tcPr>
            <w:tcW w:w="2330" w:type="pct"/>
          </w:tcPr>
          <w:p w:rsidR="00E153BC" w:rsidRPr="00F77596" w:rsidRDefault="00E153BC" w:rsidP="00E153BC">
            <w:pPr>
              <w:jc w:val="both"/>
              <w:rPr>
                <w:sz w:val="20"/>
              </w:rPr>
            </w:pPr>
            <w:r w:rsidRPr="00F77596">
              <w:rPr>
                <w:sz w:val="20"/>
              </w:rPr>
              <w:t>Pitblado LLP awarded summary judgment against applicants and $49,377.54 plus interest.</w:t>
            </w:r>
          </w:p>
          <w:p w:rsidR="00487D10" w:rsidRPr="00F77596" w:rsidRDefault="00487D10" w:rsidP="00B77038">
            <w:pPr>
              <w:jc w:val="both"/>
              <w:rPr>
                <w:sz w:val="20"/>
              </w:rPr>
            </w:pPr>
          </w:p>
        </w:tc>
      </w:tr>
      <w:tr w:rsidR="00487D10" w:rsidRPr="00E007CB" w:rsidTr="00B77038">
        <w:trPr>
          <w:cantSplit/>
        </w:trPr>
        <w:tc>
          <w:tcPr>
            <w:tcW w:w="2427" w:type="pct"/>
          </w:tcPr>
          <w:p w:rsidR="00E153BC" w:rsidRPr="00F77596" w:rsidRDefault="00E153BC" w:rsidP="00E153BC">
            <w:pPr>
              <w:jc w:val="both"/>
              <w:rPr>
                <w:sz w:val="20"/>
              </w:rPr>
            </w:pPr>
            <w:r w:rsidRPr="00F77596">
              <w:rPr>
                <w:sz w:val="20"/>
              </w:rPr>
              <w:t>May 21, 2015</w:t>
            </w:r>
          </w:p>
          <w:p w:rsidR="00E153BC" w:rsidRPr="00F77596" w:rsidRDefault="00E153BC" w:rsidP="00E153BC">
            <w:pPr>
              <w:jc w:val="both"/>
              <w:rPr>
                <w:sz w:val="20"/>
              </w:rPr>
            </w:pPr>
            <w:r w:rsidRPr="00F77596">
              <w:rPr>
                <w:sz w:val="20"/>
              </w:rPr>
              <w:t>Court of Appeal of Manitoba</w:t>
            </w:r>
          </w:p>
          <w:p w:rsidR="00E153BC" w:rsidRPr="00F77596" w:rsidRDefault="00E153BC" w:rsidP="00E153BC">
            <w:pPr>
              <w:jc w:val="both"/>
              <w:rPr>
                <w:sz w:val="20"/>
                <w:lang w:val="fr-CA"/>
              </w:rPr>
            </w:pPr>
            <w:r w:rsidRPr="00F77596">
              <w:rPr>
                <w:sz w:val="20"/>
                <w:lang w:val="fr-CA"/>
              </w:rPr>
              <w:t>(Monnin, MacInnes and Mainella JJ.A.)</w:t>
            </w:r>
          </w:p>
          <w:p w:rsidR="00E153BC" w:rsidRPr="00F77596" w:rsidRDefault="00EC4FDF" w:rsidP="00E153BC">
            <w:pPr>
              <w:jc w:val="both"/>
              <w:rPr>
                <w:sz w:val="20"/>
              </w:rPr>
            </w:pPr>
            <w:hyperlink r:id="rId120" w:history="1">
              <w:r w:rsidR="00E153BC" w:rsidRPr="00F77596">
                <w:rPr>
                  <w:rStyle w:val="Hyperlink"/>
                  <w:sz w:val="20"/>
                </w:rPr>
                <w:t>2015 MBCA 52</w:t>
              </w:r>
            </w:hyperlink>
          </w:p>
          <w:p w:rsidR="00E153BC" w:rsidRPr="00F77596" w:rsidRDefault="00E153BC" w:rsidP="00E153BC">
            <w:pPr>
              <w:jc w:val="both"/>
              <w:rPr>
                <w:sz w:val="20"/>
              </w:rPr>
            </w:pPr>
            <w:r w:rsidRPr="00F77596">
              <w:rPr>
                <w:sz w:val="20"/>
              </w:rPr>
              <w:t>File No.: AI 14-30-08255</w:t>
            </w:r>
          </w:p>
          <w:p w:rsidR="00487D10" w:rsidRPr="00F77596" w:rsidRDefault="00487D10" w:rsidP="00B77038">
            <w:pPr>
              <w:jc w:val="both"/>
              <w:rPr>
                <w:sz w:val="20"/>
              </w:rPr>
            </w:pPr>
          </w:p>
        </w:tc>
        <w:tc>
          <w:tcPr>
            <w:tcW w:w="243" w:type="pct"/>
          </w:tcPr>
          <w:p w:rsidR="00487D10" w:rsidRPr="00E007CB" w:rsidRDefault="00487D10" w:rsidP="00B77038">
            <w:pPr>
              <w:jc w:val="both"/>
              <w:rPr>
                <w:rFonts w:eastAsia="Calibri"/>
                <w:sz w:val="20"/>
              </w:rPr>
            </w:pPr>
          </w:p>
        </w:tc>
        <w:tc>
          <w:tcPr>
            <w:tcW w:w="2330" w:type="pct"/>
          </w:tcPr>
          <w:p w:rsidR="00E153BC" w:rsidRPr="00F77596" w:rsidRDefault="00E153BC" w:rsidP="00E153BC">
            <w:pPr>
              <w:jc w:val="both"/>
              <w:rPr>
                <w:sz w:val="20"/>
              </w:rPr>
            </w:pPr>
            <w:r w:rsidRPr="00F77596">
              <w:rPr>
                <w:sz w:val="20"/>
              </w:rPr>
              <w:t>Appeal dismissed.</w:t>
            </w:r>
          </w:p>
          <w:p w:rsidR="00487D10" w:rsidRPr="00F77596" w:rsidRDefault="00487D10" w:rsidP="00B77038">
            <w:pPr>
              <w:jc w:val="both"/>
              <w:rPr>
                <w:sz w:val="20"/>
              </w:rPr>
            </w:pPr>
          </w:p>
        </w:tc>
      </w:tr>
      <w:tr w:rsidR="00487D10" w:rsidRPr="00E007CB" w:rsidTr="00B77038">
        <w:trPr>
          <w:cantSplit/>
        </w:trPr>
        <w:tc>
          <w:tcPr>
            <w:tcW w:w="2427" w:type="pct"/>
          </w:tcPr>
          <w:p w:rsidR="00487D10" w:rsidRPr="00F77596" w:rsidRDefault="00487D10" w:rsidP="00B77038">
            <w:pPr>
              <w:jc w:val="both"/>
              <w:rPr>
                <w:sz w:val="20"/>
              </w:rPr>
            </w:pPr>
            <w:r w:rsidRPr="00F77596">
              <w:rPr>
                <w:sz w:val="20"/>
              </w:rPr>
              <w:t>Ju</w:t>
            </w:r>
            <w:r w:rsidR="00E153BC">
              <w:rPr>
                <w:sz w:val="20"/>
              </w:rPr>
              <w:t>ly</w:t>
            </w:r>
            <w:r w:rsidRPr="00F77596">
              <w:rPr>
                <w:sz w:val="20"/>
              </w:rPr>
              <w:t xml:space="preserve"> </w:t>
            </w:r>
            <w:r>
              <w:rPr>
                <w:sz w:val="20"/>
              </w:rPr>
              <w:t>2</w:t>
            </w:r>
            <w:r w:rsidR="00E153BC">
              <w:rPr>
                <w:sz w:val="20"/>
              </w:rPr>
              <w:t>4</w:t>
            </w:r>
            <w:r w:rsidRPr="00F77596">
              <w:rPr>
                <w:sz w:val="20"/>
              </w:rPr>
              <w:t>, 2015</w:t>
            </w:r>
          </w:p>
          <w:p w:rsidR="00487D10" w:rsidRDefault="00487D10" w:rsidP="00B77038">
            <w:pPr>
              <w:jc w:val="both"/>
              <w:rPr>
                <w:rFonts w:eastAsia="Calibri"/>
                <w:sz w:val="20"/>
              </w:rPr>
            </w:pPr>
            <w:r w:rsidRPr="00F77596">
              <w:rPr>
                <w:sz w:val="20"/>
              </w:rPr>
              <w:t>Supreme Court of Canada</w:t>
            </w:r>
          </w:p>
          <w:p w:rsidR="00487D10" w:rsidRDefault="00487D10" w:rsidP="00B77038">
            <w:pPr>
              <w:jc w:val="both"/>
              <w:rPr>
                <w:rFonts w:eastAsia="Calibri"/>
                <w:sz w:val="20"/>
              </w:rPr>
            </w:pPr>
          </w:p>
        </w:tc>
        <w:tc>
          <w:tcPr>
            <w:tcW w:w="243" w:type="pct"/>
          </w:tcPr>
          <w:p w:rsidR="00487D10" w:rsidRPr="00E007CB" w:rsidRDefault="00487D10" w:rsidP="00B77038">
            <w:pPr>
              <w:jc w:val="both"/>
              <w:rPr>
                <w:rFonts w:eastAsia="Calibri"/>
                <w:sz w:val="20"/>
              </w:rPr>
            </w:pPr>
          </w:p>
        </w:tc>
        <w:tc>
          <w:tcPr>
            <w:tcW w:w="2330" w:type="pct"/>
          </w:tcPr>
          <w:p w:rsidR="00487D10" w:rsidRPr="00F77596" w:rsidRDefault="00487D10" w:rsidP="00B77038">
            <w:pPr>
              <w:jc w:val="both"/>
              <w:rPr>
                <w:sz w:val="20"/>
              </w:rPr>
            </w:pPr>
            <w:r w:rsidRPr="00F77596">
              <w:rPr>
                <w:sz w:val="20"/>
              </w:rPr>
              <w:t>Application for leave to appeal filed</w:t>
            </w:r>
          </w:p>
        </w:tc>
      </w:tr>
    </w:tbl>
    <w:p w:rsidR="00487D10" w:rsidRDefault="00487D10" w:rsidP="00487D10">
      <w:pPr>
        <w:rPr>
          <w:sz w:val="20"/>
          <w:szCs w:val="20"/>
        </w:rPr>
      </w:pPr>
    </w:p>
    <w:p w:rsidR="00487D10" w:rsidRPr="00C50A5C" w:rsidRDefault="00EC4FDF" w:rsidP="00487D10">
      <w:pPr>
        <w:rPr>
          <w:sz w:val="20"/>
          <w:szCs w:val="20"/>
        </w:rPr>
      </w:pPr>
      <w:r>
        <w:rPr>
          <w:sz w:val="20"/>
          <w:szCs w:val="20"/>
          <w:lang w:val="fr-CA"/>
        </w:rPr>
        <w:pict>
          <v:rect id="_x0000_i1093" style="width:2in;height:1pt" o:hrpct="0" o:hralign="center" o:hrstd="t" o:hrnoshade="t" o:hr="t" fillcolor="black [3213]" stroked="f"/>
        </w:pict>
      </w:r>
    </w:p>
    <w:p w:rsidR="00487D10" w:rsidRDefault="00487D10" w:rsidP="00487D10">
      <w:pPr>
        <w:rPr>
          <w:sz w:val="20"/>
          <w:szCs w:val="20"/>
        </w:rPr>
      </w:pPr>
    </w:p>
    <w:p w:rsidR="00487D10" w:rsidRPr="001B157C" w:rsidRDefault="00487D10" w:rsidP="00487D10">
      <w:pPr>
        <w:rPr>
          <w:sz w:val="20"/>
          <w:szCs w:val="20"/>
          <w:u w:val="single"/>
          <w:lang w:val="fr-CA"/>
        </w:rPr>
      </w:pPr>
      <w:r w:rsidRPr="001B157C">
        <w:rPr>
          <w:sz w:val="20"/>
          <w:szCs w:val="20"/>
          <w:u w:val="single"/>
          <w:lang w:val="fr-CA"/>
        </w:rPr>
        <w:t>RÉSUMÉ DE L’AFFAIRE</w:t>
      </w:r>
    </w:p>
    <w:p w:rsidR="00487D10" w:rsidRDefault="00487D10" w:rsidP="00487D1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87D10" w:rsidRPr="00002704" w:rsidTr="00B77038">
        <w:tc>
          <w:tcPr>
            <w:tcW w:w="5000" w:type="pct"/>
            <w:gridSpan w:val="3"/>
          </w:tcPr>
          <w:p w:rsidR="008518F7" w:rsidRPr="00F77596" w:rsidRDefault="008518F7" w:rsidP="008518F7">
            <w:pPr>
              <w:jc w:val="both"/>
              <w:rPr>
                <w:sz w:val="20"/>
                <w:lang w:val="fr-CA" w:eastAsia="en-CA"/>
              </w:rPr>
            </w:pPr>
            <w:r w:rsidRPr="00F77596">
              <w:rPr>
                <w:sz w:val="20"/>
                <w:lang w:val="fr-CA" w:eastAsia="en-CA"/>
              </w:rPr>
              <w:t>Jugements et ordonnances — Jugements sommaires — Un cabinet d’avocats a intenté une action contre des clients pour services juridiques impayés — Jugement sommaire confirmé par la Cour d’appel — Le juge de première instance qui a présidé les conférences de cause est-il empêché d’entendre une motion en vue d’obtenir un jugement sommaire? — Les clients, qui contestent le caractère juste et raisonnable des services fournis par un cabinet d’avocats, ont-ils le droit à la liquidation ou à la taxation du mémoire de frais du cabinet, comme ils l’ont demandé au procès?   — Les juridictions inférieures ont-elles commis une erreur dans leur décision d’accorder un jugement sommaire et les dépens?</w:t>
            </w:r>
          </w:p>
          <w:p w:rsidR="00487D10" w:rsidRPr="00F77596" w:rsidRDefault="00487D10" w:rsidP="00B77038">
            <w:pPr>
              <w:jc w:val="both"/>
              <w:rPr>
                <w:sz w:val="20"/>
                <w:lang w:val="fr-CA"/>
              </w:rPr>
            </w:pPr>
          </w:p>
        </w:tc>
      </w:tr>
      <w:tr w:rsidR="00487D10" w:rsidRPr="00002704" w:rsidTr="00B77038">
        <w:tc>
          <w:tcPr>
            <w:tcW w:w="5000" w:type="pct"/>
            <w:gridSpan w:val="3"/>
          </w:tcPr>
          <w:p w:rsidR="008518F7" w:rsidRPr="00F77596" w:rsidRDefault="008518F7" w:rsidP="008518F7">
            <w:pPr>
              <w:jc w:val="both"/>
              <w:rPr>
                <w:sz w:val="20"/>
                <w:lang w:val="fr-CA"/>
              </w:rPr>
            </w:pPr>
            <w:r w:rsidRPr="00F77596">
              <w:rPr>
                <w:sz w:val="20"/>
                <w:lang w:val="fr-CA"/>
              </w:rPr>
              <w:t xml:space="preserve">Dans un jugement sommaire, les clients demandeurs ont été condamnés à payer au cabinet d’avocats intimé la somme de 49 377,54 $ plus les intérêts et les dépens. Le montant du jugement sommaire représentait le solde impayé que les clients devaient au cabinet d’avocats à titre d’honoraires pour services rendus. </w:t>
            </w:r>
          </w:p>
          <w:p w:rsidR="00487D10" w:rsidRPr="00F77596" w:rsidRDefault="00487D10" w:rsidP="00B77038">
            <w:pPr>
              <w:jc w:val="both"/>
              <w:rPr>
                <w:sz w:val="20"/>
                <w:lang w:val="fr-CA"/>
              </w:rPr>
            </w:pPr>
          </w:p>
        </w:tc>
      </w:tr>
      <w:tr w:rsidR="008518F7" w:rsidRPr="00002704" w:rsidTr="00B77038">
        <w:tc>
          <w:tcPr>
            <w:tcW w:w="5000" w:type="pct"/>
            <w:gridSpan w:val="3"/>
          </w:tcPr>
          <w:p w:rsidR="008518F7" w:rsidRDefault="008518F7" w:rsidP="008518F7">
            <w:pPr>
              <w:rPr>
                <w:sz w:val="20"/>
                <w:lang w:val="fr-CA"/>
              </w:rPr>
            </w:pPr>
            <w:r w:rsidRPr="002647D9">
              <w:rPr>
                <w:sz w:val="20"/>
                <w:lang w:val="fr-CA"/>
              </w:rPr>
              <w:t>La Cour d’appel a rejeté l’appel.</w:t>
            </w:r>
          </w:p>
          <w:p w:rsidR="008518F7" w:rsidRDefault="008518F7" w:rsidP="008518F7"/>
        </w:tc>
      </w:tr>
      <w:tr w:rsidR="00487D10" w:rsidRPr="00002704" w:rsidTr="00B77038">
        <w:trPr>
          <w:cantSplit/>
        </w:trPr>
        <w:tc>
          <w:tcPr>
            <w:tcW w:w="2427" w:type="pct"/>
          </w:tcPr>
          <w:p w:rsidR="00B77038" w:rsidRPr="00F77596" w:rsidRDefault="00B77038" w:rsidP="00B77038">
            <w:pPr>
              <w:jc w:val="both"/>
              <w:rPr>
                <w:sz w:val="20"/>
                <w:lang w:val="fr-CA"/>
              </w:rPr>
            </w:pPr>
            <w:r w:rsidRPr="00F77596">
              <w:rPr>
                <w:sz w:val="20"/>
                <w:lang w:val="fr-CA"/>
              </w:rPr>
              <w:t>2 septembre 2014</w:t>
            </w:r>
          </w:p>
          <w:p w:rsidR="00B77038" w:rsidRPr="00F77596" w:rsidRDefault="00B77038" w:rsidP="00B77038">
            <w:pPr>
              <w:jc w:val="both"/>
              <w:rPr>
                <w:sz w:val="20"/>
                <w:lang w:val="fr-CA"/>
              </w:rPr>
            </w:pPr>
            <w:r w:rsidRPr="00F77596">
              <w:rPr>
                <w:sz w:val="20"/>
                <w:lang w:val="fr-CA"/>
              </w:rPr>
              <w:t>Cour du Banc de la Reine du Manitoba</w:t>
            </w:r>
          </w:p>
          <w:p w:rsidR="00B77038" w:rsidRPr="00F77596" w:rsidRDefault="00B77038" w:rsidP="00B77038">
            <w:pPr>
              <w:jc w:val="both"/>
              <w:rPr>
                <w:sz w:val="20"/>
                <w:lang w:val="fr-CA"/>
              </w:rPr>
            </w:pPr>
            <w:r w:rsidRPr="00F77596">
              <w:rPr>
                <w:sz w:val="20"/>
                <w:lang w:val="fr-CA"/>
              </w:rPr>
              <w:t>(Juge Abra)</w:t>
            </w:r>
          </w:p>
          <w:p w:rsidR="00487D10" w:rsidRPr="00E007CB" w:rsidRDefault="00487D10" w:rsidP="00B77038">
            <w:pPr>
              <w:jc w:val="both"/>
              <w:rPr>
                <w:rFonts w:eastAsia="Calibri"/>
                <w:sz w:val="20"/>
                <w:lang w:val="fr-CA"/>
              </w:rPr>
            </w:pPr>
          </w:p>
        </w:tc>
        <w:tc>
          <w:tcPr>
            <w:tcW w:w="243" w:type="pct"/>
          </w:tcPr>
          <w:p w:rsidR="00487D10" w:rsidRPr="00E007CB" w:rsidRDefault="00487D10" w:rsidP="00B77038">
            <w:pPr>
              <w:jc w:val="both"/>
              <w:rPr>
                <w:rFonts w:eastAsia="Calibri"/>
                <w:sz w:val="20"/>
                <w:lang w:val="fr-CA"/>
              </w:rPr>
            </w:pPr>
          </w:p>
        </w:tc>
        <w:tc>
          <w:tcPr>
            <w:tcW w:w="2330" w:type="pct"/>
          </w:tcPr>
          <w:p w:rsidR="00B77038" w:rsidRPr="00F77596" w:rsidRDefault="00B77038" w:rsidP="00B77038">
            <w:pPr>
              <w:jc w:val="both"/>
              <w:rPr>
                <w:sz w:val="20"/>
                <w:lang w:val="fr-CA"/>
              </w:rPr>
            </w:pPr>
            <w:r w:rsidRPr="00F77596">
              <w:rPr>
                <w:sz w:val="20"/>
                <w:lang w:val="fr-CA"/>
              </w:rPr>
              <w:t>Jugement sommaire en faveur de Pitblado LLP condamnant les demandeurs à lui payer la somme de 49 377,54 $ plus les intérêts.</w:t>
            </w:r>
          </w:p>
          <w:p w:rsidR="00487D10" w:rsidRPr="00F77596" w:rsidRDefault="00487D10" w:rsidP="00B77038">
            <w:pPr>
              <w:jc w:val="both"/>
              <w:rPr>
                <w:sz w:val="20"/>
                <w:lang w:val="fr-CA"/>
              </w:rPr>
            </w:pPr>
          </w:p>
        </w:tc>
      </w:tr>
      <w:tr w:rsidR="00487D10" w:rsidRPr="00E007CB" w:rsidTr="00B77038">
        <w:trPr>
          <w:cantSplit/>
        </w:trPr>
        <w:tc>
          <w:tcPr>
            <w:tcW w:w="2427" w:type="pct"/>
          </w:tcPr>
          <w:p w:rsidR="00B77038" w:rsidRPr="00F77596" w:rsidRDefault="00B77038" w:rsidP="00B77038">
            <w:pPr>
              <w:jc w:val="both"/>
              <w:rPr>
                <w:sz w:val="20"/>
                <w:lang w:val="fr-CA"/>
              </w:rPr>
            </w:pPr>
            <w:r w:rsidRPr="00F77596">
              <w:rPr>
                <w:sz w:val="20"/>
                <w:lang w:val="fr-CA"/>
              </w:rPr>
              <w:t>21 mai 2015</w:t>
            </w:r>
          </w:p>
          <w:p w:rsidR="00B77038" w:rsidRPr="00F77596" w:rsidRDefault="00B77038" w:rsidP="00B77038">
            <w:pPr>
              <w:jc w:val="both"/>
              <w:rPr>
                <w:sz w:val="20"/>
                <w:lang w:val="fr-CA"/>
              </w:rPr>
            </w:pPr>
            <w:r w:rsidRPr="00F77596">
              <w:rPr>
                <w:sz w:val="20"/>
                <w:lang w:val="fr-CA"/>
              </w:rPr>
              <w:t>Cour d’appel du Manitoba</w:t>
            </w:r>
          </w:p>
          <w:p w:rsidR="00B77038" w:rsidRPr="00F77596" w:rsidRDefault="00B77038" w:rsidP="00B77038">
            <w:pPr>
              <w:jc w:val="both"/>
              <w:rPr>
                <w:sz w:val="20"/>
                <w:lang w:val="fr-CA"/>
              </w:rPr>
            </w:pPr>
            <w:r w:rsidRPr="00F77596">
              <w:rPr>
                <w:sz w:val="20"/>
                <w:lang w:val="fr-CA"/>
              </w:rPr>
              <w:t>(Juges Monnin, MacInnes et Mainella)</w:t>
            </w:r>
          </w:p>
          <w:p w:rsidR="00B77038" w:rsidRPr="00F77596" w:rsidRDefault="00EC4FDF" w:rsidP="00B77038">
            <w:pPr>
              <w:jc w:val="both"/>
              <w:rPr>
                <w:sz w:val="20"/>
                <w:lang w:val="fr-CA"/>
              </w:rPr>
            </w:pPr>
            <w:hyperlink r:id="rId121" w:history="1">
              <w:r w:rsidR="00B77038" w:rsidRPr="00F77596">
                <w:rPr>
                  <w:rStyle w:val="Hyperlink"/>
                  <w:sz w:val="20"/>
                  <w:lang w:val="fr-CA"/>
                </w:rPr>
                <w:t>2015 MBCA 52</w:t>
              </w:r>
            </w:hyperlink>
          </w:p>
          <w:p w:rsidR="00B77038" w:rsidRPr="00F77596" w:rsidRDefault="00B77038" w:rsidP="00B77038">
            <w:pPr>
              <w:jc w:val="both"/>
              <w:rPr>
                <w:sz w:val="20"/>
                <w:lang w:val="fr-CA"/>
              </w:rPr>
            </w:pPr>
            <w:r w:rsidRPr="00F77596">
              <w:rPr>
                <w:sz w:val="20"/>
                <w:lang w:val="fr-CA"/>
              </w:rPr>
              <w:t>N</w:t>
            </w:r>
            <w:r w:rsidRPr="00F77596">
              <w:rPr>
                <w:sz w:val="20"/>
                <w:vertAlign w:val="superscript"/>
                <w:lang w:val="fr-CA"/>
              </w:rPr>
              <w:t>o</w:t>
            </w:r>
            <w:r w:rsidRPr="00F77596">
              <w:rPr>
                <w:sz w:val="20"/>
                <w:lang w:val="fr-CA"/>
              </w:rPr>
              <w:t xml:space="preserve"> du greffe : AI 14-30-08255</w:t>
            </w:r>
          </w:p>
          <w:p w:rsidR="00487D10" w:rsidRDefault="00487D10" w:rsidP="00B77038">
            <w:pPr>
              <w:jc w:val="both"/>
              <w:rPr>
                <w:sz w:val="20"/>
              </w:rPr>
            </w:pPr>
          </w:p>
        </w:tc>
        <w:tc>
          <w:tcPr>
            <w:tcW w:w="243" w:type="pct"/>
          </w:tcPr>
          <w:p w:rsidR="00487D10" w:rsidRPr="00E007CB" w:rsidRDefault="00487D10" w:rsidP="00B77038">
            <w:pPr>
              <w:jc w:val="both"/>
              <w:rPr>
                <w:rFonts w:eastAsia="Calibri"/>
                <w:sz w:val="20"/>
                <w:lang w:val="fr-CA"/>
              </w:rPr>
            </w:pPr>
          </w:p>
        </w:tc>
        <w:tc>
          <w:tcPr>
            <w:tcW w:w="2330" w:type="pct"/>
          </w:tcPr>
          <w:p w:rsidR="00B77038" w:rsidRPr="00F77596" w:rsidRDefault="00B77038" w:rsidP="00B77038">
            <w:pPr>
              <w:jc w:val="both"/>
              <w:rPr>
                <w:sz w:val="20"/>
                <w:lang w:val="fr-CA"/>
              </w:rPr>
            </w:pPr>
            <w:r w:rsidRPr="00F77596">
              <w:rPr>
                <w:sz w:val="20"/>
                <w:lang w:val="fr-CA"/>
              </w:rPr>
              <w:t>Rejet de l’appel.</w:t>
            </w:r>
          </w:p>
          <w:p w:rsidR="00487D10" w:rsidRDefault="00487D10" w:rsidP="00B77038">
            <w:pPr>
              <w:jc w:val="both"/>
              <w:rPr>
                <w:sz w:val="20"/>
                <w:lang w:val="fr-CA"/>
              </w:rPr>
            </w:pPr>
          </w:p>
          <w:p w:rsidR="00487D10" w:rsidRPr="00D07C26" w:rsidRDefault="00487D10" w:rsidP="00B77038">
            <w:pPr>
              <w:rPr>
                <w:sz w:val="20"/>
                <w:lang w:val="fr-CA"/>
              </w:rPr>
            </w:pPr>
          </w:p>
        </w:tc>
      </w:tr>
      <w:tr w:rsidR="00487D10" w:rsidRPr="00E007CB" w:rsidTr="00B77038">
        <w:trPr>
          <w:cantSplit/>
        </w:trPr>
        <w:tc>
          <w:tcPr>
            <w:tcW w:w="2427" w:type="pct"/>
          </w:tcPr>
          <w:p w:rsidR="00487D10" w:rsidRPr="00F77596" w:rsidRDefault="00B77038" w:rsidP="00B77038">
            <w:pPr>
              <w:jc w:val="both"/>
              <w:rPr>
                <w:sz w:val="20"/>
              </w:rPr>
            </w:pPr>
            <w:r>
              <w:rPr>
                <w:sz w:val="20"/>
              </w:rPr>
              <w:t>24</w:t>
            </w:r>
            <w:r w:rsidR="00487D10" w:rsidRPr="00F77596">
              <w:rPr>
                <w:sz w:val="20"/>
              </w:rPr>
              <w:t xml:space="preserve"> jui</w:t>
            </w:r>
            <w:r>
              <w:rPr>
                <w:sz w:val="20"/>
              </w:rPr>
              <w:t>llet</w:t>
            </w:r>
            <w:r w:rsidR="00487D10" w:rsidRPr="00F77596">
              <w:rPr>
                <w:sz w:val="20"/>
              </w:rPr>
              <w:t xml:space="preserve"> 2015</w:t>
            </w:r>
          </w:p>
          <w:p w:rsidR="00487D10" w:rsidRPr="00F77596" w:rsidRDefault="00487D10" w:rsidP="00B77038">
            <w:pPr>
              <w:jc w:val="both"/>
              <w:rPr>
                <w:sz w:val="20"/>
              </w:rPr>
            </w:pPr>
            <w:r w:rsidRPr="00F77596">
              <w:rPr>
                <w:sz w:val="20"/>
              </w:rPr>
              <w:t>Cour suprême du Canada</w:t>
            </w:r>
          </w:p>
          <w:p w:rsidR="00487D10" w:rsidRDefault="00487D10" w:rsidP="00B77038">
            <w:pPr>
              <w:jc w:val="both"/>
              <w:rPr>
                <w:rFonts w:eastAsia="Calibri"/>
                <w:sz w:val="20"/>
                <w:lang w:val="fr-CA"/>
              </w:rPr>
            </w:pPr>
          </w:p>
        </w:tc>
        <w:tc>
          <w:tcPr>
            <w:tcW w:w="243" w:type="pct"/>
          </w:tcPr>
          <w:p w:rsidR="00487D10" w:rsidRPr="00E007CB" w:rsidRDefault="00487D10" w:rsidP="00B77038">
            <w:pPr>
              <w:jc w:val="both"/>
              <w:rPr>
                <w:rFonts w:eastAsia="Calibri"/>
                <w:sz w:val="20"/>
                <w:lang w:val="fr-CA"/>
              </w:rPr>
            </w:pPr>
          </w:p>
        </w:tc>
        <w:tc>
          <w:tcPr>
            <w:tcW w:w="2330" w:type="pct"/>
          </w:tcPr>
          <w:p w:rsidR="00B77038" w:rsidRPr="00F77596" w:rsidRDefault="00B77038" w:rsidP="00B77038">
            <w:pPr>
              <w:jc w:val="both"/>
              <w:rPr>
                <w:sz w:val="20"/>
                <w:lang w:val="fr-CA"/>
              </w:rPr>
            </w:pPr>
            <w:r w:rsidRPr="00F77596">
              <w:rPr>
                <w:sz w:val="20"/>
                <w:lang w:val="fr-CA"/>
              </w:rPr>
              <w:t>Dépôt de la demande d’autorisation d’appel.</w:t>
            </w:r>
          </w:p>
          <w:p w:rsidR="00487D10" w:rsidRPr="00F77596" w:rsidRDefault="00487D10" w:rsidP="00B77038">
            <w:pPr>
              <w:jc w:val="both"/>
              <w:rPr>
                <w:sz w:val="20"/>
              </w:rPr>
            </w:pPr>
          </w:p>
        </w:tc>
      </w:tr>
    </w:tbl>
    <w:p w:rsidR="00487D10" w:rsidRDefault="00487D10" w:rsidP="00487D10">
      <w:pPr>
        <w:rPr>
          <w:sz w:val="20"/>
          <w:szCs w:val="20"/>
        </w:rPr>
      </w:pPr>
    </w:p>
    <w:p w:rsidR="00487D10" w:rsidRDefault="00EC4FDF" w:rsidP="00487D10">
      <w:pPr>
        <w:rPr>
          <w:sz w:val="20"/>
          <w:szCs w:val="20"/>
        </w:rPr>
      </w:pPr>
      <w:r>
        <w:rPr>
          <w:sz w:val="20"/>
          <w:szCs w:val="20"/>
          <w:lang w:val="fr-CA"/>
        </w:rPr>
        <w:pict>
          <v:rect id="_x0000_i1094" style="width:2in;height:1pt" o:hrpct="0" o:hralign="center" o:hrstd="t" o:hrnoshade="t" o:hr="t" fillcolor="black [3213]" stroked="f"/>
        </w:pict>
      </w:r>
    </w:p>
    <w:p w:rsidR="00487D10" w:rsidRDefault="00487D10" w:rsidP="00487D10">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22"/>
          <w:headerReference w:type="default" r:id="rId123"/>
          <w:footerReference w:type="even" r:id="rId124"/>
          <w:footerReference w:type="default" r:id="rId125"/>
          <w:headerReference w:type="first" r:id="rId126"/>
          <w:footerReference w:type="first" r:id="rId1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31031C" w:rsidRPr="0031031C" w:rsidRDefault="0031031C" w:rsidP="0031031C">
      <w:pPr>
        <w:tabs>
          <w:tab w:val="left" w:pos="-1440"/>
          <w:tab w:val="left" w:pos="-720"/>
        </w:tabs>
        <w:jc w:val="both"/>
        <w:rPr>
          <w:rFonts w:eastAsia="Times New Roman" w:cs="Times New Roman"/>
          <w:sz w:val="20"/>
          <w:szCs w:val="20"/>
          <w:lang w:val="fr-CA" w:eastAsia="en-CA"/>
        </w:rPr>
      </w:pPr>
      <w:r w:rsidRPr="0031031C">
        <w:rPr>
          <w:rFonts w:eastAsia="Times New Roman" w:cs="Times New Roman"/>
          <w:sz w:val="20"/>
          <w:szCs w:val="20"/>
          <w:lang w:val="fr-CA" w:eastAsia="en-CA"/>
        </w:rPr>
        <w:t>22.10.2015</w:t>
      </w:r>
    </w:p>
    <w:p w:rsidR="0031031C" w:rsidRPr="0031031C" w:rsidRDefault="0031031C" w:rsidP="0031031C">
      <w:pPr>
        <w:tabs>
          <w:tab w:val="left" w:pos="-1440"/>
          <w:tab w:val="left" w:pos="-720"/>
        </w:tabs>
        <w:jc w:val="both"/>
        <w:rPr>
          <w:rFonts w:eastAsia="Times New Roman" w:cs="Times New Roman"/>
          <w:sz w:val="20"/>
          <w:szCs w:val="20"/>
          <w:lang w:val="fr-CA" w:eastAsia="en-CA"/>
        </w:rPr>
      </w:pPr>
    </w:p>
    <w:p w:rsidR="0031031C" w:rsidRPr="0031031C" w:rsidRDefault="0031031C" w:rsidP="0031031C">
      <w:pPr>
        <w:tabs>
          <w:tab w:val="left" w:pos="-1440"/>
          <w:tab w:val="left" w:pos="-720"/>
        </w:tabs>
        <w:jc w:val="both"/>
        <w:rPr>
          <w:rFonts w:eastAsia="Times New Roman" w:cs="Times New Roman"/>
          <w:sz w:val="20"/>
          <w:szCs w:val="20"/>
          <w:lang w:val="fr-CA" w:eastAsia="en-CA"/>
        </w:rPr>
      </w:pPr>
      <w:r w:rsidRPr="0031031C">
        <w:rPr>
          <w:rFonts w:eastAsia="Times New Roman" w:cs="Times New Roman"/>
          <w:sz w:val="20"/>
          <w:szCs w:val="20"/>
          <w:lang w:val="fr-CA" w:eastAsia="en-CA"/>
        </w:rPr>
        <w:t>Before / Devant:   WAGNER J. / LE JUGE WAGNER</w:t>
      </w:r>
    </w:p>
    <w:p w:rsidR="0031031C" w:rsidRPr="0031031C" w:rsidRDefault="0031031C" w:rsidP="0031031C">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31031C" w:rsidRPr="0031031C" w:rsidTr="00553EF7">
        <w:tc>
          <w:tcPr>
            <w:tcW w:w="4263" w:type="dxa"/>
            <w:gridSpan w:val="2"/>
          </w:tcPr>
          <w:p w:rsidR="0031031C" w:rsidRPr="0031031C" w:rsidRDefault="0031031C" w:rsidP="0031031C">
            <w:pPr>
              <w:rPr>
                <w:b/>
              </w:rPr>
            </w:pPr>
            <w:r w:rsidRPr="0031031C">
              <w:rPr>
                <w:b/>
              </w:rPr>
              <w:t>Motion for leave to intervene</w:t>
            </w:r>
            <w:r w:rsidRPr="0031031C">
              <w:rPr>
                <w:lang w:val="en-US"/>
              </w:rPr>
              <w:t xml:space="preserve"> </w:t>
            </w:r>
            <w:r w:rsidRPr="0031031C">
              <w:rPr>
                <w:lang w:val="en-US"/>
              </w:rPr>
              <w:fldChar w:fldCharType="begin"/>
            </w:r>
            <w:r w:rsidRPr="0031031C">
              <w:instrText xml:space="preserve"> SEQ CHAPTER \h \r 1</w:instrText>
            </w:r>
            <w:r w:rsidRPr="0031031C">
              <w:rPr>
                <w:lang w:val="en-US"/>
              </w:rPr>
              <w:fldChar w:fldCharType="end"/>
            </w:r>
          </w:p>
        </w:tc>
        <w:tc>
          <w:tcPr>
            <w:tcW w:w="1137" w:type="dxa"/>
          </w:tcPr>
          <w:p w:rsidR="0031031C" w:rsidRPr="0031031C" w:rsidRDefault="0031031C" w:rsidP="0031031C"/>
          <w:p w:rsidR="0031031C" w:rsidRPr="0031031C" w:rsidRDefault="0031031C" w:rsidP="0031031C"/>
        </w:tc>
        <w:tc>
          <w:tcPr>
            <w:tcW w:w="4219" w:type="dxa"/>
          </w:tcPr>
          <w:p w:rsidR="0031031C" w:rsidRPr="0031031C" w:rsidRDefault="0031031C" w:rsidP="0031031C">
            <w:pPr>
              <w:rPr>
                <w:b/>
              </w:rPr>
            </w:pPr>
            <w:r w:rsidRPr="0031031C">
              <w:rPr>
                <w:b/>
                <w:bCs/>
                <w:lang w:val="fr-CA"/>
              </w:rPr>
              <w:t>Requête en autorisation d’intervenir</w:t>
            </w:r>
            <w:r w:rsidRPr="0031031C">
              <w:rPr>
                <w:lang w:val="en-US"/>
              </w:rPr>
              <w:t xml:space="preserve"> </w:t>
            </w:r>
            <w:r w:rsidRPr="0031031C">
              <w:rPr>
                <w:lang w:val="en-US"/>
              </w:rPr>
              <w:fldChar w:fldCharType="begin"/>
            </w:r>
            <w:r w:rsidRPr="0031031C">
              <w:instrText xml:space="preserve"> SEQ CHAPTER \h \r 1</w:instrText>
            </w:r>
            <w:r w:rsidRPr="0031031C">
              <w:rPr>
                <w:lang w:val="en-US"/>
              </w:rPr>
              <w:fldChar w:fldCharType="end"/>
            </w:r>
          </w:p>
        </w:tc>
      </w:tr>
      <w:tr w:rsidR="0031031C" w:rsidRPr="0031031C" w:rsidTr="00553EF7">
        <w:trPr>
          <w:trHeight w:hRule="exact" w:val="360"/>
        </w:trPr>
        <w:tc>
          <w:tcPr>
            <w:tcW w:w="1346" w:type="dxa"/>
          </w:tcPr>
          <w:p w:rsidR="0031031C" w:rsidRPr="0031031C" w:rsidRDefault="0031031C" w:rsidP="0031031C">
            <w:r w:rsidRPr="0031031C">
              <w:t>BY / PAR</w:t>
            </w:r>
          </w:p>
        </w:tc>
        <w:tc>
          <w:tcPr>
            <w:tcW w:w="2917" w:type="dxa"/>
          </w:tcPr>
          <w:p w:rsidR="0031031C" w:rsidRPr="0031031C" w:rsidRDefault="0031031C" w:rsidP="0031031C">
            <w:r w:rsidRPr="0031031C">
              <w:rPr>
                <w:lang w:val="en-US"/>
              </w:rPr>
              <w:t>Railway Association of Canada</w:t>
            </w:r>
          </w:p>
        </w:tc>
        <w:tc>
          <w:tcPr>
            <w:tcW w:w="1137" w:type="dxa"/>
          </w:tcPr>
          <w:p w:rsidR="0031031C" w:rsidRPr="0031031C" w:rsidRDefault="0031031C" w:rsidP="0031031C"/>
        </w:tc>
        <w:tc>
          <w:tcPr>
            <w:tcW w:w="4219" w:type="dxa"/>
          </w:tcPr>
          <w:p w:rsidR="0031031C" w:rsidRPr="0031031C" w:rsidRDefault="0031031C" w:rsidP="0031031C"/>
        </w:tc>
      </w:tr>
      <w:tr w:rsidR="0031031C" w:rsidRPr="0031031C" w:rsidTr="00553EF7">
        <w:tc>
          <w:tcPr>
            <w:tcW w:w="1346" w:type="dxa"/>
          </w:tcPr>
          <w:p w:rsidR="0031031C" w:rsidRPr="0031031C" w:rsidRDefault="0031031C" w:rsidP="0031031C"/>
        </w:tc>
        <w:tc>
          <w:tcPr>
            <w:tcW w:w="2917" w:type="dxa"/>
          </w:tcPr>
          <w:p w:rsidR="0031031C" w:rsidRPr="0031031C" w:rsidRDefault="0031031C" w:rsidP="0031031C">
            <w:pPr>
              <w:rPr>
                <w:lang w:val="en-US"/>
              </w:rPr>
            </w:pPr>
          </w:p>
        </w:tc>
        <w:tc>
          <w:tcPr>
            <w:tcW w:w="1137" w:type="dxa"/>
          </w:tcPr>
          <w:p w:rsidR="0031031C" w:rsidRPr="0031031C" w:rsidRDefault="0031031C" w:rsidP="0031031C"/>
        </w:tc>
        <w:tc>
          <w:tcPr>
            <w:tcW w:w="4219" w:type="dxa"/>
          </w:tcPr>
          <w:p w:rsidR="0031031C" w:rsidRPr="0031031C" w:rsidRDefault="0031031C" w:rsidP="0031031C"/>
        </w:tc>
      </w:tr>
      <w:tr w:rsidR="0031031C" w:rsidRPr="0031031C" w:rsidTr="00553EF7">
        <w:tc>
          <w:tcPr>
            <w:tcW w:w="1346" w:type="dxa"/>
          </w:tcPr>
          <w:p w:rsidR="0031031C" w:rsidRPr="0031031C" w:rsidRDefault="0031031C" w:rsidP="0031031C">
            <w:r w:rsidRPr="0031031C">
              <w:t>IN / DANS :</w:t>
            </w:r>
          </w:p>
        </w:tc>
        <w:tc>
          <w:tcPr>
            <w:tcW w:w="2917" w:type="dxa"/>
          </w:tcPr>
          <w:p w:rsidR="0031031C" w:rsidRPr="0031031C" w:rsidRDefault="0031031C" w:rsidP="0031031C">
            <w:r w:rsidRPr="0031031C">
              <w:t>Canadian Pacific Railway Company</w:t>
            </w:r>
          </w:p>
          <w:p w:rsidR="0031031C" w:rsidRPr="0031031C" w:rsidRDefault="0031031C" w:rsidP="0031031C"/>
          <w:p w:rsidR="0031031C" w:rsidRPr="0031031C" w:rsidRDefault="0031031C" w:rsidP="0031031C">
            <w:r w:rsidRPr="0031031C">
              <w:tab/>
              <w:t>v. (36223)</w:t>
            </w:r>
          </w:p>
          <w:p w:rsidR="0031031C" w:rsidRPr="0031031C" w:rsidRDefault="0031031C" w:rsidP="0031031C"/>
          <w:p w:rsidR="0031031C" w:rsidRPr="0031031C" w:rsidRDefault="0031031C" w:rsidP="0031031C">
            <w:r w:rsidRPr="0031031C">
              <w:t>Attorney General of Canada et al. (F.C.)</w:t>
            </w:r>
          </w:p>
        </w:tc>
        <w:tc>
          <w:tcPr>
            <w:tcW w:w="1137" w:type="dxa"/>
          </w:tcPr>
          <w:p w:rsidR="0031031C" w:rsidRPr="0031031C" w:rsidRDefault="0031031C" w:rsidP="0031031C"/>
        </w:tc>
        <w:tc>
          <w:tcPr>
            <w:tcW w:w="4219" w:type="dxa"/>
          </w:tcPr>
          <w:p w:rsidR="0031031C" w:rsidRPr="0031031C" w:rsidRDefault="0031031C" w:rsidP="0031031C"/>
        </w:tc>
      </w:tr>
    </w:tbl>
    <w:p w:rsidR="0031031C" w:rsidRPr="0031031C" w:rsidRDefault="0031031C" w:rsidP="0031031C">
      <w:pPr>
        <w:tabs>
          <w:tab w:val="left" w:pos="-1440"/>
          <w:tab w:val="left" w:pos="-720"/>
        </w:tabs>
        <w:jc w:val="both"/>
        <w:rPr>
          <w:rFonts w:eastAsia="Times New Roman" w:cs="Times New Roman"/>
          <w:sz w:val="20"/>
          <w:szCs w:val="20"/>
          <w:lang w:eastAsia="en-CA"/>
        </w:rPr>
      </w:pPr>
    </w:p>
    <w:p w:rsidR="0031031C" w:rsidRPr="0031031C" w:rsidRDefault="0031031C" w:rsidP="0031031C">
      <w:pPr>
        <w:tabs>
          <w:tab w:val="left" w:pos="-1440"/>
          <w:tab w:val="left" w:pos="-720"/>
        </w:tabs>
        <w:jc w:val="both"/>
        <w:rPr>
          <w:rFonts w:eastAsia="Times New Roman" w:cs="Times New Roman"/>
          <w:sz w:val="20"/>
          <w:szCs w:val="20"/>
          <w:lang w:val="fr-CA" w:eastAsia="en-CA"/>
        </w:rPr>
      </w:pPr>
      <w:r w:rsidRPr="0031031C">
        <w:rPr>
          <w:rFonts w:eastAsia="Times New Roman" w:cs="Times New Roman"/>
          <w:b/>
          <w:sz w:val="20"/>
          <w:szCs w:val="20"/>
          <w:lang w:val="fr-CA" w:eastAsia="en-CA"/>
        </w:rPr>
        <w:t>GRANTED / ACCORDÉE</w:t>
      </w:r>
    </w:p>
    <w:p w:rsidR="0031031C" w:rsidRPr="0031031C" w:rsidRDefault="0031031C" w:rsidP="0031031C">
      <w:pPr>
        <w:tabs>
          <w:tab w:val="left" w:pos="-1440"/>
          <w:tab w:val="left" w:pos="-720"/>
        </w:tabs>
        <w:jc w:val="both"/>
        <w:rPr>
          <w:rFonts w:eastAsia="Times New Roman" w:cs="Times New Roman"/>
          <w:sz w:val="20"/>
          <w:szCs w:val="20"/>
          <w:lang w:val="fr-CA" w:eastAsia="en-CA"/>
        </w:rPr>
      </w:pPr>
    </w:p>
    <w:p w:rsidR="0031031C" w:rsidRPr="0031031C" w:rsidRDefault="0031031C" w:rsidP="003103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r w:rsidRPr="0031031C">
        <w:rPr>
          <w:rFonts w:eastAsia="Times New Roman" w:cs="Times New Roman"/>
          <w:b/>
          <w:bCs/>
          <w:sz w:val="20"/>
          <w:szCs w:val="20"/>
          <w:lang w:val="en-US"/>
        </w:rPr>
        <w:t xml:space="preserve">UPON APPLICATION </w:t>
      </w:r>
      <w:r w:rsidRPr="0031031C">
        <w:rPr>
          <w:rFonts w:eastAsia="Times New Roman" w:cs="Times New Roman"/>
          <w:sz w:val="20"/>
          <w:szCs w:val="20"/>
          <w:lang w:val="en-US"/>
        </w:rPr>
        <w:t>by the Railway Association of Canada</w:t>
      </w:r>
      <w:r w:rsidRPr="0031031C">
        <w:rPr>
          <w:rFonts w:eastAsia="Times New Roman" w:cs="Times New Roman"/>
          <w:sz w:val="20"/>
          <w:szCs w:val="20"/>
        </w:rPr>
        <w:t xml:space="preserve"> </w:t>
      </w:r>
      <w:r w:rsidRPr="0031031C">
        <w:rPr>
          <w:rFonts w:eastAsia="Times New Roman" w:cs="Times New Roman"/>
          <w:sz w:val="20"/>
          <w:szCs w:val="20"/>
          <w:lang w:val="en-US"/>
        </w:rPr>
        <w:t>for leave to intervene in the above appeal;</w:t>
      </w:r>
    </w:p>
    <w:p w:rsidR="0031031C" w:rsidRPr="0031031C" w:rsidRDefault="0031031C" w:rsidP="003103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p>
    <w:p w:rsidR="0031031C" w:rsidRPr="0031031C" w:rsidRDefault="0031031C" w:rsidP="003103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r w:rsidRPr="0031031C">
        <w:rPr>
          <w:rFonts w:eastAsia="Times New Roman" w:cs="Times New Roman"/>
          <w:b/>
          <w:bCs/>
          <w:sz w:val="20"/>
          <w:szCs w:val="20"/>
          <w:lang w:val="en-US"/>
        </w:rPr>
        <w:t>AND THE MATERIAL FILED</w:t>
      </w:r>
      <w:r w:rsidRPr="0031031C">
        <w:rPr>
          <w:rFonts w:eastAsia="Times New Roman" w:cs="Times New Roman"/>
          <w:sz w:val="20"/>
          <w:szCs w:val="20"/>
          <w:lang w:val="en-US"/>
        </w:rPr>
        <w:t xml:space="preserve"> having been read;</w:t>
      </w:r>
    </w:p>
    <w:p w:rsidR="0031031C" w:rsidRPr="0031031C" w:rsidRDefault="0031031C" w:rsidP="003103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p>
    <w:p w:rsidR="0031031C" w:rsidRPr="0031031C" w:rsidRDefault="0031031C" w:rsidP="003103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r w:rsidRPr="0031031C">
        <w:rPr>
          <w:rFonts w:eastAsia="Times New Roman" w:cs="Times New Roman"/>
          <w:b/>
          <w:bCs/>
          <w:sz w:val="20"/>
          <w:szCs w:val="20"/>
          <w:lang w:val="en-US"/>
        </w:rPr>
        <w:t>IT IS HEREBY ORDERED THAT:</w:t>
      </w:r>
    </w:p>
    <w:p w:rsidR="0031031C" w:rsidRPr="0031031C" w:rsidRDefault="0031031C" w:rsidP="003103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p>
    <w:p w:rsidR="0031031C" w:rsidRPr="0031031C" w:rsidRDefault="0031031C" w:rsidP="003103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en-US"/>
        </w:rPr>
      </w:pPr>
      <w:r w:rsidRPr="0031031C">
        <w:rPr>
          <w:rFonts w:eastAsia="Times New Roman" w:cs="Times New Roman"/>
          <w:sz w:val="20"/>
          <w:szCs w:val="20"/>
          <w:lang w:val="en-US"/>
        </w:rPr>
        <w:t xml:space="preserve">The motion for leave to intervene </w:t>
      </w:r>
      <w:r w:rsidRPr="0031031C">
        <w:rPr>
          <w:rFonts w:eastAsia="Times New Roman" w:cs="Times New Roman"/>
          <w:sz w:val="20"/>
          <w:szCs w:val="20"/>
        </w:rPr>
        <w:t xml:space="preserve">is </w:t>
      </w:r>
      <w:r w:rsidRPr="0031031C">
        <w:rPr>
          <w:rFonts w:eastAsia="Times New Roman" w:cs="Times New Roman"/>
          <w:sz w:val="20"/>
          <w:szCs w:val="20"/>
          <w:lang w:val="en-US"/>
        </w:rPr>
        <w:t>granted and the said intervener shall be entitled to serve and file a factum not to exceed ten (10) pages in length in this appeal on or before November 18, 2015.</w:t>
      </w:r>
    </w:p>
    <w:p w:rsidR="0031031C" w:rsidRPr="0031031C" w:rsidRDefault="0031031C" w:rsidP="003103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en-US"/>
        </w:rPr>
      </w:pPr>
    </w:p>
    <w:p w:rsidR="0031031C" w:rsidRPr="0031031C" w:rsidRDefault="0031031C" w:rsidP="003103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en-US"/>
        </w:rPr>
      </w:pPr>
      <w:r w:rsidRPr="0031031C">
        <w:rPr>
          <w:rFonts w:eastAsia="Times New Roman" w:cs="Times New Roman"/>
          <w:sz w:val="20"/>
          <w:szCs w:val="20"/>
          <w:lang w:val="en-US"/>
        </w:rPr>
        <w:t>The request to present oral argument is deferred to a date following receipt and consideration of the written arguments of the parties and the intervener.</w:t>
      </w:r>
    </w:p>
    <w:p w:rsidR="0031031C" w:rsidRPr="0031031C" w:rsidRDefault="0031031C" w:rsidP="003103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en-US"/>
        </w:rPr>
      </w:pPr>
    </w:p>
    <w:p w:rsidR="0031031C" w:rsidRPr="0031031C" w:rsidRDefault="0031031C" w:rsidP="003103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en-US"/>
        </w:rPr>
      </w:pPr>
      <w:r w:rsidRPr="0031031C">
        <w:rPr>
          <w:rFonts w:eastAsia="Times New Roman" w:cs="Times New Roman"/>
          <w:sz w:val="20"/>
          <w:szCs w:val="20"/>
          <w:lang w:val="en-US"/>
        </w:rPr>
        <w:t>The new evidence submitted in the motion to intervene is permitted to be filed. The intervener is</w:t>
      </w:r>
      <w:r w:rsidRPr="0031031C">
        <w:rPr>
          <w:rFonts w:eastAsia="Times New Roman" w:cs="Times New Roman"/>
          <w:bCs/>
          <w:sz w:val="20"/>
          <w:szCs w:val="20"/>
          <w:lang w:val="en-US"/>
        </w:rPr>
        <w:t xml:space="preserve"> not entitled to raise new issues, to adduce further evidence or to otherwise supplement the record of the parties</w:t>
      </w:r>
      <w:r w:rsidRPr="0031031C">
        <w:rPr>
          <w:rFonts w:eastAsia="Times New Roman" w:cs="Times New Roman"/>
          <w:sz w:val="20"/>
          <w:szCs w:val="20"/>
        </w:rPr>
        <w:fldChar w:fldCharType="begin"/>
      </w:r>
      <w:r w:rsidRPr="0031031C">
        <w:rPr>
          <w:rFonts w:eastAsia="Times New Roman" w:cs="Times New Roman"/>
          <w:sz w:val="20"/>
          <w:szCs w:val="20"/>
        </w:rPr>
        <w:instrText xml:space="preserve"> SEQ CHAPTER \h \r 1</w:instrText>
      </w:r>
      <w:r w:rsidRPr="0031031C">
        <w:rPr>
          <w:rFonts w:eastAsia="Times New Roman" w:cs="Times New Roman"/>
          <w:sz w:val="20"/>
          <w:szCs w:val="20"/>
        </w:rPr>
        <w:fldChar w:fldCharType="end"/>
      </w:r>
      <w:r w:rsidRPr="0031031C">
        <w:rPr>
          <w:rFonts w:eastAsia="Times New Roman" w:cs="Times New Roman"/>
          <w:sz w:val="20"/>
          <w:szCs w:val="20"/>
        </w:rPr>
        <w:t>.</w:t>
      </w:r>
    </w:p>
    <w:p w:rsidR="0031031C" w:rsidRPr="0031031C" w:rsidRDefault="0031031C" w:rsidP="003103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en-US"/>
        </w:rPr>
      </w:pPr>
    </w:p>
    <w:p w:rsidR="0031031C" w:rsidRPr="0031031C" w:rsidRDefault="0031031C" w:rsidP="003103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en-US"/>
        </w:rPr>
      </w:pPr>
      <w:r w:rsidRPr="0031031C">
        <w:rPr>
          <w:rFonts w:eastAsia="Times New Roman" w:cs="Times New Roman"/>
          <w:sz w:val="20"/>
          <w:szCs w:val="20"/>
          <w:lang w:val="en-US"/>
        </w:rPr>
        <w:t>Pursuant to Rule 59(1)(</w:t>
      </w:r>
      <w:r w:rsidRPr="0031031C">
        <w:rPr>
          <w:rFonts w:eastAsia="Times New Roman" w:cs="Times New Roman"/>
          <w:i/>
          <w:iCs/>
          <w:sz w:val="20"/>
          <w:szCs w:val="20"/>
          <w:lang w:val="en-US"/>
        </w:rPr>
        <w:t>a</w:t>
      </w:r>
      <w:r w:rsidRPr="0031031C">
        <w:rPr>
          <w:rFonts w:eastAsia="Times New Roman" w:cs="Times New Roman"/>
          <w:sz w:val="20"/>
          <w:szCs w:val="20"/>
          <w:lang w:val="en-US"/>
        </w:rPr>
        <w:t xml:space="preserve">) of the </w:t>
      </w:r>
      <w:r w:rsidRPr="0031031C">
        <w:rPr>
          <w:rFonts w:eastAsia="Times New Roman" w:cs="Times New Roman"/>
          <w:i/>
          <w:iCs/>
          <w:sz w:val="20"/>
          <w:szCs w:val="20"/>
          <w:lang w:val="en-US"/>
        </w:rPr>
        <w:t>Rules of the Supreme Court of Canada</w:t>
      </w:r>
      <w:r w:rsidRPr="0031031C">
        <w:rPr>
          <w:rFonts w:eastAsia="Times New Roman" w:cs="Times New Roman"/>
          <w:sz w:val="20"/>
          <w:szCs w:val="20"/>
          <w:lang w:val="en-US"/>
        </w:rPr>
        <w:t>, the intervener shall pay to the appellant and respondents any additional disbursements occasioned to the appellant and respondents by its intervention.</w:t>
      </w:r>
    </w:p>
    <w:p w:rsidR="0031031C" w:rsidRPr="0031031C" w:rsidRDefault="0031031C" w:rsidP="00310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b/>
          <w:bCs/>
          <w:sz w:val="20"/>
          <w:szCs w:val="20"/>
          <w:lang w:val="en-US"/>
        </w:rPr>
      </w:pPr>
    </w:p>
    <w:p w:rsidR="0031031C" w:rsidRPr="0031031C" w:rsidRDefault="0031031C" w:rsidP="00310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Times New Roman"/>
          <w:sz w:val="20"/>
          <w:szCs w:val="20"/>
          <w:lang w:val="en-US"/>
        </w:rPr>
      </w:pPr>
      <w:r w:rsidRPr="0031031C">
        <w:rPr>
          <w:rFonts w:eastAsia="Times New Roman" w:cs="Times New Roman"/>
          <w:sz w:val="20"/>
          <w:szCs w:val="20"/>
          <w:lang w:val="en-US"/>
        </w:rPr>
        <w:t>The respondent, the Attorney General of Canada, is permitted to serve and file a single factum not exceeding five (5) pages in reply to this intervention on or before November 25, 2015.</w:t>
      </w:r>
    </w:p>
    <w:p w:rsidR="0031031C" w:rsidRPr="0031031C" w:rsidRDefault="0031031C" w:rsidP="0031031C">
      <w:pPr>
        <w:tabs>
          <w:tab w:val="left" w:pos="-1440"/>
          <w:tab w:val="left" w:pos="-720"/>
        </w:tabs>
        <w:jc w:val="both"/>
        <w:rPr>
          <w:rFonts w:eastAsia="Times New Roman" w:cs="Times New Roman"/>
          <w:sz w:val="20"/>
          <w:szCs w:val="20"/>
          <w:lang w:eastAsia="en-CA"/>
        </w:rPr>
      </w:pPr>
    </w:p>
    <w:p w:rsidR="0031031C" w:rsidRPr="0031031C" w:rsidRDefault="0031031C" w:rsidP="0031031C">
      <w:pPr>
        <w:tabs>
          <w:tab w:val="left" w:pos="-1440"/>
          <w:tab w:val="left" w:pos="-720"/>
        </w:tabs>
        <w:jc w:val="both"/>
        <w:rPr>
          <w:rFonts w:eastAsia="Times New Roman" w:cs="Times New Roman"/>
          <w:sz w:val="20"/>
          <w:szCs w:val="20"/>
          <w:lang w:eastAsia="en-CA"/>
        </w:rPr>
      </w:pPr>
    </w:p>
    <w:p w:rsidR="0031031C" w:rsidRPr="0031031C" w:rsidRDefault="0031031C" w:rsidP="0031031C">
      <w:pPr>
        <w:tabs>
          <w:tab w:val="left" w:pos="-1440"/>
          <w:tab w:val="left" w:pos="-720"/>
        </w:tabs>
        <w:jc w:val="both"/>
        <w:rPr>
          <w:rFonts w:eastAsia="Times New Roman" w:cs="Times New Roman"/>
          <w:sz w:val="20"/>
          <w:szCs w:val="20"/>
          <w:lang w:eastAsia="en-CA"/>
        </w:rPr>
      </w:pPr>
    </w:p>
    <w:p w:rsidR="0031031C" w:rsidRPr="0031031C" w:rsidRDefault="0031031C" w:rsidP="00310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Times New Roman"/>
          <w:sz w:val="20"/>
          <w:szCs w:val="20"/>
          <w:lang w:val="fr-CA"/>
        </w:rPr>
      </w:pPr>
      <w:r w:rsidRPr="0031031C">
        <w:rPr>
          <w:rFonts w:eastAsia="Times New Roman" w:cs="Times New Roman"/>
          <w:b/>
          <w:sz w:val="20"/>
          <w:szCs w:val="20"/>
          <w:lang w:val="fr-CA"/>
        </w:rPr>
        <w:t xml:space="preserve">À LA SUITE DE LA REQUÊTE </w:t>
      </w:r>
      <w:r w:rsidRPr="0031031C">
        <w:rPr>
          <w:rFonts w:eastAsia="Times New Roman" w:cs="Times New Roman"/>
          <w:sz w:val="20"/>
          <w:szCs w:val="20"/>
          <w:lang w:val="fr-CA"/>
        </w:rPr>
        <w:t>présentée par l’Association des chemins de fer du Canada pour obtenir l’autorisation d’intervenir dans le présent appel;</w:t>
      </w:r>
    </w:p>
    <w:p w:rsidR="0031031C" w:rsidRPr="0031031C" w:rsidRDefault="0031031C" w:rsidP="00310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Times New Roman"/>
          <w:sz w:val="20"/>
          <w:szCs w:val="20"/>
          <w:lang w:val="fr-CA"/>
        </w:rPr>
      </w:pPr>
    </w:p>
    <w:p w:rsidR="0031031C" w:rsidRPr="0031031C" w:rsidRDefault="0031031C" w:rsidP="00310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Times New Roman"/>
          <w:sz w:val="20"/>
          <w:szCs w:val="20"/>
          <w:lang w:val="fr-CA"/>
        </w:rPr>
      </w:pPr>
      <w:r w:rsidRPr="0031031C">
        <w:rPr>
          <w:rFonts w:eastAsia="Times New Roman" w:cs="Times New Roman"/>
          <w:b/>
          <w:sz w:val="20"/>
          <w:szCs w:val="20"/>
          <w:lang w:val="fr-CA"/>
        </w:rPr>
        <w:t>ET APRÈS EXAMEN</w:t>
      </w:r>
      <w:r w:rsidRPr="0031031C">
        <w:rPr>
          <w:rFonts w:eastAsia="Times New Roman" w:cs="Times New Roman"/>
          <w:sz w:val="20"/>
          <w:szCs w:val="20"/>
          <w:lang w:val="fr-CA"/>
        </w:rPr>
        <w:t xml:space="preserve"> des documents déposés;</w:t>
      </w:r>
    </w:p>
    <w:p w:rsidR="0031031C" w:rsidRPr="0031031C" w:rsidRDefault="0031031C" w:rsidP="00310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Times New Roman"/>
          <w:sz w:val="20"/>
          <w:szCs w:val="20"/>
          <w:lang w:val="fr-CA"/>
        </w:rPr>
      </w:pPr>
    </w:p>
    <w:p w:rsidR="0031031C" w:rsidRPr="0031031C" w:rsidRDefault="0031031C" w:rsidP="00310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Times New Roman"/>
          <w:b/>
          <w:sz w:val="20"/>
          <w:szCs w:val="20"/>
          <w:lang w:val="fr-CA"/>
        </w:rPr>
      </w:pPr>
      <w:r w:rsidRPr="0031031C">
        <w:rPr>
          <w:rFonts w:eastAsia="Times New Roman" w:cs="Times New Roman"/>
          <w:b/>
          <w:sz w:val="20"/>
          <w:szCs w:val="20"/>
          <w:lang w:val="fr-CA"/>
        </w:rPr>
        <w:t>IL EST ORDONNÉ CE QUI SUIT :</w:t>
      </w:r>
    </w:p>
    <w:p w:rsidR="0031031C" w:rsidRPr="0031031C" w:rsidRDefault="0031031C" w:rsidP="00310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Times New Roman"/>
          <w:sz w:val="20"/>
          <w:szCs w:val="20"/>
          <w:lang w:val="fr-CA"/>
        </w:rPr>
      </w:pPr>
    </w:p>
    <w:p w:rsidR="0031031C" w:rsidRPr="0031031C" w:rsidRDefault="0031031C" w:rsidP="00310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Times New Roman"/>
          <w:sz w:val="20"/>
          <w:szCs w:val="20"/>
          <w:lang w:val="fr-CA"/>
        </w:rPr>
      </w:pPr>
      <w:r w:rsidRPr="0031031C">
        <w:rPr>
          <w:rFonts w:eastAsia="Times New Roman" w:cs="Times New Roman"/>
          <w:sz w:val="20"/>
          <w:szCs w:val="20"/>
          <w:lang w:val="fr-CA"/>
        </w:rPr>
        <w:t>La requête en autorisation d’intervenir de l’Association des chemins de fer du Canada est accueillie et cette intervenante est autorisée à signifier et déposer un mémoire d’au plus 10 pages au plus tard le 18 novembre 2015.</w:t>
      </w:r>
    </w:p>
    <w:p w:rsidR="0031031C" w:rsidRPr="0031031C" w:rsidRDefault="0031031C" w:rsidP="00310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Times New Roman"/>
          <w:sz w:val="20"/>
          <w:szCs w:val="20"/>
          <w:lang w:val="fr-CA"/>
        </w:rPr>
      </w:pPr>
    </w:p>
    <w:p w:rsidR="0031031C" w:rsidRPr="0031031C" w:rsidRDefault="0031031C" w:rsidP="00310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Times New Roman"/>
          <w:sz w:val="20"/>
          <w:szCs w:val="20"/>
          <w:lang w:val="fr-CA"/>
        </w:rPr>
      </w:pPr>
      <w:r w:rsidRPr="0031031C">
        <w:rPr>
          <w:rFonts w:eastAsia="Times New Roman" w:cs="Times New Roman"/>
          <w:sz w:val="20"/>
          <w:szCs w:val="20"/>
          <w:lang w:val="fr-CA"/>
        </w:rPr>
        <w:t>La décision sur la demande en vue de présenter une plaidoirie orale sera rendue après réception et examen des arguments écrits des parties et de l’intervenante.</w:t>
      </w:r>
    </w:p>
    <w:p w:rsidR="0031031C" w:rsidRPr="0031031C" w:rsidRDefault="0031031C" w:rsidP="00310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Times New Roman"/>
          <w:sz w:val="20"/>
          <w:szCs w:val="20"/>
          <w:lang w:val="fr-CA"/>
        </w:rPr>
      </w:pPr>
    </w:p>
    <w:p w:rsidR="0031031C" w:rsidRPr="00032EDC" w:rsidRDefault="0031031C" w:rsidP="00310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Times New Roman"/>
          <w:sz w:val="20"/>
          <w:szCs w:val="20"/>
          <w:lang w:val="fr-CA"/>
        </w:rPr>
      </w:pPr>
      <w:r w:rsidRPr="00032EDC">
        <w:rPr>
          <w:rFonts w:eastAsia="Times New Roman" w:cs="Times New Roman"/>
          <w:sz w:val="20"/>
          <w:szCs w:val="20"/>
          <w:lang w:val="fr-CA"/>
        </w:rPr>
        <w:t>L’intervenante n’a pas le droit de soulever de nouvelles questions, de produire d’autres éléments de preuve, ni de compléter de quelque autre façon le dossier des parties.</w:t>
      </w:r>
    </w:p>
    <w:p w:rsidR="0031031C" w:rsidRPr="0031031C" w:rsidRDefault="0031031C" w:rsidP="00310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Times New Roman"/>
          <w:sz w:val="20"/>
          <w:szCs w:val="20"/>
          <w:lang w:val="fr-CA"/>
        </w:rPr>
      </w:pPr>
    </w:p>
    <w:p w:rsidR="0031031C" w:rsidRPr="0031031C" w:rsidRDefault="0031031C" w:rsidP="00310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Times New Roman"/>
          <w:sz w:val="20"/>
          <w:szCs w:val="20"/>
          <w:lang w:val="fr-CA"/>
        </w:rPr>
      </w:pPr>
      <w:r w:rsidRPr="0031031C">
        <w:rPr>
          <w:rFonts w:eastAsia="Times New Roman" w:cs="Times New Roman"/>
          <w:sz w:val="20"/>
          <w:szCs w:val="20"/>
          <w:lang w:val="fr-CA"/>
        </w:rPr>
        <w:t>Conformément à l’al. 59(1)</w:t>
      </w:r>
      <w:r w:rsidRPr="0031031C">
        <w:rPr>
          <w:rFonts w:eastAsia="Times New Roman" w:cs="Times New Roman"/>
          <w:i/>
          <w:sz w:val="20"/>
          <w:szCs w:val="20"/>
          <w:lang w:val="fr-CA"/>
        </w:rPr>
        <w:t>a</w:t>
      </w:r>
      <w:r w:rsidRPr="0031031C">
        <w:rPr>
          <w:rFonts w:eastAsia="Times New Roman" w:cs="Times New Roman"/>
          <w:sz w:val="20"/>
          <w:szCs w:val="20"/>
          <w:lang w:val="fr-CA"/>
        </w:rPr>
        <w:t xml:space="preserve">) des </w:t>
      </w:r>
      <w:r w:rsidRPr="0031031C">
        <w:rPr>
          <w:rFonts w:eastAsia="Times New Roman" w:cs="Times New Roman"/>
          <w:i/>
          <w:sz w:val="20"/>
          <w:szCs w:val="20"/>
          <w:lang w:val="fr-CA"/>
        </w:rPr>
        <w:t>Règles de la Cour suprême du Canada</w:t>
      </w:r>
      <w:r w:rsidRPr="0031031C">
        <w:rPr>
          <w:rFonts w:eastAsia="Times New Roman" w:cs="Times New Roman"/>
          <w:sz w:val="20"/>
          <w:szCs w:val="20"/>
          <w:lang w:val="fr-CA"/>
        </w:rPr>
        <w:t>, l’intervenante paiera à l’appelante et aux intimés tous les débours supplémentaires résultant de son intervention.</w:t>
      </w:r>
    </w:p>
    <w:p w:rsidR="0031031C" w:rsidRPr="0031031C" w:rsidRDefault="0031031C" w:rsidP="0031031C">
      <w:pPr>
        <w:tabs>
          <w:tab w:val="left" w:pos="-1440"/>
          <w:tab w:val="left" w:pos="-720"/>
        </w:tabs>
        <w:jc w:val="both"/>
        <w:rPr>
          <w:rFonts w:eastAsia="Times New Roman" w:cs="Times New Roman"/>
          <w:sz w:val="20"/>
          <w:szCs w:val="20"/>
          <w:lang w:eastAsia="en-CA"/>
        </w:rPr>
      </w:pPr>
    </w:p>
    <w:p w:rsidR="0031031C" w:rsidRPr="0031031C" w:rsidRDefault="00EC4FDF" w:rsidP="0031031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97" style="width:2in;height:1pt" o:hrpct="0" o:hralign="center" o:hrstd="t" o:hrnoshade="t" o:hr="t" fillcolor="black [3213]" stroked="f"/>
        </w:pict>
      </w:r>
    </w:p>
    <w:p w:rsidR="0031031C" w:rsidRPr="0031031C" w:rsidRDefault="0031031C" w:rsidP="0031031C">
      <w:pPr>
        <w:tabs>
          <w:tab w:val="left" w:pos="-1440"/>
          <w:tab w:val="left" w:pos="-720"/>
        </w:tabs>
        <w:jc w:val="both"/>
        <w:rPr>
          <w:rFonts w:eastAsia="Times New Roman" w:cs="Times New Roman"/>
          <w:sz w:val="20"/>
          <w:szCs w:val="20"/>
          <w:lang w:eastAsia="en-CA"/>
        </w:rPr>
      </w:pPr>
    </w:p>
    <w:p w:rsidR="0031031C" w:rsidRPr="0031031C" w:rsidRDefault="0031031C" w:rsidP="0031031C">
      <w:pPr>
        <w:tabs>
          <w:tab w:val="left" w:pos="-1440"/>
          <w:tab w:val="left" w:pos="-720"/>
        </w:tabs>
        <w:jc w:val="both"/>
        <w:rPr>
          <w:rFonts w:eastAsia="Times New Roman" w:cs="Times New Roman"/>
          <w:sz w:val="20"/>
          <w:szCs w:val="20"/>
          <w:lang w:val="fr-CA" w:eastAsia="en-CA"/>
        </w:rPr>
      </w:pPr>
      <w:r w:rsidRPr="0031031C">
        <w:rPr>
          <w:rFonts w:eastAsia="Times New Roman" w:cs="Times New Roman"/>
          <w:sz w:val="20"/>
          <w:szCs w:val="20"/>
          <w:lang w:val="fr-CA" w:eastAsia="en-CA"/>
        </w:rPr>
        <w:t>21.10.2015</w:t>
      </w:r>
    </w:p>
    <w:p w:rsidR="0031031C" w:rsidRPr="0031031C" w:rsidRDefault="0031031C" w:rsidP="0031031C">
      <w:pPr>
        <w:tabs>
          <w:tab w:val="left" w:pos="-1440"/>
          <w:tab w:val="left" w:pos="-720"/>
        </w:tabs>
        <w:jc w:val="both"/>
        <w:rPr>
          <w:rFonts w:eastAsia="Times New Roman" w:cs="Times New Roman"/>
          <w:sz w:val="20"/>
          <w:szCs w:val="20"/>
          <w:lang w:val="fr-CA" w:eastAsia="en-CA"/>
        </w:rPr>
      </w:pPr>
    </w:p>
    <w:p w:rsidR="0031031C" w:rsidRPr="0031031C" w:rsidRDefault="0031031C" w:rsidP="0031031C">
      <w:pPr>
        <w:tabs>
          <w:tab w:val="left" w:pos="-1440"/>
          <w:tab w:val="left" w:pos="-720"/>
        </w:tabs>
        <w:jc w:val="both"/>
        <w:rPr>
          <w:rFonts w:eastAsia="Times New Roman" w:cs="Times New Roman"/>
          <w:sz w:val="20"/>
          <w:szCs w:val="20"/>
          <w:lang w:eastAsia="en-CA"/>
        </w:rPr>
      </w:pPr>
      <w:r w:rsidRPr="0031031C">
        <w:rPr>
          <w:rFonts w:eastAsia="Times New Roman" w:cs="Times New Roman"/>
          <w:sz w:val="20"/>
          <w:szCs w:val="20"/>
          <w:lang w:val="fr-CA" w:eastAsia="en-CA"/>
        </w:rPr>
        <w:t xml:space="preserve">Before / Devant :   </w:t>
      </w:r>
      <w:r w:rsidRPr="0031031C">
        <w:rPr>
          <w:rFonts w:eastAsia="Times New Roman" w:cs="Times New Roman"/>
          <w:sz w:val="20"/>
          <w:szCs w:val="20"/>
          <w:lang w:eastAsia="en-CA"/>
        </w:rPr>
        <w:t>THE REGISTRAR / LE REGISTRAIRE</w:t>
      </w:r>
    </w:p>
    <w:p w:rsidR="0031031C" w:rsidRPr="0031031C" w:rsidRDefault="0031031C" w:rsidP="0031031C">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31031C" w:rsidRPr="0031031C" w:rsidTr="00553EF7">
        <w:tc>
          <w:tcPr>
            <w:tcW w:w="4338" w:type="dxa"/>
          </w:tcPr>
          <w:p w:rsidR="0031031C" w:rsidRPr="0031031C" w:rsidRDefault="0031031C" w:rsidP="0031031C">
            <w:pPr>
              <w:tabs>
                <w:tab w:val="left" w:pos="-1440"/>
                <w:tab w:val="left" w:pos="-720"/>
              </w:tabs>
              <w:jc w:val="both"/>
              <w:rPr>
                <w:b/>
                <w:bCs/>
                <w:color w:val="000000"/>
                <w:lang w:val="en-US"/>
              </w:rPr>
            </w:pPr>
            <w:r w:rsidRPr="0031031C">
              <w:rPr>
                <w:b/>
                <w:bCs/>
                <w:color w:val="000000"/>
                <w:lang w:val="en-US"/>
              </w:rPr>
              <w:t>Motion to extend time to serve and file a notice of taxation and bill of costs</w:t>
            </w:r>
          </w:p>
          <w:p w:rsidR="0031031C" w:rsidRPr="0031031C" w:rsidRDefault="0031031C" w:rsidP="0031031C">
            <w:pPr>
              <w:tabs>
                <w:tab w:val="left" w:pos="-1440"/>
                <w:tab w:val="left" w:pos="-720"/>
              </w:tabs>
              <w:jc w:val="both"/>
              <w:rPr>
                <w:b/>
              </w:rPr>
            </w:pPr>
          </w:p>
        </w:tc>
        <w:tc>
          <w:tcPr>
            <w:tcW w:w="1170" w:type="dxa"/>
          </w:tcPr>
          <w:p w:rsidR="0031031C" w:rsidRPr="0031031C" w:rsidRDefault="0031031C" w:rsidP="0031031C">
            <w:pPr>
              <w:tabs>
                <w:tab w:val="left" w:pos="-1440"/>
                <w:tab w:val="left" w:pos="-720"/>
              </w:tabs>
              <w:jc w:val="both"/>
            </w:pPr>
          </w:p>
          <w:p w:rsidR="0031031C" w:rsidRPr="0031031C" w:rsidRDefault="0031031C" w:rsidP="0031031C">
            <w:pPr>
              <w:tabs>
                <w:tab w:val="left" w:pos="-1440"/>
                <w:tab w:val="left" w:pos="-720"/>
              </w:tabs>
              <w:jc w:val="both"/>
            </w:pPr>
          </w:p>
        </w:tc>
        <w:tc>
          <w:tcPr>
            <w:tcW w:w="4327" w:type="dxa"/>
          </w:tcPr>
          <w:p w:rsidR="0031031C" w:rsidRPr="0031031C" w:rsidRDefault="0031031C" w:rsidP="0031031C">
            <w:pPr>
              <w:tabs>
                <w:tab w:val="left" w:pos="-1440"/>
                <w:tab w:val="left" w:pos="-720"/>
              </w:tabs>
              <w:jc w:val="both"/>
              <w:rPr>
                <w:b/>
                <w:bCs/>
                <w:color w:val="000000"/>
                <w:lang w:val="fr-CA"/>
              </w:rPr>
            </w:pPr>
            <w:r w:rsidRPr="0031031C">
              <w:rPr>
                <w:b/>
                <w:bCs/>
                <w:color w:val="000000"/>
                <w:lang w:val="fr-CA"/>
              </w:rPr>
              <w:t>Requête en prorogation du délai pour signifier et déposer un avis de taxation des dépens et un mémoire de frais</w:t>
            </w:r>
          </w:p>
          <w:p w:rsidR="0031031C" w:rsidRPr="0031031C" w:rsidRDefault="0031031C" w:rsidP="0031031C">
            <w:pPr>
              <w:tabs>
                <w:tab w:val="left" w:pos="-1440"/>
                <w:tab w:val="left" w:pos="-720"/>
              </w:tabs>
              <w:jc w:val="both"/>
              <w:rPr>
                <w:lang w:val="fr-CA"/>
              </w:rPr>
            </w:pPr>
          </w:p>
        </w:tc>
      </w:tr>
      <w:tr w:rsidR="0031031C" w:rsidRPr="0031031C" w:rsidTr="00553EF7">
        <w:tc>
          <w:tcPr>
            <w:tcW w:w="4338" w:type="dxa"/>
          </w:tcPr>
          <w:p w:rsidR="0031031C" w:rsidRPr="0031031C" w:rsidRDefault="0031031C" w:rsidP="0031031C">
            <w:pPr>
              <w:tabs>
                <w:tab w:val="left" w:pos="-1440"/>
                <w:tab w:val="left" w:pos="-720"/>
              </w:tabs>
              <w:jc w:val="both"/>
            </w:pPr>
            <w:r w:rsidRPr="0031031C">
              <w:t>Michelle Landry et autre</w:t>
            </w:r>
          </w:p>
          <w:p w:rsidR="0031031C" w:rsidRPr="0031031C" w:rsidRDefault="0031031C" w:rsidP="0031031C">
            <w:pPr>
              <w:tabs>
                <w:tab w:val="left" w:pos="-1440"/>
                <w:tab w:val="left" w:pos="-720"/>
              </w:tabs>
              <w:jc w:val="both"/>
            </w:pPr>
          </w:p>
          <w:p w:rsidR="0031031C" w:rsidRPr="0031031C" w:rsidRDefault="0031031C" w:rsidP="0031031C">
            <w:pPr>
              <w:tabs>
                <w:tab w:val="left" w:pos="-1440"/>
                <w:tab w:val="left" w:pos="-720"/>
              </w:tabs>
              <w:jc w:val="both"/>
            </w:pPr>
            <w:r w:rsidRPr="0031031C">
              <w:tab/>
              <w:t>c. (36251)</w:t>
            </w:r>
          </w:p>
          <w:p w:rsidR="0031031C" w:rsidRPr="0031031C" w:rsidRDefault="0031031C" w:rsidP="0031031C">
            <w:pPr>
              <w:tabs>
                <w:tab w:val="left" w:pos="-1440"/>
                <w:tab w:val="left" w:pos="-720"/>
              </w:tabs>
              <w:jc w:val="both"/>
            </w:pPr>
          </w:p>
          <w:p w:rsidR="0031031C" w:rsidRPr="0031031C" w:rsidRDefault="0031031C" w:rsidP="0031031C">
            <w:pPr>
              <w:tabs>
                <w:tab w:val="left" w:pos="-1440"/>
                <w:tab w:val="left" w:pos="-720"/>
              </w:tabs>
              <w:jc w:val="both"/>
              <w:rPr>
                <w:lang w:val="fr-CA"/>
              </w:rPr>
            </w:pPr>
            <w:r w:rsidRPr="0031031C">
              <w:t xml:space="preserve">Procureur general du Canada </w:t>
            </w:r>
            <w:r w:rsidRPr="0031031C">
              <w:rPr>
                <w:lang w:val="fr-CA"/>
              </w:rPr>
              <w:t>(C.F.)</w:t>
            </w:r>
          </w:p>
        </w:tc>
        <w:tc>
          <w:tcPr>
            <w:tcW w:w="1170" w:type="dxa"/>
          </w:tcPr>
          <w:p w:rsidR="0031031C" w:rsidRPr="0031031C" w:rsidRDefault="0031031C" w:rsidP="0031031C">
            <w:pPr>
              <w:tabs>
                <w:tab w:val="left" w:pos="-1440"/>
                <w:tab w:val="left" w:pos="-720"/>
              </w:tabs>
              <w:jc w:val="both"/>
              <w:rPr>
                <w:lang w:val="fr-CA"/>
              </w:rPr>
            </w:pPr>
          </w:p>
        </w:tc>
        <w:tc>
          <w:tcPr>
            <w:tcW w:w="4327" w:type="dxa"/>
          </w:tcPr>
          <w:p w:rsidR="0031031C" w:rsidRPr="0031031C" w:rsidRDefault="0031031C" w:rsidP="0031031C">
            <w:pPr>
              <w:tabs>
                <w:tab w:val="left" w:pos="-1440"/>
                <w:tab w:val="left" w:pos="-720"/>
              </w:tabs>
              <w:jc w:val="both"/>
              <w:rPr>
                <w:lang w:val="fr-CA"/>
              </w:rPr>
            </w:pPr>
          </w:p>
        </w:tc>
      </w:tr>
    </w:tbl>
    <w:p w:rsidR="0031031C" w:rsidRPr="0031031C" w:rsidRDefault="0031031C" w:rsidP="0031031C">
      <w:pPr>
        <w:tabs>
          <w:tab w:val="left" w:pos="-1440"/>
          <w:tab w:val="left" w:pos="-720"/>
        </w:tabs>
        <w:jc w:val="both"/>
        <w:rPr>
          <w:rFonts w:eastAsia="Times New Roman" w:cs="Times New Roman"/>
          <w:sz w:val="20"/>
          <w:szCs w:val="20"/>
          <w:lang w:val="fr-CA" w:eastAsia="en-CA"/>
        </w:rPr>
      </w:pPr>
    </w:p>
    <w:p w:rsidR="0031031C" w:rsidRPr="0031031C" w:rsidRDefault="0031031C" w:rsidP="0031031C">
      <w:pPr>
        <w:tabs>
          <w:tab w:val="left" w:pos="-1440"/>
          <w:tab w:val="left" w:pos="-720"/>
        </w:tabs>
        <w:jc w:val="both"/>
        <w:rPr>
          <w:rFonts w:eastAsia="Times New Roman" w:cs="Times New Roman"/>
          <w:sz w:val="20"/>
          <w:szCs w:val="20"/>
          <w:lang w:eastAsia="en-CA"/>
        </w:rPr>
      </w:pPr>
      <w:r w:rsidRPr="0031031C">
        <w:rPr>
          <w:rFonts w:eastAsia="Times New Roman" w:cs="Times New Roman"/>
          <w:b/>
          <w:sz w:val="20"/>
          <w:szCs w:val="20"/>
          <w:lang w:eastAsia="en-CA"/>
        </w:rPr>
        <w:t>GRANTED / ACCORDÉE</w:t>
      </w:r>
    </w:p>
    <w:p w:rsidR="0031031C" w:rsidRPr="0031031C" w:rsidRDefault="0031031C" w:rsidP="0031031C">
      <w:pPr>
        <w:tabs>
          <w:tab w:val="left" w:pos="-1440"/>
          <w:tab w:val="left" w:pos="-720"/>
        </w:tabs>
        <w:jc w:val="both"/>
        <w:rPr>
          <w:rFonts w:eastAsia="Times New Roman" w:cs="Times New Roman"/>
          <w:sz w:val="20"/>
          <w:szCs w:val="20"/>
          <w:lang w:eastAsia="en-CA"/>
        </w:rPr>
      </w:pPr>
    </w:p>
    <w:p w:rsidR="0031031C" w:rsidRPr="0031031C" w:rsidRDefault="0031031C" w:rsidP="0031031C">
      <w:pPr>
        <w:widowControl w:val="0"/>
        <w:autoSpaceDE w:val="0"/>
        <w:autoSpaceDN w:val="0"/>
        <w:adjustRightInd w:val="0"/>
        <w:spacing w:line="232" w:lineRule="auto"/>
        <w:jc w:val="both"/>
        <w:rPr>
          <w:rFonts w:eastAsia="Times New Roman" w:cs="Times New Roman"/>
          <w:b/>
          <w:bCs/>
          <w:sz w:val="20"/>
          <w:szCs w:val="20"/>
          <w:lang w:val="fr-CA"/>
        </w:rPr>
      </w:pPr>
      <w:r w:rsidRPr="0031031C">
        <w:rPr>
          <w:rFonts w:eastAsia="Times New Roman" w:cs="Times New Roman"/>
          <w:b/>
          <w:sz w:val="20"/>
          <w:szCs w:val="20"/>
          <w:lang w:val="fr-CA"/>
        </w:rPr>
        <w:t>À LA SUITE DE LA DEMANDE</w:t>
      </w:r>
      <w:r w:rsidRPr="0031031C">
        <w:rPr>
          <w:rFonts w:ascii="Times New" w:eastAsia="Times New Roman" w:hAnsi="Times New" w:cs="Times New Roman"/>
          <w:b/>
          <w:sz w:val="20"/>
          <w:szCs w:val="20"/>
          <w:lang w:val="fr-CA"/>
        </w:rPr>
        <w:t xml:space="preserve"> </w:t>
      </w:r>
      <w:r w:rsidRPr="0031031C">
        <w:rPr>
          <w:rFonts w:eastAsia="Times New Roman" w:cs="Times New Roman"/>
          <w:sz w:val="20"/>
          <w:szCs w:val="20"/>
          <w:lang w:val="fr-CA"/>
        </w:rPr>
        <w:t>présentée par les demandeurs en prorogation du délai pour signifier et déposer leur réponse à l’avis de taxation et au mémoire de frais de l’intimé de trente (30) jours suivants la signification de l’avis de taxation et du mémoire de frais de l’intimé;</w:t>
      </w:r>
    </w:p>
    <w:p w:rsidR="0031031C" w:rsidRPr="0031031C" w:rsidRDefault="0031031C" w:rsidP="0031031C">
      <w:pPr>
        <w:widowControl w:val="0"/>
        <w:autoSpaceDE w:val="0"/>
        <w:autoSpaceDN w:val="0"/>
        <w:adjustRightInd w:val="0"/>
        <w:spacing w:line="232" w:lineRule="auto"/>
        <w:jc w:val="both"/>
        <w:rPr>
          <w:rFonts w:eastAsia="Times New Roman" w:cs="Times New Roman"/>
          <w:b/>
          <w:bCs/>
          <w:sz w:val="20"/>
          <w:szCs w:val="20"/>
          <w:lang w:val="fr-CA"/>
        </w:rPr>
      </w:pPr>
    </w:p>
    <w:p w:rsidR="0031031C" w:rsidRPr="0031031C" w:rsidRDefault="0031031C" w:rsidP="0031031C">
      <w:pPr>
        <w:widowControl w:val="0"/>
        <w:autoSpaceDE w:val="0"/>
        <w:autoSpaceDN w:val="0"/>
        <w:adjustRightInd w:val="0"/>
        <w:spacing w:line="232" w:lineRule="auto"/>
        <w:jc w:val="both"/>
        <w:rPr>
          <w:rFonts w:eastAsia="Times New Roman" w:cs="Times New Roman"/>
          <w:sz w:val="20"/>
          <w:szCs w:val="20"/>
          <w:lang w:val="fr-CA"/>
        </w:rPr>
      </w:pPr>
      <w:r w:rsidRPr="0031031C">
        <w:rPr>
          <w:rFonts w:eastAsia="Times New Roman" w:cs="Times New Roman"/>
          <w:b/>
          <w:bCs/>
          <w:sz w:val="20"/>
          <w:szCs w:val="20"/>
          <w:lang w:val="fr-CA"/>
        </w:rPr>
        <w:t xml:space="preserve">ET APRÈS EXAMEN </w:t>
      </w:r>
      <w:r w:rsidRPr="0031031C">
        <w:rPr>
          <w:rFonts w:eastAsia="Times New Roman" w:cs="Times New Roman"/>
          <w:sz w:val="20"/>
          <w:szCs w:val="20"/>
          <w:lang w:val="fr-CA"/>
        </w:rPr>
        <w:t xml:space="preserve">des documents déposés; </w:t>
      </w:r>
    </w:p>
    <w:p w:rsidR="0031031C" w:rsidRPr="0031031C" w:rsidRDefault="0031031C" w:rsidP="0031031C">
      <w:pPr>
        <w:widowControl w:val="0"/>
        <w:autoSpaceDE w:val="0"/>
        <w:autoSpaceDN w:val="0"/>
        <w:adjustRightInd w:val="0"/>
        <w:spacing w:line="232" w:lineRule="auto"/>
        <w:jc w:val="both"/>
        <w:rPr>
          <w:rFonts w:eastAsia="Times New Roman" w:cs="Times New Roman"/>
          <w:sz w:val="20"/>
          <w:szCs w:val="20"/>
          <w:lang w:val="fr-CA"/>
        </w:rPr>
      </w:pPr>
    </w:p>
    <w:p w:rsidR="0031031C" w:rsidRPr="0031031C" w:rsidRDefault="0031031C" w:rsidP="0031031C">
      <w:pPr>
        <w:widowControl w:val="0"/>
        <w:autoSpaceDE w:val="0"/>
        <w:autoSpaceDN w:val="0"/>
        <w:adjustRightInd w:val="0"/>
        <w:spacing w:line="232" w:lineRule="auto"/>
        <w:jc w:val="both"/>
        <w:rPr>
          <w:rFonts w:eastAsia="Times New Roman" w:cs="Times New Roman"/>
          <w:sz w:val="20"/>
          <w:szCs w:val="20"/>
          <w:lang w:val="fr-CA"/>
        </w:rPr>
      </w:pPr>
      <w:r w:rsidRPr="0031031C">
        <w:rPr>
          <w:rFonts w:eastAsia="Times New Roman" w:cs="Times New Roman"/>
          <w:b/>
          <w:sz w:val="20"/>
          <w:szCs w:val="20"/>
          <w:lang w:val="fr-CA"/>
        </w:rPr>
        <w:t xml:space="preserve">ET APRÈS AVOIR NOTÉ </w:t>
      </w:r>
      <w:r w:rsidRPr="0031031C">
        <w:rPr>
          <w:rFonts w:eastAsia="Times New Roman" w:cs="Times New Roman"/>
          <w:sz w:val="20"/>
          <w:szCs w:val="20"/>
          <w:lang w:val="fr-CA"/>
        </w:rPr>
        <w:t>le consentement de l’intimé;</w:t>
      </w:r>
    </w:p>
    <w:p w:rsidR="0031031C" w:rsidRPr="0031031C" w:rsidRDefault="0031031C" w:rsidP="0031031C">
      <w:pPr>
        <w:widowControl w:val="0"/>
        <w:autoSpaceDE w:val="0"/>
        <w:autoSpaceDN w:val="0"/>
        <w:adjustRightInd w:val="0"/>
        <w:spacing w:line="232" w:lineRule="auto"/>
        <w:jc w:val="both"/>
        <w:rPr>
          <w:rFonts w:eastAsia="Times New Roman" w:cs="Times New Roman"/>
          <w:sz w:val="20"/>
          <w:szCs w:val="20"/>
          <w:lang w:val="fr-CA"/>
        </w:rPr>
      </w:pPr>
    </w:p>
    <w:p w:rsidR="0031031C" w:rsidRPr="0031031C" w:rsidRDefault="0031031C" w:rsidP="0031031C">
      <w:pPr>
        <w:widowControl w:val="0"/>
        <w:autoSpaceDE w:val="0"/>
        <w:autoSpaceDN w:val="0"/>
        <w:adjustRightInd w:val="0"/>
        <w:spacing w:line="228" w:lineRule="auto"/>
        <w:jc w:val="both"/>
        <w:rPr>
          <w:rFonts w:eastAsia="Times New Roman" w:cs="Times New Roman"/>
          <w:b/>
          <w:bCs/>
          <w:sz w:val="20"/>
          <w:szCs w:val="20"/>
          <w:lang w:val="fr-CA"/>
        </w:rPr>
      </w:pPr>
      <w:r w:rsidRPr="0031031C">
        <w:rPr>
          <w:rFonts w:eastAsia="Times New Roman" w:cs="Times New Roman"/>
          <w:b/>
          <w:bCs/>
          <w:sz w:val="20"/>
          <w:szCs w:val="20"/>
          <w:lang w:val="fr-CA"/>
        </w:rPr>
        <w:t>IL EST ORDONNÉ QUE:</w:t>
      </w:r>
    </w:p>
    <w:p w:rsidR="0031031C" w:rsidRPr="0031031C" w:rsidRDefault="0031031C" w:rsidP="0031031C">
      <w:pPr>
        <w:widowControl w:val="0"/>
        <w:autoSpaceDE w:val="0"/>
        <w:autoSpaceDN w:val="0"/>
        <w:adjustRightInd w:val="0"/>
        <w:spacing w:line="228" w:lineRule="auto"/>
        <w:ind w:left="-23"/>
        <w:jc w:val="both"/>
        <w:rPr>
          <w:rFonts w:eastAsia="Times New Roman" w:cs="Times New Roman"/>
          <w:b/>
          <w:bCs/>
          <w:sz w:val="20"/>
          <w:szCs w:val="20"/>
          <w:lang w:val="fr-CA"/>
        </w:rPr>
      </w:pPr>
    </w:p>
    <w:p w:rsidR="0031031C" w:rsidRPr="0031031C" w:rsidRDefault="0031031C" w:rsidP="0031031C">
      <w:pPr>
        <w:widowControl w:val="0"/>
        <w:autoSpaceDE w:val="0"/>
        <w:autoSpaceDN w:val="0"/>
        <w:adjustRightInd w:val="0"/>
        <w:rPr>
          <w:rFonts w:eastAsia="Times New Roman" w:cs="Times New Roman"/>
          <w:sz w:val="20"/>
          <w:szCs w:val="20"/>
          <w:lang w:val="fr-CA"/>
        </w:rPr>
      </w:pPr>
      <w:r w:rsidRPr="0031031C">
        <w:rPr>
          <w:rFonts w:eastAsia="Times New Roman" w:cs="Times New Roman"/>
          <w:bCs/>
          <w:sz w:val="20"/>
          <w:szCs w:val="20"/>
          <w:lang w:val="fr-CA"/>
        </w:rPr>
        <w:t>La requête est accueillie</w:t>
      </w:r>
      <w:r w:rsidRPr="0031031C">
        <w:rPr>
          <w:rFonts w:eastAsia="Times New Roman" w:cs="Times New Roman"/>
          <w:sz w:val="20"/>
          <w:szCs w:val="20"/>
          <w:lang w:val="fr-CA"/>
        </w:rPr>
        <w:t>.</w:t>
      </w:r>
    </w:p>
    <w:p w:rsidR="0031031C" w:rsidRPr="0031031C" w:rsidRDefault="0031031C" w:rsidP="0031031C">
      <w:pPr>
        <w:tabs>
          <w:tab w:val="left" w:pos="-1440"/>
          <w:tab w:val="left" w:pos="-720"/>
        </w:tabs>
        <w:jc w:val="both"/>
        <w:rPr>
          <w:rFonts w:eastAsia="Times New Roman" w:cs="Times New Roman"/>
          <w:sz w:val="20"/>
          <w:szCs w:val="20"/>
          <w:lang w:eastAsia="en-CA"/>
        </w:rPr>
      </w:pPr>
    </w:p>
    <w:p w:rsidR="0031031C" w:rsidRPr="0031031C" w:rsidRDefault="0031031C" w:rsidP="0031031C">
      <w:pPr>
        <w:tabs>
          <w:tab w:val="left" w:pos="-1440"/>
          <w:tab w:val="left" w:pos="-720"/>
        </w:tabs>
        <w:jc w:val="both"/>
        <w:rPr>
          <w:rFonts w:eastAsia="Times New Roman" w:cs="Times New Roman"/>
          <w:sz w:val="20"/>
          <w:szCs w:val="20"/>
          <w:lang w:eastAsia="en-CA"/>
        </w:rPr>
      </w:pPr>
    </w:p>
    <w:p w:rsidR="0031031C" w:rsidRPr="0031031C" w:rsidRDefault="0031031C" w:rsidP="0031031C">
      <w:pPr>
        <w:tabs>
          <w:tab w:val="left" w:pos="-1440"/>
          <w:tab w:val="left" w:pos="-720"/>
        </w:tabs>
        <w:jc w:val="both"/>
        <w:rPr>
          <w:rFonts w:eastAsia="Times New Roman" w:cs="Times New Roman"/>
          <w:sz w:val="20"/>
          <w:szCs w:val="20"/>
          <w:lang w:eastAsia="en-CA"/>
        </w:rPr>
      </w:pPr>
    </w:p>
    <w:p w:rsidR="0031031C" w:rsidRPr="0031031C" w:rsidRDefault="0031031C" w:rsidP="0031031C">
      <w:pPr>
        <w:widowControl w:val="0"/>
        <w:autoSpaceDE w:val="0"/>
        <w:autoSpaceDN w:val="0"/>
        <w:adjustRightInd w:val="0"/>
        <w:spacing w:line="232" w:lineRule="auto"/>
        <w:jc w:val="both"/>
        <w:rPr>
          <w:rFonts w:eastAsia="Times New Roman" w:cs="Times New Roman"/>
          <w:b/>
          <w:bCs/>
          <w:sz w:val="20"/>
          <w:szCs w:val="20"/>
        </w:rPr>
      </w:pPr>
      <w:r w:rsidRPr="0031031C">
        <w:rPr>
          <w:rFonts w:eastAsia="Times New Roman" w:cs="Times New Roman"/>
          <w:b/>
          <w:sz w:val="20"/>
          <w:szCs w:val="20"/>
        </w:rPr>
        <w:t>UPON APPLICATION</w:t>
      </w:r>
      <w:r w:rsidRPr="0031031C">
        <w:rPr>
          <w:rFonts w:ascii="Times New" w:eastAsia="Times New Roman" w:hAnsi="Times New" w:cs="Times New Roman"/>
          <w:b/>
          <w:sz w:val="20"/>
          <w:szCs w:val="20"/>
        </w:rPr>
        <w:t xml:space="preserve"> </w:t>
      </w:r>
      <w:r w:rsidRPr="0031031C">
        <w:rPr>
          <w:rFonts w:eastAsia="Times New Roman" w:cs="Times New Roman"/>
          <w:sz w:val="20"/>
          <w:szCs w:val="20"/>
        </w:rPr>
        <w:t>by the applicants for an order extending the time within which to serve and file their response to the respondent’s notice of taxation and bill of costs to thirty (30) days after service of the respondent’s notice of taxation and bill of costs;</w:t>
      </w:r>
    </w:p>
    <w:p w:rsidR="0031031C" w:rsidRPr="0031031C" w:rsidRDefault="0031031C" w:rsidP="0031031C">
      <w:pPr>
        <w:widowControl w:val="0"/>
        <w:autoSpaceDE w:val="0"/>
        <w:autoSpaceDN w:val="0"/>
        <w:adjustRightInd w:val="0"/>
        <w:spacing w:line="232" w:lineRule="auto"/>
        <w:jc w:val="both"/>
        <w:rPr>
          <w:rFonts w:eastAsia="Times New Roman" w:cs="Times New Roman"/>
          <w:b/>
          <w:bCs/>
          <w:sz w:val="20"/>
          <w:szCs w:val="20"/>
        </w:rPr>
      </w:pPr>
    </w:p>
    <w:p w:rsidR="0031031C" w:rsidRPr="0031031C" w:rsidRDefault="0031031C" w:rsidP="0031031C">
      <w:pPr>
        <w:widowControl w:val="0"/>
        <w:autoSpaceDE w:val="0"/>
        <w:autoSpaceDN w:val="0"/>
        <w:adjustRightInd w:val="0"/>
        <w:spacing w:line="232" w:lineRule="auto"/>
        <w:jc w:val="both"/>
        <w:rPr>
          <w:rFonts w:eastAsia="Times New Roman" w:cs="Times New Roman"/>
          <w:sz w:val="20"/>
          <w:szCs w:val="20"/>
        </w:rPr>
      </w:pPr>
      <w:r w:rsidRPr="0031031C">
        <w:rPr>
          <w:rFonts w:eastAsia="Times New Roman" w:cs="Times New Roman"/>
          <w:b/>
          <w:bCs/>
          <w:sz w:val="20"/>
          <w:szCs w:val="20"/>
        </w:rPr>
        <w:t xml:space="preserve">AND THE MATERIAL FILED </w:t>
      </w:r>
      <w:r w:rsidRPr="0031031C">
        <w:rPr>
          <w:rFonts w:eastAsia="Times New Roman" w:cs="Times New Roman"/>
          <w:sz w:val="20"/>
          <w:szCs w:val="20"/>
        </w:rPr>
        <w:t xml:space="preserve">having been read; </w:t>
      </w:r>
    </w:p>
    <w:p w:rsidR="0031031C" w:rsidRPr="0031031C" w:rsidRDefault="0031031C" w:rsidP="0031031C">
      <w:pPr>
        <w:widowControl w:val="0"/>
        <w:autoSpaceDE w:val="0"/>
        <w:autoSpaceDN w:val="0"/>
        <w:adjustRightInd w:val="0"/>
        <w:spacing w:line="232" w:lineRule="auto"/>
        <w:jc w:val="both"/>
        <w:rPr>
          <w:rFonts w:eastAsia="Times New Roman" w:cs="Times New Roman"/>
          <w:sz w:val="20"/>
          <w:szCs w:val="20"/>
        </w:rPr>
      </w:pPr>
    </w:p>
    <w:p w:rsidR="0031031C" w:rsidRPr="0031031C" w:rsidRDefault="0031031C" w:rsidP="0031031C">
      <w:pPr>
        <w:widowControl w:val="0"/>
        <w:autoSpaceDE w:val="0"/>
        <w:autoSpaceDN w:val="0"/>
        <w:adjustRightInd w:val="0"/>
        <w:spacing w:line="232" w:lineRule="auto"/>
        <w:jc w:val="both"/>
        <w:rPr>
          <w:rFonts w:eastAsia="Times New Roman" w:cs="Times New Roman"/>
          <w:sz w:val="20"/>
          <w:szCs w:val="20"/>
        </w:rPr>
      </w:pPr>
      <w:r w:rsidRPr="0031031C">
        <w:rPr>
          <w:rFonts w:eastAsia="Times New Roman" w:cs="Times New Roman"/>
          <w:b/>
          <w:sz w:val="20"/>
          <w:szCs w:val="20"/>
        </w:rPr>
        <w:t xml:space="preserve">AND IT BEING NOTED THAT </w:t>
      </w:r>
      <w:r w:rsidRPr="0031031C">
        <w:rPr>
          <w:rFonts w:eastAsia="Times New Roman" w:cs="Times New Roman"/>
          <w:sz w:val="20"/>
          <w:szCs w:val="20"/>
        </w:rPr>
        <w:t>the respondent has given his consent;</w:t>
      </w:r>
    </w:p>
    <w:p w:rsidR="0031031C" w:rsidRPr="0031031C" w:rsidRDefault="0031031C" w:rsidP="0031031C">
      <w:pPr>
        <w:widowControl w:val="0"/>
        <w:autoSpaceDE w:val="0"/>
        <w:autoSpaceDN w:val="0"/>
        <w:adjustRightInd w:val="0"/>
        <w:spacing w:line="232" w:lineRule="auto"/>
        <w:jc w:val="both"/>
        <w:rPr>
          <w:rFonts w:eastAsia="Times New Roman" w:cs="Times New Roman"/>
          <w:sz w:val="20"/>
          <w:szCs w:val="20"/>
        </w:rPr>
      </w:pPr>
    </w:p>
    <w:p w:rsidR="0031031C" w:rsidRPr="0031031C" w:rsidRDefault="0031031C" w:rsidP="0031031C">
      <w:pPr>
        <w:widowControl w:val="0"/>
        <w:autoSpaceDE w:val="0"/>
        <w:autoSpaceDN w:val="0"/>
        <w:adjustRightInd w:val="0"/>
        <w:spacing w:line="228" w:lineRule="auto"/>
        <w:jc w:val="both"/>
        <w:rPr>
          <w:rFonts w:eastAsia="Times New Roman" w:cs="Times New Roman"/>
          <w:b/>
          <w:bCs/>
          <w:sz w:val="20"/>
          <w:szCs w:val="20"/>
        </w:rPr>
      </w:pPr>
      <w:r w:rsidRPr="0031031C">
        <w:rPr>
          <w:rFonts w:eastAsia="Times New Roman" w:cs="Times New Roman"/>
          <w:b/>
          <w:bCs/>
          <w:sz w:val="20"/>
          <w:szCs w:val="20"/>
        </w:rPr>
        <w:t>IT IS HEREBY ORDERED THAT:</w:t>
      </w:r>
    </w:p>
    <w:p w:rsidR="0031031C" w:rsidRPr="0031031C" w:rsidRDefault="0031031C" w:rsidP="0031031C">
      <w:pPr>
        <w:widowControl w:val="0"/>
        <w:autoSpaceDE w:val="0"/>
        <w:autoSpaceDN w:val="0"/>
        <w:adjustRightInd w:val="0"/>
        <w:spacing w:line="228" w:lineRule="auto"/>
        <w:ind w:left="-23"/>
        <w:jc w:val="both"/>
        <w:rPr>
          <w:rFonts w:eastAsia="Times New Roman" w:cs="Times New Roman"/>
          <w:b/>
          <w:bCs/>
          <w:sz w:val="20"/>
          <w:szCs w:val="20"/>
        </w:rPr>
      </w:pPr>
    </w:p>
    <w:p w:rsidR="0031031C" w:rsidRPr="0031031C" w:rsidRDefault="0031031C" w:rsidP="0031031C">
      <w:pPr>
        <w:widowControl w:val="0"/>
        <w:autoSpaceDE w:val="0"/>
        <w:autoSpaceDN w:val="0"/>
        <w:adjustRightInd w:val="0"/>
        <w:rPr>
          <w:rFonts w:eastAsia="Times New Roman" w:cs="Times New Roman"/>
          <w:sz w:val="20"/>
          <w:szCs w:val="20"/>
          <w:lang w:val="fr-FR" w:eastAsia="en-CA"/>
        </w:rPr>
      </w:pPr>
      <w:r w:rsidRPr="0031031C">
        <w:rPr>
          <w:rFonts w:eastAsia="Times New Roman" w:cs="Times New Roman"/>
          <w:bCs/>
          <w:sz w:val="20"/>
          <w:szCs w:val="20"/>
        </w:rPr>
        <w:t>The motion is granted</w:t>
      </w:r>
      <w:r w:rsidRPr="0031031C">
        <w:rPr>
          <w:rFonts w:eastAsia="Times New Roman" w:cs="Times New Roman"/>
          <w:sz w:val="20"/>
          <w:szCs w:val="20"/>
        </w:rPr>
        <w:t>.</w:t>
      </w:r>
    </w:p>
    <w:p w:rsidR="0031031C" w:rsidRPr="0031031C" w:rsidRDefault="0031031C" w:rsidP="0031031C">
      <w:pPr>
        <w:spacing w:line="233" w:lineRule="auto"/>
        <w:jc w:val="both"/>
        <w:rPr>
          <w:rFonts w:eastAsia="Times New Roman" w:cs="Times New Roman"/>
          <w:sz w:val="20"/>
          <w:szCs w:val="20"/>
          <w:lang w:val="fr-FR" w:eastAsia="en-CA"/>
        </w:rPr>
      </w:pPr>
    </w:p>
    <w:p w:rsidR="0031031C" w:rsidRPr="0031031C" w:rsidRDefault="00EC4FDF" w:rsidP="0031031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98" style="width:2in;height:1pt" o:hrpct="0" o:hralign="center" o:hrstd="t" o:hrnoshade="t" o:hr="t" fillcolor="black [3213]" stroked="f"/>
        </w:pict>
      </w:r>
    </w:p>
    <w:p w:rsidR="0031031C" w:rsidRPr="0031031C" w:rsidRDefault="0031031C" w:rsidP="0031031C">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128"/>
          <w:headerReference w:type="default" r:id="rId129"/>
          <w:footerReference w:type="even" r:id="rId130"/>
          <w:footerReference w:type="default" r:id="rId131"/>
          <w:headerReference w:type="first" r:id="rId132"/>
          <w:footerReference w:type="first" r:id="rId13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002704"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F61376" w:rsidP="005F1ED8">
            <w:pPr>
              <w:rPr>
                <w:sz w:val="20"/>
                <w:szCs w:val="20"/>
              </w:rPr>
            </w:pPr>
            <w:r>
              <w:rPr>
                <w:sz w:val="20"/>
                <w:szCs w:val="20"/>
              </w:rPr>
              <w:t>26</w:t>
            </w:r>
            <w:r w:rsidR="0086340B" w:rsidRPr="003B3977">
              <w:rPr>
                <w:sz w:val="20"/>
                <w:szCs w:val="20"/>
              </w:rPr>
              <w:t>.1</w:t>
            </w:r>
            <w:r>
              <w:rPr>
                <w:sz w:val="20"/>
                <w:szCs w:val="20"/>
              </w:rPr>
              <w:t>0</w:t>
            </w:r>
            <w:r w:rsidR="0086340B" w:rsidRPr="003B3977">
              <w:rPr>
                <w:sz w:val="20"/>
                <w:szCs w:val="20"/>
              </w:rPr>
              <w:t>.201</w:t>
            </w:r>
            <w:r>
              <w:rPr>
                <w:sz w:val="20"/>
                <w:szCs w:val="20"/>
              </w:rPr>
              <w:t>5</w:t>
            </w:r>
          </w:p>
          <w:p w:rsidR="0086340B" w:rsidRPr="003B3977" w:rsidRDefault="0086340B" w:rsidP="005F1ED8">
            <w:pPr>
              <w:rPr>
                <w:sz w:val="20"/>
                <w:szCs w:val="20"/>
              </w:rPr>
            </w:pPr>
          </w:p>
          <w:p w:rsidR="0086340B" w:rsidRPr="003B3977" w:rsidRDefault="00F61376" w:rsidP="005F1ED8">
            <w:pPr>
              <w:rPr>
                <w:b/>
                <w:sz w:val="20"/>
                <w:szCs w:val="20"/>
              </w:rPr>
            </w:pPr>
            <w:r>
              <w:rPr>
                <w:b/>
                <w:sz w:val="20"/>
                <w:szCs w:val="20"/>
              </w:rPr>
              <w:t>Ledcor Construction Limited</w:t>
            </w:r>
            <w:r w:rsidR="0086340B">
              <w:rPr>
                <w:b/>
                <w:sz w:val="20"/>
                <w:szCs w:val="20"/>
              </w:rPr>
              <w:t xml:space="preserve"> et al.</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sidR="00F61376">
              <w:rPr>
                <w:b/>
                <w:sz w:val="20"/>
                <w:szCs w:val="20"/>
              </w:rPr>
              <w:t>6</w:t>
            </w:r>
            <w:r>
              <w:rPr>
                <w:b/>
                <w:sz w:val="20"/>
                <w:szCs w:val="20"/>
              </w:rPr>
              <w:t>4</w:t>
            </w:r>
            <w:r w:rsidR="00F61376">
              <w:rPr>
                <w:b/>
                <w:sz w:val="20"/>
                <w:szCs w:val="20"/>
              </w:rPr>
              <w:t>5</w:t>
            </w:r>
            <w:r>
              <w:rPr>
                <w:b/>
                <w:sz w:val="20"/>
                <w:szCs w:val="20"/>
              </w:rPr>
              <w:t>2</w:t>
            </w:r>
            <w:r w:rsidRPr="003B3977">
              <w:rPr>
                <w:b/>
                <w:sz w:val="20"/>
                <w:szCs w:val="20"/>
              </w:rPr>
              <w:t>)</w:t>
            </w:r>
          </w:p>
          <w:p w:rsidR="0086340B" w:rsidRPr="003B3977" w:rsidRDefault="0086340B" w:rsidP="005F1ED8">
            <w:pPr>
              <w:rPr>
                <w:b/>
                <w:sz w:val="20"/>
                <w:szCs w:val="20"/>
              </w:rPr>
            </w:pPr>
          </w:p>
          <w:p w:rsidR="0086340B" w:rsidRPr="003B3977" w:rsidRDefault="00F61376" w:rsidP="005F1ED8">
            <w:pPr>
              <w:rPr>
                <w:b/>
                <w:sz w:val="20"/>
                <w:szCs w:val="20"/>
              </w:rPr>
            </w:pPr>
            <w:r>
              <w:rPr>
                <w:b/>
                <w:sz w:val="20"/>
                <w:szCs w:val="20"/>
              </w:rPr>
              <w:t>Northbridge Indemnity Insurance Company et</w:t>
            </w:r>
            <w:r w:rsidR="0086340B">
              <w:rPr>
                <w:b/>
                <w:sz w:val="20"/>
                <w:szCs w:val="20"/>
              </w:rPr>
              <w:t xml:space="preserve"> al.</w:t>
            </w:r>
            <w:r w:rsidR="0086340B" w:rsidRPr="003B3977">
              <w:rPr>
                <w:b/>
                <w:sz w:val="20"/>
                <w:szCs w:val="20"/>
              </w:rPr>
              <w:t xml:space="preserve"> (</w:t>
            </w:r>
            <w:r>
              <w:rPr>
                <w:b/>
                <w:sz w:val="20"/>
                <w:szCs w:val="20"/>
              </w:rPr>
              <w:t>Alta</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EC4FDF" w:rsidP="005F1ED8">
            <w:pPr>
              <w:rPr>
                <w:sz w:val="20"/>
                <w:szCs w:val="20"/>
                <w:lang w:val="fr-CA"/>
              </w:rPr>
            </w:pPr>
            <w:r>
              <w:rPr>
                <w:sz w:val="20"/>
                <w:szCs w:val="20"/>
                <w:lang w:val="fr-CA"/>
              </w:rPr>
              <w:pict>
                <v:rect id="_x0000_i1101"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284D87" w:rsidRDefault="00284D87" w:rsidP="00F40249">
      <w:pPr>
        <w:rPr>
          <w:sz w:val="20"/>
          <w:szCs w:val="20"/>
        </w:rPr>
      </w:pPr>
    </w:p>
    <w:p w:rsidR="00284D87" w:rsidRDefault="00284D87" w:rsidP="00F40249">
      <w:pPr>
        <w:rPr>
          <w:sz w:val="20"/>
          <w:szCs w:val="20"/>
        </w:rPr>
      </w:pPr>
    </w:p>
    <w:p w:rsidR="00284D87" w:rsidRDefault="00284D87"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134"/>
          <w:headerReference w:type="default" r:id="rId135"/>
          <w:footerReference w:type="even" r:id="rId136"/>
          <w:footerReference w:type="default" r:id="rId137"/>
          <w:headerReference w:type="first" r:id="rId138"/>
          <w:footerReference w:type="first" r:id="rId13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002704"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A956D3" w:rsidRPr="00002704" w:rsidTr="00A86787">
        <w:trPr>
          <w:cantSplit/>
          <w:trHeight w:val="1152"/>
        </w:trPr>
        <w:tc>
          <w:tcPr>
            <w:tcW w:w="4320" w:type="dxa"/>
            <w:tcBorders>
              <w:top w:val="nil"/>
              <w:left w:val="nil"/>
              <w:bottom w:val="nil"/>
              <w:right w:val="nil"/>
            </w:tcBorders>
          </w:tcPr>
          <w:p w:rsidR="00A956D3" w:rsidRPr="00DD0B49" w:rsidRDefault="00A956D3" w:rsidP="00A86787">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A956D3" w:rsidRPr="00DD0B49" w:rsidRDefault="00A956D3" w:rsidP="00A86787">
            <w:pPr>
              <w:rPr>
                <w:rFonts w:cs="Times New Roman"/>
                <w:b/>
                <w:bCs/>
                <w:sz w:val="20"/>
                <w:szCs w:val="20"/>
                <w:lang w:val="en-GB"/>
              </w:rPr>
            </w:pPr>
          </w:p>
        </w:tc>
        <w:tc>
          <w:tcPr>
            <w:tcW w:w="4320" w:type="dxa"/>
            <w:tcBorders>
              <w:top w:val="nil"/>
              <w:left w:val="nil"/>
              <w:bottom w:val="nil"/>
              <w:right w:val="nil"/>
            </w:tcBorders>
          </w:tcPr>
          <w:p w:rsidR="00A956D3" w:rsidRPr="00DD0B49" w:rsidRDefault="00A956D3" w:rsidP="00A86787">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A956D3" w:rsidRPr="00DD0B49" w:rsidTr="00A86787">
        <w:tc>
          <w:tcPr>
            <w:tcW w:w="4320" w:type="dxa"/>
            <w:tcBorders>
              <w:top w:val="nil"/>
              <w:left w:val="nil"/>
              <w:bottom w:val="nil"/>
              <w:right w:val="nil"/>
            </w:tcBorders>
          </w:tcPr>
          <w:p w:rsidR="00A956D3" w:rsidRPr="00DD0B49" w:rsidRDefault="00A956D3" w:rsidP="00A86787">
            <w:pPr>
              <w:rPr>
                <w:rFonts w:cs="Times New Roman"/>
                <w:sz w:val="20"/>
                <w:szCs w:val="20"/>
                <w:lang w:val="en-GB"/>
              </w:rPr>
            </w:pPr>
            <w:r w:rsidRPr="00DD0B49">
              <w:rPr>
                <w:rFonts w:cs="Times New Roman"/>
                <w:b/>
                <w:bCs/>
                <w:sz w:val="20"/>
                <w:szCs w:val="20"/>
                <w:lang w:val="en-GB"/>
              </w:rPr>
              <w:t>Judgments reported in [201</w:t>
            </w:r>
            <w:r w:rsidR="00A93562">
              <w:rPr>
                <w:rFonts w:cs="Times New Roman"/>
                <w:b/>
                <w:bCs/>
                <w:sz w:val="20"/>
                <w:szCs w:val="20"/>
                <w:lang w:val="en-GB"/>
              </w:rPr>
              <w:t>5</w:t>
            </w:r>
            <w:r w:rsidRPr="00DD0B49">
              <w:rPr>
                <w:rFonts w:cs="Times New Roman"/>
                <w:b/>
                <w:bCs/>
                <w:sz w:val="20"/>
                <w:szCs w:val="20"/>
                <w:lang w:val="en-GB"/>
              </w:rPr>
              <w:t xml:space="preserve">] </w:t>
            </w:r>
            <w:r w:rsidR="00A93562">
              <w:rPr>
                <w:rFonts w:cs="Times New Roman"/>
                <w:b/>
                <w:bCs/>
                <w:sz w:val="20"/>
                <w:szCs w:val="20"/>
                <w:lang w:val="en-GB"/>
              </w:rPr>
              <w:t>1</w:t>
            </w:r>
            <w:r w:rsidRPr="00DD0B49">
              <w:rPr>
                <w:rFonts w:cs="Times New Roman"/>
                <w:b/>
                <w:bCs/>
                <w:sz w:val="20"/>
                <w:szCs w:val="20"/>
                <w:lang w:val="en-GB"/>
              </w:rPr>
              <w:t xml:space="preserve"> S.C.R. Part </w:t>
            </w:r>
            <w:r w:rsidR="00A93562">
              <w:rPr>
                <w:rFonts w:cs="Times New Roman"/>
                <w:b/>
                <w:bCs/>
                <w:sz w:val="20"/>
                <w:szCs w:val="20"/>
                <w:lang w:val="en-GB"/>
              </w:rPr>
              <w:t>3</w:t>
            </w:r>
          </w:p>
          <w:p w:rsidR="00A956D3" w:rsidRPr="00DD0B49" w:rsidRDefault="00A956D3" w:rsidP="00A86787">
            <w:pPr>
              <w:rPr>
                <w:rFonts w:cs="Times New Roman"/>
                <w:sz w:val="20"/>
                <w:szCs w:val="20"/>
                <w:lang w:val="en-GB"/>
              </w:rPr>
            </w:pPr>
          </w:p>
          <w:p w:rsidR="00A956D3" w:rsidRPr="00DD0B49" w:rsidRDefault="00A93562" w:rsidP="00A86787">
            <w:pPr>
              <w:rPr>
                <w:rFonts w:cs="Times New Roman"/>
                <w:sz w:val="20"/>
                <w:szCs w:val="20"/>
                <w:lang w:val="en-GB"/>
              </w:rPr>
            </w:pPr>
            <w:r>
              <w:rPr>
                <w:rFonts w:cs="Times New Roman"/>
                <w:sz w:val="20"/>
                <w:szCs w:val="20"/>
                <w:lang w:val="en-GB"/>
              </w:rPr>
              <w:t>Loyola High School</w:t>
            </w:r>
            <w:r w:rsidR="00A956D3" w:rsidRPr="00DD0B49">
              <w:rPr>
                <w:rFonts w:cs="Times New Roman"/>
                <w:sz w:val="20"/>
                <w:szCs w:val="20"/>
                <w:lang w:val="en-GB"/>
              </w:rPr>
              <w:t xml:space="preserve"> </w:t>
            </w:r>
            <w:r w:rsidR="00A956D3" w:rsidRPr="00DD0B49">
              <w:rPr>
                <w:rFonts w:cs="Times New Roman"/>
                <w:i/>
                <w:sz w:val="20"/>
                <w:szCs w:val="20"/>
                <w:lang w:val="en-GB"/>
              </w:rPr>
              <w:t>v.</w:t>
            </w:r>
            <w:r w:rsidR="00A956D3" w:rsidRPr="00DD0B49">
              <w:rPr>
                <w:rFonts w:cs="Times New Roman"/>
                <w:sz w:val="20"/>
                <w:szCs w:val="20"/>
                <w:lang w:val="en-GB"/>
              </w:rPr>
              <w:t xml:space="preserve"> </w:t>
            </w:r>
            <w:r>
              <w:rPr>
                <w:rFonts w:cs="Times New Roman"/>
                <w:sz w:val="20"/>
                <w:szCs w:val="20"/>
                <w:lang w:val="en-GB"/>
              </w:rPr>
              <w:t>Quebec (Attorney General)</w:t>
            </w:r>
            <w:r w:rsidR="00A956D3" w:rsidRPr="00DD0B49">
              <w:rPr>
                <w:rFonts w:cs="Times New Roman"/>
                <w:sz w:val="20"/>
                <w:szCs w:val="20"/>
                <w:lang w:val="en-GB"/>
              </w:rPr>
              <w:t>,</w:t>
            </w:r>
          </w:p>
          <w:p w:rsidR="00A956D3" w:rsidRPr="00DD0B49" w:rsidRDefault="00A956D3" w:rsidP="00A86787">
            <w:pPr>
              <w:rPr>
                <w:rFonts w:cs="Times New Roman"/>
                <w:sz w:val="20"/>
                <w:szCs w:val="20"/>
                <w:lang w:val="en-GB"/>
              </w:rPr>
            </w:pPr>
            <w:r w:rsidRPr="00DD0B49">
              <w:rPr>
                <w:rFonts w:cs="Times New Roman"/>
                <w:sz w:val="20"/>
                <w:szCs w:val="20"/>
                <w:lang w:val="en-GB"/>
              </w:rPr>
              <w:t>201</w:t>
            </w:r>
            <w:r w:rsidR="00A93562">
              <w:rPr>
                <w:rFonts w:cs="Times New Roman"/>
                <w:sz w:val="20"/>
                <w:szCs w:val="20"/>
                <w:lang w:val="en-GB"/>
              </w:rPr>
              <w:t>5</w:t>
            </w:r>
            <w:r w:rsidRPr="00DD0B49">
              <w:rPr>
                <w:rFonts w:cs="Times New Roman"/>
                <w:sz w:val="20"/>
                <w:szCs w:val="20"/>
                <w:lang w:val="en-GB"/>
              </w:rPr>
              <w:t xml:space="preserve"> SCC </w:t>
            </w:r>
            <w:r w:rsidR="00A93562">
              <w:rPr>
                <w:rFonts w:cs="Times New Roman"/>
                <w:sz w:val="20"/>
                <w:szCs w:val="20"/>
                <w:lang w:val="en-GB"/>
              </w:rPr>
              <w:t>12</w:t>
            </w:r>
            <w:r w:rsidRPr="00DD0B49">
              <w:rPr>
                <w:rFonts w:cs="Times New Roman"/>
                <w:sz w:val="20"/>
                <w:szCs w:val="20"/>
                <w:lang w:val="en-GB"/>
              </w:rPr>
              <w:t>, [201</w:t>
            </w:r>
            <w:r w:rsidR="00A93562">
              <w:rPr>
                <w:rFonts w:cs="Times New Roman"/>
                <w:sz w:val="20"/>
                <w:szCs w:val="20"/>
                <w:lang w:val="en-GB"/>
              </w:rPr>
              <w:t>5</w:t>
            </w:r>
            <w:r w:rsidRPr="00DD0B49">
              <w:rPr>
                <w:rFonts w:cs="Times New Roman"/>
                <w:sz w:val="20"/>
                <w:szCs w:val="20"/>
                <w:lang w:val="en-GB"/>
              </w:rPr>
              <w:t xml:space="preserve">] </w:t>
            </w:r>
            <w:r w:rsidR="00A93562">
              <w:rPr>
                <w:rFonts w:cs="Times New Roman"/>
                <w:sz w:val="20"/>
                <w:szCs w:val="20"/>
                <w:lang w:val="en-GB"/>
              </w:rPr>
              <w:t>1</w:t>
            </w:r>
            <w:r w:rsidRPr="00DD0B49">
              <w:rPr>
                <w:rFonts w:cs="Times New Roman"/>
                <w:sz w:val="20"/>
                <w:szCs w:val="20"/>
                <w:lang w:val="en-GB"/>
              </w:rPr>
              <w:t xml:space="preserve"> S.C.R. </w:t>
            </w:r>
            <w:r w:rsidR="00A93562">
              <w:rPr>
                <w:rFonts w:cs="Times New Roman"/>
                <w:sz w:val="20"/>
                <w:szCs w:val="20"/>
                <w:lang w:val="en-GB"/>
              </w:rPr>
              <w:t>613</w:t>
            </w:r>
          </w:p>
          <w:p w:rsidR="00A956D3" w:rsidRDefault="00A956D3" w:rsidP="00A86787">
            <w:pPr>
              <w:rPr>
                <w:rFonts w:cs="Times New Roman"/>
                <w:sz w:val="20"/>
                <w:szCs w:val="20"/>
                <w:lang w:val="en-GB"/>
              </w:rPr>
            </w:pPr>
          </w:p>
          <w:p w:rsidR="00E5064F" w:rsidRPr="00DD0B49" w:rsidRDefault="00E5064F" w:rsidP="00A86787">
            <w:pPr>
              <w:rPr>
                <w:rFonts w:cs="Times New Roman"/>
                <w:sz w:val="20"/>
                <w:szCs w:val="20"/>
                <w:lang w:val="en-GB"/>
              </w:rPr>
            </w:pPr>
          </w:p>
          <w:p w:rsidR="00A956D3" w:rsidRPr="00DD0B49" w:rsidRDefault="00E5064F" w:rsidP="00A86787">
            <w:pPr>
              <w:rPr>
                <w:rFonts w:cs="Times New Roman"/>
                <w:sz w:val="20"/>
                <w:szCs w:val="20"/>
                <w:lang w:val="en-GB"/>
              </w:rPr>
            </w:pPr>
            <w:r>
              <w:rPr>
                <w:rFonts w:cs="Times New Roman"/>
                <w:sz w:val="20"/>
                <w:szCs w:val="20"/>
                <w:lang w:val="en-GB"/>
              </w:rPr>
              <w:t>R.</w:t>
            </w:r>
            <w:r w:rsidR="00A956D3">
              <w:rPr>
                <w:rFonts w:cs="Times New Roman"/>
                <w:sz w:val="20"/>
                <w:szCs w:val="20"/>
                <w:lang w:val="en-GB"/>
              </w:rPr>
              <w:t xml:space="preserve"> </w:t>
            </w:r>
            <w:r w:rsidR="00A956D3" w:rsidRPr="00DD0B49">
              <w:rPr>
                <w:rFonts w:cs="Times New Roman"/>
                <w:i/>
                <w:iCs/>
                <w:sz w:val="20"/>
                <w:szCs w:val="20"/>
                <w:lang w:val="en-GB"/>
              </w:rPr>
              <w:t>v.</w:t>
            </w:r>
            <w:r>
              <w:rPr>
                <w:rFonts w:cs="Times New Roman"/>
                <w:i/>
                <w:iCs/>
                <w:sz w:val="20"/>
                <w:szCs w:val="20"/>
                <w:lang w:val="en-GB"/>
              </w:rPr>
              <w:t xml:space="preserve"> </w:t>
            </w:r>
            <w:r>
              <w:rPr>
                <w:rFonts w:cs="Times New Roman"/>
                <w:iCs/>
                <w:sz w:val="20"/>
                <w:szCs w:val="20"/>
                <w:lang w:val="en-GB"/>
              </w:rPr>
              <w:t>Sanghera</w:t>
            </w:r>
            <w:r w:rsidR="00A956D3" w:rsidRPr="00DD0B49">
              <w:rPr>
                <w:rFonts w:cs="Times New Roman"/>
                <w:sz w:val="20"/>
                <w:szCs w:val="20"/>
                <w:lang w:val="en-GB"/>
              </w:rPr>
              <w:t>,</w:t>
            </w:r>
          </w:p>
          <w:p w:rsidR="00A956D3" w:rsidRPr="00DD0B49" w:rsidRDefault="00A956D3" w:rsidP="00A86787">
            <w:pPr>
              <w:rPr>
                <w:rFonts w:cs="Times New Roman"/>
                <w:sz w:val="20"/>
                <w:szCs w:val="20"/>
                <w:lang w:val="en-GB"/>
              </w:rPr>
            </w:pPr>
            <w:r w:rsidRPr="00DD0B49">
              <w:rPr>
                <w:rFonts w:cs="Times New Roman"/>
                <w:sz w:val="20"/>
                <w:szCs w:val="20"/>
                <w:lang w:val="en-GB"/>
              </w:rPr>
              <w:t>201</w:t>
            </w:r>
            <w:r w:rsidR="00E5064F">
              <w:rPr>
                <w:rFonts w:cs="Times New Roman"/>
                <w:sz w:val="20"/>
                <w:szCs w:val="20"/>
                <w:lang w:val="en-GB"/>
              </w:rPr>
              <w:t>5</w:t>
            </w:r>
            <w:r w:rsidRPr="00DD0B49">
              <w:rPr>
                <w:rFonts w:cs="Times New Roman"/>
                <w:sz w:val="20"/>
                <w:szCs w:val="20"/>
                <w:lang w:val="en-GB"/>
              </w:rPr>
              <w:t xml:space="preserve"> SCC </w:t>
            </w:r>
            <w:r w:rsidR="00E5064F">
              <w:rPr>
                <w:rFonts w:cs="Times New Roman"/>
                <w:sz w:val="20"/>
                <w:szCs w:val="20"/>
                <w:lang w:val="en-GB"/>
              </w:rPr>
              <w:t>13</w:t>
            </w:r>
            <w:r w:rsidRPr="00DD0B49">
              <w:rPr>
                <w:rFonts w:cs="Times New Roman"/>
                <w:sz w:val="20"/>
                <w:szCs w:val="20"/>
                <w:lang w:val="en-GB"/>
              </w:rPr>
              <w:t>, [201</w:t>
            </w:r>
            <w:r w:rsidR="00E5064F">
              <w:rPr>
                <w:rFonts w:cs="Times New Roman"/>
                <w:sz w:val="20"/>
                <w:szCs w:val="20"/>
                <w:lang w:val="en-GB"/>
              </w:rPr>
              <w:t>5</w:t>
            </w:r>
            <w:r w:rsidRPr="00DD0B49">
              <w:rPr>
                <w:rFonts w:cs="Times New Roman"/>
                <w:sz w:val="20"/>
                <w:szCs w:val="20"/>
                <w:lang w:val="en-GB"/>
              </w:rPr>
              <w:t xml:space="preserve">] </w:t>
            </w:r>
            <w:r w:rsidR="00E5064F">
              <w:rPr>
                <w:rFonts w:cs="Times New Roman"/>
                <w:sz w:val="20"/>
                <w:szCs w:val="20"/>
                <w:lang w:val="en-GB"/>
              </w:rPr>
              <w:t>1</w:t>
            </w:r>
            <w:r w:rsidRPr="00DD0B49">
              <w:rPr>
                <w:rFonts w:cs="Times New Roman"/>
                <w:sz w:val="20"/>
                <w:szCs w:val="20"/>
                <w:lang w:val="en-GB"/>
              </w:rPr>
              <w:t xml:space="preserve"> S.C.R. </w:t>
            </w:r>
            <w:r w:rsidR="00E5064F">
              <w:rPr>
                <w:rFonts w:cs="Times New Roman"/>
                <w:sz w:val="20"/>
                <w:szCs w:val="20"/>
                <w:lang w:val="en-GB"/>
              </w:rPr>
              <w:t>691</w:t>
            </w:r>
          </w:p>
          <w:p w:rsidR="00A956D3" w:rsidRPr="00DD0B49" w:rsidRDefault="00A956D3" w:rsidP="00A86787">
            <w:pPr>
              <w:rPr>
                <w:rFonts w:cs="Times New Roman"/>
                <w:iCs/>
                <w:sz w:val="20"/>
                <w:szCs w:val="20"/>
                <w:lang w:val="en-GB"/>
              </w:rPr>
            </w:pPr>
          </w:p>
          <w:p w:rsidR="00A956D3" w:rsidRPr="00DD0B49" w:rsidRDefault="00AA4A03" w:rsidP="00A86787">
            <w:pPr>
              <w:rPr>
                <w:rFonts w:cs="Times New Roman"/>
                <w:iCs/>
                <w:sz w:val="20"/>
                <w:szCs w:val="20"/>
                <w:lang w:val="en-GB"/>
              </w:rPr>
            </w:pPr>
            <w:r>
              <w:rPr>
                <w:rFonts w:cs="Times New Roman"/>
                <w:iCs/>
                <w:sz w:val="20"/>
                <w:szCs w:val="20"/>
                <w:lang w:val="en-GB"/>
              </w:rPr>
              <w:t>Quebec (Attorney General)</w:t>
            </w:r>
            <w:r w:rsidR="00A956D3">
              <w:rPr>
                <w:rFonts w:cs="Times New Roman"/>
                <w:iCs/>
                <w:sz w:val="20"/>
                <w:szCs w:val="20"/>
                <w:lang w:val="en-GB"/>
              </w:rPr>
              <w:t xml:space="preserve"> </w:t>
            </w:r>
            <w:r w:rsidR="00A956D3" w:rsidRPr="00DD0B49">
              <w:rPr>
                <w:rFonts w:cs="Times New Roman"/>
                <w:i/>
                <w:iCs/>
                <w:sz w:val="20"/>
                <w:szCs w:val="20"/>
                <w:lang w:val="en-GB"/>
              </w:rPr>
              <w:t>v.</w:t>
            </w:r>
            <w:r>
              <w:rPr>
                <w:rFonts w:cs="Times New Roman"/>
                <w:iCs/>
                <w:sz w:val="20"/>
                <w:szCs w:val="20"/>
                <w:lang w:val="en-GB"/>
              </w:rPr>
              <w:t xml:space="preserve"> Canada (Attorney General)</w:t>
            </w:r>
            <w:r w:rsidR="00A956D3" w:rsidRPr="00DD0B49">
              <w:rPr>
                <w:rFonts w:cs="Times New Roman"/>
                <w:iCs/>
                <w:sz w:val="20"/>
                <w:szCs w:val="20"/>
                <w:lang w:val="en-GB"/>
              </w:rPr>
              <w:t>,</w:t>
            </w:r>
          </w:p>
          <w:p w:rsidR="00A956D3" w:rsidRPr="00DD0B49" w:rsidRDefault="00A956D3" w:rsidP="00A86787">
            <w:pPr>
              <w:rPr>
                <w:rFonts w:cs="Times New Roman"/>
                <w:sz w:val="20"/>
                <w:szCs w:val="20"/>
                <w:lang w:val="en-GB"/>
              </w:rPr>
            </w:pPr>
            <w:r w:rsidRPr="00DD0B49">
              <w:rPr>
                <w:rFonts w:cs="Times New Roman"/>
                <w:sz w:val="20"/>
                <w:szCs w:val="20"/>
                <w:lang w:val="en-GB"/>
              </w:rPr>
              <w:t>201</w:t>
            </w:r>
            <w:r w:rsidR="00AA4A03">
              <w:rPr>
                <w:rFonts w:cs="Times New Roman"/>
                <w:sz w:val="20"/>
                <w:szCs w:val="20"/>
                <w:lang w:val="en-GB"/>
              </w:rPr>
              <w:t>5</w:t>
            </w:r>
            <w:r w:rsidRPr="00DD0B49">
              <w:rPr>
                <w:rFonts w:cs="Times New Roman"/>
                <w:sz w:val="20"/>
                <w:szCs w:val="20"/>
                <w:lang w:val="en-GB"/>
              </w:rPr>
              <w:t xml:space="preserve"> SCC </w:t>
            </w:r>
            <w:r w:rsidR="00AA4A03">
              <w:rPr>
                <w:rFonts w:cs="Times New Roman"/>
                <w:sz w:val="20"/>
                <w:szCs w:val="20"/>
                <w:lang w:val="en-GB"/>
              </w:rPr>
              <w:t>1</w:t>
            </w:r>
            <w:r>
              <w:rPr>
                <w:rFonts w:cs="Times New Roman"/>
                <w:sz w:val="20"/>
                <w:szCs w:val="20"/>
                <w:lang w:val="en-GB"/>
              </w:rPr>
              <w:t>4</w:t>
            </w:r>
            <w:r w:rsidRPr="00DD0B49">
              <w:rPr>
                <w:rFonts w:cs="Times New Roman"/>
                <w:sz w:val="20"/>
                <w:szCs w:val="20"/>
                <w:lang w:val="en-GB"/>
              </w:rPr>
              <w:t>, [201</w:t>
            </w:r>
            <w:r w:rsidR="00AA4A03">
              <w:rPr>
                <w:rFonts w:cs="Times New Roman"/>
                <w:sz w:val="20"/>
                <w:szCs w:val="20"/>
                <w:lang w:val="en-GB"/>
              </w:rPr>
              <w:t>5</w:t>
            </w:r>
            <w:r w:rsidRPr="00DD0B49">
              <w:rPr>
                <w:rFonts w:cs="Times New Roman"/>
                <w:sz w:val="20"/>
                <w:szCs w:val="20"/>
                <w:lang w:val="en-GB"/>
              </w:rPr>
              <w:t xml:space="preserve">] </w:t>
            </w:r>
            <w:r w:rsidR="00AA4A03">
              <w:rPr>
                <w:rFonts w:cs="Times New Roman"/>
                <w:sz w:val="20"/>
                <w:szCs w:val="20"/>
                <w:lang w:val="en-GB"/>
              </w:rPr>
              <w:t>1</w:t>
            </w:r>
            <w:r w:rsidRPr="00DD0B49">
              <w:rPr>
                <w:rFonts w:cs="Times New Roman"/>
                <w:sz w:val="20"/>
                <w:szCs w:val="20"/>
                <w:lang w:val="en-GB"/>
              </w:rPr>
              <w:t xml:space="preserve"> S.C.R. </w:t>
            </w:r>
            <w:r w:rsidR="00AA4A03">
              <w:rPr>
                <w:rFonts w:cs="Times New Roman"/>
                <w:sz w:val="20"/>
                <w:szCs w:val="20"/>
                <w:lang w:val="en-GB"/>
              </w:rPr>
              <w:t>6</w:t>
            </w:r>
            <w:r>
              <w:rPr>
                <w:rFonts w:cs="Times New Roman"/>
                <w:sz w:val="20"/>
                <w:szCs w:val="20"/>
                <w:lang w:val="en-GB"/>
              </w:rPr>
              <w:t>9</w:t>
            </w:r>
            <w:r w:rsidR="00AA4A03">
              <w:rPr>
                <w:rFonts w:cs="Times New Roman"/>
                <w:sz w:val="20"/>
                <w:szCs w:val="20"/>
                <w:lang w:val="en-GB"/>
              </w:rPr>
              <w:t>3</w:t>
            </w:r>
          </w:p>
          <w:p w:rsidR="00A956D3" w:rsidRPr="00DD0B49" w:rsidRDefault="00A956D3" w:rsidP="00A86787">
            <w:pPr>
              <w:rPr>
                <w:rFonts w:cs="Times New Roman"/>
                <w:sz w:val="20"/>
                <w:szCs w:val="20"/>
                <w:lang w:val="en-GB"/>
              </w:rPr>
            </w:pPr>
          </w:p>
          <w:p w:rsidR="00A956D3" w:rsidRPr="00DD0B49" w:rsidRDefault="00B65329" w:rsidP="00A86787">
            <w:pPr>
              <w:rPr>
                <w:rFonts w:cs="Times New Roman"/>
                <w:sz w:val="20"/>
                <w:szCs w:val="20"/>
                <w:lang w:val="en-GB"/>
              </w:rPr>
            </w:pPr>
            <w:r>
              <w:rPr>
                <w:rFonts w:cs="Times New Roman"/>
                <w:sz w:val="20"/>
                <w:szCs w:val="20"/>
                <w:lang w:val="en-GB"/>
              </w:rPr>
              <w:t xml:space="preserve">R. </w:t>
            </w:r>
            <w:r w:rsidR="00A956D3" w:rsidRPr="00DD0B49">
              <w:rPr>
                <w:rFonts w:cs="Times New Roman"/>
                <w:i/>
                <w:iCs/>
                <w:sz w:val="20"/>
                <w:szCs w:val="20"/>
                <w:lang w:val="en-GB"/>
              </w:rPr>
              <w:t>v.</w:t>
            </w:r>
            <w:r w:rsidR="00A956D3" w:rsidRPr="00DD0B49">
              <w:rPr>
                <w:rFonts w:cs="Times New Roman"/>
                <w:sz w:val="20"/>
                <w:szCs w:val="20"/>
                <w:lang w:val="en-GB"/>
              </w:rPr>
              <w:t xml:space="preserve"> </w:t>
            </w:r>
            <w:r>
              <w:rPr>
                <w:rFonts w:cs="Times New Roman"/>
                <w:sz w:val="20"/>
                <w:szCs w:val="20"/>
                <w:lang w:val="en-GB"/>
              </w:rPr>
              <w:t>Nur</w:t>
            </w:r>
            <w:r w:rsidR="00A956D3" w:rsidRPr="00DD0B49">
              <w:rPr>
                <w:rFonts w:cs="Times New Roman"/>
                <w:sz w:val="20"/>
                <w:szCs w:val="20"/>
                <w:lang w:val="en-GB"/>
              </w:rPr>
              <w:t>,</w:t>
            </w:r>
          </w:p>
          <w:p w:rsidR="00A956D3" w:rsidRDefault="00A956D3" w:rsidP="00A86787">
            <w:pPr>
              <w:rPr>
                <w:rFonts w:cs="Times New Roman"/>
                <w:sz w:val="20"/>
                <w:szCs w:val="20"/>
                <w:lang w:val="en-GB"/>
              </w:rPr>
            </w:pPr>
            <w:r w:rsidRPr="00DD0B49">
              <w:rPr>
                <w:rFonts w:cs="Times New Roman"/>
                <w:sz w:val="20"/>
                <w:szCs w:val="20"/>
                <w:lang w:val="en-GB"/>
              </w:rPr>
              <w:t>201</w:t>
            </w:r>
            <w:r w:rsidR="00B65329">
              <w:rPr>
                <w:rFonts w:cs="Times New Roman"/>
                <w:sz w:val="20"/>
                <w:szCs w:val="20"/>
                <w:lang w:val="en-GB"/>
              </w:rPr>
              <w:t>5</w:t>
            </w:r>
            <w:r w:rsidRPr="00DD0B49">
              <w:rPr>
                <w:rFonts w:cs="Times New Roman"/>
                <w:sz w:val="20"/>
                <w:szCs w:val="20"/>
                <w:lang w:val="en-GB"/>
              </w:rPr>
              <w:t xml:space="preserve"> SCC </w:t>
            </w:r>
            <w:r w:rsidR="00B65329">
              <w:rPr>
                <w:rFonts w:cs="Times New Roman"/>
                <w:sz w:val="20"/>
                <w:szCs w:val="20"/>
                <w:lang w:val="en-GB"/>
              </w:rPr>
              <w:t>15</w:t>
            </w:r>
            <w:r w:rsidRPr="00DD0B49">
              <w:rPr>
                <w:rFonts w:cs="Times New Roman"/>
                <w:sz w:val="20"/>
                <w:szCs w:val="20"/>
                <w:lang w:val="en-GB"/>
              </w:rPr>
              <w:t>, [201</w:t>
            </w:r>
            <w:r w:rsidR="00B65329">
              <w:rPr>
                <w:rFonts w:cs="Times New Roman"/>
                <w:sz w:val="20"/>
                <w:szCs w:val="20"/>
                <w:lang w:val="en-GB"/>
              </w:rPr>
              <w:t>5</w:t>
            </w:r>
            <w:r w:rsidRPr="00DD0B49">
              <w:rPr>
                <w:rFonts w:cs="Times New Roman"/>
                <w:sz w:val="20"/>
                <w:szCs w:val="20"/>
                <w:lang w:val="en-GB"/>
              </w:rPr>
              <w:t xml:space="preserve">] </w:t>
            </w:r>
            <w:r w:rsidR="00B65329">
              <w:rPr>
                <w:rFonts w:cs="Times New Roman"/>
                <w:sz w:val="20"/>
                <w:szCs w:val="20"/>
                <w:lang w:val="en-GB"/>
              </w:rPr>
              <w:t>1</w:t>
            </w:r>
            <w:r w:rsidRPr="00DD0B49">
              <w:rPr>
                <w:rFonts w:cs="Times New Roman"/>
                <w:sz w:val="20"/>
                <w:szCs w:val="20"/>
                <w:lang w:val="en-GB"/>
              </w:rPr>
              <w:t xml:space="preserve"> S.C.R. </w:t>
            </w:r>
            <w:r w:rsidR="00B65329">
              <w:rPr>
                <w:rFonts w:cs="Times New Roman"/>
                <w:sz w:val="20"/>
                <w:szCs w:val="20"/>
                <w:lang w:val="en-GB"/>
              </w:rPr>
              <w:t>773</w:t>
            </w:r>
          </w:p>
          <w:p w:rsidR="00A956D3" w:rsidRDefault="00A956D3" w:rsidP="00A86787">
            <w:pPr>
              <w:rPr>
                <w:rFonts w:cs="Times New Roman"/>
                <w:sz w:val="20"/>
                <w:szCs w:val="20"/>
                <w:lang w:val="fr-CA"/>
              </w:rPr>
            </w:pPr>
          </w:p>
          <w:p w:rsidR="00A956D3" w:rsidRPr="00DD0B49" w:rsidRDefault="00EC4FDF" w:rsidP="00A86787">
            <w:pPr>
              <w:keepNext/>
              <w:keepLines/>
              <w:rPr>
                <w:rFonts w:cs="Times New Roman"/>
                <w:bCs/>
                <w:sz w:val="20"/>
                <w:szCs w:val="20"/>
                <w:lang w:val="fr-CA"/>
              </w:rPr>
            </w:pPr>
            <w:r>
              <w:rPr>
                <w:rFonts w:cs="Times New Roman"/>
                <w:sz w:val="20"/>
                <w:szCs w:val="20"/>
              </w:rPr>
              <w:pict>
                <v:rect id="_x0000_i1104" style="width:129.6pt;height:1pt" o:hrpct="600" o:hralign="center" o:hrstd="t" o:hrnoshade="t" o:hr="t" fillcolor="black [3213]" stroked="f"/>
              </w:pict>
            </w:r>
          </w:p>
          <w:p w:rsidR="00A956D3" w:rsidRPr="00DD0B49" w:rsidRDefault="00A956D3" w:rsidP="00A86787">
            <w:pPr>
              <w:keepNext/>
              <w:keepLines/>
              <w:rPr>
                <w:rFonts w:cs="Times New Roman"/>
                <w:bCs/>
                <w:sz w:val="20"/>
                <w:szCs w:val="20"/>
                <w:lang w:val="fr-CA"/>
              </w:rPr>
            </w:pPr>
          </w:p>
        </w:tc>
        <w:tc>
          <w:tcPr>
            <w:tcW w:w="840" w:type="dxa"/>
            <w:tcBorders>
              <w:top w:val="nil"/>
              <w:left w:val="nil"/>
              <w:bottom w:val="nil"/>
              <w:right w:val="nil"/>
            </w:tcBorders>
          </w:tcPr>
          <w:p w:rsidR="00A956D3" w:rsidRPr="00DD0B49" w:rsidRDefault="00A956D3" w:rsidP="00A86787">
            <w:pPr>
              <w:rPr>
                <w:rFonts w:cs="Times New Roman"/>
                <w:b/>
                <w:bCs/>
                <w:sz w:val="20"/>
                <w:szCs w:val="20"/>
                <w:lang w:val="fr-CA"/>
              </w:rPr>
            </w:pPr>
          </w:p>
        </w:tc>
        <w:tc>
          <w:tcPr>
            <w:tcW w:w="4320" w:type="dxa"/>
            <w:tcBorders>
              <w:top w:val="nil"/>
              <w:left w:val="nil"/>
              <w:bottom w:val="nil"/>
              <w:right w:val="nil"/>
            </w:tcBorders>
          </w:tcPr>
          <w:p w:rsidR="00A956D3" w:rsidRPr="00DD0B49" w:rsidRDefault="00A956D3" w:rsidP="00A86787">
            <w:pPr>
              <w:rPr>
                <w:rFonts w:cs="Times New Roman"/>
                <w:b/>
                <w:bCs/>
                <w:sz w:val="20"/>
                <w:szCs w:val="20"/>
                <w:lang w:val="fr-CA"/>
              </w:rPr>
            </w:pPr>
            <w:r w:rsidRPr="00DD0B49">
              <w:rPr>
                <w:rFonts w:cs="Times New Roman"/>
                <w:b/>
                <w:bCs/>
                <w:sz w:val="20"/>
                <w:szCs w:val="20"/>
                <w:lang w:val="fr-CA"/>
              </w:rPr>
              <w:t>Jugements publiés dans [201</w:t>
            </w:r>
            <w:r w:rsidR="00A93562">
              <w:rPr>
                <w:rFonts w:cs="Times New Roman"/>
                <w:b/>
                <w:bCs/>
                <w:sz w:val="20"/>
                <w:szCs w:val="20"/>
                <w:lang w:val="fr-CA"/>
              </w:rPr>
              <w:t>5</w:t>
            </w:r>
            <w:r w:rsidRPr="00DD0B49">
              <w:rPr>
                <w:rFonts w:cs="Times New Roman"/>
                <w:b/>
                <w:bCs/>
                <w:sz w:val="20"/>
                <w:szCs w:val="20"/>
                <w:lang w:val="fr-CA"/>
              </w:rPr>
              <w:t xml:space="preserve">] </w:t>
            </w:r>
            <w:r w:rsidR="00A93562">
              <w:rPr>
                <w:rFonts w:cs="Times New Roman"/>
                <w:b/>
                <w:bCs/>
                <w:sz w:val="20"/>
                <w:szCs w:val="20"/>
                <w:lang w:val="fr-CA"/>
              </w:rPr>
              <w:t>1</w:t>
            </w:r>
            <w:r w:rsidRPr="00DD0B49">
              <w:rPr>
                <w:rFonts w:cs="Times New Roman"/>
                <w:b/>
                <w:bCs/>
                <w:sz w:val="20"/>
                <w:szCs w:val="20"/>
                <w:lang w:val="fr-CA"/>
              </w:rPr>
              <w:t xml:space="preserve"> R.C.S. Partie </w:t>
            </w:r>
            <w:r w:rsidR="00A93562">
              <w:rPr>
                <w:rFonts w:cs="Times New Roman"/>
                <w:b/>
                <w:bCs/>
                <w:sz w:val="20"/>
                <w:szCs w:val="20"/>
                <w:lang w:val="fr-CA"/>
              </w:rPr>
              <w:t>3</w:t>
            </w:r>
          </w:p>
          <w:p w:rsidR="00A956D3" w:rsidRPr="00E5064F" w:rsidRDefault="00A956D3" w:rsidP="00A86787">
            <w:pPr>
              <w:rPr>
                <w:rFonts w:cs="Times New Roman"/>
                <w:bCs/>
                <w:sz w:val="20"/>
                <w:szCs w:val="20"/>
                <w:lang w:val="fr-CA"/>
              </w:rPr>
            </w:pPr>
          </w:p>
          <w:p w:rsidR="00A956D3" w:rsidRPr="00EE0831" w:rsidRDefault="009C46FE" w:rsidP="00A86787">
            <w:pPr>
              <w:rPr>
                <w:rFonts w:cs="Times New Roman"/>
                <w:sz w:val="20"/>
                <w:szCs w:val="20"/>
                <w:lang w:val="fr-CA"/>
              </w:rPr>
            </w:pPr>
            <w:r>
              <w:rPr>
                <w:rFonts w:cs="Times New Roman"/>
                <w:sz w:val="20"/>
                <w:szCs w:val="20"/>
                <w:lang w:val="fr-CA"/>
              </w:rPr>
              <w:t>École secondaire Loyola</w:t>
            </w:r>
            <w:r w:rsidR="00A956D3" w:rsidRPr="00EE0831">
              <w:rPr>
                <w:rFonts w:cs="Times New Roman"/>
                <w:sz w:val="20"/>
                <w:szCs w:val="20"/>
                <w:lang w:val="fr-CA"/>
              </w:rPr>
              <w:t xml:space="preserve"> </w:t>
            </w:r>
            <w:r w:rsidR="00A956D3" w:rsidRPr="00EE0831">
              <w:rPr>
                <w:rFonts w:cs="Times New Roman"/>
                <w:i/>
                <w:sz w:val="20"/>
                <w:szCs w:val="20"/>
                <w:lang w:val="fr-CA"/>
              </w:rPr>
              <w:t>c.</w:t>
            </w:r>
            <w:r w:rsidR="00A956D3" w:rsidRPr="00EE0831">
              <w:rPr>
                <w:rFonts w:cs="Times New Roman"/>
                <w:sz w:val="20"/>
                <w:szCs w:val="20"/>
                <w:lang w:val="fr-CA"/>
              </w:rPr>
              <w:t xml:space="preserve"> </w:t>
            </w:r>
            <w:r>
              <w:rPr>
                <w:rFonts w:cs="Times New Roman"/>
                <w:sz w:val="20"/>
                <w:szCs w:val="20"/>
                <w:lang w:val="fr-CA"/>
              </w:rPr>
              <w:t>Québec (Procureur général)</w:t>
            </w:r>
            <w:r w:rsidR="00A956D3" w:rsidRPr="00EE0831">
              <w:rPr>
                <w:rFonts w:cs="Times New Roman"/>
                <w:sz w:val="20"/>
                <w:szCs w:val="20"/>
                <w:lang w:val="fr-CA"/>
              </w:rPr>
              <w:t>,</w:t>
            </w:r>
          </w:p>
          <w:p w:rsidR="00A956D3" w:rsidRPr="00EE0831" w:rsidRDefault="00A956D3" w:rsidP="00A86787">
            <w:pPr>
              <w:rPr>
                <w:rFonts w:cs="Times New Roman"/>
                <w:sz w:val="20"/>
                <w:szCs w:val="20"/>
                <w:lang w:val="fr-CA"/>
              </w:rPr>
            </w:pPr>
            <w:r w:rsidRPr="00EE0831">
              <w:rPr>
                <w:rFonts w:cs="Times New Roman"/>
                <w:sz w:val="20"/>
                <w:szCs w:val="20"/>
                <w:lang w:val="fr-CA"/>
              </w:rPr>
              <w:t>201</w:t>
            </w:r>
            <w:r w:rsidR="009C46FE">
              <w:rPr>
                <w:rFonts w:cs="Times New Roman"/>
                <w:sz w:val="20"/>
                <w:szCs w:val="20"/>
                <w:lang w:val="fr-CA"/>
              </w:rPr>
              <w:t>5</w:t>
            </w:r>
            <w:r w:rsidRPr="00EE0831">
              <w:rPr>
                <w:rFonts w:cs="Times New Roman"/>
                <w:sz w:val="20"/>
                <w:szCs w:val="20"/>
                <w:lang w:val="fr-CA"/>
              </w:rPr>
              <w:t xml:space="preserve"> CSC </w:t>
            </w:r>
            <w:r w:rsidR="009C46FE">
              <w:rPr>
                <w:rFonts w:cs="Times New Roman"/>
                <w:sz w:val="20"/>
                <w:szCs w:val="20"/>
                <w:lang w:val="fr-CA"/>
              </w:rPr>
              <w:t>12</w:t>
            </w:r>
            <w:r w:rsidRPr="00EE0831">
              <w:rPr>
                <w:rFonts w:cs="Times New Roman"/>
                <w:sz w:val="20"/>
                <w:szCs w:val="20"/>
                <w:lang w:val="fr-CA"/>
              </w:rPr>
              <w:t>, [201</w:t>
            </w:r>
            <w:r w:rsidR="009C46FE">
              <w:rPr>
                <w:rFonts w:cs="Times New Roman"/>
                <w:sz w:val="20"/>
                <w:szCs w:val="20"/>
                <w:lang w:val="fr-CA"/>
              </w:rPr>
              <w:t>5</w:t>
            </w:r>
            <w:r w:rsidRPr="00EE0831">
              <w:rPr>
                <w:rFonts w:cs="Times New Roman"/>
                <w:sz w:val="20"/>
                <w:szCs w:val="20"/>
                <w:lang w:val="fr-CA"/>
              </w:rPr>
              <w:t xml:space="preserve">] </w:t>
            </w:r>
            <w:r w:rsidR="009C46FE">
              <w:rPr>
                <w:rFonts w:cs="Times New Roman"/>
                <w:sz w:val="20"/>
                <w:szCs w:val="20"/>
                <w:lang w:val="fr-CA"/>
              </w:rPr>
              <w:t>1</w:t>
            </w:r>
            <w:r w:rsidRPr="00EE0831">
              <w:rPr>
                <w:rFonts w:cs="Times New Roman"/>
                <w:sz w:val="20"/>
                <w:szCs w:val="20"/>
                <w:lang w:val="fr-CA"/>
              </w:rPr>
              <w:t xml:space="preserve"> R.C.S. </w:t>
            </w:r>
            <w:r w:rsidR="009C46FE">
              <w:rPr>
                <w:rFonts w:cs="Times New Roman"/>
                <w:sz w:val="20"/>
                <w:szCs w:val="20"/>
                <w:lang w:val="fr-CA"/>
              </w:rPr>
              <w:t>613</w:t>
            </w:r>
          </w:p>
          <w:p w:rsidR="00A956D3" w:rsidRPr="00EE0831" w:rsidRDefault="00A956D3" w:rsidP="00A86787">
            <w:pPr>
              <w:rPr>
                <w:rFonts w:cs="Times New Roman"/>
                <w:sz w:val="20"/>
                <w:szCs w:val="20"/>
                <w:lang w:val="fr-CA"/>
              </w:rPr>
            </w:pPr>
          </w:p>
          <w:p w:rsidR="00A956D3" w:rsidRPr="00EE0831" w:rsidRDefault="00E5064F" w:rsidP="00A86787">
            <w:pPr>
              <w:rPr>
                <w:rFonts w:cs="Times New Roman"/>
                <w:sz w:val="20"/>
                <w:szCs w:val="20"/>
                <w:lang w:val="fr-CA"/>
              </w:rPr>
            </w:pPr>
            <w:r>
              <w:rPr>
                <w:rFonts w:cs="Times New Roman"/>
                <w:sz w:val="20"/>
                <w:szCs w:val="20"/>
                <w:lang w:val="fr-CA"/>
              </w:rPr>
              <w:t xml:space="preserve">R. </w:t>
            </w:r>
            <w:r w:rsidR="00A956D3" w:rsidRPr="00EE0831">
              <w:rPr>
                <w:rFonts w:cs="Times New Roman"/>
                <w:i/>
                <w:iCs/>
                <w:sz w:val="20"/>
                <w:szCs w:val="20"/>
                <w:lang w:val="fr-CA"/>
              </w:rPr>
              <w:t>c.</w:t>
            </w:r>
            <w:r w:rsidR="00A956D3" w:rsidRPr="00EE0831">
              <w:rPr>
                <w:rFonts w:cs="Times New Roman"/>
                <w:iCs/>
                <w:sz w:val="20"/>
                <w:szCs w:val="20"/>
                <w:lang w:val="fr-CA"/>
              </w:rPr>
              <w:t xml:space="preserve"> </w:t>
            </w:r>
            <w:r>
              <w:rPr>
                <w:rFonts w:cs="Times New Roman"/>
                <w:iCs/>
                <w:sz w:val="20"/>
                <w:szCs w:val="20"/>
                <w:lang w:val="fr-CA"/>
              </w:rPr>
              <w:t>Sanghera</w:t>
            </w:r>
            <w:r w:rsidR="00A956D3" w:rsidRPr="00EE0831">
              <w:rPr>
                <w:rFonts w:cs="Times New Roman"/>
                <w:sz w:val="20"/>
                <w:szCs w:val="20"/>
                <w:lang w:val="fr-CA"/>
              </w:rPr>
              <w:t>,</w:t>
            </w:r>
          </w:p>
          <w:p w:rsidR="00A956D3" w:rsidRPr="00EE0831" w:rsidRDefault="00A956D3" w:rsidP="00A86787">
            <w:pPr>
              <w:rPr>
                <w:rFonts w:cs="Times New Roman"/>
                <w:sz w:val="20"/>
                <w:szCs w:val="20"/>
              </w:rPr>
            </w:pPr>
            <w:r w:rsidRPr="00EE0831">
              <w:rPr>
                <w:rFonts w:cs="Times New Roman"/>
                <w:sz w:val="20"/>
                <w:szCs w:val="20"/>
              </w:rPr>
              <w:t>201</w:t>
            </w:r>
            <w:r w:rsidR="00E5064F">
              <w:rPr>
                <w:rFonts w:cs="Times New Roman"/>
                <w:sz w:val="20"/>
                <w:szCs w:val="20"/>
              </w:rPr>
              <w:t>5</w:t>
            </w:r>
            <w:r w:rsidRPr="00EE0831">
              <w:rPr>
                <w:rFonts w:cs="Times New Roman"/>
                <w:sz w:val="20"/>
                <w:szCs w:val="20"/>
              </w:rPr>
              <w:t xml:space="preserve"> CSC </w:t>
            </w:r>
            <w:r w:rsidR="00E5064F">
              <w:rPr>
                <w:rFonts w:cs="Times New Roman"/>
                <w:sz w:val="20"/>
                <w:szCs w:val="20"/>
              </w:rPr>
              <w:t>13</w:t>
            </w:r>
            <w:r w:rsidRPr="00EE0831">
              <w:rPr>
                <w:rFonts w:cs="Times New Roman"/>
                <w:sz w:val="20"/>
                <w:szCs w:val="20"/>
              </w:rPr>
              <w:t>, [201</w:t>
            </w:r>
            <w:r w:rsidR="00E5064F">
              <w:rPr>
                <w:rFonts w:cs="Times New Roman"/>
                <w:sz w:val="20"/>
                <w:szCs w:val="20"/>
              </w:rPr>
              <w:t>5</w:t>
            </w:r>
            <w:r w:rsidRPr="00EE0831">
              <w:rPr>
                <w:rFonts w:cs="Times New Roman"/>
                <w:sz w:val="20"/>
                <w:szCs w:val="20"/>
              </w:rPr>
              <w:t xml:space="preserve">] </w:t>
            </w:r>
            <w:r w:rsidR="00E5064F">
              <w:rPr>
                <w:rFonts w:cs="Times New Roman"/>
                <w:sz w:val="20"/>
                <w:szCs w:val="20"/>
              </w:rPr>
              <w:t>1</w:t>
            </w:r>
            <w:r w:rsidRPr="00EE0831">
              <w:rPr>
                <w:rFonts w:cs="Times New Roman"/>
                <w:sz w:val="20"/>
                <w:szCs w:val="20"/>
              </w:rPr>
              <w:t xml:space="preserve"> R.C.S. </w:t>
            </w:r>
            <w:r w:rsidR="00E5064F">
              <w:rPr>
                <w:rFonts w:cs="Times New Roman"/>
                <w:sz w:val="20"/>
                <w:szCs w:val="20"/>
              </w:rPr>
              <w:t>691</w:t>
            </w:r>
          </w:p>
          <w:p w:rsidR="00A956D3" w:rsidRPr="00EE0831" w:rsidRDefault="00A956D3" w:rsidP="00A86787">
            <w:pPr>
              <w:rPr>
                <w:rFonts w:cs="Times New Roman"/>
                <w:iCs/>
                <w:sz w:val="20"/>
                <w:szCs w:val="20"/>
              </w:rPr>
            </w:pPr>
          </w:p>
          <w:p w:rsidR="00A956D3" w:rsidRPr="00E4544C" w:rsidRDefault="00AA4A03" w:rsidP="00A86787">
            <w:pPr>
              <w:rPr>
                <w:rFonts w:cs="Times New Roman"/>
                <w:sz w:val="20"/>
                <w:szCs w:val="20"/>
              </w:rPr>
            </w:pPr>
            <w:r>
              <w:rPr>
                <w:rFonts w:cs="Times New Roman"/>
                <w:iCs/>
                <w:sz w:val="20"/>
                <w:szCs w:val="20"/>
                <w:lang w:val="en-GB"/>
              </w:rPr>
              <w:t xml:space="preserve">Québec (Procureur </w:t>
            </w:r>
            <w:r>
              <w:rPr>
                <w:rFonts w:cs="Times New Roman"/>
                <w:sz w:val="20"/>
                <w:szCs w:val="20"/>
                <w:lang w:val="fr-CA"/>
              </w:rPr>
              <w:t>général</w:t>
            </w:r>
            <w:r>
              <w:rPr>
                <w:rFonts w:cs="Times New Roman"/>
                <w:iCs/>
                <w:sz w:val="20"/>
                <w:szCs w:val="20"/>
                <w:lang w:val="en-GB"/>
              </w:rPr>
              <w:t xml:space="preserve">) </w:t>
            </w:r>
            <w:r w:rsidR="00A956D3">
              <w:rPr>
                <w:rFonts w:cs="Times New Roman"/>
                <w:i/>
                <w:iCs/>
                <w:sz w:val="20"/>
                <w:szCs w:val="20"/>
                <w:lang w:val="en-GB"/>
              </w:rPr>
              <w:t>c</w:t>
            </w:r>
            <w:r w:rsidR="00A956D3" w:rsidRPr="00DD0B49">
              <w:rPr>
                <w:rFonts w:cs="Times New Roman"/>
                <w:i/>
                <w:iCs/>
                <w:sz w:val="20"/>
                <w:szCs w:val="20"/>
                <w:lang w:val="en-GB"/>
              </w:rPr>
              <w:t>.</w:t>
            </w:r>
            <w:r w:rsidR="00A956D3" w:rsidRPr="00DD0B49">
              <w:rPr>
                <w:rFonts w:cs="Times New Roman"/>
                <w:iCs/>
                <w:sz w:val="20"/>
                <w:szCs w:val="20"/>
                <w:lang w:val="en-GB"/>
              </w:rPr>
              <w:t xml:space="preserve"> </w:t>
            </w:r>
            <w:r w:rsidR="00A956D3">
              <w:rPr>
                <w:rFonts w:cs="Times New Roman"/>
                <w:iCs/>
                <w:sz w:val="20"/>
                <w:szCs w:val="20"/>
                <w:lang w:val="en-GB"/>
              </w:rPr>
              <w:t>Canada</w:t>
            </w:r>
            <w:r>
              <w:rPr>
                <w:rFonts w:cs="Times New Roman"/>
                <w:iCs/>
                <w:sz w:val="20"/>
                <w:szCs w:val="20"/>
                <w:lang w:val="en-GB"/>
              </w:rPr>
              <w:t xml:space="preserve"> (Procureur </w:t>
            </w:r>
            <w:r>
              <w:rPr>
                <w:rFonts w:cs="Times New Roman"/>
                <w:sz w:val="20"/>
                <w:szCs w:val="20"/>
                <w:lang w:val="fr-CA"/>
              </w:rPr>
              <w:t>général</w:t>
            </w:r>
            <w:r>
              <w:rPr>
                <w:rFonts w:cs="Times New Roman"/>
                <w:iCs/>
                <w:sz w:val="20"/>
                <w:szCs w:val="20"/>
                <w:lang w:val="en-GB"/>
              </w:rPr>
              <w:t>)</w:t>
            </w:r>
            <w:r w:rsidR="00A956D3" w:rsidRPr="00E4544C">
              <w:rPr>
                <w:rFonts w:cs="Times New Roman"/>
                <w:iCs/>
                <w:sz w:val="20"/>
                <w:szCs w:val="20"/>
              </w:rPr>
              <w:t>,</w:t>
            </w:r>
          </w:p>
          <w:p w:rsidR="00A956D3" w:rsidRPr="00E4544C" w:rsidRDefault="00A956D3" w:rsidP="00A86787">
            <w:pPr>
              <w:rPr>
                <w:rFonts w:cs="Times New Roman"/>
                <w:sz w:val="20"/>
                <w:szCs w:val="20"/>
              </w:rPr>
            </w:pPr>
            <w:r w:rsidRPr="00E4544C">
              <w:rPr>
                <w:rFonts w:cs="Times New Roman"/>
                <w:sz w:val="20"/>
                <w:szCs w:val="20"/>
              </w:rPr>
              <w:t>201</w:t>
            </w:r>
            <w:r w:rsidR="009F4D62">
              <w:rPr>
                <w:rFonts w:cs="Times New Roman"/>
                <w:sz w:val="20"/>
                <w:szCs w:val="20"/>
              </w:rPr>
              <w:t>5</w:t>
            </w:r>
            <w:r w:rsidRPr="00E4544C">
              <w:rPr>
                <w:rFonts w:cs="Times New Roman"/>
                <w:sz w:val="20"/>
                <w:szCs w:val="20"/>
              </w:rPr>
              <w:t xml:space="preserve"> CSC </w:t>
            </w:r>
            <w:r w:rsidR="009F4D62">
              <w:rPr>
                <w:rFonts w:cs="Times New Roman"/>
                <w:sz w:val="20"/>
                <w:szCs w:val="20"/>
              </w:rPr>
              <w:t>1</w:t>
            </w:r>
            <w:r>
              <w:rPr>
                <w:rFonts w:cs="Times New Roman"/>
                <w:sz w:val="20"/>
                <w:szCs w:val="20"/>
              </w:rPr>
              <w:t>4</w:t>
            </w:r>
            <w:r w:rsidRPr="00E4544C">
              <w:rPr>
                <w:rFonts w:cs="Times New Roman"/>
                <w:sz w:val="20"/>
                <w:szCs w:val="20"/>
              </w:rPr>
              <w:t>, [201</w:t>
            </w:r>
            <w:r w:rsidR="009F4D62">
              <w:rPr>
                <w:rFonts w:cs="Times New Roman"/>
                <w:sz w:val="20"/>
                <w:szCs w:val="20"/>
              </w:rPr>
              <w:t>5</w:t>
            </w:r>
            <w:r w:rsidRPr="00E4544C">
              <w:rPr>
                <w:rFonts w:cs="Times New Roman"/>
                <w:sz w:val="20"/>
                <w:szCs w:val="20"/>
              </w:rPr>
              <w:t xml:space="preserve">] </w:t>
            </w:r>
            <w:r w:rsidR="009F4D62">
              <w:rPr>
                <w:rFonts w:cs="Times New Roman"/>
                <w:sz w:val="20"/>
                <w:szCs w:val="20"/>
              </w:rPr>
              <w:t>1</w:t>
            </w:r>
            <w:r w:rsidRPr="00E4544C">
              <w:rPr>
                <w:rFonts w:cs="Times New Roman"/>
                <w:sz w:val="20"/>
                <w:szCs w:val="20"/>
              </w:rPr>
              <w:t xml:space="preserve"> R.C.S. </w:t>
            </w:r>
            <w:r w:rsidR="009F4D62">
              <w:rPr>
                <w:rFonts w:cs="Times New Roman"/>
                <w:sz w:val="20"/>
                <w:szCs w:val="20"/>
              </w:rPr>
              <w:t>6</w:t>
            </w:r>
            <w:r>
              <w:rPr>
                <w:rFonts w:cs="Times New Roman"/>
                <w:sz w:val="20"/>
                <w:szCs w:val="20"/>
              </w:rPr>
              <w:t>9</w:t>
            </w:r>
            <w:r w:rsidR="009F4D62">
              <w:rPr>
                <w:rFonts w:cs="Times New Roman"/>
                <w:sz w:val="20"/>
                <w:szCs w:val="20"/>
              </w:rPr>
              <w:t>3</w:t>
            </w:r>
          </w:p>
          <w:p w:rsidR="00A956D3" w:rsidRPr="00DD0B49" w:rsidRDefault="00A956D3" w:rsidP="00A86787">
            <w:pPr>
              <w:rPr>
                <w:rFonts w:cs="Times New Roman"/>
                <w:iCs/>
                <w:sz w:val="20"/>
                <w:szCs w:val="20"/>
              </w:rPr>
            </w:pPr>
          </w:p>
          <w:p w:rsidR="00A956D3" w:rsidRPr="00DD0B49" w:rsidRDefault="00B65329" w:rsidP="00A86787">
            <w:pPr>
              <w:rPr>
                <w:rFonts w:cs="Times New Roman"/>
                <w:iCs/>
                <w:sz w:val="20"/>
                <w:szCs w:val="20"/>
                <w:lang w:val="en-GB"/>
              </w:rPr>
            </w:pPr>
            <w:r>
              <w:rPr>
                <w:rFonts w:cs="Times New Roman"/>
                <w:sz w:val="20"/>
                <w:szCs w:val="20"/>
                <w:lang w:val="en-GB"/>
              </w:rPr>
              <w:t xml:space="preserve">R. </w:t>
            </w:r>
            <w:r w:rsidR="00A956D3">
              <w:rPr>
                <w:rFonts w:cs="Times New Roman"/>
                <w:i/>
                <w:iCs/>
                <w:sz w:val="20"/>
                <w:szCs w:val="20"/>
                <w:lang w:val="en-GB"/>
              </w:rPr>
              <w:t>c</w:t>
            </w:r>
            <w:r w:rsidR="00A956D3" w:rsidRPr="00DD0B49">
              <w:rPr>
                <w:rFonts w:cs="Times New Roman"/>
                <w:i/>
                <w:iCs/>
                <w:sz w:val="20"/>
                <w:szCs w:val="20"/>
                <w:lang w:val="en-GB"/>
              </w:rPr>
              <w:t>.</w:t>
            </w:r>
            <w:r w:rsidR="00A956D3" w:rsidRPr="00DD0B49">
              <w:rPr>
                <w:rFonts w:cs="Times New Roman"/>
                <w:sz w:val="20"/>
                <w:szCs w:val="20"/>
                <w:lang w:val="en-GB"/>
              </w:rPr>
              <w:t xml:space="preserve"> </w:t>
            </w:r>
            <w:r>
              <w:rPr>
                <w:rFonts w:cs="Times New Roman"/>
                <w:sz w:val="20"/>
                <w:szCs w:val="20"/>
                <w:lang w:val="en-GB"/>
              </w:rPr>
              <w:t>Nur</w:t>
            </w:r>
            <w:r w:rsidR="00A956D3" w:rsidRPr="00DD0B49">
              <w:rPr>
                <w:rFonts w:cs="Times New Roman"/>
                <w:iCs/>
                <w:sz w:val="20"/>
                <w:szCs w:val="20"/>
                <w:lang w:val="en-GB"/>
              </w:rPr>
              <w:t>,</w:t>
            </w:r>
          </w:p>
          <w:p w:rsidR="00A956D3" w:rsidRPr="00DD0B49" w:rsidRDefault="00A956D3" w:rsidP="00A86787">
            <w:pPr>
              <w:rPr>
                <w:rFonts w:cs="Times New Roman"/>
                <w:sz w:val="20"/>
                <w:szCs w:val="20"/>
                <w:lang w:val="en-GB"/>
              </w:rPr>
            </w:pPr>
            <w:r w:rsidRPr="00DD0B49">
              <w:rPr>
                <w:rFonts w:cs="Times New Roman"/>
                <w:sz w:val="20"/>
                <w:szCs w:val="20"/>
                <w:lang w:val="en-GB"/>
              </w:rPr>
              <w:t>201</w:t>
            </w:r>
            <w:r w:rsidR="00B65329">
              <w:rPr>
                <w:rFonts w:cs="Times New Roman"/>
                <w:sz w:val="20"/>
                <w:szCs w:val="20"/>
                <w:lang w:val="en-GB"/>
              </w:rPr>
              <w:t>5</w:t>
            </w:r>
            <w:r w:rsidRPr="00DD0B49">
              <w:rPr>
                <w:rFonts w:cs="Times New Roman"/>
                <w:sz w:val="20"/>
                <w:szCs w:val="20"/>
                <w:lang w:val="en-GB"/>
              </w:rPr>
              <w:t xml:space="preserve"> CSC </w:t>
            </w:r>
            <w:r w:rsidR="00B65329">
              <w:rPr>
                <w:rFonts w:cs="Times New Roman"/>
                <w:sz w:val="20"/>
                <w:szCs w:val="20"/>
                <w:lang w:val="en-GB"/>
              </w:rPr>
              <w:t>15</w:t>
            </w:r>
            <w:r w:rsidRPr="00DD0B49">
              <w:rPr>
                <w:rFonts w:cs="Times New Roman"/>
                <w:sz w:val="20"/>
                <w:szCs w:val="20"/>
                <w:lang w:val="en-GB"/>
              </w:rPr>
              <w:t>, [201</w:t>
            </w:r>
            <w:r w:rsidR="00B65329">
              <w:rPr>
                <w:rFonts w:cs="Times New Roman"/>
                <w:sz w:val="20"/>
                <w:szCs w:val="20"/>
                <w:lang w:val="en-GB"/>
              </w:rPr>
              <w:t>5</w:t>
            </w:r>
            <w:r w:rsidRPr="00DD0B49">
              <w:rPr>
                <w:rFonts w:cs="Times New Roman"/>
                <w:sz w:val="20"/>
                <w:szCs w:val="20"/>
                <w:lang w:val="en-GB"/>
              </w:rPr>
              <w:t xml:space="preserve">] </w:t>
            </w:r>
            <w:r w:rsidR="00B65329">
              <w:rPr>
                <w:rFonts w:cs="Times New Roman"/>
                <w:sz w:val="20"/>
                <w:szCs w:val="20"/>
                <w:lang w:val="en-GB"/>
              </w:rPr>
              <w:t>1</w:t>
            </w:r>
            <w:r w:rsidRPr="00DD0B49">
              <w:rPr>
                <w:rFonts w:cs="Times New Roman"/>
                <w:sz w:val="20"/>
                <w:szCs w:val="20"/>
                <w:lang w:val="en-GB"/>
              </w:rPr>
              <w:t xml:space="preserve"> R.C.S. </w:t>
            </w:r>
            <w:r w:rsidR="00B65329">
              <w:rPr>
                <w:rFonts w:cs="Times New Roman"/>
                <w:sz w:val="20"/>
                <w:szCs w:val="20"/>
                <w:lang w:val="en-GB"/>
              </w:rPr>
              <w:t>77</w:t>
            </w:r>
            <w:r>
              <w:rPr>
                <w:rFonts w:cs="Times New Roman"/>
                <w:sz w:val="20"/>
                <w:szCs w:val="20"/>
                <w:lang w:val="en-GB"/>
              </w:rPr>
              <w:t>3</w:t>
            </w:r>
          </w:p>
          <w:p w:rsidR="00A956D3" w:rsidRPr="00DD0B49" w:rsidRDefault="00A956D3" w:rsidP="00A86787">
            <w:pPr>
              <w:rPr>
                <w:rFonts w:cs="Times New Roman"/>
                <w:sz w:val="20"/>
                <w:szCs w:val="20"/>
                <w:lang w:val="en-GB"/>
              </w:rPr>
            </w:pPr>
          </w:p>
          <w:p w:rsidR="00A956D3" w:rsidRPr="00DD0B49" w:rsidRDefault="00EC4FDF" w:rsidP="00A86787">
            <w:pPr>
              <w:rPr>
                <w:rFonts w:cs="Times New Roman"/>
                <w:sz w:val="20"/>
                <w:szCs w:val="20"/>
              </w:rPr>
            </w:pPr>
            <w:r>
              <w:rPr>
                <w:rFonts w:cs="Times New Roman"/>
                <w:sz w:val="20"/>
                <w:szCs w:val="20"/>
              </w:rPr>
              <w:pict>
                <v:rect id="_x0000_i1105" style="width:129.6pt;height:1pt" o:hrpct="600" o:hralign="center" o:hrstd="t" o:hrnoshade="t" o:hr="t" fillcolor="black [3213]" stroked="f"/>
              </w:pict>
            </w:r>
          </w:p>
          <w:p w:rsidR="00A956D3" w:rsidRPr="00DD0B49" w:rsidRDefault="00A956D3" w:rsidP="00A86787">
            <w:pPr>
              <w:keepNext/>
              <w:keepLines/>
              <w:rPr>
                <w:rFonts w:cs="Times New Roman"/>
                <w:bCs/>
                <w:sz w:val="20"/>
                <w:szCs w:val="20"/>
                <w:lang w:val="fr-CA"/>
              </w:rPr>
            </w:pPr>
          </w:p>
        </w:tc>
      </w:tr>
    </w:tbl>
    <w:p w:rsidR="00A956D3" w:rsidRDefault="00A956D3" w:rsidP="00A956D3">
      <w:pPr>
        <w:rPr>
          <w:sz w:val="20"/>
          <w:szCs w:val="20"/>
          <w:lang w:val="fr-CA"/>
        </w:rPr>
      </w:pPr>
    </w:p>
    <w:p w:rsidR="00A956D3" w:rsidRDefault="00A956D3" w:rsidP="00A956D3">
      <w:pPr>
        <w:rPr>
          <w:sz w:val="20"/>
          <w:szCs w:val="20"/>
          <w:lang w:val="fr-CA"/>
        </w:rPr>
      </w:pPr>
    </w:p>
    <w:p w:rsidR="00A956D3" w:rsidRDefault="00A956D3" w:rsidP="00A956D3">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A956D3" w:rsidRPr="00002704" w:rsidTr="00A86787">
        <w:trPr>
          <w:cantSplit/>
          <w:trHeight w:val="1152"/>
        </w:trPr>
        <w:tc>
          <w:tcPr>
            <w:tcW w:w="4320" w:type="dxa"/>
            <w:tcBorders>
              <w:top w:val="nil"/>
              <w:left w:val="nil"/>
              <w:bottom w:val="nil"/>
              <w:right w:val="nil"/>
            </w:tcBorders>
          </w:tcPr>
          <w:p w:rsidR="00A956D3" w:rsidRPr="00DD0B49" w:rsidRDefault="00A956D3" w:rsidP="00A86787">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A956D3" w:rsidRPr="00DD0B49" w:rsidRDefault="00A956D3" w:rsidP="00A86787">
            <w:pPr>
              <w:rPr>
                <w:rFonts w:cs="Times New Roman"/>
                <w:b/>
                <w:bCs/>
                <w:sz w:val="20"/>
                <w:szCs w:val="20"/>
                <w:lang w:val="en-GB"/>
              </w:rPr>
            </w:pPr>
          </w:p>
        </w:tc>
        <w:tc>
          <w:tcPr>
            <w:tcW w:w="4320" w:type="dxa"/>
            <w:tcBorders>
              <w:top w:val="nil"/>
              <w:left w:val="nil"/>
              <w:bottom w:val="nil"/>
              <w:right w:val="nil"/>
            </w:tcBorders>
          </w:tcPr>
          <w:p w:rsidR="00A956D3" w:rsidRPr="00DD0B49" w:rsidRDefault="00A956D3" w:rsidP="00A86787">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A956D3" w:rsidRPr="00DD0B49" w:rsidTr="00A86787">
        <w:tc>
          <w:tcPr>
            <w:tcW w:w="4320" w:type="dxa"/>
            <w:tcBorders>
              <w:top w:val="nil"/>
              <w:left w:val="nil"/>
              <w:bottom w:val="nil"/>
              <w:right w:val="nil"/>
            </w:tcBorders>
          </w:tcPr>
          <w:p w:rsidR="00A956D3" w:rsidRPr="00DD0B49" w:rsidRDefault="00A956D3" w:rsidP="00A86787">
            <w:pPr>
              <w:rPr>
                <w:rFonts w:cs="Times New Roman"/>
                <w:sz w:val="20"/>
                <w:szCs w:val="20"/>
                <w:lang w:val="en-GB"/>
              </w:rPr>
            </w:pPr>
            <w:r w:rsidRPr="00DD0B49">
              <w:rPr>
                <w:rFonts w:cs="Times New Roman"/>
                <w:b/>
                <w:bCs/>
                <w:sz w:val="20"/>
                <w:szCs w:val="20"/>
                <w:lang w:val="en-GB"/>
              </w:rPr>
              <w:t>Judgments reported in [201</w:t>
            </w:r>
            <w:r w:rsidR="003D36C9">
              <w:rPr>
                <w:rFonts w:cs="Times New Roman"/>
                <w:b/>
                <w:bCs/>
                <w:sz w:val="20"/>
                <w:szCs w:val="20"/>
                <w:lang w:val="en-GB"/>
              </w:rPr>
              <w:t>5</w:t>
            </w:r>
            <w:r w:rsidRPr="00DD0B49">
              <w:rPr>
                <w:rFonts w:cs="Times New Roman"/>
                <w:b/>
                <w:bCs/>
                <w:sz w:val="20"/>
                <w:szCs w:val="20"/>
                <w:lang w:val="en-GB"/>
              </w:rPr>
              <w:t xml:space="preserve">] </w:t>
            </w:r>
            <w:r w:rsidR="003D36C9">
              <w:rPr>
                <w:rFonts w:cs="Times New Roman"/>
                <w:b/>
                <w:bCs/>
                <w:sz w:val="20"/>
                <w:szCs w:val="20"/>
                <w:lang w:val="en-GB"/>
              </w:rPr>
              <w:t>2</w:t>
            </w:r>
            <w:r w:rsidRPr="00DD0B49">
              <w:rPr>
                <w:rFonts w:cs="Times New Roman"/>
                <w:b/>
                <w:bCs/>
                <w:sz w:val="20"/>
                <w:szCs w:val="20"/>
                <w:lang w:val="en-GB"/>
              </w:rPr>
              <w:t xml:space="preserve"> S.C.R. Part </w:t>
            </w:r>
            <w:r w:rsidR="003D36C9">
              <w:rPr>
                <w:rFonts w:cs="Times New Roman"/>
                <w:b/>
                <w:bCs/>
                <w:sz w:val="20"/>
                <w:szCs w:val="20"/>
                <w:lang w:val="en-GB"/>
              </w:rPr>
              <w:t>1</w:t>
            </w:r>
          </w:p>
          <w:p w:rsidR="00A956D3" w:rsidRPr="00DD0B49" w:rsidRDefault="00A956D3" w:rsidP="00A86787">
            <w:pPr>
              <w:rPr>
                <w:rFonts w:cs="Times New Roman"/>
                <w:sz w:val="20"/>
                <w:szCs w:val="20"/>
                <w:lang w:val="en-GB"/>
              </w:rPr>
            </w:pPr>
          </w:p>
          <w:p w:rsidR="00A956D3" w:rsidRPr="00DD0B49" w:rsidRDefault="00793EF2" w:rsidP="00A86787">
            <w:pPr>
              <w:rPr>
                <w:rFonts w:cs="Times New Roman"/>
                <w:sz w:val="20"/>
                <w:szCs w:val="20"/>
                <w:lang w:val="en-GB"/>
              </w:rPr>
            </w:pPr>
            <w:r>
              <w:rPr>
                <w:rFonts w:cs="Times New Roman"/>
                <w:sz w:val="20"/>
                <w:szCs w:val="20"/>
                <w:lang w:val="en-GB"/>
              </w:rPr>
              <w:t>Mouvement laïque québécois</w:t>
            </w:r>
            <w:r w:rsidR="00A956D3" w:rsidRPr="00DD0B49">
              <w:rPr>
                <w:rFonts w:cs="Times New Roman"/>
                <w:sz w:val="20"/>
                <w:szCs w:val="20"/>
                <w:lang w:val="en-GB"/>
              </w:rPr>
              <w:t xml:space="preserve"> </w:t>
            </w:r>
            <w:r w:rsidR="00A956D3" w:rsidRPr="00DD0B49">
              <w:rPr>
                <w:rFonts w:cs="Times New Roman"/>
                <w:i/>
                <w:sz w:val="20"/>
                <w:szCs w:val="20"/>
                <w:lang w:val="en-GB"/>
              </w:rPr>
              <w:t>v.</w:t>
            </w:r>
            <w:r w:rsidR="00A956D3" w:rsidRPr="00DD0B49">
              <w:rPr>
                <w:rFonts w:cs="Times New Roman"/>
                <w:sz w:val="20"/>
                <w:szCs w:val="20"/>
                <w:lang w:val="en-GB"/>
              </w:rPr>
              <w:t xml:space="preserve"> </w:t>
            </w:r>
            <w:r>
              <w:rPr>
                <w:rFonts w:cs="Times New Roman"/>
                <w:sz w:val="20"/>
                <w:szCs w:val="20"/>
                <w:lang w:val="en-GB"/>
              </w:rPr>
              <w:t>Saguenay (City)</w:t>
            </w:r>
            <w:r w:rsidR="00A956D3" w:rsidRPr="00DD0B49">
              <w:rPr>
                <w:rFonts w:cs="Times New Roman"/>
                <w:sz w:val="20"/>
                <w:szCs w:val="20"/>
                <w:lang w:val="en-GB"/>
              </w:rPr>
              <w:t>,</w:t>
            </w:r>
          </w:p>
          <w:p w:rsidR="00A956D3" w:rsidRPr="00DD0B49" w:rsidRDefault="00A956D3" w:rsidP="00A86787">
            <w:pPr>
              <w:rPr>
                <w:rFonts w:cs="Times New Roman"/>
                <w:sz w:val="20"/>
                <w:szCs w:val="20"/>
                <w:lang w:val="en-GB"/>
              </w:rPr>
            </w:pPr>
            <w:r w:rsidRPr="00DD0B49">
              <w:rPr>
                <w:rFonts w:cs="Times New Roman"/>
                <w:sz w:val="20"/>
                <w:szCs w:val="20"/>
                <w:lang w:val="en-GB"/>
              </w:rPr>
              <w:t>201</w:t>
            </w:r>
            <w:r w:rsidR="00793EF2">
              <w:rPr>
                <w:rFonts w:cs="Times New Roman"/>
                <w:sz w:val="20"/>
                <w:szCs w:val="20"/>
                <w:lang w:val="en-GB"/>
              </w:rPr>
              <w:t>5</w:t>
            </w:r>
            <w:r w:rsidRPr="00DD0B49">
              <w:rPr>
                <w:rFonts w:cs="Times New Roman"/>
                <w:sz w:val="20"/>
                <w:szCs w:val="20"/>
                <w:lang w:val="en-GB"/>
              </w:rPr>
              <w:t xml:space="preserve"> SCC </w:t>
            </w:r>
            <w:r w:rsidR="00793EF2">
              <w:rPr>
                <w:rFonts w:cs="Times New Roman"/>
                <w:sz w:val="20"/>
                <w:szCs w:val="20"/>
                <w:lang w:val="en-GB"/>
              </w:rPr>
              <w:t>16</w:t>
            </w:r>
            <w:r w:rsidRPr="00DD0B49">
              <w:rPr>
                <w:rFonts w:cs="Times New Roman"/>
                <w:sz w:val="20"/>
                <w:szCs w:val="20"/>
                <w:lang w:val="en-GB"/>
              </w:rPr>
              <w:t>, [201</w:t>
            </w:r>
            <w:r w:rsidR="00793EF2">
              <w:rPr>
                <w:rFonts w:cs="Times New Roman"/>
                <w:sz w:val="20"/>
                <w:szCs w:val="20"/>
                <w:lang w:val="en-GB"/>
              </w:rPr>
              <w:t>5</w:t>
            </w:r>
            <w:r w:rsidRPr="00DD0B49">
              <w:rPr>
                <w:rFonts w:cs="Times New Roman"/>
                <w:sz w:val="20"/>
                <w:szCs w:val="20"/>
                <w:lang w:val="en-GB"/>
              </w:rPr>
              <w:t xml:space="preserve">] </w:t>
            </w:r>
            <w:r w:rsidR="00793EF2">
              <w:rPr>
                <w:rFonts w:cs="Times New Roman"/>
                <w:sz w:val="20"/>
                <w:szCs w:val="20"/>
                <w:lang w:val="en-GB"/>
              </w:rPr>
              <w:t>2</w:t>
            </w:r>
            <w:r w:rsidRPr="00DD0B49">
              <w:rPr>
                <w:rFonts w:cs="Times New Roman"/>
                <w:sz w:val="20"/>
                <w:szCs w:val="20"/>
                <w:lang w:val="en-GB"/>
              </w:rPr>
              <w:t xml:space="preserve"> S.C.R. </w:t>
            </w:r>
            <w:r>
              <w:rPr>
                <w:rFonts w:cs="Times New Roman"/>
                <w:sz w:val="20"/>
                <w:szCs w:val="20"/>
                <w:lang w:val="en-GB"/>
              </w:rPr>
              <w:t>3</w:t>
            </w:r>
          </w:p>
          <w:p w:rsidR="00A956D3" w:rsidRDefault="00A956D3" w:rsidP="00A86787">
            <w:pPr>
              <w:rPr>
                <w:rFonts w:cs="Times New Roman"/>
                <w:sz w:val="20"/>
                <w:szCs w:val="20"/>
                <w:lang w:val="en-GB"/>
              </w:rPr>
            </w:pPr>
          </w:p>
          <w:p w:rsidR="00A956D3" w:rsidRPr="00E240C2" w:rsidRDefault="00D53B3C" w:rsidP="00A86787">
            <w:pPr>
              <w:rPr>
                <w:rFonts w:cs="Times New Roman"/>
                <w:sz w:val="20"/>
                <w:szCs w:val="20"/>
                <w:lang w:val="en-GB"/>
              </w:rPr>
            </w:pPr>
            <w:r>
              <w:rPr>
                <w:rFonts w:cs="Times New Roman"/>
                <w:sz w:val="20"/>
                <w:szCs w:val="20"/>
                <w:lang w:val="en-GB"/>
              </w:rPr>
              <w:t>Carey</w:t>
            </w:r>
            <w:r w:rsidR="00A956D3" w:rsidRPr="00E240C2">
              <w:rPr>
                <w:rFonts w:cs="Times New Roman"/>
                <w:sz w:val="20"/>
                <w:szCs w:val="20"/>
                <w:lang w:val="en-GB"/>
              </w:rPr>
              <w:t xml:space="preserve"> </w:t>
            </w:r>
            <w:r w:rsidR="00A956D3" w:rsidRPr="00E240C2">
              <w:rPr>
                <w:rFonts w:cs="Times New Roman"/>
                <w:i/>
                <w:sz w:val="20"/>
                <w:szCs w:val="20"/>
                <w:lang w:val="en-GB"/>
              </w:rPr>
              <w:t>v.</w:t>
            </w:r>
            <w:r w:rsidR="00A956D3" w:rsidRPr="00E240C2">
              <w:rPr>
                <w:rFonts w:cs="Times New Roman"/>
                <w:sz w:val="20"/>
                <w:szCs w:val="20"/>
                <w:lang w:val="en-GB"/>
              </w:rPr>
              <w:t xml:space="preserve"> </w:t>
            </w:r>
            <w:r>
              <w:rPr>
                <w:rFonts w:cs="Times New Roman"/>
                <w:sz w:val="20"/>
                <w:szCs w:val="20"/>
                <w:lang w:val="en-GB"/>
              </w:rPr>
              <w:t>Laiken</w:t>
            </w:r>
            <w:r w:rsidR="00A956D3" w:rsidRPr="00E240C2">
              <w:rPr>
                <w:rFonts w:cs="Times New Roman"/>
                <w:sz w:val="20"/>
                <w:szCs w:val="20"/>
                <w:lang w:val="en-GB"/>
              </w:rPr>
              <w:t>,</w:t>
            </w:r>
          </w:p>
          <w:p w:rsidR="00A956D3" w:rsidRPr="00E240C2" w:rsidRDefault="00A956D3" w:rsidP="00A86787">
            <w:pPr>
              <w:rPr>
                <w:rFonts w:cs="Times New Roman"/>
                <w:sz w:val="20"/>
                <w:szCs w:val="20"/>
                <w:lang w:val="en-GB"/>
              </w:rPr>
            </w:pPr>
            <w:r w:rsidRPr="00E240C2">
              <w:rPr>
                <w:rFonts w:cs="Times New Roman"/>
                <w:sz w:val="20"/>
                <w:szCs w:val="20"/>
                <w:lang w:val="en-GB"/>
              </w:rPr>
              <w:t>201</w:t>
            </w:r>
            <w:r w:rsidR="00D53B3C">
              <w:rPr>
                <w:rFonts w:cs="Times New Roman"/>
                <w:sz w:val="20"/>
                <w:szCs w:val="20"/>
                <w:lang w:val="en-GB"/>
              </w:rPr>
              <w:t>5</w:t>
            </w:r>
            <w:r w:rsidRPr="00E240C2">
              <w:rPr>
                <w:rFonts w:cs="Times New Roman"/>
                <w:sz w:val="20"/>
                <w:szCs w:val="20"/>
                <w:lang w:val="en-GB"/>
              </w:rPr>
              <w:t xml:space="preserve"> SCC </w:t>
            </w:r>
            <w:r w:rsidR="00D53B3C">
              <w:rPr>
                <w:rFonts w:cs="Times New Roman"/>
                <w:sz w:val="20"/>
                <w:szCs w:val="20"/>
                <w:lang w:val="en-GB"/>
              </w:rPr>
              <w:t>17</w:t>
            </w:r>
            <w:r w:rsidRPr="00E240C2">
              <w:rPr>
                <w:rFonts w:cs="Times New Roman"/>
                <w:sz w:val="20"/>
                <w:szCs w:val="20"/>
                <w:lang w:val="en-GB"/>
              </w:rPr>
              <w:t>, [201</w:t>
            </w:r>
            <w:r w:rsidR="00D53B3C">
              <w:rPr>
                <w:rFonts w:cs="Times New Roman"/>
                <w:sz w:val="20"/>
                <w:szCs w:val="20"/>
                <w:lang w:val="en-GB"/>
              </w:rPr>
              <w:t>5</w:t>
            </w:r>
            <w:r w:rsidRPr="00E240C2">
              <w:rPr>
                <w:rFonts w:cs="Times New Roman"/>
                <w:sz w:val="20"/>
                <w:szCs w:val="20"/>
                <w:lang w:val="en-GB"/>
              </w:rPr>
              <w:t xml:space="preserve">] </w:t>
            </w:r>
            <w:r w:rsidR="00D53B3C">
              <w:rPr>
                <w:rFonts w:cs="Times New Roman"/>
                <w:sz w:val="20"/>
                <w:szCs w:val="20"/>
                <w:lang w:val="en-GB"/>
              </w:rPr>
              <w:t>2</w:t>
            </w:r>
            <w:r w:rsidRPr="00E240C2">
              <w:rPr>
                <w:rFonts w:cs="Times New Roman"/>
                <w:sz w:val="20"/>
                <w:szCs w:val="20"/>
                <w:lang w:val="en-GB"/>
              </w:rPr>
              <w:t xml:space="preserve"> S.C.R. </w:t>
            </w:r>
            <w:r w:rsidR="00D53B3C">
              <w:rPr>
                <w:rFonts w:cs="Times New Roman"/>
                <w:sz w:val="20"/>
                <w:szCs w:val="20"/>
                <w:lang w:val="en-GB"/>
              </w:rPr>
              <w:t>79</w:t>
            </w:r>
          </w:p>
          <w:p w:rsidR="00A956D3" w:rsidRPr="00E240C2" w:rsidRDefault="00A956D3" w:rsidP="00A86787">
            <w:pPr>
              <w:rPr>
                <w:rFonts w:cs="Times New Roman"/>
                <w:sz w:val="20"/>
                <w:szCs w:val="20"/>
                <w:lang w:val="en-GB"/>
              </w:rPr>
            </w:pPr>
          </w:p>
          <w:p w:rsidR="00A956D3" w:rsidRPr="00DD0B49" w:rsidRDefault="00F9285D" w:rsidP="00A86787">
            <w:pPr>
              <w:rPr>
                <w:rFonts w:cs="Times New Roman"/>
                <w:sz w:val="20"/>
                <w:szCs w:val="20"/>
                <w:lang w:val="fr-CA"/>
              </w:rPr>
            </w:pPr>
            <w:r>
              <w:rPr>
                <w:rFonts w:cs="Times New Roman"/>
                <w:sz w:val="20"/>
                <w:szCs w:val="20"/>
                <w:lang w:val="fr-CA"/>
              </w:rPr>
              <w:t>Theratechnologies Inc.</w:t>
            </w:r>
            <w:r w:rsidR="00A956D3" w:rsidRPr="00DD0B49">
              <w:rPr>
                <w:rFonts w:cs="Times New Roman"/>
                <w:sz w:val="20"/>
                <w:szCs w:val="20"/>
                <w:lang w:val="fr-CA"/>
              </w:rPr>
              <w:t xml:space="preserve"> </w:t>
            </w:r>
            <w:r w:rsidR="00A956D3" w:rsidRPr="00DD0B49">
              <w:rPr>
                <w:rFonts w:cs="Times New Roman"/>
                <w:i/>
                <w:iCs/>
                <w:sz w:val="20"/>
                <w:szCs w:val="20"/>
                <w:lang w:val="fr-CA"/>
              </w:rPr>
              <w:t xml:space="preserve">v. </w:t>
            </w:r>
            <w:r>
              <w:rPr>
                <w:rFonts w:cs="Times New Roman"/>
                <w:iCs/>
                <w:sz w:val="20"/>
                <w:szCs w:val="20"/>
                <w:lang w:val="fr-CA"/>
              </w:rPr>
              <w:t>121851 Canada Inc.</w:t>
            </w:r>
            <w:r w:rsidR="00A956D3" w:rsidRPr="00DD0B49">
              <w:rPr>
                <w:rFonts w:cs="Times New Roman"/>
                <w:iCs/>
                <w:sz w:val="20"/>
                <w:szCs w:val="20"/>
                <w:lang w:val="fr-CA"/>
              </w:rPr>
              <w:t>,</w:t>
            </w:r>
          </w:p>
          <w:p w:rsidR="00A956D3" w:rsidRPr="00E0705E" w:rsidRDefault="00A956D3" w:rsidP="00A86787">
            <w:pPr>
              <w:rPr>
                <w:rFonts w:cs="Times New Roman"/>
                <w:sz w:val="20"/>
                <w:szCs w:val="20"/>
              </w:rPr>
            </w:pPr>
            <w:r w:rsidRPr="00E0705E">
              <w:rPr>
                <w:rFonts w:cs="Times New Roman"/>
                <w:sz w:val="20"/>
                <w:szCs w:val="20"/>
              </w:rPr>
              <w:t>201</w:t>
            </w:r>
            <w:r w:rsidR="00F9285D">
              <w:rPr>
                <w:rFonts w:cs="Times New Roman"/>
                <w:sz w:val="20"/>
                <w:szCs w:val="20"/>
              </w:rPr>
              <w:t>5</w:t>
            </w:r>
            <w:r w:rsidRPr="00E0705E">
              <w:rPr>
                <w:rFonts w:cs="Times New Roman"/>
                <w:sz w:val="20"/>
                <w:szCs w:val="20"/>
              </w:rPr>
              <w:t xml:space="preserve"> SCC </w:t>
            </w:r>
            <w:r w:rsidR="00F9285D">
              <w:rPr>
                <w:rFonts w:cs="Times New Roman"/>
                <w:sz w:val="20"/>
                <w:szCs w:val="20"/>
              </w:rPr>
              <w:t>18</w:t>
            </w:r>
            <w:r w:rsidRPr="00E0705E">
              <w:rPr>
                <w:rFonts w:cs="Times New Roman"/>
                <w:sz w:val="20"/>
                <w:szCs w:val="20"/>
              </w:rPr>
              <w:t>, [201</w:t>
            </w:r>
            <w:r w:rsidR="00F9285D">
              <w:rPr>
                <w:rFonts w:cs="Times New Roman"/>
                <w:sz w:val="20"/>
                <w:szCs w:val="20"/>
              </w:rPr>
              <w:t>5</w:t>
            </w:r>
            <w:r w:rsidRPr="00E0705E">
              <w:rPr>
                <w:rFonts w:cs="Times New Roman"/>
                <w:sz w:val="20"/>
                <w:szCs w:val="20"/>
              </w:rPr>
              <w:t xml:space="preserve">] </w:t>
            </w:r>
            <w:r w:rsidR="00F9285D">
              <w:rPr>
                <w:rFonts w:cs="Times New Roman"/>
                <w:sz w:val="20"/>
                <w:szCs w:val="20"/>
              </w:rPr>
              <w:t>2</w:t>
            </w:r>
            <w:r w:rsidRPr="00E0705E">
              <w:rPr>
                <w:rFonts w:cs="Times New Roman"/>
                <w:sz w:val="20"/>
                <w:szCs w:val="20"/>
              </w:rPr>
              <w:t xml:space="preserve"> S.C.R. </w:t>
            </w:r>
            <w:r w:rsidR="00F9285D">
              <w:rPr>
                <w:rFonts w:cs="Times New Roman"/>
                <w:sz w:val="20"/>
                <w:szCs w:val="20"/>
              </w:rPr>
              <w:t>106</w:t>
            </w:r>
          </w:p>
          <w:p w:rsidR="00A956D3" w:rsidRPr="00E0705E" w:rsidRDefault="00A956D3" w:rsidP="00A86787">
            <w:pPr>
              <w:rPr>
                <w:rFonts w:cs="Times New Roman"/>
                <w:sz w:val="20"/>
                <w:szCs w:val="20"/>
              </w:rPr>
            </w:pPr>
          </w:p>
          <w:p w:rsidR="00A956D3" w:rsidRPr="00DD0B49" w:rsidRDefault="00630A4D" w:rsidP="00A86787">
            <w:pPr>
              <w:rPr>
                <w:rFonts w:cs="Times New Roman"/>
                <w:sz w:val="20"/>
                <w:szCs w:val="20"/>
              </w:rPr>
            </w:pPr>
            <w:r>
              <w:rPr>
                <w:rFonts w:cs="Times New Roman"/>
                <w:sz w:val="20"/>
                <w:szCs w:val="20"/>
              </w:rPr>
              <w:t xml:space="preserve">Zurich Insurance Co. </w:t>
            </w:r>
            <w:r w:rsidR="00A956D3" w:rsidRPr="00DD0B49">
              <w:rPr>
                <w:rFonts w:cs="Times New Roman"/>
                <w:i/>
                <w:iCs/>
                <w:sz w:val="20"/>
                <w:szCs w:val="20"/>
              </w:rPr>
              <w:t>v.</w:t>
            </w:r>
            <w:r>
              <w:rPr>
                <w:rFonts w:cs="Times New Roman"/>
                <w:i/>
                <w:iCs/>
                <w:sz w:val="20"/>
                <w:szCs w:val="20"/>
              </w:rPr>
              <w:t xml:space="preserve"> </w:t>
            </w:r>
            <w:r>
              <w:rPr>
                <w:rFonts w:cs="Times New Roman"/>
                <w:iCs/>
                <w:sz w:val="20"/>
                <w:szCs w:val="20"/>
              </w:rPr>
              <w:t>Chubb Insurance Co. of Canada</w:t>
            </w:r>
            <w:r w:rsidR="00A956D3" w:rsidRPr="00DD0B49">
              <w:rPr>
                <w:rFonts w:cs="Times New Roman"/>
                <w:sz w:val="20"/>
                <w:szCs w:val="20"/>
              </w:rPr>
              <w:t>,</w:t>
            </w:r>
          </w:p>
          <w:p w:rsidR="00A956D3" w:rsidRPr="00E53B92" w:rsidRDefault="00A956D3" w:rsidP="00A86787">
            <w:pPr>
              <w:rPr>
                <w:rFonts w:cs="Times New Roman"/>
                <w:sz w:val="20"/>
                <w:szCs w:val="20"/>
              </w:rPr>
            </w:pPr>
            <w:r w:rsidRPr="00E53B92">
              <w:rPr>
                <w:rFonts w:cs="Times New Roman"/>
                <w:sz w:val="20"/>
                <w:szCs w:val="20"/>
              </w:rPr>
              <w:t>201</w:t>
            </w:r>
            <w:r w:rsidR="00630A4D">
              <w:rPr>
                <w:rFonts w:cs="Times New Roman"/>
                <w:sz w:val="20"/>
                <w:szCs w:val="20"/>
              </w:rPr>
              <w:t>5</w:t>
            </w:r>
            <w:r w:rsidRPr="00E53B92">
              <w:rPr>
                <w:rFonts w:cs="Times New Roman"/>
                <w:sz w:val="20"/>
                <w:szCs w:val="20"/>
              </w:rPr>
              <w:t xml:space="preserve"> SCC </w:t>
            </w:r>
            <w:r w:rsidR="00630A4D">
              <w:rPr>
                <w:rFonts w:cs="Times New Roman"/>
                <w:sz w:val="20"/>
                <w:szCs w:val="20"/>
              </w:rPr>
              <w:t>19</w:t>
            </w:r>
            <w:r w:rsidRPr="00E53B92">
              <w:rPr>
                <w:rFonts w:cs="Times New Roman"/>
                <w:sz w:val="20"/>
                <w:szCs w:val="20"/>
              </w:rPr>
              <w:t>, [201</w:t>
            </w:r>
            <w:r w:rsidR="00630A4D">
              <w:rPr>
                <w:rFonts w:cs="Times New Roman"/>
                <w:sz w:val="20"/>
                <w:szCs w:val="20"/>
              </w:rPr>
              <w:t>5</w:t>
            </w:r>
            <w:r w:rsidRPr="00E53B92">
              <w:rPr>
                <w:rFonts w:cs="Times New Roman"/>
                <w:sz w:val="20"/>
                <w:szCs w:val="20"/>
              </w:rPr>
              <w:t xml:space="preserve">] </w:t>
            </w:r>
            <w:r w:rsidR="00630A4D">
              <w:rPr>
                <w:rFonts w:cs="Times New Roman"/>
                <w:sz w:val="20"/>
                <w:szCs w:val="20"/>
              </w:rPr>
              <w:t>2</w:t>
            </w:r>
            <w:r w:rsidRPr="00E53B92">
              <w:rPr>
                <w:rFonts w:cs="Times New Roman"/>
                <w:sz w:val="20"/>
                <w:szCs w:val="20"/>
              </w:rPr>
              <w:t xml:space="preserve"> S.C.R. </w:t>
            </w:r>
            <w:r w:rsidR="00630A4D">
              <w:rPr>
                <w:rFonts w:cs="Times New Roman"/>
                <w:sz w:val="20"/>
                <w:szCs w:val="20"/>
              </w:rPr>
              <w:t>13</w:t>
            </w:r>
            <w:r>
              <w:rPr>
                <w:rFonts w:cs="Times New Roman"/>
                <w:sz w:val="20"/>
                <w:szCs w:val="20"/>
              </w:rPr>
              <w:t>4</w:t>
            </w:r>
          </w:p>
          <w:p w:rsidR="00A956D3" w:rsidRPr="00E53B92" w:rsidRDefault="00A956D3" w:rsidP="00A86787">
            <w:pPr>
              <w:rPr>
                <w:rFonts w:cs="Times New Roman"/>
                <w:sz w:val="20"/>
                <w:szCs w:val="20"/>
              </w:rPr>
            </w:pPr>
          </w:p>
          <w:p w:rsidR="00A956D3" w:rsidRPr="00DD0B49" w:rsidRDefault="00F243A1" w:rsidP="00A86787">
            <w:pPr>
              <w:rPr>
                <w:rFonts w:cs="Times New Roman"/>
                <w:sz w:val="20"/>
                <w:szCs w:val="20"/>
                <w:lang w:val="en-GB"/>
              </w:rPr>
            </w:pPr>
            <w:r>
              <w:rPr>
                <w:rFonts w:cs="Times New Roman"/>
                <w:sz w:val="20"/>
                <w:szCs w:val="20"/>
                <w:lang w:val="en-GB"/>
              </w:rPr>
              <w:t>Sanofi-Aventis</w:t>
            </w:r>
            <w:r w:rsidR="00A956D3" w:rsidRPr="00DD0B49">
              <w:rPr>
                <w:rFonts w:cs="Times New Roman"/>
                <w:sz w:val="20"/>
                <w:szCs w:val="20"/>
                <w:lang w:val="en-GB"/>
              </w:rPr>
              <w:t xml:space="preserve"> </w:t>
            </w:r>
            <w:r w:rsidR="00A956D3" w:rsidRPr="00DD0B49">
              <w:rPr>
                <w:rFonts w:cs="Times New Roman"/>
                <w:i/>
                <w:iCs/>
                <w:sz w:val="20"/>
                <w:szCs w:val="20"/>
                <w:lang w:val="en-GB"/>
              </w:rPr>
              <w:t>v.</w:t>
            </w:r>
            <w:r w:rsidR="00A956D3" w:rsidRPr="00DD0B49">
              <w:rPr>
                <w:rFonts w:cs="Times New Roman"/>
                <w:iCs/>
                <w:sz w:val="20"/>
                <w:szCs w:val="20"/>
                <w:lang w:val="en-GB"/>
              </w:rPr>
              <w:t xml:space="preserve"> </w:t>
            </w:r>
            <w:r>
              <w:rPr>
                <w:rFonts w:cs="Times New Roman"/>
                <w:iCs/>
                <w:sz w:val="20"/>
                <w:szCs w:val="20"/>
                <w:lang w:val="en-GB"/>
              </w:rPr>
              <w:t>Apotex Inc.</w:t>
            </w:r>
            <w:r w:rsidR="00A956D3" w:rsidRPr="00DD0B49">
              <w:rPr>
                <w:rFonts w:cs="Times New Roman"/>
                <w:sz w:val="20"/>
                <w:szCs w:val="20"/>
                <w:lang w:val="en-GB"/>
              </w:rPr>
              <w:t>,</w:t>
            </w:r>
          </w:p>
          <w:p w:rsidR="00A956D3" w:rsidRPr="00DD0B49" w:rsidRDefault="00A956D3" w:rsidP="00A86787">
            <w:pPr>
              <w:rPr>
                <w:rFonts w:cs="Times New Roman"/>
                <w:sz w:val="20"/>
                <w:szCs w:val="20"/>
                <w:lang w:val="en-GB"/>
              </w:rPr>
            </w:pPr>
            <w:r w:rsidRPr="00DD0B49">
              <w:rPr>
                <w:rFonts w:cs="Times New Roman"/>
                <w:sz w:val="20"/>
                <w:szCs w:val="20"/>
                <w:lang w:val="en-GB"/>
              </w:rPr>
              <w:t>201</w:t>
            </w:r>
            <w:r w:rsidR="00F243A1">
              <w:rPr>
                <w:rFonts w:cs="Times New Roman"/>
                <w:sz w:val="20"/>
                <w:szCs w:val="20"/>
                <w:lang w:val="en-GB"/>
              </w:rPr>
              <w:t>5</w:t>
            </w:r>
            <w:r w:rsidRPr="00DD0B49">
              <w:rPr>
                <w:rFonts w:cs="Times New Roman"/>
                <w:sz w:val="20"/>
                <w:szCs w:val="20"/>
                <w:lang w:val="en-GB"/>
              </w:rPr>
              <w:t xml:space="preserve"> SCC </w:t>
            </w:r>
            <w:r w:rsidR="00F243A1">
              <w:rPr>
                <w:rFonts w:cs="Times New Roman"/>
                <w:sz w:val="20"/>
                <w:szCs w:val="20"/>
                <w:lang w:val="en-GB"/>
              </w:rPr>
              <w:t>20</w:t>
            </w:r>
            <w:r w:rsidRPr="00DD0B49">
              <w:rPr>
                <w:rFonts w:cs="Times New Roman"/>
                <w:sz w:val="20"/>
                <w:szCs w:val="20"/>
                <w:lang w:val="en-GB"/>
              </w:rPr>
              <w:t>, [201</w:t>
            </w:r>
            <w:r w:rsidR="00F243A1">
              <w:rPr>
                <w:rFonts w:cs="Times New Roman"/>
                <w:sz w:val="20"/>
                <w:szCs w:val="20"/>
                <w:lang w:val="en-GB"/>
              </w:rPr>
              <w:t>5</w:t>
            </w:r>
            <w:r w:rsidRPr="00DD0B49">
              <w:rPr>
                <w:rFonts w:cs="Times New Roman"/>
                <w:sz w:val="20"/>
                <w:szCs w:val="20"/>
                <w:lang w:val="en-GB"/>
              </w:rPr>
              <w:t xml:space="preserve">] </w:t>
            </w:r>
            <w:r w:rsidR="00F243A1">
              <w:rPr>
                <w:rFonts w:cs="Times New Roman"/>
                <w:sz w:val="20"/>
                <w:szCs w:val="20"/>
                <w:lang w:val="en-GB"/>
              </w:rPr>
              <w:t>2</w:t>
            </w:r>
            <w:r w:rsidRPr="00DD0B49">
              <w:rPr>
                <w:rFonts w:cs="Times New Roman"/>
                <w:sz w:val="20"/>
                <w:szCs w:val="20"/>
                <w:lang w:val="en-GB"/>
              </w:rPr>
              <w:t xml:space="preserve"> S.C.R. </w:t>
            </w:r>
            <w:r w:rsidR="00F243A1">
              <w:rPr>
                <w:rFonts w:cs="Times New Roman"/>
                <w:sz w:val="20"/>
                <w:szCs w:val="20"/>
                <w:lang w:val="en-GB"/>
              </w:rPr>
              <w:t>136</w:t>
            </w:r>
          </w:p>
          <w:p w:rsidR="00A956D3" w:rsidRPr="00DD0B49" w:rsidRDefault="00A956D3" w:rsidP="00A86787">
            <w:pPr>
              <w:rPr>
                <w:rFonts w:cs="Times New Roman"/>
                <w:iCs/>
                <w:sz w:val="20"/>
                <w:szCs w:val="20"/>
                <w:lang w:val="en-GB"/>
              </w:rPr>
            </w:pPr>
          </w:p>
          <w:p w:rsidR="00A956D3" w:rsidRPr="00E836F1" w:rsidRDefault="00EE1FDE" w:rsidP="00A86787">
            <w:pPr>
              <w:rPr>
                <w:rFonts w:cs="Times New Roman"/>
                <w:iCs/>
                <w:sz w:val="20"/>
                <w:szCs w:val="20"/>
                <w:lang w:val="fr-CA"/>
              </w:rPr>
            </w:pPr>
            <w:r>
              <w:rPr>
                <w:rFonts w:cs="Times New Roman"/>
                <w:iCs/>
                <w:sz w:val="20"/>
                <w:szCs w:val="20"/>
                <w:lang w:val="fr-CA"/>
              </w:rPr>
              <w:t xml:space="preserve">Association des parents de l’école </w:t>
            </w:r>
            <w:r w:rsidR="00A956D3" w:rsidRPr="00E836F1">
              <w:rPr>
                <w:rFonts w:cs="Times New Roman"/>
                <w:iCs/>
                <w:sz w:val="20"/>
                <w:szCs w:val="20"/>
                <w:lang w:val="fr-CA"/>
              </w:rPr>
              <w:t>R</w:t>
            </w:r>
            <w:r>
              <w:rPr>
                <w:rFonts w:cs="Times New Roman"/>
                <w:iCs/>
                <w:sz w:val="20"/>
                <w:szCs w:val="20"/>
                <w:lang w:val="fr-CA"/>
              </w:rPr>
              <w:t>ose-des-vents</w:t>
            </w:r>
            <w:r w:rsidR="00A956D3" w:rsidRPr="00E836F1">
              <w:rPr>
                <w:rFonts w:cs="Times New Roman"/>
                <w:iCs/>
                <w:sz w:val="20"/>
                <w:szCs w:val="20"/>
                <w:lang w:val="fr-CA"/>
              </w:rPr>
              <w:t xml:space="preserve"> </w:t>
            </w:r>
            <w:r w:rsidR="00A956D3" w:rsidRPr="00E836F1">
              <w:rPr>
                <w:rFonts w:cs="Times New Roman"/>
                <w:i/>
                <w:iCs/>
                <w:sz w:val="20"/>
                <w:szCs w:val="20"/>
                <w:lang w:val="fr-CA"/>
              </w:rPr>
              <w:t>v.</w:t>
            </w:r>
            <w:r w:rsidR="00A956D3" w:rsidRPr="00E836F1">
              <w:rPr>
                <w:rFonts w:cs="Times New Roman"/>
                <w:iCs/>
                <w:sz w:val="20"/>
                <w:szCs w:val="20"/>
                <w:lang w:val="fr-CA"/>
              </w:rPr>
              <w:t xml:space="preserve"> </w:t>
            </w:r>
            <w:r>
              <w:rPr>
                <w:rFonts w:cs="Times New Roman"/>
                <w:iCs/>
                <w:sz w:val="20"/>
                <w:szCs w:val="20"/>
                <w:lang w:val="fr-CA"/>
              </w:rPr>
              <w:t>British Columbia (Education)</w:t>
            </w:r>
            <w:r w:rsidR="00A956D3" w:rsidRPr="00E836F1">
              <w:rPr>
                <w:rFonts w:cs="Times New Roman"/>
                <w:iCs/>
                <w:sz w:val="20"/>
                <w:szCs w:val="20"/>
                <w:lang w:val="fr-CA"/>
              </w:rPr>
              <w:t>,</w:t>
            </w:r>
          </w:p>
          <w:p w:rsidR="00A956D3" w:rsidRPr="00E836F1" w:rsidRDefault="00A956D3" w:rsidP="00A86787">
            <w:pPr>
              <w:rPr>
                <w:rFonts w:cs="Times New Roman"/>
                <w:sz w:val="20"/>
                <w:szCs w:val="20"/>
                <w:lang w:val="fr-CA"/>
              </w:rPr>
            </w:pPr>
            <w:r w:rsidRPr="00E836F1">
              <w:rPr>
                <w:rFonts w:cs="Times New Roman"/>
                <w:sz w:val="20"/>
                <w:szCs w:val="20"/>
                <w:lang w:val="fr-CA"/>
              </w:rPr>
              <w:t>201</w:t>
            </w:r>
            <w:r w:rsidR="00EE1FDE">
              <w:rPr>
                <w:rFonts w:cs="Times New Roman"/>
                <w:sz w:val="20"/>
                <w:szCs w:val="20"/>
                <w:lang w:val="fr-CA"/>
              </w:rPr>
              <w:t>5</w:t>
            </w:r>
            <w:r w:rsidRPr="00E836F1">
              <w:rPr>
                <w:rFonts w:cs="Times New Roman"/>
                <w:sz w:val="20"/>
                <w:szCs w:val="20"/>
                <w:lang w:val="fr-CA"/>
              </w:rPr>
              <w:t xml:space="preserve"> SCC </w:t>
            </w:r>
            <w:r w:rsidR="00EE1FDE">
              <w:rPr>
                <w:rFonts w:cs="Times New Roman"/>
                <w:sz w:val="20"/>
                <w:szCs w:val="20"/>
                <w:lang w:val="fr-CA"/>
              </w:rPr>
              <w:t>21</w:t>
            </w:r>
            <w:r w:rsidRPr="00E836F1">
              <w:rPr>
                <w:rFonts w:cs="Times New Roman"/>
                <w:sz w:val="20"/>
                <w:szCs w:val="20"/>
                <w:lang w:val="fr-CA"/>
              </w:rPr>
              <w:t>, [201</w:t>
            </w:r>
            <w:r w:rsidR="00EE1FDE">
              <w:rPr>
                <w:rFonts w:cs="Times New Roman"/>
                <w:sz w:val="20"/>
                <w:szCs w:val="20"/>
                <w:lang w:val="fr-CA"/>
              </w:rPr>
              <w:t>5</w:t>
            </w:r>
            <w:r w:rsidRPr="00E836F1">
              <w:rPr>
                <w:rFonts w:cs="Times New Roman"/>
                <w:sz w:val="20"/>
                <w:szCs w:val="20"/>
                <w:lang w:val="fr-CA"/>
              </w:rPr>
              <w:t xml:space="preserve">] </w:t>
            </w:r>
            <w:r w:rsidR="00EE1FDE">
              <w:rPr>
                <w:rFonts w:cs="Times New Roman"/>
                <w:sz w:val="20"/>
                <w:szCs w:val="20"/>
                <w:lang w:val="fr-CA"/>
              </w:rPr>
              <w:t>2</w:t>
            </w:r>
            <w:r w:rsidRPr="00E836F1">
              <w:rPr>
                <w:rFonts w:cs="Times New Roman"/>
                <w:sz w:val="20"/>
                <w:szCs w:val="20"/>
                <w:lang w:val="fr-CA"/>
              </w:rPr>
              <w:t xml:space="preserve"> S.C.R. </w:t>
            </w:r>
            <w:r w:rsidR="00EE1FDE">
              <w:rPr>
                <w:rFonts w:cs="Times New Roman"/>
                <w:sz w:val="20"/>
                <w:szCs w:val="20"/>
                <w:lang w:val="fr-CA"/>
              </w:rPr>
              <w:t>13</w:t>
            </w:r>
            <w:r w:rsidR="00D14C56">
              <w:rPr>
                <w:rFonts w:cs="Times New Roman"/>
                <w:sz w:val="20"/>
                <w:szCs w:val="20"/>
                <w:lang w:val="fr-CA"/>
              </w:rPr>
              <w:t>9</w:t>
            </w:r>
          </w:p>
          <w:p w:rsidR="00A956D3" w:rsidRPr="00E836F1" w:rsidRDefault="00A956D3" w:rsidP="00A86787">
            <w:pPr>
              <w:rPr>
                <w:rFonts w:cs="Times New Roman"/>
                <w:sz w:val="20"/>
                <w:szCs w:val="20"/>
                <w:lang w:val="fr-CA"/>
              </w:rPr>
            </w:pPr>
          </w:p>
          <w:p w:rsidR="00A956D3" w:rsidRPr="00E836F1" w:rsidRDefault="00EB24C8" w:rsidP="00A86787">
            <w:pPr>
              <w:rPr>
                <w:rFonts w:cs="Times New Roman"/>
                <w:iCs/>
                <w:sz w:val="20"/>
                <w:szCs w:val="20"/>
                <w:lang w:val="fr-CA"/>
              </w:rPr>
            </w:pPr>
            <w:r>
              <w:rPr>
                <w:rFonts w:cs="Times New Roman"/>
                <w:iCs/>
                <w:sz w:val="20"/>
                <w:szCs w:val="20"/>
                <w:lang w:val="fr-CA"/>
              </w:rPr>
              <w:t>Quebec (Attorney General)</w:t>
            </w:r>
            <w:r w:rsidR="00A956D3" w:rsidRPr="00E836F1">
              <w:rPr>
                <w:rFonts w:cs="Times New Roman"/>
                <w:iCs/>
                <w:sz w:val="20"/>
                <w:szCs w:val="20"/>
                <w:lang w:val="fr-CA"/>
              </w:rPr>
              <w:t xml:space="preserve"> </w:t>
            </w:r>
            <w:r w:rsidR="00A956D3" w:rsidRPr="00E836F1">
              <w:rPr>
                <w:rFonts w:cs="Times New Roman"/>
                <w:i/>
                <w:iCs/>
                <w:sz w:val="20"/>
                <w:szCs w:val="20"/>
                <w:lang w:val="fr-CA"/>
              </w:rPr>
              <w:t>v.</w:t>
            </w:r>
            <w:r w:rsidR="00A956D3" w:rsidRPr="00E836F1">
              <w:rPr>
                <w:rFonts w:cs="Times New Roman"/>
                <w:iCs/>
                <w:sz w:val="20"/>
                <w:szCs w:val="20"/>
                <w:lang w:val="fr-CA"/>
              </w:rPr>
              <w:t xml:space="preserve"> </w:t>
            </w:r>
            <w:r>
              <w:rPr>
                <w:rFonts w:cs="Times New Roman"/>
                <w:iCs/>
                <w:sz w:val="20"/>
                <w:szCs w:val="20"/>
                <w:lang w:val="fr-CA"/>
              </w:rPr>
              <w:t>Canada (Attorney General)</w:t>
            </w:r>
            <w:r w:rsidR="00A956D3" w:rsidRPr="00E836F1">
              <w:rPr>
                <w:rFonts w:cs="Times New Roman"/>
                <w:iCs/>
                <w:sz w:val="20"/>
                <w:szCs w:val="20"/>
                <w:lang w:val="fr-CA"/>
              </w:rPr>
              <w:t>,</w:t>
            </w:r>
          </w:p>
          <w:p w:rsidR="00A956D3" w:rsidRDefault="00A956D3" w:rsidP="00A86787">
            <w:pPr>
              <w:rPr>
                <w:rFonts w:cs="Times New Roman"/>
                <w:sz w:val="20"/>
                <w:szCs w:val="20"/>
                <w:lang w:val="fr-CA"/>
              </w:rPr>
            </w:pPr>
            <w:r w:rsidRPr="00E836F1">
              <w:rPr>
                <w:rFonts w:cs="Times New Roman"/>
                <w:sz w:val="20"/>
                <w:szCs w:val="20"/>
                <w:lang w:val="fr-CA"/>
              </w:rPr>
              <w:t>201</w:t>
            </w:r>
            <w:r w:rsidR="00EB24C8">
              <w:rPr>
                <w:rFonts w:cs="Times New Roman"/>
                <w:sz w:val="20"/>
                <w:szCs w:val="20"/>
                <w:lang w:val="fr-CA"/>
              </w:rPr>
              <w:t>5</w:t>
            </w:r>
            <w:r w:rsidRPr="00E836F1">
              <w:rPr>
                <w:rFonts w:cs="Times New Roman"/>
                <w:sz w:val="20"/>
                <w:szCs w:val="20"/>
                <w:lang w:val="fr-CA"/>
              </w:rPr>
              <w:t xml:space="preserve"> SCC </w:t>
            </w:r>
            <w:r w:rsidR="00EB24C8">
              <w:rPr>
                <w:rFonts w:cs="Times New Roman"/>
                <w:sz w:val="20"/>
                <w:szCs w:val="20"/>
                <w:lang w:val="fr-CA"/>
              </w:rPr>
              <w:t>22</w:t>
            </w:r>
            <w:r w:rsidRPr="00E836F1">
              <w:rPr>
                <w:rFonts w:cs="Times New Roman"/>
                <w:sz w:val="20"/>
                <w:szCs w:val="20"/>
                <w:lang w:val="fr-CA"/>
              </w:rPr>
              <w:t>, [201</w:t>
            </w:r>
            <w:r w:rsidR="00EB24C8">
              <w:rPr>
                <w:rFonts w:cs="Times New Roman"/>
                <w:sz w:val="20"/>
                <w:szCs w:val="20"/>
                <w:lang w:val="fr-CA"/>
              </w:rPr>
              <w:t>5</w:t>
            </w:r>
            <w:r w:rsidRPr="00E836F1">
              <w:rPr>
                <w:rFonts w:cs="Times New Roman"/>
                <w:sz w:val="20"/>
                <w:szCs w:val="20"/>
                <w:lang w:val="fr-CA"/>
              </w:rPr>
              <w:t xml:space="preserve">] </w:t>
            </w:r>
            <w:r w:rsidR="00EB24C8">
              <w:rPr>
                <w:rFonts w:cs="Times New Roman"/>
                <w:sz w:val="20"/>
                <w:szCs w:val="20"/>
                <w:lang w:val="fr-CA"/>
              </w:rPr>
              <w:t>2</w:t>
            </w:r>
            <w:r w:rsidRPr="00E836F1">
              <w:rPr>
                <w:rFonts w:cs="Times New Roman"/>
                <w:sz w:val="20"/>
                <w:szCs w:val="20"/>
                <w:lang w:val="fr-CA"/>
              </w:rPr>
              <w:t xml:space="preserve"> S.C.R. </w:t>
            </w:r>
            <w:r w:rsidR="00EB24C8">
              <w:rPr>
                <w:rFonts w:cs="Times New Roman"/>
                <w:sz w:val="20"/>
                <w:szCs w:val="20"/>
                <w:lang w:val="fr-CA"/>
              </w:rPr>
              <w:t>179</w:t>
            </w:r>
          </w:p>
          <w:p w:rsidR="004C6551" w:rsidRDefault="004C6551" w:rsidP="00A86787">
            <w:pPr>
              <w:rPr>
                <w:rFonts w:cs="Times New Roman"/>
                <w:sz w:val="20"/>
                <w:szCs w:val="20"/>
                <w:lang w:val="fr-CA"/>
              </w:rPr>
            </w:pPr>
          </w:p>
          <w:p w:rsidR="004C6551" w:rsidRDefault="004C6551" w:rsidP="00A86787">
            <w:pPr>
              <w:rPr>
                <w:rFonts w:cs="Times New Roman"/>
                <w:sz w:val="20"/>
                <w:szCs w:val="20"/>
                <w:lang w:val="fr-CA"/>
              </w:rPr>
            </w:pPr>
            <w:r>
              <w:rPr>
                <w:rFonts w:cs="Times New Roman"/>
                <w:sz w:val="20"/>
                <w:szCs w:val="20"/>
                <w:lang w:val="fr-CA"/>
              </w:rPr>
              <w:t xml:space="preserve">White Burgess Langille Inman </w:t>
            </w:r>
            <w:r w:rsidRPr="004C6551">
              <w:rPr>
                <w:rFonts w:cs="Times New Roman"/>
                <w:i/>
                <w:sz w:val="20"/>
                <w:szCs w:val="20"/>
                <w:lang w:val="fr-CA"/>
              </w:rPr>
              <w:t>v.</w:t>
            </w:r>
            <w:r>
              <w:rPr>
                <w:rFonts w:cs="Times New Roman"/>
                <w:sz w:val="20"/>
                <w:szCs w:val="20"/>
                <w:lang w:val="fr-CA"/>
              </w:rPr>
              <w:t xml:space="preserve"> Abbott and Haliburton Co.</w:t>
            </w:r>
          </w:p>
          <w:p w:rsidR="004C6551" w:rsidRDefault="004C6551" w:rsidP="00A86787">
            <w:pPr>
              <w:rPr>
                <w:rFonts w:cs="Times New Roman"/>
                <w:sz w:val="20"/>
                <w:szCs w:val="20"/>
                <w:lang w:val="fr-CA"/>
              </w:rPr>
            </w:pPr>
            <w:r>
              <w:rPr>
                <w:rFonts w:cs="Times New Roman"/>
                <w:sz w:val="20"/>
                <w:szCs w:val="20"/>
                <w:lang w:val="fr-CA"/>
              </w:rPr>
              <w:t>2015 SCC 23 [2015] 2 S.C.R. 182</w:t>
            </w:r>
          </w:p>
          <w:p w:rsidR="00F870CE" w:rsidRDefault="00F870CE" w:rsidP="00A86787">
            <w:pPr>
              <w:rPr>
                <w:rFonts w:cs="Times New Roman"/>
                <w:sz w:val="20"/>
                <w:szCs w:val="20"/>
                <w:lang w:val="fr-CA"/>
              </w:rPr>
            </w:pPr>
          </w:p>
          <w:p w:rsidR="00F870CE" w:rsidRDefault="00F870CE" w:rsidP="00A86787">
            <w:pPr>
              <w:rPr>
                <w:rFonts w:cs="Times New Roman"/>
                <w:sz w:val="20"/>
                <w:szCs w:val="20"/>
                <w:lang w:val="fr-CA"/>
              </w:rPr>
            </w:pPr>
            <w:r>
              <w:rPr>
                <w:rFonts w:cs="Times New Roman"/>
                <w:sz w:val="20"/>
                <w:szCs w:val="20"/>
                <w:lang w:val="fr-CA"/>
              </w:rPr>
              <w:t>Henry v. British Columbia (Attorney General)</w:t>
            </w:r>
          </w:p>
          <w:p w:rsidR="00F870CE" w:rsidRDefault="00F870CE" w:rsidP="00F870CE">
            <w:pPr>
              <w:rPr>
                <w:rFonts w:cs="Times New Roman"/>
                <w:sz w:val="20"/>
                <w:szCs w:val="20"/>
                <w:lang w:val="fr-CA"/>
              </w:rPr>
            </w:pPr>
            <w:r>
              <w:rPr>
                <w:rFonts w:cs="Times New Roman"/>
                <w:sz w:val="20"/>
                <w:szCs w:val="20"/>
                <w:lang w:val="fr-CA"/>
              </w:rPr>
              <w:t>2015 SCC 24 [2015] 2 S.C.R. 214</w:t>
            </w:r>
          </w:p>
          <w:p w:rsidR="00B52AD0" w:rsidRDefault="00B52AD0" w:rsidP="00F870CE">
            <w:pPr>
              <w:rPr>
                <w:rFonts w:cs="Times New Roman"/>
                <w:sz w:val="20"/>
                <w:szCs w:val="20"/>
                <w:lang w:val="fr-CA"/>
              </w:rPr>
            </w:pPr>
          </w:p>
          <w:p w:rsidR="00A956D3" w:rsidRPr="00E15380" w:rsidRDefault="00B52AD0" w:rsidP="00A86787">
            <w:pPr>
              <w:rPr>
                <w:rFonts w:cs="Times New Roman"/>
                <w:sz w:val="20"/>
                <w:szCs w:val="20"/>
              </w:rPr>
            </w:pPr>
            <w:r>
              <w:rPr>
                <w:rFonts w:cs="Times New Roman"/>
                <w:sz w:val="20"/>
                <w:szCs w:val="20"/>
              </w:rPr>
              <w:t>Yukon Francophone School Board, Education Area #23</w:t>
            </w:r>
            <w:r w:rsidR="00A956D3" w:rsidRPr="00E15380">
              <w:rPr>
                <w:rFonts w:cs="Times New Roman"/>
                <w:sz w:val="20"/>
                <w:szCs w:val="20"/>
              </w:rPr>
              <w:t xml:space="preserve"> </w:t>
            </w:r>
            <w:r w:rsidR="00A956D3" w:rsidRPr="00E15380">
              <w:rPr>
                <w:rFonts w:cs="Times New Roman"/>
                <w:i/>
                <w:iCs/>
                <w:sz w:val="20"/>
                <w:szCs w:val="20"/>
              </w:rPr>
              <w:t xml:space="preserve">v. </w:t>
            </w:r>
            <w:r>
              <w:rPr>
                <w:rFonts w:cs="Times New Roman"/>
                <w:iCs/>
                <w:sz w:val="20"/>
                <w:szCs w:val="20"/>
              </w:rPr>
              <w:t>Yukon (Attorney General)</w:t>
            </w:r>
            <w:r w:rsidR="00A956D3" w:rsidRPr="00E15380">
              <w:rPr>
                <w:rFonts w:cs="Times New Roman"/>
                <w:iCs/>
                <w:sz w:val="20"/>
                <w:szCs w:val="20"/>
              </w:rPr>
              <w:t>,</w:t>
            </w:r>
          </w:p>
          <w:p w:rsidR="00A956D3" w:rsidRPr="00E15380" w:rsidRDefault="00A956D3" w:rsidP="00A86787">
            <w:pPr>
              <w:rPr>
                <w:rFonts w:cs="Times New Roman"/>
                <w:sz w:val="20"/>
                <w:szCs w:val="20"/>
              </w:rPr>
            </w:pPr>
            <w:r w:rsidRPr="00E15380">
              <w:rPr>
                <w:rFonts w:cs="Times New Roman"/>
                <w:sz w:val="20"/>
                <w:szCs w:val="20"/>
              </w:rPr>
              <w:t>201</w:t>
            </w:r>
            <w:r w:rsidR="00B52AD0">
              <w:rPr>
                <w:rFonts w:cs="Times New Roman"/>
                <w:sz w:val="20"/>
                <w:szCs w:val="20"/>
              </w:rPr>
              <w:t>5</w:t>
            </w:r>
            <w:r w:rsidRPr="00E15380">
              <w:rPr>
                <w:rFonts w:cs="Times New Roman"/>
                <w:sz w:val="20"/>
                <w:szCs w:val="20"/>
              </w:rPr>
              <w:t xml:space="preserve"> SCC </w:t>
            </w:r>
            <w:r w:rsidR="00B52AD0">
              <w:rPr>
                <w:rFonts w:cs="Times New Roman"/>
                <w:sz w:val="20"/>
                <w:szCs w:val="20"/>
              </w:rPr>
              <w:t>2</w:t>
            </w:r>
            <w:r>
              <w:rPr>
                <w:rFonts w:cs="Times New Roman"/>
                <w:sz w:val="20"/>
                <w:szCs w:val="20"/>
              </w:rPr>
              <w:t>5</w:t>
            </w:r>
            <w:r w:rsidRPr="00E15380">
              <w:rPr>
                <w:rFonts w:cs="Times New Roman"/>
                <w:sz w:val="20"/>
                <w:szCs w:val="20"/>
              </w:rPr>
              <w:t>, [201</w:t>
            </w:r>
            <w:r w:rsidR="00B52AD0">
              <w:rPr>
                <w:rFonts w:cs="Times New Roman"/>
                <w:sz w:val="20"/>
                <w:szCs w:val="20"/>
              </w:rPr>
              <w:t>5</w:t>
            </w:r>
            <w:r w:rsidRPr="00E15380">
              <w:rPr>
                <w:rFonts w:cs="Times New Roman"/>
                <w:sz w:val="20"/>
                <w:szCs w:val="20"/>
              </w:rPr>
              <w:t xml:space="preserve">] </w:t>
            </w:r>
            <w:r w:rsidR="00B52AD0">
              <w:rPr>
                <w:rFonts w:cs="Times New Roman"/>
                <w:sz w:val="20"/>
                <w:szCs w:val="20"/>
              </w:rPr>
              <w:t>2</w:t>
            </w:r>
            <w:r w:rsidRPr="00E15380">
              <w:rPr>
                <w:rFonts w:cs="Times New Roman"/>
                <w:sz w:val="20"/>
                <w:szCs w:val="20"/>
              </w:rPr>
              <w:t xml:space="preserve"> S.C.R. </w:t>
            </w:r>
            <w:r w:rsidR="00B52AD0">
              <w:rPr>
                <w:rFonts w:cs="Times New Roman"/>
                <w:sz w:val="20"/>
                <w:szCs w:val="20"/>
              </w:rPr>
              <w:t>282</w:t>
            </w:r>
          </w:p>
          <w:p w:rsidR="00A956D3" w:rsidRPr="00E15380" w:rsidRDefault="00A956D3" w:rsidP="00A86787">
            <w:pPr>
              <w:keepNext/>
              <w:keepLines/>
              <w:rPr>
                <w:rFonts w:cs="Times New Roman"/>
                <w:bCs/>
                <w:sz w:val="20"/>
                <w:szCs w:val="20"/>
              </w:rPr>
            </w:pPr>
          </w:p>
          <w:p w:rsidR="00A956D3" w:rsidRPr="00DD0B49" w:rsidRDefault="00EC4FDF" w:rsidP="00A86787">
            <w:pPr>
              <w:keepNext/>
              <w:keepLines/>
              <w:rPr>
                <w:rFonts w:cs="Times New Roman"/>
                <w:bCs/>
                <w:sz w:val="20"/>
                <w:szCs w:val="20"/>
                <w:lang w:val="fr-CA"/>
              </w:rPr>
            </w:pPr>
            <w:r>
              <w:rPr>
                <w:rFonts w:cs="Times New Roman"/>
                <w:sz w:val="20"/>
                <w:szCs w:val="20"/>
              </w:rPr>
              <w:pict>
                <v:rect id="_x0000_i1106" style="width:129.6pt;height:1pt" o:hrpct="600" o:hralign="center" o:hrstd="t" o:hrnoshade="t" o:hr="t" fillcolor="black [3213]" stroked="f"/>
              </w:pict>
            </w:r>
          </w:p>
          <w:p w:rsidR="00A956D3" w:rsidRPr="00DD0B49" w:rsidRDefault="00A956D3" w:rsidP="00A86787">
            <w:pPr>
              <w:keepNext/>
              <w:keepLines/>
              <w:rPr>
                <w:rFonts w:cs="Times New Roman"/>
                <w:bCs/>
                <w:sz w:val="20"/>
                <w:szCs w:val="20"/>
                <w:lang w:val="fr-CA"/>
              </w:rPr>
            </w:pPr>
          </w:p>
        </w:tc>
        <w:tc>
          <w:tcPr>
            <w:tcW w:w="840" w:type="dxa"/>
            <w:tcBorders>
              <w:top w:val="nil"/>
              <w:left w:val="nil"/>
              <w:bottom w:val="nil"/>
              <w:right w:val="nil"/>
            </w:tcBorders>
          </w:tcPr>
          <w:p w:rsidR="00A956D3" w:rsidRPr="00DD0B49" w:rsidRDefault="00A956D3" w:rsidP="00A86787">
            <w:pPr>
              <w:rPr>
                <w:rFonts w:cs="Times New Roman"/>
                <w:b/>
                <w:bCs/>
                <w:sz w:val="20"/>
                <w:szCs w:val="20"/>
                <w:lang w:val="fr-CA"/>
              </w:rPr>
            </w:pPr>
          </w:p>
        </w:tc>
        <w:tc>
          <w:tcPr>
            <w:tcW w:w="4320" w:type="dxa"/>
            <w:tcBorders>
              <w:top w:val="nil"/>
              <w:left w:val="nil"/>
              <w:bottom w:val="nil"/>
              <w:right w:val="nil"/>
            </w:tcBorders>
          </w:tcPr>
          <w:p w:rsidR="00A956D3" w:rsidRPr="00DD0B49" w:rsidRDefault="00A956D3" w:rsidP="00A86787">
            <w:pPr>
              <w:rPr>
                <w:rFonts w:cs="Times New Roman"/>
                <w:b/>
                <w:bCs/>
                <w:sz w:val="20"/>
                <w:szCs w:val="20"/>
                <w:lang w:val="fr-CA"/>
              </w:rPr>
            </w:pPr>
            <w:r w:rsidRPr="00DD0B49">
              <w:rPr>
                <w:rFonts w:cs="Times New Roman"/>
                <w:b/>
                <w:bCs/>
                <w:sz w:val="20"/>
                <w:szCs w:val="20"/>
                <w:lang w:val="fr-CA"/>
              </w:rPr>
              <w:t>Jugements publiés dans [201</w:t>
            </w:r>
            <w:r w:rsidR="003D36C9">
              <w:rPr>
                <w:rFonts w:cs="Times New Roman"/>
                <w:b/>
                <w:bCs/>
                <w:sz w:val="20"/>
                <w:szCs w:val="20"/>
                <w:lang w:val="fr-CA"/>
              </w:rPr>
              <w:t>5</w:t>
            </w:r>
            <w:r w:rsidRPr="00DD0B49">
              <w:rPr>
                <w:rFonts w:cs="Times New Roman"/>
                <w:b/>
                <w:bCs/>
                <w:sz w:val="20"/>
                <w:szCs w:val="20"/>
                <w:lang w:val="fr-CA"/>
              </w:rPr>
              <w:t xml:space="preserve">] </w:t>
            </w:r>
            <w:r w:rsidR="003D36C9">
              <w:rPr>
                <w:rFonts w:cs="Times New Roman"/>
                <w:b/>
                <w:bCs/>
                <w:sz w:val="20"/>
                <w:szCs w:val="20"/>
                <w:lang w:val="fr-CA"/>
              </w:rPr>
              <w:t>2</w:t>
            </w:r>
            <w:r w:rsidRPr="00DD0B49">
              <w:rPr>
                <w:rFonts w:cs="Times New Roman"/>
                <w:b/>
                <w:bCs/>
                <w:sz w:val="20"/>
                <w:szCs w:val="20"/>
                <w:lang w:val="fr-CA"/>
              </w:rPr>
              <w:t xml:space="preserve"> R.C.S. Partie </w:t>
            </w:r>
            <w:r w:rsidR="003D36C9">
              <w:rPr>
                <w:rFonts w:cs="Times New Roman"/>
                <w:b/>
                <w:bCs/>
                <w:sz w:val="20"/>
                <w:szCs w:val="20"/>
                <w:lang w:val="fr-CA"/>
              </w:rPr>
              <w:t>1</w:t>
            </w:r>
          </w:p>
          <w:p w:rsidR="00A956D3" w:rsidRPr="00DD0B49" w:rsidRDefault="00A956D3" w:rsidP="00A86787">
            <w:pPr>
              <w:rPr>
                <w:rFonts w:cs="Times New Roman"/>
                <w:b/>
                <w:bCs/>
                <w:sz w:val="20"/>
                <w:szCs w:val="20"/>
                <w:lang w:val="fr-CA"/>
              </w:rPr>
            </w:pPr>
          </w:p>
          <w:p w:rsidR="00A956D3" w:rsidRPr="00F029FD" w:rsidRDefault="00793EF2" w:rsidP="00A86787">
            <w:pPr>
              <w:rPr>
                <w:rFonts w:cs="Times New Roman"/>
                <w:sz w:val="20"/>
                <w:szCs w:val="20"/>
                <w:lang w:val="fr-CA"/>
              </w:rPr>
            </w:pPr>
            <w:r>
              <w:rPr>
                <w:rFonts w:cs="Times New Roman"/>
                <w:sz w:val="20"/>
                <w:szCs w:val="20"/>
                <w:lang w:val="fr-CA"/>
              </w:rPr>
              <w:t xml:space="preserve">Mouvement laïque québécois </w:t>
            </w:r>
            <w:r w:rsidR="00A956D3" w:rsidRPr="00F029FD">
              <w:rPr>
                <w:rFonts w:cs="Times New Roman"/>
                <w:i/>
                <w:sz w:val="20"/>
                <w:szCs w:val="20"/>
                <w:lang w:val="fr-CA"/>
              </w:rPr>
              <w:t>c.</w:t>
            </w:r>
            <w:r w:rsidR="00A956D3" w:rsidRPr="00F029FD">
              <w:rPr>
                <w:rFonts w:cs="Times New Roman"/>
                <w:sz w:val="20"/>
                <w:szCs w:val="20"/>
                <w:lang w:val="fr-CA"/>
              </w:rPr>
              <w:t xml:space="preserve"> </w:t>
            </w:r>
            <w:r>
              <w:rPr>
                <w:rFonts w:cs="Times New Roman"/>
                <w:sz w:val="20"/>
                <w:szCs w:val="20"/>
                <w:lang w:val="fr-CA"/>
              </w:rPr>
              <w:t>Saguenay (Ville)</w:t>
            </w:r>
            <w:r w:rsidR="00A956D3" w:rsidRPr="00F029FD">
              <w:rPr>
                <w:rFonts w:cs="Times New Roman"/>
                <w:sz w:val="20"/>
                <w:szCs w:val="20"/>
                <w:lang w:val="fr-CA"/>
              </w:rPr>
              <w:t>,</w:t>
            </w:r>
          </w:p>
          <w:p w:rsidR="00A956D3" w:rsidRPr="0029235F" w:rsidRDefault="00A956D3" w:rsidP="00A86787">
            <w:pPr>
              <w:rPr>
                <w:rFonts w:cs="Times New Roman"/>
                <w:sz w:val="20"/>
                <w:szCs w:val="20"/>
                <w:lang w:val="fr-CA"/>
              </w:rPr>
            </w:pPr>
            <w:r w:rsidRPr="0029235F">
              <w:rPr>
                <w:rFonts w:cs="Times New Roman"/>
                <w:sz w:val="20"/>
                <w:szCs w:val="20"/>
                <w:lang w:val="fr-CA"/>
              </w:rPr>
              <w:t>201</w:t>
            </w:r>
            <w:r w:rsidR="00793EF2">
              <w:rPr>
                <w:rFonts w:cs="Times New Roman"/>
                <w:sz w:val="20"/>
                <w:szCs w:val="20"/>
                <w:lang w:val="fr-CA"/>
              </w:rPr>
              <w:t>5</w:t>
            </w:r>
            <w:r w:rsidRPr="0029235F">
              <w:rPr>
                <w:rFonts w:cs="Times New Roman"/>
                <w:sz w:val="20"/>
                <w:szCs w:val="20"/>
                <w:lang w:val="fr-CA"/>
              </w:rPr>
              <w:t xml:space="preserve"> CSC </w:t>
            </w:r>
            <w:r w:rsidR="00793EF2">
              <w:rPr>
                <w:rFonts w:cs="Times New Roman"/>
                <w:sz w:val="20"/>
                <w:szCs w:val="20"/>
                <w:lang w:val="fr-CA"/>
              </w:rPr>
              <w:t>16</w:t>
            </w:r>
            <w:r w:rsidRPr="0029235F">
              <w:rPr>
                <w:rFonts w:cs="Times New Roman"/>
                <w:sz w:val="20"/>
                <w:szCs w:val="20"/>
                <w:lang w:val="fr-CA"/>
              </w:rPr>
              <w:t>, [201</w:t>
            </w:r>
            <w:r w:rsidR="00793EF2">
              <w:rPr>
                <w:rFonts w:cs="Times New Roman"/>
                <w:sz w:val="20"/>
                <w:szCs w:val="20"/>
                <w:lang w:val="fr-CA"/>
              </w:rPr>
              <w:t>5</w:t>
            </w:r>
            <w:r w:rsidRPr="0029235F">
              <w:rPr>
                <w:rFonts w:cs="Times New Roman"/>
                <w:sz w:val="20"/>
                <w:szCs w:val="20"/>
                <w:lang w:val="fr-CA"/>
              </w:rPr>
              <w:t xml:space="preserve">] </w:t>
            </w:r>
            <w:r w:rsidR="00793EF2">
              <w:rPr>
                <w:rFonts w:cs="Times New Roman"/>
                <w:sz w:val="20"/>
                <w:szCs w:val="20"/>
                <w:lang w:val="fr-CA"/>
              </w:rPr>
              <w:t>2</w:t>
            </w:r>
            <w:r w:rsidRPr="0029235F">
              <w:rPr>
                <w:rFonts w:cs="Times New Roman"/>
                <w:sz w:val="20"/>
                <w:szCs w:val="20"/>
                <w:lang w:val="fr-CA"/>
              </w:rPr>
              <w:t xml:space="preserve"> R.C.S. </w:t>
            </w:r>
            <w:r>
              <w:rPr>
                <w:rFonts w:cs="Times New Roman"/>
                <w:sz w:val="20"/>
                <w:szCs w:val="20"/>
                <w:lang w:val="fr-CA"/>
              </w:rPr>
              <w:t>3</w:t>
            </w:r>
          </w:p>
          <w:p w:rsidR="00A956D3" w:rsidRPr="0029235F" w:rsidRDefault="00A956D3" w:rsidP="00A86787">
            <w:pPr>
              <w:rPr>
                <w:rFonts w:cs="Times New Roman"/>
                <w:sz w:val="20"/>
                <w:szCs w:val="20"/>
                <w:lang w:val="fr-CA"/>
              </w:rPr>
            </w:pPr>
          </w:p>
          <w:p w:rsidR="00A956D3" w:rsidRPr="00F029FD" w:rsidRDefault="00D53B3C" w:rsidP="00A86787">
            <w:pPr>
              <w:rPr>
                <w:rFonts w:cs="Times New Roman"/>
                <w:sz w:val="20"/>
                <w:szCs w:val="20"/>
                <w:lang w:val="fr-CA"/>
              </w:rPr>
            </w:pPr>
            <w:r>
              <w:rPr>
                <w:rFonts w:cs="Times New Roman"/>
                <w:sz w:val="20"/>
                <w:szCs w:val="20"/>
                <w:lang w:val="fr-CA"/>
              </w:rPr>
              <w:t>Carey</w:t>
            </w:r>
            <w:r w:rsidR="00A956D3" w:rsidRPr="00F029FD">
              <w:rPr>
                <w:rFonts w:cs="Times New Roman"/>
                <w:sz w:val="20"/>
                <w:szCs w:val="20"/>
                <w:lang w:val="fr-CA"/>
              </w:rPr>
              <w:t xml:space="preserve"> </w:t>
            </w:r>
            <w:r w:rsidR="00A956D3" w:rsidRPr="00F029FD">
              <w:rPr>
                <w:rFonts w:cs="Times New Roman"/>
                <w:i/>
                <w:iCs/>
                <w:sz w:val="20"/>
                <w:szCs w:val="20"/>
                <w:lang w:val="fr-CA"/>
              </w:rPr>
              <w:t>c.</w:t>
            </w:r>
            <w:r w:rsidR="00A956D3" w:rsidRPr="00F029FD">
              <w:rPr>
                <w:rFonts w:cs="Times New Roman"/>
                <w:sz w:val="20"/>
                <w:szCs w:val="20"/>
                <w:lang w:val="fr-CA"/>
              </w:rPr>
              <w:t xml:space="preserve"> </w:t>
            </w:r>
            <w:r>
              <w:rPr>
                <w:rFonts w:cs="Times New Roman"/>
                <w:sz w:val="20"/>
                <w:szCs w:val="20"/>
                <w:lang w:val="fr-CA"/>
              </w:rPr>
              <w:t>Laiken</w:t>
            </w:r>
            <w:r w:rsidR="00A956D3" w:rsidRPr="00F029FD">
              <w:rPr>
                <w:rFonts w:cs="Times New Roman"/>
                <w:sz w:val="20"/>
                <w:szCs w:val="20"/>
                <w:lang w:val="fr-CA"/>
              </w:rPr>
              <w:t>,</w:t>
            </w:r>
          </w:p>
          <w:p w:rsidR="00A956D3" w:rsidRPr="0029235F" w:rsidRDefault="00A956D3" w:rsidP="00A86787">
            <w:pPr>
              <w:rPr>
                <w:rFonts w:cs="Times New Roman"/>
                <w:sz w:val="20"/>
                <w:szCs w:val="20"/>
                <w:lang w:val="fr-CA"/>
              </w:rPr>
            </w:pPr>
            <w:r w:rsidRPr="0029235F">
              <w:rPr>
                <w:rFonts w:cs="Times New Roman"/>
                <w:sz w:val="20"/>
                <w:szCs w:val="20"/>
                <w:lang w:val="fr-CA"/>
              </w:rPr>
              <w:t>201</w:t>
            </w:r>
            <w:r w:rsidR="00D53B3C">
              <w:rPr>
                <w:rFonts w:cs="Times New Roman"/>
                <w:sz w:val="20"/>
                <w:szCs w:val="20"/>
                <w:lang w:val="fr-CA"/>
              </w:rPr>
              <w:t>5</w:t>
            </w:r>
            <w:r w:rsidRPr="0029235F">
              <w:rPr>
                <w:rFonts w:cs="Times New Roman"/>
                <w:sz w:val="20"/>
                <w:szCs w:val="20"/>
                <w:lang w:val="fr-CA"/>
              </w:rPr>
              <w:t xml:space="preserve"> CSC </w:t>
            </w:r>
            <w:r w:rsidR="00D53B3C">
              <w:rPr>
                <w:rFonts w:cs="Times New Roman"/>
                <w:sz w:val="20"/>
                <w:szCs w:val="20"/>
                <w:lang w:val="fr-CA"/>
              </w:rPr>
              <w:t>17</w:t>
            </w:r>
            <w:r w:rsidRPr="0029235F">
              <w:rPr>
                <w:rFonts w:cs="Times New Roman"/>
                <w:sz w:val="20"/>
                <w:szCs w:val="20"/>
                <w:lang w:val="fr-CA"/>
              </w:rPr>
              <w:t>, [201</w:t>
            </w:r>
            <w:r w:rsidR="00D53B3C">
              <w:rPr>
                <w:rFonts w:cs="Times New Roman"/>
                <w:sz w:val="20"/>
                <w:szCs w:val="20"/>
                <w:lang w:val="fr-CA"/>
              </w:rPr>
              <w:t>5</w:t>
            </w:r>
            <w:r w:rsidRPr="0029235F">
              <w:rPr>
                <w:rFonts w:cs="Times New Roman"/>
                <w:sz w:val="20"/>
                <w:szCs w:val="20"/>
                <w:lang w:val="fr-CA"/>
              </w:rPr>
              <w:t xml:space="preserve">] </w:t>
            </w:r>
            <w:r w:rsidR="00D53B3C">
              <w:rPr>
                <w:rFonts w:cs="Times New Roman"/>
                <w:sz w:val="20"/>
                <w:szCs w:val="20"/>
                <w:lang w:val="fr-CA"/>
              </w:rPr>
              <w:t>2</w:t>
            </w:r>
            <w:r w:rsidRPr="0029235F">
              <w:rPr>
                <w:rFonts w:cs="Times New Roman"/>
                <w:sz w:val="20"/>
                <w:szCs w:val="20"/>
                <w:lang w:val="fr-CA"/>
              </w:rPr>
              <w:t xml:space="preserve"> R.C.S. </w:t>
            </w:r>
            <w:r w:rsidR="00D53B3C">
              <w:rPr>
                <w:rFonts w:cs="Times New Roman"/>
                <w:sz w:val="20"/>
                <w:szCs w:val="20"/>
                <w:lang w:val="fr-CA"/>
              </w:rPr>
              <w:t>79</w:t>
            </w:r>
          </w:p>
          <w:p w:rsidR="00A956D3" w:rsidRPr="0029235F" w:rsidRDefault="00A956D3" w:rsidP="00A86787">
            <w:pPr>
              <w:rPr>
                <w:rFonts w:cs="Times New Roman"/>
                <w:sz w:val="20"/>
                <w:szCs w:val="20"/>
                <w:lang w:val="fr-CA"/>
              </w:rPr>
            </w:pPr>
          </w:p>
          <w:p w:rsidR="00A956D3" w:rsidRPr="00F029FD" w:rsidRDefault="008E0700" w:rsidP="00A86787">
            <w:pPr>
              <w:rPr>
                <w:rFonts w:cs="Times New Roman"/>
                <w:sz w:val="20"/>
                <w:szCs w:val="20"/>
                <w:lang w:val="fr-CA"/>
              </w:rPr>
            </w:pPr>
            <w:r>
              <w:rPr>
                <w:rFonts w:cs="Times New Roman"/>
                <w:sz w:val="20"/>
                <w:szCs w:val="20"/>
                <w:lang w:val="fr-CA"/>
              </w:rPr>
              <w:t>Theratechnologies Inc.</w:t>
            </w:r>
            <w:r w:rsidR="00A956D3" w:rsidRPr="00DD0B49">
              <w:rPr>
                <w:rFonts w:cs="Times New Roman"/>
                <w:sz w:val="20"/>
                <w:szCs w:val="20"/>
                <w:lang w:val="fr-CA"/>
              </w:rPr>
              <w:t xml:space="preserve"> </w:t>
            </w:r>
            <w:r>
              <w:rPr>
                <w:rFonts w:cs="Times New Roman"/>
                <w:sz w:val="20"/>
                <w:szCs w:val="20"/>
                <w:lang w:val="fr-CA"/>
              </w:rPr>
              <w:t>c</w:t>
            </w:r>
            <w:r w:rsidR="00A956D3" w:rsidRPr="00DD0B49">
              <w:rPr>
                <w:rFonts w:cs="Times New Roman"/>
                <w:i/>
                <w:iCs/>
                <w:sz w:val="20"/>
                <w:szCs w:val="20"/>
                <w:lang w:val="fr-CA"/>
              </w:rPr>
              <w:t>.</w:t>
            </w:r>
            <w:r>
              <w:rPr>
                <w:rFonts w:cs="Times New Roman"/>
                <w:iCs/>
                <w:sz w:val="20"/>
                <w:szCs w:val="20"/>
                <w:lang w:val="fr-CA"/>
              </w:rPr>
              <w:t xml:space="preserve"> Canada Inc.</w:t>
            </w:r>
            <w:r w:rsidR="00A956D3" w:rsidRPr="00F029FD">
              <w:rPr>
                <w:rFonts w:cs="Times New Roman"/>
                <w:sz w:val="20"/>
                <w:szCs w:val="20"/>
                <w:lang w:val="fr-CA"/>
              </w:rPr>
              <w:t>,</w:t>
            </w:r>
          </w:p>
          <w:p w:rsidR="00A956D3" w:rsidRPr="00E0705E" w:rsidRDefault="00A956D3" w:rsidP="00A86787">
            <w:pPr>
              <w:rPr>
                <w:rFonts w:cs="Times New Roman"/>
                <w:sz w:val="20"/>
                <w:szCs w:val="20"/>
              </w:rPr>
            </w:pPr>
            <w:r w:rsidRPr="00E0705E">
              <w:rPr>
                <w:rFonts w:cs="Times New Roman"/>
                <w:sz w:val="20"/>
                <w:szCs w:val="20"/>
              </w:rPr>
              <w:t>201</w:t>
            </w:r>
            <w:r w:rsidR="008E0700">
              <w:rPr>
                <w:rFonts w:cs="Times New Roman"/>
                <w:sz w:val="20"/>
                <w:szCs w:val="20"/>
              </w:rPr>
              <w:t>5</w:t>
            </w:r>
            <w:r w:rsidRPr="00E0705E">
              <w:rPr>
                <w:rFonts w:cs="Times New Roman"/>
                <w:sz w:val="20"/>
                <w:szCs w:val="20"/>
              </w:rPr>
              <w:t xml:space="preserve"> CSC </w:t>
            </w:r>
            <w:r w:rsidR="008E0700">
              <w:rPr>
                <w:rFonts w:cs="Times New Roman"/>
                <w:sz w:val="20"/>
                <w:szCs w:val="20"/>
              </w:rPr>
              <w:t>18</w:t>
            </w:r>
            <w:r w:rsidRPr="00E0705E">
              <w:rPr>
                <w:rFonts w:cs="Times New Roman"/>
                <w:sz w:val="20"/>
                <w:szCs w:val="20"/>
              </w:rPr>
              <w:t>, [201</w:t>
            </w:r>
            <w:r w:rsidR="008E0700">
              <w:rPr>
                <w:rFonts w:cs="Times New Roman"/>
                <w:sz w:val="20"/>
                <w:szCs w:val="20"/>
              </w:rPr>
              <w:t>5</w:t>
            </w:r>
            <w:r w:rsidRPr="00E0705E">
              <w:rPr>
                <w:rFonts w:cs="Times New Roman"/>
                <w:sz w:val="20"/>
                <w:szCs w:val="20"/>
              </w:rPr>
              <w:t xml:space="preserve">] </w:t>
            </w:r>
            <w:r w:rsidR="008E0700">
              <w:rPr>
                <w:rFonts w:cs="Times New Roman"/>
                <w:sz w:val="20"/>
                <w:szCs w:val="20"/>
              </w:rPr>
              <w:t>2</w:t>
            </w:r>
            <w:r w:rsidRPr="00E0705E">
              <w:rPr>
                <w:rFonts w:cs="Times New Roman"/>
                <w:sz w:val="20"/>
                <w:szCs w:val="20"/>
              </w:rPr>
              <w:t xml:space="preserve"> R.C.S. </w:t>
            </w:r>
            <w:r w:rsidR="008E0700">
              <w:rPr>
                <w:rFonts w:cs="Times New Roman"/>
                <w:sz w:val="20"/>
                <w:szCs w:val="20"/>
              </w:rPr>
              <w:t>106</w:t>
            </w:r>
          </w:p>
          <w:p w:rsidR="00A956D3" w:rsidRPr="00E0705E" w:rsidRDefault="00A956D3" w:rsidP="00A86787">
            <w:pPr>
              <w:rPr>
                <w:rFonts w:cs="Times New Roman"/>
                <w:sz w:val="20"/>
                <w:szCs w:val="20"/>
              </w:rPr>
            </w:pPr>
          </w:p>
          <w:p w:rsidR="00A956D3" w:rsidRPr="00E0705E" w:rsidRDefault="00CC08A0" w:rsidP="00A86787">
            <w:pPr>
              <w:rPr>
                <w:rFonts w:cs="Times New Roman"/>
                <w:sz w:val="20"/>
                <w:szCs w:val="20"/>
              </w:rPr>
            </w:pPr>
            <w:r>
              <w:rPr>
                <w:rFonts w:cs="Times New Roman"/>
                <w:sz w:val="20"/>
                <w:szCs w:val="20"/>
              </w:rPr>
              <w:t>Zurich Cie d’Assurances</w:t>
            </w:r>
            <w:r w:rsidR="00A956D3" w:rsidRPr="00DD0B49">
              <w:rPr>
                <w:rFonts w:cs="Times New Roman"/>
                <w:sz w:val="20"/>
                <w:szCs w:val="20"/>
              </w:rPr>
              <w:t xml:space="preserve"> </w:t>
            </w:r>
            <w:r w:rsidR="00A956D3">
              <w:rPr>
                <w:rFonts w:cs="Times New Roman"/>
                <w:i/>
                <w:iCs/>
                <w:sz w:val="20"/>
                <w:szCs w:val="20"/>
              </w:rPr>
              <w:t>c</w:t>
            </w:r>
            <w:r w:rsidR="00A956D3" w:rsidRPr="00DD0B49">
              <w:rPr>
                <w:rFonts w:cs="Times New Roman"/>
                <w:i/>
                <w:iCs/>
                <w:sz w:val="20"/>
                <w:szCs w:val="20"/>
              </w:rPr>
              <w:t>.</w:t>
            </w:r>
            <w:r w:rsidR="00A956D3" w:rsidRPr="00DD0B49">
              <w:rPr>
                <w:rFonts w:cs="Times New Roman"/>
                <w:sz w:val="20"/>
                <w:szCs w:val="20"/>
              </w:rPr>
              <w:t xml:space="preserve"> </w:t>
            </w:r>
            <w:r>
              <w:rPr>
                <w:rFonts w:cs="Times New Roman"/>
                <w:sz w:val="20"/>
                <w:szCs w:val="20"/>
              </w:rPr>
              <w:t>Chubb du Canada Cie d’Assurance</w:t>
            </w:r>
            <w:r w:rsidR="00A956D3" w:rsidRPr="00E0705E">
              <w:rPr>
                <w:rFonts w:cs="Times New Roman"/>
                <w:sz w:val="20"/>
                <w:szCs w:val="20"/>
              </w:rPr>
              <w:t>,</w:t>
            </w:r>
          </w:p>
          <w:p w:rsidR="00A956D3" w:rsidRPr="00DD0B49" w:rsidRDefault="00A956D3" w:rsidP="00A86787">
            <w:pPr>
              <w:rPr>
                <w:rFonts w:cs="Times New Roman"/>
                <w:sz w:val="20"/>
                <w:szCs w:val="20"/>
              </w:rPr>
            </w:pPr>
            <w:r w:rsidRPr="00DD0B49">
              <w:rPr>
                <w:rFonts w:cs="Times New Roman"/>
                <w:sz w:val="20"/>
                <w:szCs w:val="20"/>
              </w:rPr>
              <w:t>201</w:t>
            </w:r>
            <w:r w:rsidR="00CC08A0">
              <w:rPr>
                <w:rFonts w:cs="Times New Roman"/>
                <w:sz w:val="20"/>
                <w:szCs w:val="20"/>
              </w:rPr>
              <w:t>5</w:t>
            </w:r>
            <w:r w:rsidRPr="00DD0B49">
              <w:rPr>
                <w:rFonts w:cs="Times New Roman"/>
                <w:sz w:val="20"/>
                <w:szCs w:val="20"/>
              </w:rPr>
              <w:t xml:space="preserve"> CSC </w:t>
            </w:r>
            <w:r w:rsidR="00CC08A0">
              <w:rPr>
                <w:rFonts w:cs="Times New Roman"/>
                <w:sz w:val="20"/>
                <w:szCs w:val="20"/>
              </w:rPr>
              <w:t>19</w:t>
            </w:r>
            <w:r w:rsidRPr="00DD0B49">
              <w:rPr>
                <w:rFonts w:cs="Times New Roman"/>
                <w:sz w:val="20"/>
                <w:szCs w:val="20"/>
              </w:rPr>
              <w:t>, [201</w:t>
            </w:r>
            <w:r w:rsidR="00CC08A0">
              <w:rPr>
                <w:rFonts w:cs="Times New Roman"/>
                <w:sz w:val="20"/>
                <w:szCs w:val="20"/>
              </w:rPr>
              <w:t>5</w:t>
            </w:r>
            <w:r w:rsidRPr="00DD0B49">
              <w:rPr>
                <w:rFonts w:cs="Times New Roman"/>
                <w:sz w:val="20"/>
                <w:szCs w:val="20"/>
              </w:rPr>
              <w:t xml:space="preserve">] </w:t>
            </w:r>
            <w:r w:rsidR="00CC08A0">
              <w:rPr>
                <w:rFonts w:cs="Times New Roman"/>
                <w:sz w:val="20"/>
                <w:szCs w:val="20"/>
              </w:rPr>
              <w:t>2</w:t>
            </w:r>
            <w:r w:rsidRPr="00DD0B49">
              <w:rPr>
                <w:rFonts w:cs="Times New Roman"/>
                <w:sz w:val="20"/>
                <w:szCs w:val="20"/>
              </w:rPr>
              <w:t xml:space="preserve"> R.C.S. </w:t>
            </w:r>
            <w:r w:rsidR="00CC08A0">
              <w:rPr>
                <w:rFonts w:cs="Times New Roman"/>
                <w:sz w:val="20"/>
                <w:szCs w:val="20"/>
              </w:rPr>
              <w:t>13</w:t>
            </w:r>
            <w:r>
              <w:rPr>
                <w:rFonts w:cs="Times New Roman"/>
                <w:sz w:val="20"/>
                <w:szCs w:val="20"/>
              </w:rPr>
              <w:t>4</w:t>
            </w:r>
          </w:p>
          <w:p w:rsidR="00A956D3" w:rsidRPr="00DD0B49" w:rsidRDefault="00A956D3" w:rsidP="00A86787">
            <w:pPr>
              <w:rPr>
                <w:rFonts w:cs="Times New Roman"/>
                <w:sz w:val="20"/>
                <w:szCs w:val="20"/>
              </w:rPr>
            </w:pPr>
          </w:p>
          <w:p w:rsidR="00A956D3" w:rsidRPr="00DD0B49" w:rsidRDefault="00F243A1" w:rsidP="00A86787">
            <w:pPr>
              <w:rPr>
                <w:rFonts w:cs="Times New Roman"/>
                <w:sz w:val="20"/>
                <w:szCs w:val="20"/>
              </w:rPr>
            </w:pPr>
            <w:r>
              <w:rPr>
                <w:rFonts w:cs="Times New Roman"/>
                <w:sz w:val="20"/>
                <w:szCs w:val="20"/>
                <w:lang w:val="en-GB"/>
              </w:rPr>
              <w:t>Sanofi-Aventis</w:t>
            </w:r>
            <w:r w:rsidR="00A956D3" w:rsidRPr="00DD0B49">
              <w:rPr>
                <w:rFonts w:cs="Times New Roman"/>
                <w:sz w:val="20"/>
                <w:szCs w:val="20"/>
                <w:lang w:val="en-GB"/>
              </w:rPr>
              <w:t xml:space="preserve"> </w:t>
            </w:r>
            <w:r w:rsidR="00A956D3">
              <w:rPr>
                <w:rFonts w:cs="Times New Roman"/>
                <w:i/>
                <w:iCs/>
                <w:sz w:val="20"/>
                <w:szCs w:val="20"/>
                <w:lang w:val="en-GB"/>
              </w:rPr>
              <w:t>c</w:t>
            </w:r>
            <w:r w:rsidR="00A956D3" w:rsidRPr="00DD0B49">
              <w:rPr>
                <w:rFonts w:cs="Times New Roman"/>
                <w:i/>
                <w:iCs/>
                <w:sz w:val="20"/>
                <w:szCs w:val="20"/>
                <w:lang w:val="en-GB"/>
              </w:rPr>
              <w:t>.</w:t>
            </w:r>
            <w:r w:rsidR="00A956D3" w:rsidRPr="00DD0B49">
              <w:rPr>
                <w:rFonts w:cs="Times New Roman"/>
                <w:iCs/>
                <w:sz w:val="20"/>
                <w:szCs w:val="20"/>
                <w:lang w:val="en-GB"/>
              </w:rPr>
              <w:t xml:space="preserve"> </w:t>
            </w:r>
            <w:r>
              <w:rPr>
                <w:rFonts w:cs="Times New Roman"/>
                <w:iCs/>
                <w:sz w:val="20"/>
                <w:szCs w:val="20"/>
                <w:lang w:val="en-GB"/>
              </w:rPr>
              <w:t>Apotex Inc.</w:t>
            </w:r>
            <w:r w:rsidR="00A956D3" w:rsidRPr="00DD0B49">
              <w:rPr>
                <w:rFonts w:cs="Times New Roman"/>
                <w:sz w:val="20"/>
                <w:szCs w:val="20"/>
              </w:rPr>
              <w:t>,</w:t>
            </w:r>
          </w:p>
          <w:p w:rsidR="00A956D3" w:rsidRPr="00E836F1" w:rsidRDefault="00A956D3" w:rsidP="00A86787">
            <w:pPr>
              <w:rPr>
                <w:rFonts w:cs="Times New Roman"/>
                <w:sz w:val="20"/>
                <w:szCs w:val="20"/>
              </w:rPr>
            </w:pPr>
            <w:r w:rsidRPr="00E836F1">
              <w:rPr>
                <w:rFonts w:cs="Times New Roman"/>
                <w:sz w:val="20"/>
                <w:szCs w:val="20"/>
              </w:rPr>
              <w:t>201</w:t>
            </w:r>
            <w:r w:rsidR="00F243A1">
              <w:rPr>
                <w:rFonts w:cs="Times New Roman"/>
                <w:sz w:val="20"/>
                <w:szCs w:val="20"/>
              </w:rPr>
              <w:t>5</w:t>
            </w:r>
            <w:r w:rsidRPr="00E836F1">
              <w:rPr>
                <w:rFonts w:cs="Times New Roman"/>
                <w:sz w:val="20"/>
                <w:szCs w:val="20"/>
              </w:rPr>
              <w:t xml:space="preserve"> CSC </w:t>
            </w:r>
            <w:r w:rsidR="00F243A1">
              <w:rPr>
                <w:rFonts w:cs="Times New Roman"/>
                <w:sz w:val="20"/>
                <w:szCs w:val="20"/>
              </w:rPr>
              <w:t>20</w:t>
            </w:r>
            <w:r w:rsidRPr="00E836F1">
              <w:rPr>
                <w:rFonts w:cs="Times New Roman"/>
                <w:sz w:val="20"/>
                <w:szCs w:val="20"/>
              </w:rPr>
              <w:t>, [201</w:t>
            </w:r>
            <w:r w:rsidR="00F243A1">
              <w:rPr>
                <w:rFonts w:cs="Times New Roman"/>
                <w:sz w:val="20"/>
                <w:szCs w:val="20"/>
              </w:rPr>
              <w:t>5</w:t>
            </w:r>
            <w:r w:rsidRPr="00E836F1">
              <w:rPr>
                <w:rFonts w:cs="Times New Roman"/>
                <w:sz w:val="20"/>
                <w:szCs w:val="20"/>
              </w:rPr>
              <w:t xml:space="preserve">] </w:t>
            </w:r>
            <w:r w:rsidR="00F243A1">
              <w:rPr>
                <w:rFonts w:cs="Times New Roman"/>
                <w:sz w:val="20"/>
                <w:szCs w:val="20"/>
              </w:rPr>
              <w:t>2</w:t>
            </w:r>
            <w:r w:rsidRPr="00E836F1">
              <w:rPr>
                <w:rFonts w:cs="Times New Roman"/>
                <w:sz w:val="20"/>
                <w:szCs w:val="20"/>
              </w:rPr>
              <w:t xml:space="preserve"> R.C.S. </w:t>
            </w:r>
            <w:r w:rsidR="00F243A1">
              <w:rPr>
                <w:rFonts w:cs="Times New Roman"/>
                <w:sz w:val="20"/>
                <w:szCs w:val="20"/>
              </w:rPr>
              <w:t>136</w:t>
            </w:r>
          </w:p>
          <w:p w:rsidR="00A956D3" w:rsidRPr="00E836F1" w:rsidRDefault="00A956D3" w:rsidP="00A86787">
            <w:pPr>
              <w:rPr>
                <w:rFonts w:cs="Times New Roman"/>
                <w:iCs/>
                <w:sz w:val="20"/>
                <w:szCs w:val="20"/>
              </w:rPr>
            </w:pPr>
          </w:p>
          <w:p w:rsidR="00A956D3" w:rsidRPr="0088234F" w:rsidRDefault="00D14C56" w:rsidP="00A86787">
            <w:pPr>
              <w:rPr>
                <w:rFonts w:cs="Times New Roman"/>
                <w:iCs/>
                <w:sz w:val="20"/>
                <w:szCs w:val="20"/>
                <w:lang w:val="fr-CA"/>
              </w:rPr>
            </w:pPr>
            <w:r>
              <w:rPr>
                <w:rFonts w:cs="Times New Roman"/>
                <w:iCs/>
                <w:sz w:val="20"/>
                <w:szCs w:val="20"/>
                <w:lang w:val="fr-CA"/>
              </w:rPr>
              <w:t xml:space="preserve">Association des parents de l’école </w:t>
            </w:r>
            <w:r w:rsidRPr="00E836F1">
              <w:rPr>
                <w:rFonts w:cs="Times New Roman"/>
                <w:iCs/>
                <w:sz w:val="20"/>
                <w:szCs w:val="20"/>
                <w:lang w:val="fr-CA"/>
              </w:rPr>
              <w:t>R</w:t>
            </w:r>
            <w:r>
              <w:rPr>
                <w:rFonts w:cs="Times New Roman"/>
                <w:iCs/>
                <w:sz w:val="20"/>
                <w:szCs w:val="20"/>
                <w:lang w:val="fr-CA"/>
              </w:rPr>
              <w:t>ose-des-vents</w:t>
            </w:r>
            <w:r w:rsidR="00A956D3" w:rsidRPr="0088234F">
              <w:rPr>
                <w:rFonts w:cs="Times New Roman"/>
                <w:iCs/>
                <w:sz w:val="20"/>
                <w:szCs w:val="20"/>
                <w:lang w:val="fr-CA"/>
              </w:rPr>
              <w:t xml:space="preserve"> </w:t>
            </w:r>
            <w:r w:rsidR="00A956D3" w:rsidRPr="0088234F">
              <w:rPr>
                <w:rFonts w:cs="Times New Roman"/>
                <w:i/>
                <w:iCs/>
                <w:sz w:val="20"/>
                <w:szCs w:val="20"/>
                <w:lang w:val="fr-CA"/>
              </w:rPr>
              <w:t>c.</w:t>
            </w:r>
            <w:r w:rsidR="00A956D3" w:rsidRPr="0088234F">
              <w:rPr>
                <w:rFonts w:cs="Times New Roman"/>
                <w:iCs/>
                <w:sz w:val="20"/>
                <w:szCs w:val="20"/>
                <w:lang w:val="fr-CA"/>
              </w:rPr>
              <w:t xml:space="preserve"> </w:t>
            </w:r>
            <w:r>
              <w:rPr>
                <w:rFonts w:cs="Times New Roman"/>
                <w:iCs/>
                <w:sz w:val="20"/>
                <w:szCs w:val="20"/>
                <w:lang w:val="fr-CA"/>
              </w:rPr>
              <w:t>Colombie-Britannique (Éducation)</w:t>
            </w:r>
            <w:r w:rsidR="00A956D3" w:rsidRPr="0088234F">
              <w:rPr>
                <w:rFonts w:cs="Times New Roman"/>
                <w:iCs/>
                <w:sz w:val="20"/>
                <w:szCs w:val="20"/>
                <w:lang w:val="fr-CA"/>
              </w:rPr>
              <w:t>,</w:t>
            </w:r>
          </w:p>
          <w:p w:rsidR="00A956D3" w:rsidRPr="0088234F" w:rsidRDefault="00A956D3" w:rsidP="00A86787">
            <w:pPr>
              <w:rPr>
                <w:rFonts w:cs="Times New Roman"/>
                <w:sz w:val="20"/>
                <w:szCs w:val="20"/>
                <w:lang w:val="fr-CA"/>
              </w:rPr>
            </w:pPr>
            <w:r w:rsidRPr="0088234F">
              <w:rPr>
                <w:rFonts w:cs="Times New Roman"/>
                <w:sz w:val="20"/>
                <w:szCs w:val="20"/>
                <w:lang w:val="fr-CA"/>
              </w:rPr>
              <w:t>201</w:t>
            </w:r>
            <w:r w:rsidR="00D14C56">
              <w:rPr>
                <w:rFonts w:cs="Times New Roman"/>
                <w:sz w:val="20"/>
                <w:szCs w:val="20"/>
                <w:lang w:val="fr-CA"/>
              </w:rPr>
              <w:t>5</w:t>
            </w:r>
            <w:r w:rsidRPr="0088234F">
              <w:rPr>
                <w:rFonts w:cs="Times New Roman"/>
                <w:sz w:val="20"/>
                <w:szCs w:val="20"/>
                <w:lang w:val="fr-CA"/>
              </w:rPr>
              <w:t xml:space="preserve"> CSC </w:t>
            </w:r>
            <w:r w:rsidR="00D14C56">
              <w:rPr>
                <w:rFonts w:cs="Times New Roman"/>
                <w:sz w:val="20"/>
                <w:szCs w:val="20"/>
                <w:lang w:val="fr-CA"/>
              </w:rPr>
              <w:t>21</w:t>
            </w:r>
            <w:r w:rsidRPr="0088234F">
              <w:rPr>
                <w:rFonts w:cs="Times New Roman"/>
                <w:sz w:val="20"/>
                <w:szCs w:val="20"/>
                <w:lang w:val="fr-CA"/>
              </w:rPr>
              <w:t>, [201</w:t>
            </w:r>
            <w:r w:rsidR="00D14C56">
              <w:rPr>
                <w:rFonts w:cs="Times New Roman"/>
                <w:sz w:val="20"/>
                <w:szCs w:val="20"/>
                <w:lang w:val="fr-CA"/>
              </w:rPr>
              <w:t>4</w:t>
            </w:r>
            <w:r w:rsidRPr="0088234F">
              <w:rPr>
                <w:rFonts w:cs="Times New Roman"/>
                <w:sz w:val="20"/>
                <w:szCs w:val="20"/>
                <w:lang w:val="fr-CA"/>
              </w:rPr>
              <w:t xml:space="preserve">] </w:t>
            </w:r>
            <w:r w:rsidR="00D14C56">
              <w:rPr>
                <w:rFonts w:cs="Times New Roman"/>
                <w:sz w:val="20"/>
                <w:szCs w:val="20"/>
                <w:lang w:val="fr-CA"/>
              </w:rPr>
              <w:t>2</w:t>
            </w:r>
            <w:r w:rsidRPr="0088234F">
              <w:rPr>
                <w:rFonts w:cs="Times New Roman"/>
                <w:sz w:val="20"/>
                <w:szCs w:val="20"/>
                <w:lang w:val="fr-CA"/>
              </w:rPr>
              <w:t xml:space="preserve"> R.C.S. </w:t>
            </w:r>
            <w:r w:rsidR="00D14C56">
              <w:rPr>
                <w:rFonts w:cs="Times New Roman"/>
                <w:sz w:val="20"/>
                <w:szCs w:val="20"/>
                <w:lang w:val="fr-CA"/>
              </w:rPr>
              <w:t>139</w:t>
            </w:r>
          </w:p>
          <w:p w:rsidR="00A956D3" w:rsidRPr="0088234F" w:rsidRDefault="00A956D3" w:rsidP="00A86787">
            <w:pPr>
              <w:rPr>
                <w:rFonts w:cs="Times New Roman"/>
                <w:sz w:val="20"/>
                <w:szCs w:val="20"/>
                <w:lang w:val="fr-CA"/>
              </w:rPr>
            </w:pPr>
          </w:p>
          <w:p w:rsidR="00A956D3" w:rsidRPr="0088234F" w:rsidRDefault="00A939E3" w:rsidP="00A86787">
            <w:pPr>
              <w:rPr>
                <w:rFonts w:cs="Times New Roman"/>
                <w:iCs/>
                <w:sz w:val="20"/>
                <w:szCs w:val="20"/>
                <w:lang w:val="fr-CA"/>
              </w:rPr>
            </w:pPr>
            <w:r>
              <w:rPr>
                <w:rFonts w:cs="Times New Roman"/>
                <w:iCs/>
                <w:sz w:val="20"/>
                <w:szCs w:val="20"/>
                <w:lang w:val="fr-CA"/>
              </w:rPr>
              <w:t>Québec (Procureure générale)</w:t>
            </w:r>
            <w:r w:rsidR="00A956D3" w:rsidRPr="0088234F">
              <w:rPr>
                <w:rFonts w:cs="Times New Roman"/>
                <w:iCs/>
                <w:sz w:val="20"/>
                <w:szCs w:val="20"/>
                <w:lang w:val="fr-CA"/>
              </w:rPr>
              <w:t xml:space="preserve"> </w:t>
            </w:r>
            <w:r w:rsidR="00A956D3" w:rsidRPr="0088234F">
              <w:rPr>
                <w:rFonts w:cs="Times New Roman"/>
                <w:i/>
                <w:iCs/>
                <w:sz w:val="20"/>
                <w:szCs w:val="20"/>
                <w:lang w:val="fr-CA"/>
              </w:rPr>
              <w:t>c.</w:t>
            </w:r>
            <w:r w:rsidR="00A956D3" w:rsidRPr="0088234F">
              <w:rPr>
                <w:rFonts w:cs="Times New Roman"/>
                <w:iCs/>
                <w:sz w:val="20"/>
                <w:szCs w:val="20"/>
                <w:lang w:val="fr-CA"/>
              </w:rPr>
              <w:t xml:space="preserve"> </w:t>
            </w:r>
            <w:r>
              <w:rPr>
                <w:rFonts w:cs="Times New Roman"/>
                <w:iCs/>
                <w:sz w:val="20"/>
                <w:szCs w:val="20"/>
                <w:lang w:val="fr-CA"/>
              </w:rPr>
              <w:t>Canada (Procureur général)</w:t>
            </w:r>
            <w:r w:rsidR="00A956D3" w:rsidRPr="0088234F">
              <w:rPr>
                <w:rFonts w:cs="Times New Roman"/>
                <w:iCs/>
                <w:sz w:val="20"/>
                <w:szCs w:val="20"/>
                <w:lang w:val="fr-CA"/>
              </w:rPr>
              <w:t>,</w:t>
            </w:r>
          </w:p>
          <w:p w:rsidR="00A956D3" w:rsidRPr="00E836F1" w:rsidRDefault="00A956D3" w:rsidP="00A86787">
            <w:pPr>
              <w:rPr>
                <w:rFonts w:cs="Times New Roman"/>
                <w:sz w:val="20"/>
                <w:szCs w:val="20"/>
                <w:lang w:val="fr-CA"/>
              </w:rPr>
            </w:pPr>
            <w:r w:rsidRPr="00E836F1">
              <w:rPr>
                <w:rFonts w:cs="Times New Roman"/>
                <w:sz w:val="20"/>
                <w:szCs w:val="20"/>
                <w:lang w:val="fr-CA"/>
              </w:rPr>
              <w:t>201</w:t>
            </w:r>
            <w:r w:rsidR="00A939E3">
              <w:rPr>
                <w:rFonts w:cs="Times New Roman"/>
                <w:sz w:val="20"/>
                <w:szCs w:val="20"/>
                <w:lang w:val="fr-CA"/>
              </w:rPr>
              <w:t>5</w:t>
            </w:r>
            <w:r w:rsidRPr="00E836F1">
              <w:rPr>
                <w:rFonts w:cs="Times New Roman"/>
                <w:sz w:val="20"/>
                <w:szCs w:val="20"/>
                <w:lang w:val="fr-CA"/>
              </w:rPr>
              <w:t xml:space="preserve"> CSC </w:t>
            </w:r>
            <w:r w:rsidR="00A939E3">
              <w:rPr>
                <w:rFonts w:cs="Times New Roman"/>
                <w:sz w:val="20"/>
                <w:szCs w:val="20"/>
                <w:lang w:val="fr-CA"/>
              </w:rPr>
              <w:t>22</w:t>
            </w:r>
            <w:r w:rsidRPr="00E836F1">
              <w:rPr>
                <w:rFonts w:cs="Times New Roman"/>
                <w:sz w:val="20"/>
                <w:szCs w:val="20"/>
                <w:lang w:val="fr-CA"/>
              </w:rPr>
              <w:t>, [201</w:t>
            </w:r>
            <w:r w:rsidR="00A939E3">
              <w:rPr>
                <w:rFonts w:cs="Times New Roman"/>
                <w:sz w:val="20"/>
                <w:szCs w:val="20"/>
                <w:lang w:val="fr-CA"/>
              </w:rPr>
              <w:t>5</w:t>
            </w:r>
            <w:r w:rsidRPr="00E836F1">
              <w:rPr>
                <w:rFonts w:cs="Times New Roman"/>
                <w:sz w:val="20"/>
                <w:szCs w:val="20"/>
                <w:lang w:val="fr-CA"/>
              </w:rPr>
              <w:t xml:space="preserve">] </w:t>
            </w:r>
            <w:r w:rsidR="00A939E3">
              <w:rPr>
                <w:rFonts w:cs="Times New Roman"/>
                <w:sz w:val="20"/>
                <w:szCs w:val="20"/>
                <w:lang w:val="fr-CA"/>
              </w:rPr>
              <w:t>2</w:t>
            </w:r>
            <w:r w:rsidRPr="00E836F1">
              <w:rPr>
                <w:rFonts w:cs="Times New Roman"/>
                <w:sz w:val="20"/>
                <w:szCs w:val="20"/>
                <w:lang w:val="fr-CA"/>
              </w:rPr>
              <w:t xml:space="preserve"> R.C.S. </w:t>
            </w:r>
            <w:r w:rsidR="00A939E3">
              <w:rPr>
                <w:rFonts w:cs="Times New Roman"/>
                <w:sz w:val="20"/>
                <w:szCs w:val="20"/>
                <w:lang w:val="fr-CA"/>
              </w:rPr>
              <w:t>179</w:t>
            </w:r>
          </w:p>
          <w:p w:rsidR="00A956D3" w:rsidRDefault="00A956D3" w:rsidP="00A86787">
            <w:pPr>
              <w:rPr>
                <w:rFonts w:cs="Times New Roman"/>
                <w:sz w:val="20"/>
                <w:szCs w:val="20"/>
                <w:lang w:val="fr-CA"/>
              </w:rPr>
            </w:pPr>
          </w:p>
          <w:p w:rsidR="004C6551" w:rsidRDefault="004C6551" w:rsidP="00A86787">
            <w:pPr>
              <w:rPr>
                <w:rFonts w:cs="Times New Roman"/>
                <w:sz w:val="20"/>
                <w:szCs w:val="20"/>
                <w:lang w:val="fr-CA"/>
              </w:rPr>
            </w:pPr>
            <w:r>
              <w:rPr>
                <w:rFonts w:cs="Times New Roman"/>
                <w:sz w:val="20"/>
                <w:szCs w:val="20"/>
                <w:lang w:val="fr-CA"/>
              </w:rPr>
              <w:t xml:space="preserve">White Burgess Langille Inman </w:t>
            </w:r>
            <w:r w:rsidRPr="004C6551">
              <w:rPr>
                <w:rFonts w:cs="Times New Roman"/>
                <w:i/>
                <w:sz w:val="20"/>
                <w:szCs w:val="20"/>
                <w:lang w:val="fr-CA"/>
              </w:rPr>
              <w:t>c.</w:t>
            </w:r>
            <w:r>
              <w:rPr>
                <w:rFonts w:cs="Times New Roman"/>
                <w:sz w:val="20"/>
                <w:szCs w:val="20"/>
                <w:lang w:val="fr-CA"/>
              </w:rPr>
              <w:t xml:space="preserve"> Abbott and Haliburton Co.</w:t>
            </w:r>
          </w:p>
          <w:p w:rsidR="004C6551" w:rsidRDefault="004C6551" w:rsidP="00A86787">
            <w:pPr>
              <w:rPr>
                <w:rFonts w:cs="Times New Roman"/>
                <w:sz w:val="20"/>
                <w:szCs w:val="20"/>
                <w:lang w:val="fr-CA"/>
              </w:rPr>
            </w:pPr>
            <w:r>
              <w:rPr>
                <w:rFonts w:cs="Times New Roman"/>
                <w:sz w:val="20"/>
                <w:szCs w:val="20"/>
                <w:lang w:val="fr-CA"/>
              </w:rPr>
              <w:t>2015 CSC 23 [2015] 2 R.C.S. 182</w:t>
            </w:r>
          </w:p>
          <w:p w:rsidR="004C6551" w:rsidRDefault="004C6551" w:rsidP="00A86787">
            <w:pPr>
              <w:rPr>
                <w:rFonts w:cs="Times New Roman"/>
                <w:sz w:val="20"/>
                <w:szCs w:val="20"/>
                <w:lang w:val="fr-CA"/>
              </w:rPr>
            </w:pPr>
          </w:p>
          <w:p w:rsidR="00F870CE" w:rsidRDefault="00F870CE" w:rsidP="00A86787">
            <w:pPr>
              <w:rPr>
                <w:rFonts w:cs="Times New Roman"/>
                <w:sz w:val="20"/>
                <w:szCs w:val="20"/>
                <w:lang w:val="fr-CA"/>
              </w:rPr>
            </w:pPr>
            <w:r>
              <w:rPr>
                <w:rFonts w:cs="Times New Roman"/>
                <w:sz w:val="20"/>
                <w:szCs w:val="20"/>
                <w:lang w:val="fr-CA"/>
              </w:rPr>
              <w:t xml:space="preserve">Henry </w:t>
            </w:r>
            <w:r w:rsidRPr="00F870CE">
              <w:rPr>
                <w:rFonts w:cs="Times New Roman"/>
                <w:i/>
                <w:sz w:val="20"/>
                <w:szCs w:val="20"/>
                <w:lang w:val="fr-CA"/>
              </w:rPr>
              <w:t>c.</w:t>
            </w:r>
            <w:r>
              <w:rPr>
                <w:rFonts w:cs="Times New Roman"/>
                <w:sz w:val="20"/>
                <w:szCs w:val="20"/>
                <w:lang w:val="fr-CA"/>
              </w:rPr>
              <w:t xml:space="preserve"> Colombie-Britannique (Procureur général)</w:t>
            </w:r>
          </w:p>
          <w:p w:rsidR="00F870CE" w:rsidRDefault="00F870CE" w:rsidP="00A86787">
            <w:pPr>
              <w:rPr>
                <w:rFonts w:cs="Times New Roman"/>
                <w:sz w:val="20"/>
                <w:szCs w:val="20"/>
                <w:lang w:val="fr-CA"/>
              </w:rPr>
            </w:pPr>
            <w:r>
              <w:rPr>
                <w:rFonts w:cs="Times New Roman"/>
                <w:sz w:val="20"/>
                <w:szCs w:val="20"/>
                <w:lang w:val="fr-CA"/>
              </w:rPr>
              <w:t>2015 CSC 24 [2015] 2 R.C.S. 214</w:t>
            </w:r>
          </w:p>
          <w:p w:rsidR="00F870CE" w:rsidRPr="00E836F1" w:rsidRDefault="00F870CE" w:rsidP="00A86787">
            <w:pPr>
              <w:rPr>
                <w:rFonts w:cs="Times New Roman"/>
                <w:sz w:val="20"/>
                <w:szCs w:val="20"/>
                <w:lang w:val="fr-CA"/>
              </w:rPr>
            </w:pPr>
          </w:p>
          <w:p w:rsidR="00A956D3" w:rsidRPr="00E15380" w:rsidRDefault="004A2FD2" w:rsidP="00A86787">
            <w:pPr>
              <w:rPr>
                <w:rFonts w:cs="Times New Roman"/>
                <w:sz w:val="20"/>
                <w:szCs w:val="20"/>
              </w:rPr>
            </w:pPr>
            <w:r>
              <w:rPr>
                <w:rFonts w:cs="Times New Roman"/>
                <w:sz w:val="20"/>
                <w:szCs w:val="20"/>
              </w:rPr>
              <w:t>Commission scolaire francophone du Yukon, District scolaire #23</w:t>
            </w:r>
            <w:r w:rsidR="00A956D3" w:rsidRPr="00E15380">
              <w:rPr>
                <w:rFonts w:cs="Times New Roman"/>
                <w:sz w:val="20"/>
                <w:szCs w:val="20"/>
              </w:rPr>
              <w:t xml:space="preserve"> </w:t>
            </w:r>
            <w:r w:rsidR="00A956D3">
              <w:rPr>
                <w:rFonts w:cs="Times New Roman"/>
                <w:i/>
                <w:iCs/>
                <w:sz w:val="20"/>
                <w:szCs w:val="20"/>
              </w:rPr>
              <w:t>c</w:t>
            </w:r>
            <w:r w:rsidR="00A956D3" w:rsidRPr="00E15380">
              <w:rPr>
                <w:rFonts w:cs="Times New Roman"/>
                <w:i/>
                <w:iCs/>
                <w:sz w:val="20"/>
                <w:szCs w:val="20"/>
              </w:rPr>
              <w:t xml:space="preserve">. </w:t>
            </w:r>
            <w:r>
              <w:rPr>
                <w:rFonts w:cs="Times New Roman"/>
                <w:iCs/>
                <w:sz w:val="20"/>
                <w:szCs w:val="20"/>
              </w:rPr>
              <w:t>Yukon (Procureure générale)</w:t>
            </w:r>
            <w:r w:rsidR="00A956D3" w:rsidRPr="00E15380">
              <w:rPr>
                <w:rFonts w:cs="Times New Roman"/>
                <w:iCs/>
                <w:sz w:val="20"/>
                <w:szCs w:val="20"/>
              </w:rPr>
              <w:t>,</w:t>
            </w:r>
          </w:p>
          <w:p w:rsidR="00A956D3" w:rsidRPr="00E15380" w:rsidRDefault="00A956D3" w:rsidP="00A86787">
            <w:pPr>
              <w:rPr>
                <w:rFonts w:cs="Times New Roman"/>
                <w:sz w:val="20"/>
                <w:szCs w:val="20"/>
              </w:rPr>
            </w:pPr>
            <w:r w:rsidRPr="00E15380">
              <w:rPr>
                <w:rFonts w:cs="Times New Roman"/>
                <w:sz w:val="20"/>
                <w:szCs w:val="20"/>
              </w:rPr>
              <w:t>201</w:t>
            </w:r>
            <w:r w:rsidR="00B52AD0">
              <w:rPr>
                <w:rFonts w:cs="Times New Roman"/>
                <w:sz w:val="20"/>
                <w:szCs w:val="20"/>
              </w:rPr>
              <w:t>5</w:t>
            </w:r>
            <w:r w:rsidRPr="00E15380">
              <w:rPr>
                <w:rFonts w:cs="Times New Roman"/>
                <w:sz w:val="20"/>
                <w:szCs w:val="20"/>
              </w:rPr>
              <w:t xml:space="preserve"> CSC </w:t>
            </w:r>
            <w:r w:rsidR="00B52AD0">
              <w:rPr>
                <w:rFonts w:cs="Times New Roman"/>
                <w:sz w:val="20"/>
                <w:szCs w:val="20"/>
              </w:rPr>
              <w:t>25</w:t>
            </w:r>
            <w:r w:rsidRPr="00E15380">
              <w:rPr>
                <w:rFonts w:cs="Times New Roman"/>
                <w:sz w:val="20"/>
                <w:szCs w:val="20"/>
              </w:rPr>
              <w:t>, [201</w:t>
            </w:r>
            <w:r w:rsidR="00B52AD0">
              <w:rPr>
                <w:rFonts w:cs="Times New Roman"/>
                <w:sz w:val="20"/>
                <w:szCs w:val="20"/>
              </w:rPr>
              <w:t>5</w:t>
            </w:r>
            <w:r w:rsidRPr="00E15380">
              <w:rPr>
                <w:rFonts w:cs="Times New Roman"/>
                <w:sz w:val="20"/>
                <w:szCs w:val="20"/>
              </w:rPr>
              <w:t xml:space="preserve">] </w:t>
            </w:r>
            <w:r w:rsidR="00B52AD0">
              <w:rPr>
                <w:rFonts w:cs="Times New Roman"/>
                <w:sz w:val="20"/>
                <w:szCs w:val="20"/>
              </w:rPr>
              <w:t>2</w:t>
            </w:r>
            <w:r w:rsidRPr="00E15380">
              <w:rPr>
                <w:rFonts w:cs="Times New Roman"/>
                <w:sz w:val="20"/>
                <w:szCs w:val="20"/>
              </w:rPr>
              <w:t xml:space="preserve"> R.C.S. </w:t>
            </w:r>
            <w:r w:rsidR="00B52AD0">
              <w:rPr>
                <w:rFonts w:cs="Times New Roman"/>
                <w:sz w:val="20"/>
                <w:szCs w:val="20"/>
              </w:rPr>
              <w:t>282</w:t>
            </w:r>
          </w:p>
          <w:p w:rsidR="00A956D3" w:rsidRPr="00E15380" w:rsidRDefault="00A956D3" w:rsidP="00A86787">
            <w:pPr>
              <w:keepNext/>
              <w:keepLines/>
              <w:rPr>
                <w:rFonts w:cs="Times New Roman"/>
                <w:bCs/>
                <w:sz w:val="20"/>
                <w:szCs w:val="20"/>
              </w:rPr>
            </w:pPr>
          </w:p>
          <w:p w:rsidR="00A956D3" w:rsidRPr="00DD0B49" w:rsidRDefault="00EC4FDF" w:rsidP="00A86787">
            <w:pPr>
              <w:rPr>
                <w:rFonts w:cs="Times New Roman"/>
                <w:sz w:val="20"/>
                <w:szCs w:val="20"/>
              </w:rPr>
            </w:pPr>
            <w:r>
              <w:rPr>
                <w:rFonts w:cs="Times New Roman"/>
                <w:sz w:val="20"/>
                <w:szCs w:val="20"/>
              </w:rPr>
              <w:pict>
                <v:rect id="_x0000_i1107" style="width:129.6pt;height:1pt" o:hrpct="600" o:hralign="center" o:hrstd="t" o:hrnoshade="t" o:hr="t" fillcolor="black [3213]" stroked="f"/>
              </w:pict>
            </w:r>
          </w:p>
          <w:p w:rsidR="00A956D3" w:rsidRPr="00DD0B49" w:rsidRDefault="00A956D3" w:rsidP="00A86787">
            <w:pPr>
              <w:keepNext/>
              <w:keepLines/>
              <w:rPr>
                <w:rFonts w:cs="Times New Roman"/>
                <w:bCs/>
                <w:sz w:val="20"/>
                <w:szCs w:val="20"/>
                <w:lang w:val="fr-CA"/>
              </w:rPr>
            </w:pPr>
          </w:p>
        </w:tc>
      </w:tr>
    </w:tbl>
    <w:p w:rsidR="00A956D3" w:rsidRDefault="00A956D3" w:rsidP="00A956D3">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140"/>
          <w:footerReference w:type="default" r:id="rId141"/>
          <w:headerReference w:type="first" r:id="rId142"/>
          <w:footerReference w:type="first" r:id="rId143"/>
          <w:pgSz w:w="12240" w:h="15840"/>
          <w:pgMar w:top="720" w:right="965" w:bottom="1080" w:left="1656" w:header="720" w:footer="965" w:gutter="0"/>
          <w:cols w:space="720"/>
          <w:titlePg/>
          <w:docGrid w:linePitch="326"/>
        </w:sectPr>
      </w:pPr>
    </w:p>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A86787">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A86787">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A86787">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A86787">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A86787">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A86787">
            <w:pPr>
              <w:widowControl w:val="0"/>
              <w:jc w:val="center"/>
              <w:rPr>
                <w:rFonts w:ascii="Arial" w:hAnsi="Arial"/>
                <w:sz w:val="14"/>
              </w:rPr>
            </w:pPr>
            <w:r w:rsidRPr="002E0C7E">
              <w:rPr>
                <w:rFonts w:ascii="Arial" w:hAnsi="Arial"/>
                <w:b/>
                <w:sz w:val="14"/>
              </w:rPr>
              <w:t>DECEMBER - DÉCEMBRE</w:t>
            </w:r>
          </w:p>
        </w:tc>
      </w:tr>
      <w:tr w:rsidR="008902B1" w:rsidRPr="002E0C7E" w:rsidTr="00A8678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S</w:t>
            </w:r>
          </w:p>
          <w:p w:rsidR="008902B1" w:rsidRPr="002E0C7E" w:rsidRDefault="008902B1" w:rsidP="00A86787">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M</w:t>
            </w:r>
          </w:p>
          <w:p w:rsidR="008902B1" w:rsidRPr="002E0C7E" w:rsidRDefault="008902B1" w:rsidP="00A86787">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T</w:t>
            </w:r>
          </w:p>
          <w:p w:rsidR="008902B1" w:rsidRPr="002E0C7E" w:rsidRDefault="008902B1" w:rsidP="00A8678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W</w:t>
            </w:r>
          </w:p>
          <w:p w:rsidR="008902B1" w:rsidRPr="002E0C7E" w:rsidRDefault="008902B1" w:rsidP="00A8678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T</w:t>
            </w:r>
          </w:p>
          <w:p w:rsidR="008902B1" w:rsidRPr="002E0C7E" w:rsidRDefault="008902B1" w:rsidP="00A86787">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F</w:t>
            </w:r>
          </w:p>
          <w:p w:rsidR="008902B1" w:rsidRPr="002E0C7E" w:rsidRDefault="008902B1" w:rsidP="00A86787">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S</w:t>
            </w:r>
          </w:p>
          <w:p w:rsidR="008902B1" w:rsidRPr="002E0C7E" w:rsidRDefault="008902B1" w:rsidP="00A8678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S</w:t>
            </w:r>
          </w:p>
          <w:p w:rsidR="008902B1" w:rsidRPr="002E0C7E" w:rsidRDefault="008902B1" w:rsidP="00A86787">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M</w:t>
            </w:r>
          </w:p>
          <w:p w:rsidR="008902B1" w:rsidRPr="002E0C7E" w:rsidRDefault="008902B1" w:rsidP="00A86787">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T</w:t>
            </w:r>
          </w:p>
          <w:p w:rsidR="008902B1" w:rsidRPr="002E0C7E" w:rsidRDefault="008902B1" w:rsidP="00A8678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W</w:t>
            </w:r>
          </w:p>
          <w:p w:rsidR="008902B1" w:rsidRPr="002E0C7E" w:rsidRDefault="008902B1" w:rsidP="00A8678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T</w:t>
            </w:r>
          </w:p>
          <w:p w:rsidR="008902B1" w:rsidRPr="002E0C7E" w:rsidRDefault="008902B1" w:rsidP="00A86787">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F</w:t>
            </w:r>
          </w:p>
          <w:p w:rsidR="008902B1" w:rsidRPr="002E0C7E" w:rsidRDefault="008902B1" w:rsidP="00A86787">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S</w:t>
            </w:r>
          </w:p>
          <w:p w:rsidR="008902B1" w:rsidRPr="002E0C7E" w:rsidRDefault="008902B1" w:rsidP="00A8678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S</w:t>
            </w:r>
          </w:p>
          <w:p w:rsidR="008902B1" w:rsidRPr="002E0C7E" w:rsidRDefault="008902B1" w:rsidP="00A8678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M</w:t>
            </w:r>
          </w:p>
          <w:p w:rsidR="008902B1" w:rsidRPr="002E0C7E" w:rsidRDefault="008902B1" w:rsidP="00A86787">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T</w:t>
            </w:r>
          </w:p>
          <w:p w:rsidR="008902B1" w:rsidRPr="002E0C7E" w:rsidRDefault="008902B1" w:rsidP="00A8678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W</w:t>
            </w:r>
          </w:p>
          <w:p w:rsidR="008902B1" w:rsidRPr="002E0C7E" w:rsidRDefault="008902B1" w:rsidP="00A86787">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T</w:t>
            </w:r>
          </w:p>
          <w:p w:rsidR="008902B1" w:rsidRPr="002E0C7E" w:rsidRDefault="008902B1" w:rsidP="00A8678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F</w:t>
            </w:r>
          </w:p>
          <w:p w:rsidR="008902B1" w:rsidRPr="002E0C7E" w:rsidRDefault="008902B1" w:rsidP="00A8678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S</w:t>
            </w:r>
          </w:p>
          <w:p w:rsidR="008902B1" w:rsidRPr="002E0C7E" w:rsidRDefault="008902B1" w:rsidP="00A86787">
            <w:pPr>
              <w:widowControl w:val="0"/>
              <w:jc w:val="center"/>
              <w:rPr>
                <w:rFonts w:ascii="Arial" w:hAnsi="Arial"/>
                <w:sz w:val="14"/>
              </w:rPr>
            </w:pPr>
            <w:r w:rsidRPr="002E0C7E">
              <w:rPr>
                <w:rFonts w:ascii="Arial" w:hAnsi="Arial"/>
                <w:sz w:val="14"/>
              </w:rPr>
              <w:t>S</w:t>
            </w:r>
          </w:p>
        </w:tc>
      </w:tr>
      <w:tr w:rsidR="008902B1" w:rsidRPr="002E0C7E" w:rsidTr="00A8678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b/>
                <w:sz w:val="14"/>
              </w:rPr>
              <w:t>M</w:t>
            </w:r>
          </w:p>
          <w:p w:rsidR="008902B1" w:rsidRPr="002E0C7E" w:rsidRDefault="008902B1" w:rsidP="00A86787">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5</w:t>
            </w:r>
          </w:p>
        </w:tc>
      </w:tr>
      <w:tr w:rsidR="008902B1" w:rsidRPr="002E0C7E" w:rsidTr="00A8678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A86787">
            <w:pPr>
              <w:widowControl w:val="0"/>
              <w:jc w:val="center"/>
              <w:rPr>
                <w:rFonts w:ascii="Arial" w:hAnsi="Arial"/>
                <w:b/>
                <w:sz w:val="14"/>
              </w:rPr>
            </w:pPr>
            <w:r>
              <w:rPr>
                <w:rFonts w:ascii="Arial" w:hAnsi="Arial"/>
                <w:b/>
                <w:sz w:val="14"/>
              </w:rPr>
              <w:t>M</w:t>
            </w:r>
          </w:p>
          <w:p w:rsidR="008902B1" w:rsidRPr="002E0C7E" w:rsidRDefault="008902B1" w:rsidP="00A86787">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A86787">
            <w:pPr>
              <w:widowControl w:val="0"/>
              <w:jc w:val="center"/>
              <w:rPr>
                <w:rFonts w:ascii="Arial" w:hAnsi="Arial"/>
                <w:b/>
                <w:sz w:val="14"/>
              </w:rPr>
            </w:pPr>
          </w:p>
          <w:p w:rsidR="008902B1" w:rsidRPr="002E0C7E" w:rsidRDefault="008902B1" w:rsidP="00A8678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A86787">
            <w:pPr>
              <w:widowControl w:val="0"/>
              <w:jc w:val="center"/>
              <w:rPr>
                <w:rFonts w:ascii="Arial" w:hAnsi="Arial"/>
                <w:b/>
                <w:sz w:val="14"/>
              </w:rPr>
            </w:pPr>
            <w:r w:rsidRPr="002A4724">
              <w:rPr>
                <w:rFonts w:ascii="Arial" w:hAnsi="Arial"/>
                <w:b/>
                <w:sz w:val="14"/>
              </w:rPr>
              <w:t>H</w:t>
            </w:r>
          </w:p>
          <w:p w:rsidR="008902B1" w:rsidRPr="002E0C7E" w:rsidRDefault="008902B1" w:rsidP="00A86787">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12</w:t>
            </w:r>
          </w:p>
        </w:tc>
      </w:tr>
      <w:tr w:rsidR="008902B1" w:rsidRPr="002E0C7E" w:rsidTr="00A8678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A86787">
            <w:pPr>
              <w:widowControl w:val="0"/>
              <w:jc w:val="center"/>
              <w:rPr>
                <w:rFonts w:ascii="Arial" w:hAnsi="Arial"/>
                <w:b/>
                <w:sz w:val="14"/>
              </w:rPr>
            </w:pPr>
            <w:r>
              <w:rPr>
                <w:rFonts w:ascii="Arial" w:hAnsi="Arial"/>
                <w:b/>
                <w:sz w:val="14"/>
              </w:rPr>
              <w:t>H</w:t>
            </w: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A86787">
            <w:pPr>
              <w:widowControl w:val="0"/>
              <w:jc w:val="center"/>
              <w:rPr>
                <w:rFonts w:ascii="Arial" w:hAnsi="Arial"/>
                <w:b/>
                <w:sz w:val="14"/>
              </w:rPr>
            </w:pPr>
          </w:p>
          <w:p w:rsidR="008902B1" w:rsidRPr="002E0C7E" w:rsidRDefault="008902B1" w:rsidP="00A86787">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19</w:t>
            </w:r>
          </w:p>
        </w:tc>
      </w:tr>
      <w:tr w:rsidR="008902B1" w:rsidRPr="002E0C7E" w:rsidTr="00A8678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A86787">
            <w:pPr>
              <w:widowControl w:val="0"/>
              <w:jc w:val="center"/>
              <w:rPr>
                <w:rFonts w:ascii="Arial" w:hAnsi="Arial"/>
                <w:b/>
                <w:sz w:val="14"/>
              </w:rPr>
            </w:pPr>
          </w:p>
          <w:p w:rsidR="008902B1" w:rsidRPr="002E0C7E" w:rsidRDefault="008902B1" w:rsidP="00A86787">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A86787">
            <w:pPr>
              <w:widowControl w:val="0"/>
              <w:jc w:val="center"/>
              <w:rPr>
                <w:rFonts w:ascii="Arial" w:hAnsi="Arial"/>
                <w:b/>
                <w:sz w:val="14"/>
              </w:rPr>
            </w:pPr>
          </w:p>
          <w:p w:rsidR="008902B1" w:rsidRPr="002E0C7E" w:rsidRDefault="008902B1" w:rsidP="00A86787">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A86787">
            <w:pPr>
              <w:widowControl w:val="0"/>
              <w:jc w:val="center"/>
              <w:rPr>
                <w:rFonts w:ascii="Arial" w:hAnsi="Arial"/>
                <w:b/>
                <w:sz w:val="14"/>
              </w:rPr>
            </w:pPr>
            <w:r>
              <w:rPr>
                <w:rFonts w:ascii="Arial" w:hAnsi="Arial"/>
                <w:b/>
                <w:sz w:val="14"/>
              </w:rPr>
              <w:t>H</w:t>
            </w:r>
          </w:p>
          <w:p w:rsidR="008902B1" w:rsidRPr="002E0C7E" w:rsidRDefault="008902B1" w:rsidP="00A86787">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A86787">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A86787">
            <w:pPr>
              <w:widowControl w:val="0"/>
              <w:jc w:val="center"/>
              <w:rPr>
                <w:rFonts w:ascii="Arial" w:hAnsi="Arial"/>
                <w:b/>
                <w:sz w:val="14"/>
              </w:rPr>
            </w:pPr>
            <w:r w:rsidRPr="002A4724">
              <w:rPr>
                <w:rFonts w:ascii="Arial" w:hAnsi="Arial"/>
                <w:b/>
                <w:sz w:val="14"/>
              </w:rPr>
              <w:t>M</w:t>
            </w:r>
          </w:p>
          <w:p w:rsidR="008902B1" w:rsidRPr="002E0C7E" w:rsidRDefault="008902B1" w:rsidP="00A86787">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A86787">
            <w:pPr>
              <w:widowControl w:val="0"/>
              <w:jc w:val="center"/>
              <w:rPr>
                <w:rFonts w:ascii="Arial" w:hAnsi="Arial"/>
                <w:b/>
                <w:sz w:val="14"/>
              </w:rPr>
            </w:pPr>
            <w:r>
              <w:rPr>
                <w:rFonts w:ascii="Arial" w:hAnsi="Arial"/>
                <w:b/>
                <w:sz w:val="14"/>
              </w:rPr>
              <w:t>H</w:t>
            </w:r>
          </w:p>
          <w:p w:rsidR="008902B1" w:rsidRPr="002E0C7E" w:rsidRDefault="008902B1" w:rsidP="00A86787">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A86787">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A86787">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A8678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A86787">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A8678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A86787">
            <w:pPr>
              <w:widowControl w:val="0"/>
              <w:jc w:val="center"/>
              <w:rPr>
                <w:rFonts w:ascii="Arial" w:hAnsi="Arial"/>
                <w:sz w:val="14"/>
              </w:rPr>
            </w:pPr>
            <w:r w:rsidRPr="002E0C7E">
              <w:rPr>
                <w:rFonts w:ascii="Arial" w:hAnsi="Arial"/>
                <w:b/>
                <w:sz w:val="14"/>
              </w:rPr>
              <w:t>MARCH - MARS</w:t>
            </w:r>
          </w:p>
        </w:tc>
      </w:tr>
      <w:tr w:rsidR="008902B1" w:rsidRPr="002E0C7E" w:rsidTr="00A8678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S</w:t>
            </w:r>
          </w:p>
          <w:p w:rsidR="008902B1" w:rsidRPr="002E0C7E" w:rsidRDefault="008902B1" w:rsidP="00A8678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M</w:t>
            </w:r>
          </w:p>
          <w:p w:rsidR="008902B1" w:rsidRPr="002E0C7E" w:rsidRDefault="008902B1" w:rsidP="00A8678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T</w:t>
            </w:r>
          </w:p>
          <w:p w:rsidR="008902B1" w:rsidRPr="002E0C7E" w:rsidRDefault="008902B1" w:rsidP="00A8678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W</w:t>
            </w:r>
          </w:p>
          <w:p w:rsidR="008902B1" w:rsidRPr="002E0C7E" w:rsidRDefault="008902B1" w:rsidP="00A8678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T</w:t>
            </w:r>
          </w:p>
          <w:p w:rsidR="008902B1" w:rsidRPr="002E0C7E" w:rsidRDefault="008902B1" w:rsidP="00A8678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F</w:t>
            </w:r>
          </w:p>
          <w:p w:rsidR="008902B1" w:rsidRPr="002E0C7E" w:rsidRDefault="008902B1" w:rsidP="00A8678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S</w:t>
            </w:r>
          </w:p>
          <w:p w:rsidR="008902B1" w:rsidRPr="002E0C7E" w:rsidRDefault="008902B1" w:rsidP="00A8678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S</w:t>
            </w:r>
          </w:p>
          <w:p w:rsidR="008902B1" w:rsidRPr="002E0C7E" w:rsidRDefault="008902B1" w:rsidP="00A8678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M</w:t>
            </w:r>
          </w:p>
          <w:p w:rsidR="008902B1" w:rsidRPr="002E0C7E" w:rsidRDefault="008902B1" w:rsidP="00A8678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T</w:t>
            </w:r>
          </w:p>
          <w:p w:rsidR="008902B1" w:rsidRPr="002E0C7E" w:rsidRDefault="008902B1" w:rsidP="00A86787">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W</w:t>
            </w:r>
          </w:p>
          <w:p w:rsidR="008902B1" w:rsidRPr="002E0C7E" w:rsidRDefault="008902B1" w:rsidP="00A8678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T</w:t>
            </w:r>
          </w:p>
          <w:p w:rsidR="008902B1" w:rsidRPr="002E0C7E" w:rsidRDefault="008902B1" w:rsidP="00A8678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F</w:t>
            </w:r>
          </w:p>
          <w:p w:rsidR="008902B1" w:rsidRPr="002E0C7E" w:rsidRDefault="008902B1" w:rsidP="00A8678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S</w:t>
            </w:r>
          </w:p>
          <w:p w:rsidR="008902B1" w:rsidRPr="002E0C7E" w:rsidRDefault="008902B1" w:rsidP="00A8678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S</w:t>
            </w:r>
          </w:p>
          <w:p w:rsidR="008902B1" w:rsidRPr="002E0C7E" w:rsidRDefault="008902B1" w:rsidP="00A8678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M</w:t>
            </w:r>
          </w:p>
          <w:p w:rsidR="008902B1" w:rsidRPr="002E0C7E" w:rsidRDefault="008902B1" w:rsidP="00A8678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T</w:t>
            </w:r>
          </w:p>
          <w:p w:rsidR="008902B1" w:rsidRPr="002E0C7E" w:rsidRDefault="008902B1" w:rsidP="00A8678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W</w:t>
            </w:r>
          </w:p>
          <w:p w:rsidR="008902B1" w:rsidRPr="002E0C7E" w:rsidRDefault="008902B1" w:rsidP="00A8678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T</w:t>
            </w:r>
          </w:p>
          <w:p w:rsidR="008902B1" w:rsidRPr="002E0C7E" w:rsidRDefault="008902B1" w:rsidP="00A8678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F</w:t>
            </w:r>
          </w:p>
          <w:p w:rsidR="008902B1" w:rsidRPr="002E0C7E" w:rsidRDefault="008902B1" w:rsidP="00A86787">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S</w:t>
            </w:r>
          </w:p>
          <w:p w:rsidR="008902B1" w:rsidRPr="002E0C7E" w:rsidRDefault="008902B1" w:rsidP="00A86787">
            <w:pPr>
              <w:widowControl w:val="0"/>
              <w:jc w:val="center"/>
              <w:rPr>
                <w:rFonts w:ascii="Arial" w:hAnsi="Arial"/>
                <w:sz w:val="14"/>
              </w:rPr>
            </w:pPr>
            <w:r w:rsidRPr="002E0C7E">
              <w:rPr>
                <w:rFonts w:ascii="Arial" w:hAnsi="Arial"/>
                <w:sz w:val="14"/>
              </w:rPr>
              <w:t>S</w:t>
            </w:r>
          </w:p>
        </w:tc>
      </w:tr>
      <w:tr w:rsidR="008902B1" w:rsidRPr="002E0C7E" w:rsidTr="00A8678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A86787">
            <w:pPr>
              <w:widowControl w:val="0"/>
              <w:jc w:val="center"/>
              <w:rPr>
                <w:rFonts w:ascii="Arial" w:hAnsi="Arial"/>
                <w:b/>
                <w:sz w:val="14"/>
              </w:rPr>
            </w:pPr>
          </w:p>
          <w:p w:rsidR="008902B1" w:rsidRPr="002E0C7E" w:rsidRDefault="008902B1" w:rsidP="00A86787">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A86787">
            <w:pPr>
              <w:widowControl w:val="0"/>
              <w:jc w:val="center"/>
              <w:rPr>
                <w:rFonts w:ascii="Arial" w:hAnsi="Arial"/>
                <w:b/>
                <w:sz w:val="14"/>
              </w:rPr>
            </w:pPr>
          </w:p>
          <w:p w:rsidR="008902B1" w:rsidRPr="002E0C7E" w:rsidRDefault="008902B1" w:rsidP="00A86787">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A86787">
            <w:pPr>
              <w:widowControl w:val="0"/>
              <w:jc w:val="center"/>
              <w:rPr>
                <w:rFonts w:ascii="Arial" w:hAnsi="Arial"/>
                <w:b/>
                <w:sz w:val="14"/>
              </w:rPr>
            </w:pPr>
          </w:p>
          <w:p w:rsidR="008902B1" w:rsidRPr="002E0C7E" w:rsidRDefault="008902B1" w:rsidP="00A86787">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A86787">
            <w:pPr>
              <w:widowControl w:val="0"/>
              <w:jc w:val="center"/>
              <w:rPr>
                <w:rFonts w:ascii="Arial" w:hAnsi="Arial"/>
                <w:b/>
                <w:sz w:val="14"/>
              </w:rPr>
            </w:pPr>
            <w:r w:rsidRPr="00CD2D42">
              <w:rPr>
                <w:rFonts w:ascii="Arial" w:hAnsi="Arial"/>
                <w:b/>
                <w:sz w:val="14"/>
              </w:rPr>
              <w:t>H</w:t>
            </w:r>
          </w:p>
          <w:p w:rsidR="008902B1" w:rsidRPr="002E0C7E" w:rsidRDefault="008902B1" w:rsidP="00A86787">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5</w:t>
            </w:r>
          </w:p>
        </w:tc>
      </w:tr>
      <w:tr w:rsidR="008902B1" w:rsidRPr="002E0C7E" w:rsidTr="00A8678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12</w:t>
            </w:r>
          </w:p>
        </w:tc>
      </w:tr>
      <w:tr w:rsidR="008902B1" w:rsidRPr="002E0C7E" w:rsidTr="00A8678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A86787">
            <w:pPr>
              <w:widowControl w:val="0"/>
              <w:jc w:val="center"/>
              <w:rPr>
                <w:rFonts w:ascii="Arial" w:hAnsi="Arial"/>
                <w:b/>
                <w:sz w:val="14"/>
              </w:rPr>
            </w:pPr>
            <w:r>
              <w:rPr>
                <w:rFonts w:ascii="Arial" w:hAnsi="Arial"/>
                <w:b/>
                <w:sz w:val="14"/>
              </w:rPr>
              <w:t>M</w:t>
            </w: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A86787">
            <w:pPr>
              <w:widowControl w:val="0"/>
              <w:jc w:val="center"/>
              <w:rPr>
                <w:rFonts w:ascii="Arial" w:hAnsi="Arial"/>
                <w:b/>
                <w:sz w:val="14"/>
              </w:rPr>
            </w:pPr>
            <w:r>
              <w:rPr>
                <w:rFonts w:ascii="Arial" w:hAnsi="Arial"/>
                <w:b/>
                <w:sz w:val="14"/>
              </w:rPr>
              <w:t>M</w:t>
            </w: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A8678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A86787">
            <w:pPr>
              <w:widowControl w:val="0"/>
              <w:jc w:val="center"/>
              <w:rPr>
                <w:rFonts w:ascii="Arial" w:hAnsi="Arial"/>
                <w:b/>
                <w:sz w:val="14"/>
              </w:rPr>
            </w:pPr>
            <w:r>
              <w:rPr>
                <w:rFonts w:ascii="Arial" w:hAnsi="Arial"/>
                <w:b/>
                <w:sz w:val="14"/>
              </w:rPr>
              <w:t>M</w:t>
            </w:r>
          </w:p>
          <w:p w:rsidR="008902B1" w:rsidRPr="002E0C7E" w:rsidRDefault="008902B1" w:rsidP="00A86787">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A86787">
            <w:pPr>
              <w:widowControl w:val="0"/>
              <w:jc w:val="center"/>
              <w:rPr>
                <w:rFonts w:ascii="Arial" w:hAnsi="Arial"/>
                <w:b/>
                <w:sz w:val="14"/>
              </w:rPr>
            </w:pPr>
            <w:r>
              <w:rPr>
                <w:rFonts w:ascii="Arial" w:hAnsi="Arial"/>
                <w:b/>
                <w:sz w:val="14"/>
              </w:rPr>
              <w:t>H</w:t>
            </w: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A8678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A86787">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A86787">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A86787">
            <w:pPr>
              <w:widowControl w:val="0"/>
              <w:jc w:val="center"/>
              <w:rPr>
                <w:rFonts w:ascii="Arial" w:hAnsi="Arial"/>
                <w:b/>
                <w:sz w:val="14"/>
              </w:rPr>
            </w:pPr>
            <w:r>
              <w:rPr>
                <w:rFonts w:ascii="Arial" w:hAnsi="Arial"/>
                <w:b/>
                <w:sz w:val="14"/>
              </w:rPr>
              <w:t>H</w:t>
            </w:r>
          </w:p>
          <w:p w:rsidR="008902B1" w:rsidRPr="002E0C7E" w:rsidRDefault="008902B1" w:rsidP="00A86787">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A86787">
            <w:pPr>
              <w:widowControl w:val="0"/>
              <w:jc w:val="center"/>
              <w:rPr>
                <w:rFonts w:ascii="Arial" w:hAnsi="Arial"/>
                <w:b/>
                <w:sz w:val="14"/>
              </w:rPr>
            </w:pPr>
          </w:p>
          <w:p w:rsidR="008902B1" w:rsidRPr="002E0C7E" w:rsidRDefault="008902B1" w:rsidP="00A8678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A86787">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A86787">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A86787">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A86787">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A86787">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A86787">
            <w:pPr>
              <w:widowControl w:val="0"/>
              <w:jc w:val="center"/>
              <w:rPr>
                <w:rFonts w:ascii="Arial" w:hAnsi="Arial"/>
                <w:sz w:val="14"/>
              </w:rPr>
            </w:pPr>
            <w:r w:rsidRPr="002E0C7E">
              <w:rPr>
                <w:rFonts w:ascii="Arial" w:hAnsi="Arial"/>
                <w:b/>
                <w:sz w:val="14"/>
              </w:rPr>
              <w:t>JUNE - JUIN</w:t>
            </w:r>
          </w:p>
        </w:tc>
      </w:tr>
      <w:tr w:rsidR="008902B1" w:rsidRPr="002E0C7E" w:rsidTr="00A8678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S</w:t>
            </w:r>
          </w:p>
          <w:p w:rsidR="008902B1" w:rsidRPr="002E0C7E" w:rsidRDefault="008902B1" w:rsidP="00A8678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M</w:t>
            </w:r>
          </w:p>
          <w:p w:rsidR="008902B1" w:rsidRPr="002E0C7E" w:rsidRDefault="008902B1" w:rsidP="00A8678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T</w:t>
            </w:r>
          </w:p>
          <w:p w:rsidR="008902B1" w:rsidRPr="002E0C7E" w:rsidRDefault="008902B1" w:rsidP="00A8678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W</w:t>
            </w:r>
          </w:p>
          <w:p w:rsidR="008902B1" w:rsidRPr="002E0C7E" w:rsidRDefault="008902B1" w:rsidP="00A8678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T</w:t>
            </w:r>
          </w:p>
          <w:p w:rsidR="008902B1" w:rsidRPr="002E0C7E" w:rsidRDefault="008902B1" w:rsidP="00A8678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F</w:t>
            </w:r>
          </w:p>
          <w:p w:rsidR="008902B1" w:rsidRPr="002E0C7E" w:rsidRDefault="008902B1" w:rsidP="00A8678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S</w:t>
            </w:r>
          </w:p>
          <w:p w:rsidR="008902B1" w:rsidRPr="002E0C7E" w:rsidRDefault="008902B1" w:rsidP="00A8678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S</w:t>
            </w:r>
          </w:p>
          <w:p w:rsidR="008902B1" w:rsidRPr="002E0C7E" w:rsidRDefault="008902B1" w:rsidP="00A8678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M</w:t>
            </w:r>
          </w:p>
          <w:p w:rsidR="008902B1" w:rsidRPr="002E0C7E" w:rsidRDefault="008902B1" w:rsidP="00A8678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T</w:t>
            </w:r>
          </w:p>
          <w:p w:rsidR="008902B1" w:rsidRPr="002E0C7E" w:rsidRDefault="008902B1" w:rsidP="00A8678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W</w:t>
            </w:r>
          </w:p>
          <w:p w:rsidR="008902B1" w:rsidRPr="002E0C7E" w:rsidRDefault="008902B1" w:rsidP="00A8678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T</w:t>
            </w:r>
          </w:p>
          <w:p w:rsidR="008902B1" w:rsidRPr="002E0C7E" w:rsidRDefault="008902B1" w:rsidP="00A8678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F</w:t>
            </w:r>
          </w:p>
          <w:p w:rsidR="008902B1" w:rsidRPr="002E0C7E" w:rsidRDefault="008902B1" w:rsidP="00A8678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S</w:t>
            </w:r>
          </w:p>
          <w:p w:rsidR="008902B1" w:rsidRPr="002E0C7E" w:rsidRDefault="008902B1" w:rsidP="00A8678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S</w:t>
            </w:r>
          </w:p>
          <w:p w:rsidR="008902B1" w:rsidRPr="002E0C7E" w:rsidRDefault="008902B1" w:rsidP="00A8678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M</w:t>
            </w:r>
          </w:p>
          <w:p w:rsidR="008902B1" w:rsidRPr="002E0C7E" w:rsidRDefault="008902B1" w:rsidP="00A8678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T</w:t>
            </w:r>
          </w:p>
          <w:p w:rsidR="008902B1" w:rsidRPr="002E0C7E" w:rsidRDefault="008902B1" w:rsidP="00A8678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W</w:t>
            </w:r>
          </w:p>
          <w:p w:rsidR="008902B1" w:rsidRPr="002E0C7E" w:rsidRDefault="008902B1" w:rsidP="00A8678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T</w:t>
            </w:r>
          </w:p>
          <w:p w:rsidR="008902B1" w:rsidRPr="002E0C7E" w:rsidRDefault="008902B1" w:rsidP="00A8678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sidRPr="002E0C7E">
              <w:rPr>
                <w:rFonts w:ascii="Arial" w:hAnsi="Arial"/>
                <w:sz w:val="14"/>
              </w:rPr>
              <w:t>F</w:t>
            </w:r>
          </w:p>
          <w:p w:rsidR="008902B1" w:rsidRPr="002E0C7E" w:rsidRDefault="008902B1" w:rsidP="00A86787">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r>
              <w:rPr>
                <w:rFonts w:ascii="Arial" w:hAnsi="Arial"/>
                <w:sz w:val="14"/>
              </w:rPr>
              <w:t>S</w:t>
            </w:r>
          </w:p>
          <w:p w:rsidR="008902B1" w:rsidRPr="002E0C7E" w:rsidRDefault="008902B1" w:rsidP="00A86787">
            <w:pPr>
              <w:widowControl w:val="0"/>
              <w:jc w:val="center"/>
              <w:rPr>
                <w:rFonts w:ascii="Arial" w:hAnsi="Arial"/>
                <w:sz w:val="14"/>
              </w:rPr>
            </w:pPr>
            <w:r>
              <w:rPr>
                <w:rFonts w:ascii="Arial" w:hAnsi="Arial"/>
                <w:sz w:val="14"/>
              </w:rPr>
              <w:t>S</w:t>
            </w:r>
          </w:p>
        </w:tc>
      </w:tr>
      <w:tr w:rsidR="008902B1" w:rsidRPr="002E0C7E" w:rsidTr="00A8678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b/>
                <w:sz w:val="14"/>
              </w:rPr>
            </w:pPr>
          </w:p>
          <w:p w:rsidR="008902B1" w:rsidRPr="002E0C7E" w:rsidRDefault="008902B1" w:rsidP="00A8678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4</w:t>
            </w:r>
          </w:p>
        </w:tc>
      </w:tr>
      <w:tr w:rsidR="008902B1" w:rsidRPr="002E0C7E" w:rsidTr="00A8678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11</w:t>
            </w:r>
          </w:p>
        </w:tc>
      </w:tr>
      <w:tr w:rsidR="008902B1" w:rsidRPr="002E0C7E" w:rsidTr="00A8678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A86787">
            <w:pPr>
              <w:widowControl w:val="0"/>
              <w:jc w:val="center"/>
              <w:rPr>
                <w:rFonts w:ascii="Arial" w:hAnsi="Arial"/>
                <w:b/>
                <w:sz w:val="14"/>
              </w:rPr>
            </w:pPr>
          </w:p>
          <w:p w:rsidR="008902B1" w:rsidRPr="002E0C7E" w:rsidRDefault="008902B1" w:rsidP="00A86787">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A86787">
            <w:pPr>
              <w:widowControl w:val="0"/>
              <w:jc w:val="center"/>
              <w:rPr>
                <w:rFonts w:ascii="Arial" w:hAnsi="Arial"/>
                <w:b/>
                <w:sz w:val="14"/>
              </w:rPr>
            </w:pPr>
            <w:r w:rsidRPr="002453E3">
              <w:rPr>
                <w:rFonts w:ascii="Arial" w:hAnsi="Arial"/>
                <w:b/>
                <w:sz w:val="14"/>
              </w:rPr>
              <w:t>M</w:t>
            </w: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A86787">
            <w:pPr>
              <w:widowControl w:val="0"/>
              <w:jc w:val="center"/>
              <w:rPr>
                <w:rFonts w:ascii="Arial" w:hAnsi="Arial"/>
                <w:b/>
                <w:sz w:val="14"/>
              </w:rPr>
            </w:pPr>
            <w:r>
              <w:rPr>
                <w:rFonts w:ascii="Arial" w:hAnsi="Arial"/>
                <w:b/>
                <w:sz w:val="14"/>
              </w:rPr>
              <w:t>M</w:t>
            </w: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18</w:t>
            </w:r>
          </w:p>
        </w:tc>
      </w:tr>
      <w:tr w:rsidR="008902B1" w:rsidRPr="002E0C7E" w:rsidTr="00A8678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A86787">
            <w:pPr>
              <w:widowControl w:val="0"/>
              <w:jc w:val="center"/>
              <w:rPr>
                <w:rFonts w:ascii="Arial" w:hAnsi="Arial"/>
                <w:b/>
                <w:sz w:val="14"/>
              </w:rPr>
            </w:pPr>
            <w:r w:rsidRPr="0049680E">
              <w:rPr>
                <w:rFonts w:ascii="Arial" w:hAnsi="Arial"/>
                <w:b/>
                <w:sz w:val="14"/>
              </w:rPr>
              <w:t>M</w:t>
            </w:r>
          </w:p>
          <w:p w:rsidR="008902B1" w:rsidRPr="002E0C7E" w:rsidRDefault="008902B1" w:rsidP="00A86787">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A86787">
            <w:pPr>
              <w:widowControl w:val="0"/>
              <w:jc w:val="center"/>
              <w:rPr>
                <w:rFonts w:ascii="Arial" w:hAnsi="Arial"/>
                <w:b/>
                <w:sz w:val="14"/>
              </w:rPr>
            </w:pPr>
            <w:r>
              <w:rPr>
                <w:rFonts w:ascii="Arial" w:hAnsi="Arial"/>
                <w:b/>
                <w:sz w:val="14"/>
              </w:rPr>
              <w:t>H</w:t>
            </w:r>
          </w:p>
          <w:p w:rsidR="008902B1" w:rsidRPr="002E0C7E" w:rsidRDefault="008902B1" w:rsidP="00A86787">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A8678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A86787">
            <w:pPr>
              <w:widowControl w:val="0"/>
              <w:jc w:val="center"/>
              <w:rPr>
                <w:rFonts w:ascii="Arial" w:hAnsi="Arial"/>
                <w:sz w:val="14"/>
              </w:rPr>
            </w:pPr>
          </w:p>
          <w:p w:rsidR="008902B1" w:rsidRPr="002E0C7E" w:rsidRDefault="008902B1" w:rsidP="00A86787">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A86787">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A86787">
            <w:pPr>
              <w:widowControl w:val="0"/>
              <w:rPr>
                <w:rFonts w:ascii="Arial" w:hAnsi="Arial"/>
                <w:sz w:val="16"/>
              </w:rPr>
            </w:pPr>
            <w:r w:rsidRPr="002E0C7E">
              <w:rPr>
                <w:rFonts w:ascii="Arial" w:hAnsi="Arial"/>
                <w:sz w:val="16"/>
              </w:rPr>
              <w:t>Sittings of the court:</w:t>
            </w:r>
          </w:p>
          <w:p w:rsidR="008902B1" w:rsidRPr="002E0C7E" w:rsidRDefault="008902B1" w:rsidP="00A86787">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A86787">
            <w:pPr>
              <w:widowControl w:val="0"/>
              <w:rPr>
                <w:rFonts w:ascii="Arial" w:hAnsi="Arial"/>
                <w:sz w:val="16"/>
              </w:rPr>
            </w:pPr>
          </w:p>
          <w:p w:rsidR="008902B1" w:rsidRPr="002E0C7E" w:rsidRDefault="008902B1" w:rsidP="00A86787">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A867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A867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A867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A867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902B1" w:rsidRPr="002E0C7E" w:rsidRDefault="008902B1" w:rsidP="00A867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A8678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A867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A867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A867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A867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A8678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A867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A867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A86787">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A867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44"/>
      <w:footerReference w:type="default" r:id="rId14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877" w:rsidRDefault="00F93877" w:rsidP="00A87207">
      <w:r>
        <w:separator/>
      </w:r>
    </w:p>
  </w:endnote>
  <w:endnote w:type="continuationSeparator" w:id="0">
    <w:p w:rsidR="00F93877" w:rsidRDefault="00F9387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F9387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EC4FDF">
    <w:pPr>
      <w:pStyle w:val="Footer"/>
      <w:rPr>
        <w:lang w:val="fr-CA"/>
      </w:rPr>
    </w:pPr>
    <w:r>
      <w:rPr>
        <w:lang w:val="fr-CA"/>
      </w:rPr>
      <w:pict>
        <v:rect id="_x0000_i1096" style="width:480.95pt;height:1pt" o:hralign="center" o:hrstd="t" o:hrnoshade="t" o:hr="t" fillcolor="black [3213]" stroked="f"/>
      </w:pict>
    </w:r>
  </w:p>
  <w:p w:rsidR="00F93877" w:rsidRDefault="00F93877" w:rsidP="00245129">
    <w:pPr>
      <w:tabs>
        <w:tab w:val="center" w:pos="4680"/>
      </w:tabs>
    </w:pPr>
    <w:r>
      <w:tab/>
    </w:r>
    <w:r w:rsidRPr="0009648D">
      <w:t xml:space="preserve">- </w:t>
    </w:r>
    <w:r>
      <w:fldChar w:fldCharType="begin"/>
    </w:r>
    <w:r>
      <w:instrText xml:space="preserve"> PAGE   \* MERGEFORMAT </w:instrText>
    </w:r>
    <w:r>
      <w:fldChar w:fldCharType="separate"/>
    </w:r>
    <w:r w:rsidR="00EC4FDF">
      <w:rPr>
        <w:noProof/>
      </w:rPr>
      <w:t>1544</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F938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93877" w:rsidRDefault="00F938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93877" w:rsidRDefault="00F9387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EC4FDF" w:rsidP="00755F22">
    <w:pPr>
      <w:tabs>
        <w:tab w:val="left" w:pos="-1440"/>
        <w:tab w:val="left" w:pos="-720"/>
      </w:tabs>
    </w:pPr>
    <w:r>
      <w:pict>
        <v:rect id="_x0000_i1099" style="width:480.95pt;height:1pt" o:hralign="center" o:hrstd="t" o:hrnoshade="t" o:hr="t" fillcolor="black [3213]" stroked="f"/>
      </w:pict>
    </w:r>
  </w:p>
  <w:p w:rsidR="00F93877" w:rsidRDefault="00F93877" w:rsidP="00EB2B90">
    <w:pPr>
      <w:tabs>
        <w:tab w:val="center" w:pos="4680"/>
      </w:tabs>
    </w:pPr>
    <w:r>
      <w:tab/>
      <w:t xml:space="preserve">- </w:t>
    </w:r>
    <w:r>
      <w:fldChar w:fldCharType="begin"/>
    </w:r>
    <w:r>
      <w:instrText xml:space="preserve"> PAGE   \* MERGEFORMAT </w:instrText>
    </w:r>
    <w:r>
      <w:fldChar w:fldCharType="separate"/>
    </w:r>
    <w:r w:rsidR="00203254">
      <w:rPr>
        <w:noProof/>
      </w:rPr>
      <w:t>1596</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EC4FDF" w:rsidP="00EB2B90">
    <w:pPr>
      <w:tabs>
        <w:tab w:val="center" w:pos="4680"/>
      </w:tabs>
    </w:pPr>
    <w:r>
      <w:pict>
        <v:rect id="_x0000_i1100" style="width:480.95pt;height:1pt" o:hralign="center" o:hrstd="t" o:hrnoshade="t" o:hr="t" fillcolor="black [3213]" stroked="f"/>
      </w:pict>
    </w:r>
  </w:p>
  <w:p w:rsidR="00F93877" w:rsidRPr="0031432F" w:rsidRDefault="00F93877" w:rsidP="00EB2B90">
    <w:pPr>
      <w:tabs>
        <w:tab w:val="center" w:pos="4680"/>
      </w:tabs>
    </w:pPr>
    <w:r>
      <w:tab/>
      <w:t xml:space="preserve">- </w:t>
    </w:r>
    <w:r>
      <w:fldChar w:fldCharType="begin"/>
    </w:r>
    <w:r>
      <w:instrText xml:space="preserve"> PAGE   \* MERGEFORMAT </w:instrText>
    </w:r>
    <w:r>
      <w:fldChar w:fldCharType="separate"/>
    </w:r>
    <w:r w:rsidR="00CA55F2">
      <w:rPr>
        <w:noProof/>
      </w:rPr>
      <w:t>1603</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F938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93877" w:rsidRDefault="00F938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93877" w:rsidRDefault="00F93877">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EC4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2" style="width:480.95pt;height:1pt" o:hralign="center" o:hrstd="t" o:hrnoshade="t" o:hr="t" fillcolor="black [3213]" stroked="f"/>
      </w:pict>
    </w:r>
  </w:p>
  <w:p w:rsidR="00F93877" w:rsidRDefault="00F93877"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EC4FDF">
    <w:pPr>
      <w:pStyle w:val="Footer"/>
      <w:rPr>
        <w:lang w:val="fr-CA"/>
      </w:rPr>
    </w:pPr>
    <w:r>
      <w:rPr>
        <w:lang w:val="fr-CA"/>
      </w:rPr>
      <w:pict>
        <v:rect id="_x0000_i1103" style="width:480.95pt;height:1pt" o:hralign="center" o:hrstd="t" o:hrnoshade="t" o:hr="t" fillcolor="black [3213]" stroked="f"/>
      </w:pict>
    </w:r>
  </w:p>
  <w:p w:rsidR="00F93877" w:rsidRDefault="00F93877" w:rsidP="00EB2B90">
    <w:pPr>
      <w:tabs>
        <w:tab w:val="center" w:pos="4680"/>
      </w:tabs>
    </w:pPr>
    <w:r>
      <w:tab/>
      <w:t xml:space="preserve">- </w:t>
    </w:r>
    <w:r>
      <w:fldChar w:fldCharType="begin"/>
    </w:r>
    <w:r>
      <w:instrText xml:space="preserve"> PAGE   \* MERGEFORMAT </w:instrText>
    </w:r>
    <w:r>
      <w:fldChar w:fldCharType="separate"/>
    </w:r>
    <w:r w:rsidR="00203254">
      <w:rPr>
        <w:noProof/>
      </w:rPr>
      <w:t>1597</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EC4FDF">
    <w:r>
      <w:rPr>
        <w:lang w:val="fr-CA"/>
      </w:rPr>
      <w:pict>
        <v:rect id="_x0000_i1108" style="width:480.95pt;height:1pt" o:hralign="center" o:hrstd="t" o:hrnoshade="t" o:hr="t" fillcolor="black [3213]" stroked="f"/>
      </w:pict>
    </w:r>
  </w:p>
  <w:p w:rsidR="00F93877" w:rsidRDefault="00F93877" w:rsidP="006B6926">
    <w:pPr>
      <w:tabs>
        <w:tab w:val="center" w:pos="4680"/>
      </w:tabs>
    </w:pPr>
    <w:r>
      <w:tab/>
      <w:t xml:space="preserve">- </w:t>
    </w:r>
    <w:r>
      <w:fldChar w:fldCharType="begin"/>
    </w:r>
    <w:r>
      <w:instrText xml:space="preserve">PAGE </w:instrText>
    </w:r>
    <w:r>
      <w:fldChar w:fldCharType="separate"/>
    </w:r>
    <w:r w:rsidR="00203254">
      <w:rPr>
        <w:noProof/>
      </w:rPr>
      <w:t>1599</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EC4FDF" w:rsidP="006B6926">
    <w:pPr>
      <w:tabs>
        <w:tab w:val="center" w:pos="4680"/>
      </w:tabs>
      <w:rPr>
        <w:lang w:val="fr-CA"/>
      </w:rPr>
    </w:pPr>
    <w:r>
      <w:rPr>
        <w:lang w:val="fr-CA"/>
      </w:rPr>
      <w:pict>
        <v:rect id="_x0000_i1109" style="width:480.95pt;height:1pt" o:hralign="center" o:hrstd="t" o:hrnoshade="t" o:hr="t" fillcolor="black [3213]" stroked="f"/>
      </w:pict>
    </w:r>
  </w:p>
  <w:p w:rsidR="00F93877" w:rsidRDefault="00F93877" w:rsidP="006B6926">
    <w:pPr>
      <w:tabs>
        <w:tab w:val="center" w:pos="4680"/>
      </w:tabs>
    </w:pPr>
    <w:r>
      <w:tab/>
      <w:t xml:space="preserve">- </w:t>
    </w:r>
    <w:r>
      <w:fldChar w:fldCharType="begin"/>
    </w:r>
    <w:r>
      <w:instrText xml:space="preserve">PAGE </w:instrText>
    </w:r>
    <w:r>
      <w:fldChar w:fldCharType="separate"/>
    </w:r>
    <w:r w:rsidR="00203254">
      <w:rPr>
        <w:noProof/>
      </w:rPr>
      <w:t>1598</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Pr="00924065" w:rsidRDefault="00F93877"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F93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F938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EC4FDF" w:rsidP="00A87207">
    <w:pPr>
      <w:pStyle w:val="Footer"/>
    </w:pPr>
    <w:r>
      <w:pict>
        <v:rect id="_x0000_i1032" style="width:480.95pt;height:1pt" o:hralign="center" o:hrstd="t" o:hrnoshade="t" o:hr="t" fillcolor="black [3213]" stroked="f"/>
      </w:pict>
    </w:r>
  </w:p>
  <w:p w:rsidR="00F93877" w:rsidRPr="00B7374B" w:rsidRDefault="00F9387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1543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EC4FDF" w:rsidP="00755F22">
    <w:pPr>
      <w:tabs>
        <w:tab w:val="left" w:pos="-1440"/>
        <w:tab w:val="left" w:pos="-720"/>
      </w:tabs>
    </w:pPr>
    <w:r>
      <w:pict>
        <v:rect id="_x0000_i1033" style="width:480.95pt;height:1pt" o:hralign="center" o:hrstd="t" o:hrnoshade="t" o:hr="t" fillcolor="black [3213]" stroked="f"/>
      </w:pict>
    </w:r>
  </w:p>
  <w:p w:rsidR="00F93877" w:rsidRPr="00954D22" w:rsidRDefault="00F9387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C4FDF">
      <w:rPr>
        <w:noProof/>
        <w:szCs w:val="24"/>
      </w:rPr>
      <w:t>1542</w:t>
    </w:r>
    <w:r>
      <w:rPr>
        <w:szCs w:val="24"/>
      </w:rPr>
      <w:fldChar w:fldCharType="end"/>
    </w:r>
    <w:r w:rsidRPr="00954D22">
      <w:rPr>
        <w:szCs w:val="24"/>
      </w:rPr>
      <w:t xml:space="preserve"> -</w:t>
    </w:r>
  </w:p>
  <w:p w:rsidR="00F93877" w:rsidRDefault="00F938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EC4FDF" w:rsidP="00A87207">
    <w:pPr>
      <w:pStyle w:val="Footer"/>
    </w:pPr>
    <w:r>
      <w:pict>
        <v:rect id="_x0000_i1035" style="width:480.95pt;height:1pt" o:hralign="center" o:hrstd="t" o:hrnoshade="t" o:hr="t" fillcolor="black [3213]" stroked="f"/>
      </w:pict>
    </w:r>
  </w:p>
  <w:p w:rsidR="00F93877" w:rsidRPr="00B7374B" w:rsidRDefault="00F9387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EC4FD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F93877" w:rsidRPr="00954D22" w:rsidRDefault="00F9387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C4FDF">
      <w:rPr>
        <w:noProof/>
        <w:szCs w:val="24"/>
      </w:rPr>
      <w:t>1543</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F938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93877" w:rsidRDefault="00F938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93877" w:rsidRDefault="00F9387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EC4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5" style="width:480.95pt;height:1pt" o:hralign="center" o:hrstd="t" o:hrnoshade="t" o:hr="t" fillcolor="black [3213]" stroked="f"/>
      </w:pict>
    </w:r>
  </w:p>
  <w:p w:rsidR="00F93877" w:rsidRPr="0009648D" w:rsidRDefault="00F93877" w:rsidP="00ED7E83">
    <w:pPr>
      <w:tabs>
        <w:tab w:val="center" w:pos="4680"/>
      </w:tabs>
    </w:pPr>
    <w:r>
      <w:tab/>
    </w:r>
    <w:r w:rsidRPr="0009648D">
      <w:t xml:space="preserve">- </w:t>
    </w:r>
    <w:r>
      <w:fldChar w:fldCharType="begin"/>
    </w:r>
    <w:r>
      <w:instrText xml:space="preserve"> PAGE   \* MERGEFORMAT </w:instrText>
    </w:r>
    <w:r>
      <w:fldChar w:fldCharType="separate"/>
    </w:r>
    <w:r w:rsidR="00EC4FDF">
      <w:rPr>
        <w:noProof/>
      </w:rPr>
      <w:t>1557</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877" w:rsidRDefault="00F93877" w:rsidP="00A87207">
      <w:r>
        <w:separator/>
      </w:r>
    </w:p>
  </w:footnote>
  <w:footnote w:type="continuationSeparator" w:id="0">
    <w:p w:rsidR="00F93877" w:rsidRDefault="00F9387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F938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F9387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93877">
      <w:tc>
        <w:tcPr>
          <w:tcW w:w="4230" w:type="dxa"/>
          <w:tcMar>
            <w:left w:w="0" w:type="dxa"/>
            <w:right w:w="0" w:type="dxa"/>
          </w:tcMar>
        </w:tcPr>
        <w:p w:rsidR="00F93877" w:rsidRDefault="00F938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93877" w:rsidRDefault="00F938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93877" w:rsidRDefault="00F938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93877">
      <w:trPr>
        <w:gridAfter w:val="2"/>
        <w:wAfter w:w="5250" w:type="dxa"/>
      </w:trPr>
      <w:tc>
        <w:tcPr>
          <w:tcW w:w="4230" w:type="dxa"/>
          <w:tcMar>
            <w:left w:w="0" w:type="dxa"/>
            <w:right w:w="0" w:type="dxa"/>
          </w:tcMar>
        </w:tcPr>
        <w:p w:rsidR="00F93877" w:rsidRDefault="00F938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93877" w:rsidRDefault="00F938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93877" w:rsidRPr="00755F22" w:rsidTr="00245129">
      <w:tc>
        <w:tcPr>
          <w:tcW w:w="4230" w:type="dxa"/>
          <w:tcMar>
            <w:left w:w="0" w:type="dxa"/>
            <w:right w:w="0" w:type="dxa"/>
          </w:tcMar>
        </w:tcPr>
        <w:p w:rsidR="00F93877" w:rsidRPr="00755F22" w:rsidRDefault="00F93877" w:rsidP="00831CA9">
          <w:pPr>
            <w:keepNext/>
            <w:keepLines/>
            <w:rPr>
              <w:sz w:val="20"/>
              <w:szCs w:val="20"/>
            </w:rPr>
          </w:pPr>
          <w:r w:rsidRPr="00755F22">
            <w:rPr>
              <w:sz w:val="20"/>
              <w:szCs w:val="20"/>
            </w:rPr>
            <w:t>MOTIONS</w:t>
          </w:r>
        </w:p>
      </w:tc>
      <w:tc>
        <w:tcPr>
          <w:tcW w:w="1170" w:type="dxa"/>
          <w:tcMar>
            <w:left w:w="0" w:type="dxa"/>
            <w:right w:w="0" w:type="dxa"/>
          </w:tcMar>
        </w:tcPr>
        <w:p w:rsidR="00F93877" w:rsidRPr="00755F22" w:rsidRDefault="00F93877" w:rsidP="00831CA9">
          <w:pPr>
            <w:keepLines/>
            <w:jc w:val="center"/>
            <w:rPr>
              <w:sz w:val="20"/>
              <w:szCs w:val="20"/>
            </w:rPr>
          </w:pPr>
        </w:p>
        <w:p w:rsidR="00F93877" w:rsidRPr="00755F22" w:rsidRDefault="00F93877" w:rsidP="00831CA9">
          <w:pPr>
            <w:keepLines/>
            <w:tabs>
              <w:tab w:val="left" w:pos="-1440"/>
              <w:tab w:val="left" w:pos="-720"/>
            </w:tabs>
            <w:jc w:val="center"/>
            <w:rPr>
              <w:sz w:val="20"/>
              <w:szCs w:val="20"/>
            </w:rPr>
          </w:pPr>
        </w:p>
      </w:tc>
      <w:tc>
        <w:tcPr>
          <w:tcW w:w="4080" w:type="dxa"/>
          <w:tcMar>
            <w:left w:w="0" w:type="dxa"/>
            <w:right w:w="0" w:type="dxa"/>
          </w:tcMar>
        </w:tcPr>
        <w:p w:rsidR="00F93877" w:rsidRPr="00BA6468" w:rsidRDefault="00F93877" w:rsidP="00BA6468">
          <w:pPr>
            <w:keepLines/>
            <w:rPr>
              <w:sz w:val="20"/>
              <w:szCs w:val="20"/>
              <w:lang w:val="fr-CA"/>
            </w:rPr>
          </w:pPr>
          <w:r w:rsidRPr="00BA6468">
            <w:rPr>
              <w:sz w:val="20"/>
              <w:szCs w:val="20"/>
              <w:lang w:val="fr-CA"/>
            </w:rPr>
            <w:t>REQUÊTES</w:t>
          </w:r>
        </w:p>
      </w:tc>
    </w:tr>
  </w:tbl>
  <w:p w:rsidR="00F93877" w:rsidRDefault="00F93877"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F9387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93877" w:rsidRPr="00002704">
      <w:tc>
        <w:tcPr>
          <w:tcW w:w="4200" w:type="dxa"/>
          <w:tcMar>
            <w:left w:w="0" w:type="dxa"/>
            <w:right w:w="0" w:type="dxa"/>
          </w:tcMar>
        </w:tcPr>
        <w:p w:rsidR="00F93877" w:rsidRDefault="00F938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93877" w:rsidRDefault="00F938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93877" w:rsidRPr="00B01A03" w:rsidRDefault="00F938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93877" w:rsidRPr="00B01A03" w:rsidRDefault="00F938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93877" w:rsidRPr="00B01A03" w:rsidRDefault="00F938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93877" w:rsidRPr="00002704" w:rsidTr="00245129">
      <w:tc>
        <w:tcPr>
          <w:tcW w:w="4200" w:type="dxa"/>
          <w:tcMar>
            <w:left w:w="0" w:type="dxa"/>
            <w:right w:w="0" w:type="dxa"/>
          </w:tcMar>
        </w:tcPr>
        <w:p w:rsidR="00F93877" w:rsidRPr="00F40249" w:rsidRDefault="00F9387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93877" w:rsidRDefault="00F93877" w:rsidP="00102926">
          <w:pPr>
            <w:keepNext/>
            <w:keepLines/>
            <w:tabs>
              <w:tab w:val="left" w:pos="-1440"/>
              <w:tab w:val="left" w:pos="-720"/>
            </w:tabs>
            <w:jc w:val="center"/>
            <w:rPr>
              <w:sz w:val="20"/>
              <w:szCs w:val="20"/>
            </w:rPr>
          </w:pPr>
        </w:p>
        <w:p w:rsidR="00F93877" w:rsidRDefault="00F93877" w:rsidP="00102926">
          <w:pPr>
            <w:keepNext/>
            <w:keepLines/>
            <w:tabs>
              <w:tab w:val="left" w:pos="-1440"/>
              <w:tab w:val="left" w:pos="-720"/>
            </w:tabs>
            <w:jc w:val="center"/>
            <w:rPr>
              <w:sz w:val="20"/>
              <w:szCs w:val="20"/>
            </w:rPr>
          </w:pPr>
        </w:p>
        <w:p w:rsidR="00F93877" w:rsidRPr="00F40249" w:rsidRDefault="00F93877" w:rsidP="00102926">
          <w:pPr>
            <w:keepNext/>
            <w:keepLines/>
            <w:tabs>
              <w:tab w:val="left" w:pos="-1440"/>
              <w:tab w:val="left" w:pos="-720"/>
            </w:tabs>
            <w:jc w:val="center"/>
            <w:rPr>
              <w:sz w:val="20"/>
              <w:szCs w:val="20"/>
            </w:rPr>
          </w:pPr>
        </w:p>
      </w:tc>
      <w:tc>
        <w:tcPr>
          <w:tcW w:w="4230" w:type="dxa"/>
          <w:tcMar>
            <w:left w:w="0" w:type="dxa"/>
            <w:right w:w="0" w:type="dxa"/>
          </w:tcMar>
        </w:tcPr>
        <w:p w:rsidR="00F93877" w:rsidRPr="00F40249" w:rsidRDefault="00F9387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93877" w:rsidRPr="00B01A03" w:rsidRDefault="00F9387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F9387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F93877" w:rsidRPr="00002704" w:rsidTr="00245129">
      <w:tc>
        <w:tcPr>
          <w:tcW w:w="4320" w:type="dxa"/>
        </w:tcPr>
        <w:p w:rsidR="00F93877" w:rsidRPr="006B6926" w:rsidRDefault="00F93877" w:rsidP="006B6926">
          <w:pPr>
            <w:keepNext/>
            <w:keepLines/>
            <w:rPr>
              <w:bCs/>
              <w:sz w:val="20"/>
              <w:szCs w:val="20"/>
              <w:lang w:val="en-GB"/>
            </w:rPr>
          </w:pPr>
          <w:r w:rsidRPr="006B6926">
            <w:rPr>
              <w:bCs/>
              <w:sz w:val="20"/>
              <w:szCs w:val="20"/>
              <w:lang w:val="en-GB"/>
            </w:rPr>
            <w:t>SUPREME COURT REPORTS</w:t>
          </w:r>
        </w:p>
      </w:tc>
      <w:tc>
        <w:tcPr>
          <w:tcW w:w="840" w:type="dxa"/>
        </w:tcPr>
        <w:p w:rsidR="00F93877" w:rsidRDefault="00F93877" w:rsidP="006B6926">
          <w:pPr>
            <w:jc w:val="center"/>
            <w:rPr>
              <w:bCs/>
              <w:sz w:val="20"/>
              <w:szCs w:val="20"/>
              <w:lang w:val="en-GB"/>
            </w:rPr>
          </w:pPr>
        </w:p>
        <w:p w:rsidR="00F93877" w:rsidRPr="006B6926" w:rsidRDefault="00F93877" w:rsidP="006B6926">
          <w:pPr>
            <w:jc w:val="center"/>
            <w:rPr>
              <w:bCs/>
              <w:sz w:val="20"/>
              <w:szCs w:val="20"/>
              <w:lang w:val="en-GB"/>
            </w:rPr>
          </w:pPr>
        </w:p>
      </w:tc>
      <w:tc>
        <w:tcPr>
          <w:tcW w:w="4320" w:type="dxa"/>
        </w:tcPr>
        <w:p w:rsidR="00F93877" w:rsidRPr="006B6926" w:rsidRDefault="00F93877" w:rsidP="006B6926">
          <w:pPr>
            <w:keepNext/>
            <w:keepLines/>
            <w:rPr>
              <w:bCs/>
              <w:sz w:val="20"/>
              <w:szCs w:val="20"/>
              <w:lang w:val="fr-CA"/>
            </w:rPr>
          </w:pPr>
          <w:r w:rsidRPr="006B6926">
            <w:rPr>
              <w:bCs/>
              <w:sz w:val="20"/>
              <w:szCs w:val="20"/>
              <w:lang w:val="fr-CA"/>
            </w:rPr>
            <w:t>RECUEIL DES ARRÊTS DE LA COUR SUPRÊME</w:t>
          </w:r>
        </w:p>
      </w:tc>
    </w:tr>
  </w:tbl>
  <w:p w:rsidR="00F93877" w:rsidRPr="000924F7" w:rsidRDefault="00F93877">
    <w:pPr>
      <w:pStyle w:val="Header"/>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F9387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F93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F938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F938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93877" w:rsidRPr="0044776A" w:rsidTr="00245129">
      <w:tc>
        <w:tcPr>
          <w:tcW w:w="4290" w:type="dxa"/>
          <w:tcMar>
            <w:left w:w="0" w:type="dxa"/>
            <w:right w:w="0" w:type="dxa"/>
          </w:tcMar>
        </w:tcPr>
        <w:p w:rsidR="00F93877" w:rsidRPr="0044776A" w:rsidRDefault="00F9387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93877" w:rsidRPr="0044776A" w:rsidRDefault="00F93877" w:rsidP="002E2327">
          <w:pPr>
            <w:keepNext/>
            <w:keepLines/>
            <w:tabs>
              <w:tab w:val="left" w:pos="-1440"/>
              <w:tab w:val="left" w:pos="-720"/>
            </w:tabs>
            <w:jc w:val="center"/>
            <w:rPr>
              <w:sz w:val="20"/>
              <w:szCs w:val="20"/>
            </w:rPr>
          </w:pPr>
        </w:p>
        <w:p w:rsidR="00F93877" w:rsidRPr="0044776A" w:rsidRDefault="00F93877" w:rsidP="002E2327">
          <w:pPr>
            <w:keepNext/>
            <w:keepLines/>
            <w:tabs>
              <w:tab w:val="left" w:pos="-1440"/>
              <w:tab w:val="left" w:pos="-720"/>
            </w:tabs>
            <w:jc w:val="center"/>
            <w:rPr>
              <w:sz w:val="20"/>
              <w:szCs w:val="20"/>
            </w:rPr>
          </w:pPr>
        </w:p>
        <w:p w:rsidR="00F93877" w:rsidRPr="0044776A" w:rsidRDefault="00F93877" w:rsidP="002E2327">
          <w:pPr>
            <w:keepNext/>
            <w:keepLines/>
            <w:tabs>
              <w:tab w:val="left" w:pos="-1440"/>
              <w:tab w:val="left" w:pos="-720"/>
            </w:tabs>
            <w:jc w:val="center"/>
            <w:rPr>
              <w:sz w:val="20"/>
              <w:szCs w:val="20"/>
            </w:rPr>
          </w:pPr>
        </w:p>
      </w:tc>
      <w:tc>
        <w:tcPr>
          <w:tcW w:w="4320" w:type="dxa"/>
          <w:tcMar>
            <w:left w:w="0" w:type="dxa"/>
            <w:right w:w="0" w:type="dxa"/>
          </w:tcMar>
        </w:tcPr>
        <w:p w:rsidR="00F93877" w:rsidRPr="0044776A" w:rsidRDefault="00F93877" w:rsidP="002E2327">
          <w:pPr>
            <w:keepLines/>
            <w:rPr>
              <w:sz w:val="20"/>
              <w:szCs w:val="20"/>
              <w:lang w:val="fr-CA"/>
            </w:rPr>
          </w:pPr>
          <w:r w:rsidRPr="0044776A">
            <w:rPr>
              <w:sz w:val="20"/>
              <w:szCs w:val="20"/>
              <w:lang w:val="fr-CA"/>
            </w:rPr>
            <w:t>DEMANDES D'AUTORISATION D'APPEL DÉPOSÉES</w:t>
          </w:r>
        </w:p>
      </w:tc>
    </w:tr>
  </w:tbl>
  <w:p w:rsidR="00F93877" w:rsidRDefault="00F938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F9387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93877" w:rsidRPr="00002704" w:rsidTr="00245129">
      <w:tc>
        <w:tcPr>
          <w:tcW w:w="4200" w:type="dxa"/>
          <w:tcMar>
            <w:left w:w="0" w:type="dxa"/>
            <w:right w:w="0" w:type="dxa"/>
          </w:tcMar>
        </w:tcPr>
        <w:p w:rsidR="00F93877" w:rsidRPr="0044776A" w:rsidRDefault="00F93877" w:rsidP="0044776A">
          <w:pPr>
            <w:keepNext/>
            <w:keepLines/>
            <w:widowControl w:val="0"/>
            <w:rPr>
              <w:sz w:val="20"/>
              <w:szCs w:val="20"/>
            </w:rPr>
          </w:pPr>
          <w:r>
            <w:rPr>
              <w:sz w:val="20"/>
              <w:szCs w:val="20"/>
            </w:rPr>
            <w:t>APPLICATIONS FOR LEAVE</w:t>
          </w:r>
        </w:p>
        <w:p w:rsidR="00F93877" w:rsidRPr="0044776A" w:rsidRDefault="00F9387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93877" w:rsidRPr="0044776A" w:rsidRDefault="00F93877" w:rsidP="0044776A">
          <w:pPr>
            <w:keepNext/>
            <w:keepLines/>
            <w:widowControl w:val="0"/>
            <w:jc w:val="center"/>
            <w:rPr>
              <w:sz w:val="20"/>
              <w:szCs w:val="20"/>
            </w:rPr>
          </w:pPr>
        </w:p>
        <w:p w:rsidR="00F93877" w:rsidRPr="0044776A" w:rsidRDefault="00F93877" w:rsidP="0044776A">
          <w:pPr>
            <w:keepNext/>
            <w:keepLines/>
            <w:widowControl w:val="0"/>
            <w:jc w:val="center"/>
            <w:rPr>
              <w:sz w:val="20"/>
              <w:szCs w:val="20"/>
            </w:rPr>
          </w:pPr>
        </w:p>
        <w:p w:rsidR="00F93877" w:rsidRPr="0044776A" w:rsidRDefault="00F93877" w:rsidP="0044776A">
          <w:pPr>
            <w:keepNext/>
            <w:keepLines/>
            <w:widowControl w:val="0"/>
            <w:jc w:val="center"/>
            <w:rPr>
              <w:sz w:val="20"/>
              <w:szCs w:val="20"/>
            </w:rPr>
          </w:pPr>
        </w:p>
      </w:tc>
      <w:tc>
        <w:tcPr>
          <w:tcW w:w="4080" w:type="dxa"/>
          <w:tcMar>
            <w:left w:w="0" w:type="dxa"/>
            <w:right w:w="0" w:type="dxa"/>
          </w:tcMar>
        </w:tcPr>
        <w:p w:rsidR="00F93877" w:rsidRPr="0044776A" w:rsidRDefault="00F93877" w:rsidP="0044776A">
          <w:pPr>
            <w:keepLines/>
            <w:widowControl w:val="0"/>
            <w:rPr>
              <w:sz w:val="20"/>
              <w:szCs w:val="20"/>
              <w:lang w:val="fr-CA"/>
            </w:rPr>
          </w:pPr>
          <w:r w:rsidRPr="0044776A">
            <w:rPr>
              <w:sz w:val="20"/>
              <w:szCs w:val="20"/>
              <w:lang w:val="fr-CA"/>
            </w:rPr>
            <w:t>DEMANDES SOUMISES À LA COUR DEPUIS LA DERNIÈRE PARUTION</w:t>
          </w:r>
        </w:p>
        <w:p w:rsidR="00F93877" w:rsidRPr="0044776A" w:rsidRDefault="00F93877" w:rsidP="0044776A">
          <w:pPr>
            <w:widowControl w:val="0"/>
            <w:rPr>
              <w:sz w:val="20"/>
              <w:szCs w:val="20"/>
              <w:lang w:val="fr-CA"/>
            </w:rPr>
          </w:pPr>
        </w:p>
      </w:tc>
    </w:tr>
  </w:tbl>
  <w:p w:rsidR="00F93877" w:rsidRPr="002E2327" w:rsidRDefault="00F93877">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7" w:rsidRDefault="00F9387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93877" w:rsidRPr="00002704">
      <w:tc>
        <w:tcPr>
          <w:tcW w:w="4200" w:type="dxa"/>
          <w:tcMar>
            <w:left w:w="0" w:type="dxa"/>
            <w:right w:w="0" w:type="dxa"/>
          </w:tcMar>
        </w:tcPr>
        <w:p w:rsidR="00F93877" w:rsidRDefault="00F938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93877" w:rsidRDefault="00F938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93877" w:rsidRDefault="00F938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93877" w:rsidRPr="00FF6BA5" w:rsidRDefault="00F938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93877" w:rsidRPr="00FF6BA5" w:rsidRDefault="00F938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93877" w:rsidRPr="00FF6BA5" w:rsidRDefault="00F938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93877" w:rsidRPr="00FF6BA5" w:rsidRDefault="00F938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93877" w:rsidRPr="00002704" w:rsidTr="00245129">
      <w:tc>
        <w:tcPr>
          <w:tcW w:w="4200" w:type="dxa"/>
          <w:tcMar>
            <w:left w:w="0" w:type="dxa"/>
            <w:right w:w="0" w:type="dxa"/>
          </w:tcMar>
        </w:tcPr>
        <w:p w:rsidR="00F93877" w:rsidRPr="00755F22" w:rsidRDefault="00F938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93877" w:rsidRPr="00755F22" w:rsidRDefault="00F938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93877" w:rsidRPr="00755F22" w:rsidRDefault="00F9387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93877" w:rsidRPr="00755F22" w:rsidRDefault="00F9387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93877" w:rsidRPr="00755F22" w:rsidRDefault="00F9387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93877" w:rsidRPr="00755F22" w:rsidRDefault="00F938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93877" w:rsidRPr="00FF6BA5" w:rsidRDefault="00F93877"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225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AD"/>
    <w:rsid w:val="00001276"/>
    <w:rsid w:val="00002704"/>
    <w:rsid w:val="00020DC3"/>
    <w:rsid w:val="00020FAD"/>
    <w:rsid w:val="00021E5F"/>
    <w:rsid w:val="0003041B"/>
    <w:rsid w:val="0003223B"/>
    <w:rsid w:val="000327B2"/>
    <w:rsid w:val="00032EDC"/>
    <w:rsid w:val="000340DE"/>
    <w:rsid w:val="00034E81"/>
    <w:rsid w:val="00042AE4"/>
    <w:rsid w:val="00045187"/>
    <w:rsid w:val="0004528B"/>
    <w:rsid w:val="00047CEE"/>
    <w:rsid w:val="000509FB"/>
    <w:rsid w:val="00060315"/>
    <w:rsid w:val="00062FC3"/>
    <w:rsid w:val="00064FBA"/>
    <w:rsid w:val="00065B6E"/>
    <w:rsid w:val="000864B0"/>
    <w:rsid w:val="00091FA6"/>
    <w:rsid w:val="00096BD9"/>
    <w:rsid w:val="0009794C"/>
    <w:rsid w:val="000B13BC"/>
    <w:rsid w:val="000B3C9A"/>
    <w:rsid w:val="000B3D10"/>
    <w:rsid w:val="000B40A2"/>
    <w:rsid w:val="000B4624"/>
    <w:rsid w:val="000B5C6F"/>
    <w:rsid w:val="000C0ACD"/>
    <w:rsid w:val="000C0D2A"/>
    <w:rsid w:val="000C5CE8"/>
    <w:rsid w:val="000D13EB"/>
    <w:rsid w:val="000D71BE"/>
    <w:rsid w:val="000E27A5"/>
    <w:rsid w:val="000E2959"/>
    <w:rsid w:val="000F027A"/>
    <w:rsid w:val="000F0B60"/>
    <w:rsid w:val="00101FE3"/>
    <w:rsid w:val="00102926"/>
    <w:rsid w:val="001038EF"/>
    <w:rsid w:val="0010587F"/>
    <w:rsid w:val="00111C6B"/>
    <w:rsid w:val="00115F79"/>
    <w:rsid w:val="0012102B"/>
    <w:rsid w:val="00125F1B"/>
    <w:rsid w:val="00126052"/>
    <w:rsid w:val="0013369E"/>
    <w:rsid w:val="00164E6D"/>
    <w:rsid w:val="00171826"/>
    <w:rsid w:val="00183454"/>
    <w:rsid w:val="001A3E29"/>
    <w:rsid w:val="001B0B33"/>
    <w:rsid w:val="001B157C"/>
    <w:rsid w:val="001B4006"/>
    <w:rsid w:val="001B45F7"/>
    <w:rsid w:val="001B5C23"/>
    <w:rsid w:val="001C29D2"/>
    <w:rsid w:val="001D0D5F"/>
    <w:rsid w:val="001D6B8C"/>
    <w:rsid w:val="001F1F83"/>
    <w:rsid w:val="001F3347"/>
    <w:rsid w:val="001F40DF"/>
    <w:rsid w:val="001F6B2D"/>
    <w:rsid w:val="00201EA9"/>
    <w:rsid w:val="002021A9"/>
    <w:rsid w:val="00203254"/>
    <w:rsid w:val="002072C8"/>
    <w:rsid w:val="002139A7"/>
    <w:rsid w:val="00215F7C"/>
    <w:rsid w:val="0022323B"/>
    <w:rsid w:val="0023205E"/>
    <w:rsid w:val="002341C6"/>
    <w:rsid w:val="002350A9"/>
    <w:rsid w:val="002410B8"/>
    <w:rsid w:val="0024178F"/>
    <w:rsid w:val="00241BBC"/>
    <w:rsid w:val="00242AEE"/>
    <w:rsid w:val="00245129"/>
    <w:rsid w:val="00245879"/>
    <w:rsid w:val="00257E77"/>
    <w:rsid w:val="00267FD5"/>
    <w:rsid w:val="002719EA"/>
    <w:rsid w:val="00274D34"/>
    <w:rsid w:val="002807F9"/>
    <w:rsid w:val="00283ED8"/>
    <w:rsid w:val="00284D87"/>
    <w:rsid w:val="002868D0"/>
    <w:rsid w:val="002A008C"/>
    <w:rsid w:val="002A1817"/>
    <w:rsid w:val="002A27D1"/>
    <w:rsid w:val="002A4AFA"/>
    <w:rsid w:val="002B023D"/>
    <w:rsid w:val="002B0BB5"/>
    <w:rsid w:val="002B5141"/>
    <w:rsid w:val="002B516C"/>
    <w:rsid w:val="002C616A"/>
    <w:rsid w:val="002C71A7"/>
    <w:rsid w:val="002C75BC"/>
    <w:rsid w:val="002D129E"/>
    <w:rsid w:val="002D297F"/>
    <w:rsid w:val="002D3462"/>
    <w:rsid w:val="002D72EB"/>
    <w:rsid w:val="002E2327"/>
    <w:rsid w:val="002E3583"/>
    <w:rsid w:val="002E3712"/>
    <w:rsid w:val="002E5576"/>
    <w:rsid w:val="002E57BA"/>
    <w:rsid w:val="00304F71"/>
    <w:rsid w:val="0031031C"/>
    <w:rsid w:val="00325618"/>
    <w:rsid w:val="00331B52"/>
    <w:rsid w:val="003321A8"/>
    <w:rsid w:val="00332334"/>
    <w:rsid w:val="003359D3"/>
    <w:rsid w:val="00341827"/>
    <w:rsid w:val="00344E4B"/>
    <w:rsid w:val="00350964"/>
    <w:rsid w:val="00355967"/>
    <w:rsid w:val="00360C76"/>
    <w:rsid w:val="00370D54"/>
    <w:rsid w:val="003728CF"/>
    <w:rsid w:val="003756AC"/>
    <w:rsid w:val="00382C47"/>
    <w:rsid w:val="00384384"/>
    <w:rsid w:val="003866AE"/>
    <w:rsid w:val="003A2D7E"/>
    <w:rsid w:val="003A56EF"/>
    <w:rsid w:val="003B0D53"/>
    <w:rsid w:val="003B3977"/>
    <w:rsid w:val="003B4056"/>
    <w:rsid w:val="003C4E4A"/>
    <w:rsid w:val="003D36C9"/>
    <w:rsid w:val="003E1D4C"/>
    <w:rsid w:val="003F08F4"/>
    <w:rsid w:val="00404061"/>
    <w:rsid w:val="004137A0"/>
    <w:rsid w:val="004160BC"/>
    <w:rsid w:val="00422D9A"/>
    <w:rsid w:val="00426E49"/>
    <w:rsid w:val="004306A7"/>
    <w:rsid w:val="00432989"/>
    <w:rsid w:val="004335A1"/>
    <w:rsid w:val="00436494"/>
    <w:rsid w:val="00440E24"/>
    <w:rsid w:val="0044629F"/>
    <w:rsid w:val="0044776A"/>
    <w:rsid w:val="0045796F"/>
    <w:rsid w:val="00460AFC"/>
    <w:rsid w:val="0047471F"/>
    <w:rsid w:val="00476010"/>
    <w:rsid w:val="00480859"/>
    <w:rsid w:val="00487C58"/>
    <w:rsid w:val="00487D10"/>
    <w:rsid w:val="00490EAD"/>
    <w:rsid w:val="004A2FD2"/>
    <w:rsid w:val="004A7242"/>
    <w:rsid w:val="004B195E"/>
    <w:rsid w:val="004B2CF7"/>
    <w:rsid w:val="004B66B4"/>
    <w:rsid w:val="004B7C1A"/>
    <w:rsid w:val="004B7F60"/>
    <w:rsid w:val="004C1AAC"/>
    <w:rsid w:val="004C47EA"/>
    <w:rsid w:val="004C6551"/>
    <w:rsid w:val="004D4E67"/>
    <w:rsid w:val="004E024F"/>
    <w:rsid w:val="004E1E0A"/>
    <w:rsid w:val="004E3F46"/>
    <w:rsid w:val="004F090E"/>
    <w:rsid w:val="004F251E"/>
    <w:rsid w:val="005009CD"/>
    <w:rsid w:val="00501F3C"/>
    <w:rsid w:val="0050298E"/>
    <w:rsid w:val="00503C7C"/>
    <w:rsid w:val="00511E6C"/>
    <w:rsid w:val="00515A81"/>
    <w:rsid w:val="0052140D"/>
    <w:rsid w:val="0052229C"/>
    <w:rsid w:val="005250B8"/>
    <w:rsid w:val="00527CC7"/>
    <w:rsid w:val="0053088C"/>
    <w:rsid w:val="00533CF2"/>
    <w:rsid w:val="00550215"/>
    <w:rsid w:val="00553EF7"/>
    <w:rsid w:val="00571CA4"/>
    <w:rsid w:val="00582136"/>
    <w:rsid w:val="00586B68"/>
    <w:rsid w:val="005B3DB2"/>
    <w:rsid w:val="005C6840"/>
    <w:rsid w:val="005E230C"/>
    <w:rsid w:val="005F1ED8"/>
    <w:rsid w:val="005F263E"/>
    <w:rsid w:val="00600252"/>
    <w:rsid w:val="00605F6E"/>
    <w:rsid w:val="00612A40"/>
    <w:rsid w:val="0062714A"/>
    <w:rsid w:val="00630A4D"/>
    <w:rsid w:val="00634EA8"/>
    <w:rsid w:val="00642F55"/>
    <w:rsid w:val="0064430A"/>
    <w:rsid w:val="00645561"/>
    <w:rsid w:val="00646DFD"/>
    <w:rsid w:val="00675479"/>
    <w:rsid w:val="00680709"/>
    <w:rsid w:val="00681F61"/>
    <w:rsid w:val="00691CA5"/>
    <w:rsid w:val="006934AC"/>
    <w:rsid w:val="00696BF9"/>
    <w:rsid w:val="00697C62"/>
    <w:rsid w:val="006A0578"/>
    <w:rsid w:val="006A329B"/>
    <w:rsid w:val="006A7EB8"/>
    <w:rsid w:val="006B2A79"/>
    <w:rsid w:val="006B6598"/>
    <w:rsid w:val="006B6926"/>
    <w:rsid w:val="006C3F47"/>
    <w:rsid w:val="006C5F7A"/>
    <w:rsid w:val="006E06AF"/>
    <w:rsid w:val="006E61E0"/>
    <w:rsid w:val="006F350F"/>
    <w:rsid w:val="006F3768"/>
    <w:rsid w:val="00706406"/>
    <w:rsid w:val="007079B6"/>
    <w:rsid w:val="00714839"/>
    <w:rsid w:val="007236CC"/>
    <w:rsid w:val="00732DB7"/>
    <w:rsid w:val="00741715"/>
    <w:rsid w:val="0074238B"/>
    <w:rsid w:val="00744E97"/>
    <w:rsid w:val="00745EF7"/>
    <w:rsid w:val="0074712C"/>
    <w:rsid w:val="00755F22"/>
    <w:rsid w:val="00760464"/>
    <w:rsid w:val="007609E4"/>
    <w:rsid w:val="00766E4A"/>
    <w:rsid w:val="007820CE"/>
    <w:rsid w:val="00782AE4"/>
    <w:rsid w:val="0078342A"/>
    <w:rsid w:val="00791BDA"/>
    <w:rsid w:val="00793EF2"/>
    <w:rsid w:val="007941C1"/>
    <w:rsid w:val="0079724F"/>
    <w:rsid w:val="007A3EAE"/>
    <w:rsid w:val="007A76E4"/>
    <w:rsid w:val="007B0216"/>
    <w:rsid w:val="007C04FC"/>
    <w:rsid w:val="007C3DB0"/>
    <w:rsid w:val="007C47C2"/>
    <w:rsid w:val="007D341B"/>
    <w:rsid w:val="007D3E0F"/>
    <w:rsid w:val="007E4282"/>
    <w:rsid w:val="007E50A6"/>
    <w:rsid w:val="007F387B"/>
    <w:rsid w:val="008011F5"/>
    <w:rsid w:val="00802863"/>
    <w:rsid w:val="008112A9"/>
    <w:rsid w:val="00815B3C"/>
    <w:rsid w:val="0081610A"/>
    <w:rsid w:val="008205CC"/>
    <w:rsid w:val="0082783A"/>
    <w:rsid w:val="00831CA9"/>
    <w:rsid w:val="00846918"/>
    <w:rsid w:val="0084775B"/>
    <w:rsid w:val="00850E1F"/>
    <w:rsid w:val="008518F7"/>
    <w:rsid w:val="0085476B"/>
    <w:rsid w:val="008559F1"/>
    <w:rsid w:val="0086340B"/>
    <w:rsid w:val="00864682"/>
    <w:rsid w:val="0086756A"/>
    <w:rsid w:val="00872B5A"/>
    <w:rsid w:val="0087432C"/>
    <w:rsid w:val="008902B1"/>
    <w:rsid w:val="00890FEB"/>
    <w:rsid w:val="00895E7E"/>
    <w:rsid w:val="00897E26"/>
    <w:rsid w:val="008A0657"/>
    <w:rsid w:val="008A34C6"/>
    <w:rsid w:val="008A5C1A"/>
    <w:rsid w:val="008A7869"/>
    <w:rsid w:val="008B07E2"/>
    <w:rsid w:val="008B0C43"/>
    <w:rsid w:val="008B657A"/>
    <w:rsid w:val="008D1326"/>
    <w:rsid w:val="008D246E"/>
    <w:rsid w:val="008D292F"/>
    <w:rsid w:val="008D4AE3"/>
    <w:rsid w:val="008D724A"/>
    <w:rsid w:val="008E03DC"/>
    <w:rsid w:val="008E0700"/>
    <w:rsid w:val="008E1CB6"/>
    <w:rsid w:val="008E4085"/>
    <w:rsid w:val="00902E51"/>
    <w:rsid w:val="00906D77"/>
    <w:rsid w:val="009145B4"/>
    <w:rsid w:val="00924065"/>
    <w:rsid w:val="00926D48"/>
    <w:rsid w:val="00930D68"/>
    <w:rsid w:val="00932DB4"/>
    <w:rsid w:val="00941A4B"/>
    <w:rsid w:val="00946242"/>
    <w:rsid w:val="0095096B"/>
    <w:rsid w:val="00951846"/>
    <w:rsid w:val="0095301E"/>
    <w:rsid w:val="00960F4F"/>
    <w:rsid w:val="00963BEF"/>
    <w:rsid w:val="0096684C"/>
    <w:rsid w:val="00970CD3"/>
    <w:rsid w:val="00970DAE"/>
    <w:rsid w:val="009723FA"/>
    <w:rsid w:val="00975FC1"/>
    <w:rsid w:val="00984546"/>
    <w:rsid w:val="00996510"/>
    <w:rsid w:val="009A6B97"/>
    <w:rsid w:val="009C1C61"/>
    <w:rsid w:val="009C46FE"/>
    <w:rsid w:val="009C584E"/>
    <w:rsid w:val="009D1F15"/>
    <w:rsid w:val="009D555E"/>
    <w:rsid w:val="009E5099"/>
    <w:rsid w:val="009F3024"/>
    <w:rsid w:val="009F39BA"/>
    <w:rsid w:val="009F4D62"/>
    <w:rsid w:val="00A0106F"/>
    <w:rsid w:val="00A0355E"/>
    <w:rsid w:val="00A25F24"/>
    <w:rsid w:val="00A30BDF"/>
    <w:rsid w:val="00A31917"/>
    <w:rsid w:val="00A32D34"/>
    <w:rsid w:val="00A375D1"/>
    <w:rsid w:val="00A46E91"/>
    <w:rsid w:val="00A47097"/>
    <w:rsid w:val="00A51D10"/>
    <w:rsid w:val="00A52A83"/>
    <w:rsid w:val="00A628B7"/>
    <w:rsid w:val="00A6552C"/>
    <w:rsid w:val="00A701C9"/>
    <w:rsid w:val="00A76317"/>
    <w:rsid w:val="00A7767B"/>
    <w:rsid w:val="00A86787"/>
    <w:rsid w:val="00A87207"/>
    <w:rsid w:val="00A91544"/>
    <w:rsid w:val="00A916FF"/>
    <w:rsid w:val="00A93562"/>
    <w:rsid w:val="00A935AA"/>
    <w:rsid w:val="00A93777"/>
    <w:rsid w:val="00A939E3"/>
    <w:rsid w:val="00A956D3"/>
    <w:rsid w:val="00A9632B"/>
    <w:rsid w:val="00AA4A03"/>
    <w:rsid w:val="00AA56A7"/>
    <w:rsid w:val="00AB2201"/>
    <w:rsid w:val="00AC6F9E"/>
    <w:rsid w:val="00AD1D34"/>
    <w:rsid w:val="00AD3259"/>
    <w:rsid w:val="00AD5342"/>
    <w:rsid w:val="00AE10ED"/>
    <w:rsid w:val="00AE4EA0"/>
    <w:rsid w:val="00AF1715"/>
    <w:rsid w:val="00AF3904"/>
    <w:rsid w:val="00B010C0"/>
    <w:rsid w:val="00B02028"/>
    <w:rsid w:val="00B06D72"/>
    <w:rsid w:val="00B07976"/>
    <w:rsid w:val="00B15BE1"/>
    <w:rsid w:val="00B23BD1"/>
    <w:rsid w:val="00B24974"/>
    <w:rsid w:val="00B250FE"/>
    <w:rsid w:val="00B30EDC"/>
    <w:rsid w:val="00B3434E"/>
    <w:rsid w:val="00B4740D"/>
    <w:rsid w:val="00B514A7"/>
    <w:rsid w:val="00B52AD0"/>
    <w:rsid w:val="00B55CAD"/>
    <w:rsid w:val="00B565F1"/>
    <w:rsid w:val="00B61629"/>
    <w:rsid w:val="00B64A99"/>
    <w:rsid w:val="00B65329"/>
    <w:rsid w:val="00B7374B"/>
    <w:rsid w:val="00B75D1A"/>
    <w:rsid w:val="00B77038"/>
    <w:rsid w:val="00B83612"/>
    <w:rsid w:val="00B87E93"/>
    <w:rsid w:val="00B90DC0"/>
    <w:rsid w:val="00BA116A"/>
    <w:rsid w:val="00BA3198"/>
    <w:rsid w:val="00BA5582"/>
    <w:rsid w:val="00BA6468"/>
    <w:rsid w:val="00BB1D44"/>
    <w:rsid w:val="00BB5F97"/>
    <w:rsid w:val="00BC3851"/>
    <w:rsid w:val="00BD06DA"/>
    <w:rsid w:val="00BD4217"/>
    <w:rsid w:val="00BF0A99"/>
    <w:rsid w:val="00BF25F3"/>
    <w:rsid w:val="00C11281"/>
    <w:rsid w:val="00C11C4D"/>
    <w:rsid w:val="00C1697B"/>
    <w:rsid w:val="00C21644"/>
    <w:rsid w:val="00C21CB5"/>
    <w:rsid w:val="00C3079F"/>
    <w:rsid w:val="00C43DAF"/>
    <w:rsid w:val="00C45763"/>
    <w:rsid w:val="00C46376"/>
    <w:rsid w:val="00C46C3C"/>
    <w:rsid w:val="00C47B0C"/>
    <w:rsid w:val="00C50A5C"/>
    <w:rsid w:val="00C50FDF"/>
    <w:rsid w:val="00C51AA9"/>
    <w:rsid w:val="00C57C7C"/>
    <w:rsid w:val="00C63381"/>
    <w:rsid w:val="00C6529C"/>
    <w:rsid w:val="00C73D06"/>
    <w:rsid w:val="00C73E1B"/>
    <w:rsid w:val="00C759B4"/>
    <w:rsid w:val="00C77713"/>
    <w:rsid w:val="00C85BB7"/>
    <w:rsid w:val="00C870B1"/>
    <w:rsid w:val="00C92B48"/>
    <w:rsid w:val="00CA2DEA"/>
    <w:rsid w:val="00CA55F2"/>
    <w:rsid w:val="00CA7977"/>
    <w:rsid w:val="00CB3520"/>
    <w:rsid w:val="00CB43D5"/>
    <w:rsid w:val="00CC06D5"/>
    <w:rsid w:val="00CC08A0"/>
    <w:rsid w:val="00CC38A7"/>
    <w:rsid w:val="00CC4D84"/>
    <w:rsid w:val="00CD16BC"/>
    <w:rsid w:val="00CE198A"/>
    <w:rsid w:val="00CF08C8"/>
    <w:rsid w:val="00CF18F3"/>
    <w:rsid w:val="00CF1B04"/>
    <w:rsid w:val="00CF52CF"/>
    <w:rsid w:val="00CF6B6F"/>
    <w:rsid w:val="00CF75A6"/>
    <w:rsid w:val="00D004FC"/>
    <w:rsid w:val="00D04FFA"/>
    <w:rsid w:val="00D07C26"/>
    <w:rsid w:val="00D1028D"/>
    <w:rsid w:val="00D10E4C"/>
    <w:rsid w:val="00D13808"/>
    <w:rsid w:val="00D14C56"/>
    <w:rsid w:val="00D175E3"/>
    <w:rsid w:val="00D262A9"/>
    <w:rsid w:val="00D32AFE"/>
    <w:rsid w:val="00D3497A"/>
    <w:rsid w:val="00D53B3C"/>
    <w:rsid w:val="00D55034"/>
    <w:rsid w:val="00D56A64"/>
    <w:rsid w:val="00D64901"/>
    <w:rsid w:val="00D67C95"/>
    <w:rsid w:val="00D731FA"/>
    <w:rsid w:val="00D73F70"/>
    <w:rsid w:val="00D76BDF"/>
    <w:rsid w:val="00D818B6"/>
    <w:rsid w:val="00D862C1"/>
    <w:rsid w:val="00D92B56"/>
    <w:rsid w:val="00D92F6F"/>
    <w:rsid w:val="00D93B50"/>
    <w:rsid w:val="00D94028"/>
    <w:rsid w:val="00D94670"/>
    <w:rsid w:val="00DA0CFA"/>
    <w:rsid w:val="00DA46F6"/>
    <w:rsid w:val="00DA48B3"/>
    <w:rsid w:val="00DA4F7F"/>
    <w:rsid w:val="00DC393D"/>
    <w:rsid w:val="00DD0B49"/>
    <w:rsid w:val="00DD5AF7"/>
    <w:rsid w:val="00DE0502"/>
    <w:rsid w:val="00DE25C2"/>
    <w:rsid w:val="00DE349D"/>
    <w:rsid w:val="00DE4042"/>
    <w:rsid w:val="00DE423B"/>
    <w:rsid w:val="00DF4D85"/>
    <w:rsid w:val="00DF6573"/>
    <w:rsid w:val="00DF65C8"/>
    <w:rsid w:val="00E0263E"/>
    <w:rsid w:val="00E06DFA"/>
    <w:rsid w:val="00E1128E"/>
    <w:rsid w:val="00E128A0"/>
    <w:rsid w:val="00E153BC"/>
    <w:rsid w:val="00E16270"/>
    <w:rsid w:val="00E20A0A"/>
    <w:rsid w:val="00E240C2"/>
    <w:rsid w:val="00E26CA3"/>
    <w:rsid w:val="00E26FA8"/>
    <w:rsid w:val="00E33C90"/>
    <w:rsid w:val="00E356C7"/>
    <w:rsid w:val="00E35B9D"/>
    <w:rsid w:val="00E3742F"/>
    <w:rsid w:val="00E41665"/>
    <w:rsid w:val="00E41A5A"/>
    <w:rsid w:val="00E45FE4"/>
    <w:rsid w:val="00E5064F"/>
    <w:rsid w:val="00E6333F"/>
    <w:rsid w:val="00E64FA7"/>
    <w:rsid w:val="00E770CB"/>
    <w:rsid w:val="00E771A8"/>
    <w:rsid w:val="00E80301"/>
    <w:rsid w:val="00E81D07"/>
    <w:rsid w:val="00E84C6C"/>
    <w:rsid w:val="00E903A1"/>
    <w:rsid w:val="00E940EB"/>
    <w:rsid w:val="00E9491C"/>
    <w:rsid w:val="00E96234"/>
    <w:rsid w:val="00E9703F"/>
    <w:rsid w:val="00EA2AEE"/>
    <w:rsid w:val="00EB24C8"/>
    <w:rsid w:val="00EB2B90"/>
    <w:rsid w:val="00EB658B"/>
    <w:rsid w:val="00EB6E1D"/>
    <w:rsid w:val="00EC154C"/>
    <w:rsid w:val="00EC2CC5"/>
    <w:rsid w:val="00EC38B7"/>
    <w:rsid w:val="00EC4FDF"/>
    <w:rsid w:val="00ED3C83"/>
    <w:rsid w:val="00ED5976"/>
    <w:rsid w:val="00ED7E83"/>
    <w:rsid w:val="00EE091F"/>
    <w:rsid w:val="00EE1991"/>
    <w:rsid w:val="00EE1FDE"/>
    <w:rsid w:val="00EF4B63"/>
    <w:rsid w:val="00F0068D"/>
    <w:rsid w:val="00F0576D"/>
    <w:rsid w:val="00F0729F"/>
    <w:rsid w:val="00F10E4E"/>
    <w:rsid w:val="00F14E6D"/>
    <w:rsid w:val="00F15EA8"/>
    <w:rsid w:val="00F16C8D"/>
    <w:rsid w:val="00F243A1"/>
    <w:rsid w:val="00F26C61"/>
    <w:rsid w:val="00F33CCE"/>
    <w:rsid w:val="00F40249"/>
    <w:rsid w:val="00F4310C"/>
    <w:rsid w:val="00F526C8"/>
    <w:rsid w:val="00F52B87"/>
    <w:rsid w:val="00F52C60"/>
    <w:rsid w:val="00F61376"/>
    <w:rsid w:val="00F701D6"/>
    <w:rsid w:val="00F72014"/>
    <w:rsid w:val="00F761A3"/>
    <w:rsid w:val="00F7677D"/>
    <w:rsid w:val="00F870CE"/>
    <w:rsid w:val="00F90070"/>
    <w:rsid w:val="00F9272D"/>
    <w:rsid w:val="00F9285D"/>
    <w:rsid w:val="00F93877"/>
    <w:rsid w:val="00F9518C"/>
    <w:rsid w:val="00FA316E"/>
    <w:rsid w:val="00FA3373"/>
    <w:rsid w:val="00FA50D3"/>
    <w:rsid w:val="00FA59EF"/>
    <w:rsid w:val="00FB0B03"/>
    <w:rsid w:val="00FB19A2"/>
    <w:rsid w:val="00FB51BD"/>
    <w:rsid w:val="00FB52C9"/>
    <w:rsid w:val="00FC18CE"/>
    <w:rsid w:val="00FD0255"/>
    <w:rsid w:val="00FD4098"/>
    <w:rsid w:val="00FE2C75"/>
    <w:rsid w:val="00FE2CDE"/>
    <w:rsid w:val="00FE3038"/>
    <w:rsid w:val="00FE6F79"/>
    <w:rsid w:val="00FE72CD"/>
    <w:rsid w:val="00FE75A4"/>
    <w:rsid w:val="00FF6913"/>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2E3712"/>
    <w:pPr>
      <w:jc w:val="both"/>
    </w:pPr>
    <w:rPr>
      <w:rFonts w:eastAsia="Calibri" w:cs="Times New Roman"/>
      <w:smallCaps/>
    </w:rPr>
  </w:style>
  <w:style w:type="character" w:customStyle="1" w:styleId="SCCBanSummaryChar">
    <w:name w:val="SCC.BanSummary Char"/>
    <w:basedOn w:val="DefaultParagraphFont"/>
    <w:link w:val="SCCBanSummary"/>
    <w:rsid w:val="002E3712"/>
    <w:rPr>
      <w:rFonts w:eastAsia="Calibri" w:cs="Times New Roman"/>
      <w:smallCaps/>
      <w:lang w:val="en-CA"/>
    </w:rPr>
  </w:style>
  <w:style w:type="paragraph" w:styleId="BalloonText">
    <w:name w:val="Balloon Text"/>
    <w:basedOn w:val="Normal"/>
    <w:link w:val="BalloonTextChar"/>
    <w:uiPriority w:val="99"/>
    <w:semiHidden/>
    <w:unhideWhenUsed/>
    <w:rsid w:val="00530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88C"/>
    <w:rPr>
      <w:rFonts w:ascii="Segoe UI" w:hAnsi="Segoe UI" w:cs="Segoe UI"/>
      <w:sz w:val="18"/>
      <w:szCs w:val="18"/>
      <w:lang w:val="en-CA"/>
    </w:rPr>
  </w:style>
  <w:style w:type="paragraph" w:customStyle="1" w:styleId="Default">
    <w:name w:val="Default"/>
    <w:rsid w:val="00060315"/>
    <w:pPr>
      <w:autoSpaceDE w:val="0"/>
      <w:autoSpaceDN w:val="0"/>
      <w:adjustRightInd w:val="0"/>
    </w:pPr>
    <w:rPr>
      <w:rFonts w:eastAsia="Times New Roman" w:cs="Times New Roman"/>
      <w:color w:val="000000"/>
      <w:szCs w:val="24"/>
      <w:lang w:eastAsia="en-CA"/>
    </w:rPr>
  </w:style>
  <w:style w:type="table" w:customStyle="1" w:styleId="TableGrid2">
    <w:name w:val="Table Grid2"/>
    <w:basedOn w:val="TableNormal"/>
    <w:next w:val="TableGrid"/>
    <w:uiPriority w:val="59"/>
    <w:rsid w:val="0031031C"/>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a/doc/2015/2015qcca410/2015qcca410.html" TargetMode="External"/><Relationship Id="rId117" Type="http://schemas.openxmlformats.org/officeDocument/2006/relationships/hyperlink" Target="http://canlii.ca/t/ghb0d" TargetMode="External"/><Relationship Id="rId21" Type="http://schemas.openxmlformats.org/officeDocument/2006/relationships/footer" Target="footer6.xml"/><Relationship Id="rId42" Type="http://schemas.openxmlformats.org/officeDocument/2006/relationships/hyperlink" Target="http://www.canlii.org/en/nt/ntsc/doc/2012/2012nwtsc44/2012nwtsc44.html" TargetMode="External"/><Relationship Id="rId47" Type="http://schemas.openxmlformats.org/officeDocument/2006/relationships/hyperlink" Target="http://www.canlii.org/en/nt/ntca/doc/2015/2015nwtca2/2015nwtca2.html" TargetMode="External"/><Relationship Id="rId63" Type="http://schemas.openxmlformats.org/officeDocument/2006/relationships/hyperlink" Target="http://www.canlii.org/en/bc/bcca/doc/2015/2015bcca136/2015bcca136.html?autocompleteStr=2015%20bcca%20136&amp;autocompletePos=1" TargetMode="External"/><Relationship Id="rId68" Type="http://schemas.openxmlformats.org/officeDocument/2006/relationships/hyperlink" Target="http://www.canlii.org/en/on/laws/regu/rro-1990-reg-194/latest/rro-1990-reg-194.html" TargetMode="External"/><Relationship Id="rId84" Type="http://schemas.openxmlformats.org/officeDocument/2006/relationships/hyperlink" Target="http://canlii.ca/t/gh67b" TargetMode="External"/><Relationship Id="rId89" Type="http://schemas.openxmlformats.org/officeDocument/2006/relationships/hyperlink" Target="https://www.canlii.org/en/bc/bcca/doc/2015/2015bcca145/2015bcca145.html?autocompleteStr=2015%20BCCA%20145&amp;autocompletePos=1" TargetMode="External"/><Relationship Id="rId112" Type="http://schemas.openxmlformats.org/officeDocument/2006/relationships/hyperlink" Target="http://canlii.ca/t/g2pqp" TargetMode="External"/><Relationship Id="rId133" Type="http://schemas.openxmlformats.org/officeDocument/2006/relationships/footer" Target="footer13.xml"/><Relationship Id="rId138" Type="http://schemas.openxmlformats.org/officeDocument/2006/relationships/header" Target="header16.xml"/><Relationship Id="rId16" Type="http://schemas.openxmlformats.org/officeDocument/2006/relationships/header" Target="header4.xml"/><Relationship Id="rId107" Type="http://schemas.openxmlformats.org/officeDocument/2006/relationships/hyperlink" Target="http://www.canlii.org/fr/qc/qcca/doc/2015/2015qcca626/2015qcca626.html?searchUrlHash=AAAAAQAYY2jDqXJpdGEgam9obnNvbiByaWNoYXJkAAAAAAE&amp;resultIndex=2" TargetMode="External"/><Relationship Id="rId11" Type="http://schemas.openxmlformats.org/officeDocument/2006/relationships/header" Target="header2.xml"/><Relationship Id="rId32" Type="http://schemas.openxmlformats.org/officeDocument/2006/relationships/hyperlink" Target="http://www.canlii.org/en/qc/qccs/doc/2012/2012qccs6227/2012qccs6227.html" TargetMode="External"/><Relationship Id="rId37" Type="http://schemas.openxmlformats.org/officeDocument/2006/relationships/hyperlink" Target="http://canlii.ca/t/gfkbv" TargetMode="External"/><Relationship Id="rId53" Type="http://schemas.openxmlformats.org/officeDocument/2006/relationships/hyperlink" Target="http://www.canlii.org/en/ab/abca/doc/2015/2015abca51/2015abca51.html?searchUrlHash=AAAAAAAAAAEAFjIwMTMgQUJRQiAyNzMgKENhbkxJSSkAAAABAAwvMjAxM2FicWIyNzMB&amp;resultIndex=1" TargetMode="External"/><Relationship Id="rId58" Type="http://schemas.openxmlformats.org/officeDocument/2006/relationships/hyperlink" Target="http://www.canlii.org/fr/qc/qccs/doc/2013/2013qccs5688/2013qccs5688.html" TargetMode="External"/><Relationship Id="rId74" Type="http://schemas.openxmlformats.org/officeDocument/2006/relationships/hyperlink" Target="http://www.canlii.org/en/on/laws/regu/rro-1990-reg-194/latest/rro-1990-reg-194.html" TargetMode="External"/><Relationship Id="rId79" Type="http://schemas.openxmlformats.org/officeDocument/2006/relationships/hyperlink" Target="http://canlii.ca/t/gh8hf" TargetMode="External"/><Relationship Id="rId102" Type="http://schemas.openxmlformats.org/officeDocument/2006/relationships/hyperlink" Target="http://www.canlii.org/en/on/onca/doc/2015/2015onca259/2015onca259.html?resultIndex=1" TargetMode="External"/><Relationship Id="rId123" Type="http://schemas.openxmlformats.org/officeDocument/2006/relationships/header" Target="header9.xml"/><Relationship Id="rId128" Type="http://schemas.openxmlformats.org/officeDocument/2006/relationships/header" Target="header11.xml"/><Relationship Id="rId144" Type="http://schemas.openxmlformats.org/officeDocument/2006/relationships/header" Target="header19.xml"/><Relationship Id="rId5" Type="http://schemas.openxmlformats.org/officeDocument/2006/relationships/footnotes" Target="footnotes.xml"/><Relationship Id="rId90" Type="http://schemas.openxmlformats.org/officeDocument/2006/relationships/hyperlink" Target="http://www.canlii.org/en/ca/fct/doc/2014/2014fc215/2014fc215.html" TargetMode="External"/><Relationship Id="rId95" Type="http://schemas.openxmlformats.org/officeDocument/2006/relationships/hyperlink" Target="http://www.canlii.org/en/bc/bcca/doc/2015/2015bcca158/2015bcca158.html" TargetMode="External"/><Relationship Id="rId22" Type="http://schemas.openxmlformats.org/officeDocument/2006/relationships/header" Target="header7.xml"/><Relationship Id="rId27" Type="http://schemas.openxmlformats.org/officeDocument/2006/relationships/hyperlink" Target="http://www.canlii.org/en/qc/qccs/doc/2012/2012qccs3491/2012qccs3491.html?autocompleteStr=2012%20qccs%203491&amp;autocompletePos=1" TargetMode="External"/><Relationship Id="rId43" Type="http://schemas.openxmlformats.org/officeDocument/2006/relationships/hyperlink" Target="http://www.canlii.org/en/nt/ntca/doc/2015/2015nwtca1/2015nwtca1.html" TargetMode="External"/><Relationship Id="rId48" Type="http://schemas.openxmlformats.org/officeDocument/2006/relationships/hyperlink" Target="http://www.canlii.org/fr/nt/ntsc/doc/2012/2012canlii31380/2012canlii31380.html?resultIndex=5" TargetMode="External"/><Relationship Id="rId64" Type="http://schemas.openxmlformats.org/officeDocument/2006/relationships/hyperlink" Target="http://www.canlii.org/en/bc/bcsc/doc/2014/2014bcsc336/2014bcsc336.html?autocompleteStr=2014%20bcsc%20336&amp;autocompletePos=1" TargetMode="External"/><Relationship Id="rId69" Type="http://schemas.openxmlformats.org/officeDocument/2006/relationships/hyperlink" Target="http://www.canlii.org/en/on/onca/doc/2015/2015onca206/2015onca206.html?resultIndex=1" TargetMode="External"/><Relationship Id="rId113" Type="http://schemas.openxmlformats.org/officeDocument/2006/relationships/hyperlink" Target="http://canlii.ca/t/ghb7m" TargetMode="External"/><Relationship Id="rId118" Type="http://schemas.openxmlformats.org/officeDocument/2006/relationships/hyperlink" Target="http://www.canlii.org/fr/qc/qcca/doc/2015/2015qcca709/2015qcca709.html" TargetMode="External"/><Relationship Id="rId134" Type="http://schemas.openxmlformats.org/officeDocument/2006/relationships/header" Target="header14.xml"/><Relationship Id="rId139" Type="http://schemas.openxmlformats.org/officeDocument/2006/relationships/footer" Target="footer16.xml"/><Relationship Id="rId80" Type="http://schemas.openxmlformats.org/officeDocument/2006/relationships/hyperlink" Target="http://www.canlii.org/en/ab/abqb/doc/2013/2013abqb652/2013abqb652.html?autocompleteStr=2013%20ABQB%20652&amp;autocompletePos=1" TargetMode="External"/><Relationship Id="rId85" Type="http://schemas.openxmlformats.org/officeDocument/2006/relationships/hyperlink" Target="http://canlii.ca/t/gh67b"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fr/qc/qcca/doc/2014/2014qcca1999/2014qcca1999.html" TargetMode="External"/><Relationship Id="rId33" Type="http://schemas.openxmlformats.org/officeDocument/2006/relationships/hyperlink" Target="http://www.canlii.org/fr/qc/qcca/doc/2014/2014qcca2096/2014qcca2096.html" TargetMode="External"/><Relationship Id="rId38" Type="http://schemas.openxmlformats.org/officeDocument/2006/relationships/hyperlink" Target="http://www.canlii.org/en/bc/bcsc/doc/2013/2013bcsc2155/2013bcsc2155.html" TargetMode="External"/><Relationship Id="rId46" Type="http://schemas.openxmlformats.org/officeDocument/2006/relationships/hyperlink" Target="http://www.canlii.org/fr/nt/ntsc/doc/2012/2012canlii31380/2012canlii31380.html?resultIndex=5" TargetMode="External"/><Relationship Id="rId59" Type="http://schemas.openxmlformats.org/officeDocument/2006/relationships/hyperlink" Target="http://www.canlii.org/fr/qc/qcca/doc/2015/2015qcca433/2015qcca433.html" TargetMode="External"/><Relationship Id="rId67" Type="http://schemas.openxmlformats.org/officeDocument/2006/relationships/hyperlink" Target="http://www.canlii.org/en/on/laws/regu/rro-1990-reg-194/latest/rro-1990-reg-194.html" TargetMode="External"/><Relationship Id="rId103" Type="http://schemas.openxmlformats.org/officeDocument/2006/relationships/hyperlink" Target="http://www.canlii.org/en/on/onca/doc/2015/2015onca259/2015onca259.html?resultIndex=1" TargetMode="External"/><Relationship Id="rId108" Type="http://schemas.openxmlformats.org/officeDocument/2006/relationships/hyperlink" Target="http://canlii.ca/t/gg39m" TargetMode="External"/><Relationship Id="rId116" Type="http://schemas.openxmlformats.org/officeDocument/2006/relationships/hyperlink" Target="http://canlii.ca/t/ghb0d" TargetMode="External"/><Relationship Id="rId124" Type="http://schemas.openxmlformats.org/officeDocument/2006/relationships/footer" Target="footer8.xml"/><Relationship Id="rId129" Type="http://schemas.openxmlformats.org/officeDocument/2006/relationships/header" Target="header12.xml"/><Relationship Id="rId137" Type="http://schemas.openxmlformats.org/officeDocument/2006/relationships/footer" Target="footer15.xml"/><Relationship Id="rId20" Type="http://schemas.openxmlformats.org/officeDocument/2006/relationships/header" Target="header6.xml"/><Relationship Id="rId41" Type="http://schemas.openxmlformats.org/officeDocument/2006/relationships/hyperlink" Target="http://www.canlii.org/en/bc/bcca/doc/2014/2014bcca496/2014bcca496.html?searchUrlHash=AAAAAQANMjAxNCBCQ0NBIDQ5NgAAAAAB&amp;resultIndex=3" TargetMode="External"/><Relationship Id="rId54" Type="http://schemas.openxmlformats.org/officeDocument/2006/relationships/hyperlink" Target="http://www.canlii.org/en/index.php" TargetMode="External"/><Relationship Id="rId62" Type="http://schemas.openxmlformats.org/officeDocument/2006/relationships/hyperlink" Target="http://www.canlii.org/en/bc/bcsc/doc/2014/2014bcsc336/2014bcsc336.html?autocompleteStr=2014%20bcsc%20336&amp;autocompletePos=1" TargetMode="External"/><Relationship Id="rId70" Type="http://schemas.openxmlformats.org/officeDocument/2006/relationships/hyperlink" Target="http://www.canlii.org/en/on/laws/regu/rro-1990-reg-194/latest/rro-1990-reg-194.html" TargetMode="External"/><Relationship Id="rId75" Type="http://schemas.openxmlformats.org/officeDocument/2006/relationships/hyperlink" Target="http://www.canlii.org/en/on/onca/doc/2015/2015onca206/2015onca206.html?resultIndex=1" TargetMode="External"/><Relationship Id="rId83" Type="http://schemas.openxmlformats.org/officeDocument/2006/relationships/hyperlink" Target="http://www.canlii.org/en/ab/abca/doc/2015/2015abca118/2015abca118.html?autocompleteStr=2015%20ABCA%20118&amp;autocompletePos=1" TargetMode="External"/><Relationship Id="rId88" Type="http://schemas.openxmlformats.org/officeDocument/2006/relationships/hyperlink" Target="https://www.canlii.org/en/bc/bcsc/doc/2013/2013bcsc224/2013bcsc224.html?autocompleteStr=2013%20BCSC%20224&amp;autocompletePos=1" TargetMode="External"/><Relationship Id="rId91" Type="http://schemas.openxmlformats.org/officeDocument/2006/relationships/hyperlink" Target="http://www.canlii.org/en/ca/fca/doc/2015/2015fca89/2015fca89.html?autocompleteStr=2015%20FCA%2089&amp;autocompletePos=1" TargetMode="External"/><Relationship Id="rId96" Type="http://schemas.openxmlformats.org/officeDocument/2006/relationships/hyperlink" Target="http://www.canlii.org/en/bc/bcsc/doc/2013/2013bcsc1362/2013bcsc1362.html?autocompleteStr=2013%20bcsc%201362&amp;autocompletePos=1" TargetMode="External"/><Relationship Id="rId111" Type="http://schemas.openxmlformats.org/officeDocument/2006/relationships/hyperlink" Target="http://canlii.ca/t/gj2kd" TargetMode="External"/><Relationship Id="rId132" Type="http://schemas.openxmlformats.org/officeDocument/2006/relationships/header" Target="header13.xml"/><Relationship Id="rId140" Type="http://schemas.openxmlformats.org/officeDocument/2006/relationships/header" Target="header17.xml"/><Relationship Id="rId145"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fr/qc/qcca/doc/2014/2014qcca1999/2014qcca1999.html" TargetMode="External"/><Relationship Id="rId36" Type="http://schemas.openxmlformats.org/officeDocument/2006/relationships/hyperlink" Target="http://canlii.ca/t/fn29r" TargetMode="External"/><Relationship Id="rId49" Type="http://schemas.openxmlformats.org/officeDocument/2006/relationships/hyperlink" Target="http://www.canlii.org/fr/nt/ntca/doc/2015/2015canlii170/2015canlii170.html?resultIndex=1" TargetMode="External"/><Relationship Id="rId57" Type="http://schemas.openxmlformats.org/officeDocument/2006/relationships/hyperlink" Target="http://www.canlii.org/fr/qc/qcca/doc/2015/2015qcca433/2015qcca433.html" TargetMode="External"/><Relationship Id="rId106" Type="http://schemas.openxmlformats.org/officeDocument/2006/relationships/hyperlink" Target="http://www.canlii.org/fr/qc/qccs/doc/2014/2014qccs5934/2014qccs5934.html?searchUrlHash=AAAAAQAYY2jDqXJpdGEgam9obnNvbiByaWNoYXJkAAAAAAE&amp;resultIndex=7" TargetMode="External"/><Relationship Id="rId114" Type="http://schemas.openxmlformats.org/officeDocument/2006/relationships/hyperlink" Target="http://canlii.ca/t/g2pqp" TargetMode="External"/><Relationship Id="rId119" Type="http://schemas.openxmlformats.org/officeDocument/2006/relationships/hyperlink" Target="http://www.canlii.org/fr/qc/qcca/doc/2015/2015qcca709/2015qcca709.html" TargetMode="External"/><Relationship Id="rId127" Type="http://schemas.openxmlformats.org/officeDocument/2006/relationships/footer" Target="footer10.xml"/><Relationship Id="rId10" Type="http://schemas.openxmlformats.org/officeDocument/2006/relationships/header" Target="header1.xml"/><Relationship Id="rId31" Type="http://schemas.openxmlformats.org/officeDocument/2006/relationships/hyperlink" Target="http://www.canlii.org/fr/qc/qcca/doc/2014/2014qcca2096/2014qcca2096.html" TargetMode="External"/><Relationship Id="rId44" Type="http://schemas.openxmlformats.org/officeDocument/2006/relationships/hyperlink" Target="http://www.canlii.org/fr/nt/ntsc/doc/2012/2012canlii31411/2012canlii31411.html" TargetMode="External"/><Relationship Id="rId52" Type="http://schemas.openxmlformats.org/officeDocument/2006/relationships/hyperlink" Target="http://www.canlii.org/en/ab/abqb/doc/2013/2013abqb273/2013abqb273.html?autocompleteStr=2013%20ABQB%20273&amp;autocompletePos=1" TargetMode="External"/><Relationship Id="rId60" Type="http://schemas.openxmlformats.org/officeDocument/2006/relationships/hyperlink" Target="http://www.canlii.org/fr/qc/qcca/doc/2012/2012qcca78/2012qcca78.html?autocompleteStr=2012%20qcca%2078&amp;autocompletePos=1" TargetMode="External"/><Relationship Id="rId65" Type="http://schemas.openxmlformats.org/officeDocument/2006/relationships/hyperlink" Target="http://www.canlii.org/en/bc/bcca/doc/2015/2015bcca136/2015bcca136.html?autocompleteStr=2015%20bcca%20136&amp;autocompletePos=1" TargetMode="External"/><Relationship Id="rId73" Type="http://schemas.openxmlformats.org/officeDocument/2006/relationships/hyperlink" Target="http://www.canlii.org/en/on/onca/doc/2015/2015onca206/2015onca206.html?resultIndex=1" TargetMode="External"/><Relationship Id="rId78" Type="http://schemas.openxmlformats.org/officeDocument/2006/relationships/hyperlink" Target="http://canlii.ca/t/gh8hf" TargetMode="External"/><Relationship Id="rId81" Type="http://schemas.openxmlformats.org/officeDocument/2006/relationships/hyperlink" Target="http://www.canlii.org/en/ab/abca/doc/2015/2015abca118/2015abca118.html?autocompleteStr=2015%20ABCA%20118&amp;autocompletePos=1" TargetMode="External"/><Relationship Id="rId86" Type="http://schemas.openxmlformats.org/officeDocument/2006/relationships/hyperlink" Target="https://www.canlii.org/en/bc/bcsc/doc/2013/2013bcsc224/2013bcsc224.html?autocompleteStr=2013%20BCSC%20224&amp;autocompletePos=1" TargetMode="External"/><Relationship Id="rId94" Type="http://schemas.openxmlformats.org/officeDocument/2006/relationships/hyperlink" Target="http://www.canlii.org/en/bc/bcsc/doc/2013/2013bcsc1362/2013bcsc1362.html?autocompleteStr=2013%20bcsc%201362&amp;autocompletePos=1" TargetMode="External"/><Relationship Id="rId99" Type="http://schemas.openxmlformats.org/officeDocument/2006/relationships/hyperlink" Target="http://www.canlii.org/en/ca/fca/doc/2015/2015fca95/2015fca95.html?autocompleteStr=2015%20fca%2095&amp;autocompletePos=1" TargetMode="External"/><Relationship Id="rId101" Type="http://schemas.openxmlformats.org/officeDocument/2006/relationships/hyperlink" Target="http://www.canlii.org/en/ca/fca/doc/2015/2015fca95/2015fca95.html?autocompleteStr=2015%20fca%2095&amp;autocompletePos=1" TargetMode="External"/><Relationship Id="rId122" Type="http://schemas.openxmlformats.org/officeDocument/2006/relationships/header" Target="header8.xml"/><Relationship Id="rId130" Type="http://schemas.openxmlformats.org/officeDocument/2006/relationships/footer" Target="footer11.xml"/><Relationship Id="rId135" Type="http://schemas.openxmlformats.org/officeDocument/2006/relationships/header" Target="header15.xml"/><Relationship Id="rId143"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canlii.org/en/bc/bcca/doc/2014/2014bcca496/2014bcca496.html?searchUrlHash=AAAAAQANMjAxNCBCQ0NBIDQ5NgAAAAAB&amp;resultIndex=3" TargetMode="External"/><Relationship Id="rId109" Type="http://schemas.openxmlformats.org/officeDocument/2006/relationships/hyperlink" Target="http://canlii.ca/t/gj2kd" TargetMode="External"/><Relationship Id="rId34" Type="http://schemas.openxmlformats.org/officeDocument/2006/relationships/hyperlink" Target="http://canlii.ca/t/fn29r" TargetMode="External"/><Relationship Id="rId50" Type="http://schemas.openxmlformats.org/officeDocument/2006/relationships/hyperlink" Target="http://www.canlii.org/en/ab/abqb/doc/2013/2013abqb273/2013abqb273.html?autocompleteStr=2013%20ABQB%20273&amp;autocompletePos=1" TargetMode="External"/><Relationship Id="rId55" Type="http://schemas.openxmlformats.org/officeDocument/2006/relationships/hyperlink" Target="http://www.canlii.org/en/index.php" TargetMode="External"/><Relationship Id="rId76" Type="http://schemas.openxmlformats.org/officeDocument/2006/relationships/hyperlink" Target="http://www.canlii.org/en/on/laws/regu/rro-1990-reg-194/latest/rro-1990-reg-194.html" TargetMode="External"/><Relationship Id="rId97" Type="http://schemas.openxmlformats.org/officeDocument/2006/relationships/hyperlink" Target="http://www.canlii.org/en/bc/bcca/doc/2015/2015bcca158/2015bcca158.html" TargetMode="External"/><Relationship Id="rId104" Type="http://schemas.openxmlformats.org/officeDocument/2006/relationships/hyperlink" Target="http://www.canlii.org/fr/qc/qccs/doc/2014/2014qccs5934/2014qccs5934.html?searchUrlHash=AAAAAQAYY2jDqXJpdGEgam9obnNvbiByaWNoYXJkAAAAAAE&amp;resultIndex=7" TargetMode="External"/><Relationship Id="rId120" Type="http://schemas.openxmlformats.org/officeDocument/2006/relationships/hyperlink" Target="http://www.canlii.org/en/mb/mbca/doc/2015/2015mbca52/2015mbca52.html?autocompleteStr=2015%20MBCA%2052&amp;autocompletePos=1" TargetMode="External"/><Relationship Id="rId125" Type="http://schemas.openxmlformats.org/officeDocument/2006/relationships/footer" Target="footer9.xml"/><Relationship Id="rId141" Type="http://schemas.openxmlformats.org/officeDocument/2006/relationships/footer" Target="footer17.xml"/><Relationship Id="rId14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hyperlink" Target="http://www.canlii.org/en/on/laws/regu/rro-1990-reg-194/latest/rro-1990-reg-194.html" TargetMode="External"/><Relationship Id="rId92" Type="http://schemas.openxmlformats.org/officeDocument/2006/relationships/hyperlink" Target="http://www.canlii.org/en/ca/fct/doc/2014/2014fc215/2014fc215.html" TargetMode="External"/><Relationship Id="rId2" Type="http://schemas.openxmlformats.org/officeDocument/2006/relationships/styles" Target="styles.xml"/><Relationship Id="rId29" Type="http://schemas.openxmlformats.org/officeDocument/2006/relationships/hyperlink" Target="http://www.canlii.org/fr/qc/qcca/doc/2015/2015qcca410/2015qcca410.html" TargetMode="External"/><Relationship Id="rId24" Type="http://schemas.openxmlformats.org/officeDocument/2006/relationships/hyperlink" Target="http://www.canlii.org/en/qc/qccs/doc/2012/2012qccs3491/2012qccs3491.html?autocompleteStr=2012%20qccs%203491&amp;autocompletePos=1" TargetMode="External"/><Relationship Id="rId40" Type="http://schemas.openxmlformats.org/officeDocument/2006/relationships/hyperlink" Target="http://www.canlii.org/en/bc/bcsc/doc/2013/2013bcsc2155/2013bcsc2155.html" TargetMode="External"/><Relationship Id="rId45" Type="http://schemas.openxmlformats.org/officeDocument/2006/relationships/hyperlink" Target="http://www.canlii.org/fr/nt/ntca/doc/2015/2015canlii168/2015canlii168.html" TargetMode="External"/><Relationship Id="rId66" Type="http://schemas.openxmlformats.org/officeDocument/2006/relationships/hyperlink" Target="http://www.canlii.org/en/on/laws/regu/rro-1990-reg-194/latest/rro-1990-reg-194.html" TargetMode="External"/><Relationship Id="rId87" Type="http://schemas.openxmlformats.org/officeDocument/2006/relationships/hyperlink" Target="https://www.canlii.org/en/bc/bcca/doc/2015/2015bcca145/2015bcca145.html?autocompleteStr=2015%20BCCA%20145&amp;autocompletePos=1" TargetMode="External"/><Relationship Id="rId110" Type="http://schemas.openxmlformats.org/officeDocument/2006/relationships/hyperlink" Target="http://canlii.ca/t/gg39m" TargetMode="External"/><Relationship Id="rId115" Type="http://schemas.openxmlformats.org/officeDocument/2006/relationships/hyperlink" Target="http://canlii.ca/t/ghb7m" TargetMode="External"/><Relationship Id="rId131" Type="http://schemas.openxmlformats.org/officeDocument/2006/relationships/footer" Target="footer12.xml"/><Relationship Id="rId136" Type="http://schemas.openxmlformats.org/officeDocument/2006/relationships/footer" Target="footer14.xml"/><Relationship Id="rId61" Type="http://schemas.openxmlformats.org/officeDocument/2006/relationships/hyperlink" Target="http://www.canlii.org/fr/qc/qcca/doc/2012/2012qcca78/2012qcca78.html?autocompleteStr=2012%20qcca%2078&amp;autocompletePos=1" TargetMode="External"/><Relationship Id="rId82" Type="http://schemas.openxmlformats.org/officeDocument/2006/relationships/hyperlink" Target="http://www.canlii.org/en/ab/abqb/doc/2013/2013abqb652/2013abqb652.html?autocompleteStr=2013%20ABQB%20652&amp;autocompletePos=1" TargetMode="Externa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yperlink" Target="http://www.canlii.org/en/qc/qccs/doc/2012/2012qccs6227/2012qccs6227.html" TargetMode="External"/><Relationship Id="rId35" Type="http://schemas.openxmlformats.org/officeDocument/2006/relationships/hyperlink" Target="http://canlii.ca/t/gfkbv" TargetMode="External"/><Relationship Id="rId56" Type="http://schemas.openxmlformats.org/officeDocument/2006/relationships/hyperlink" Target="http://www.canlii.org/fr/qc/qccs/doc/2013/2013qccs5688/2013qccs5688.html" TargetMode="External"/><Relationship Id="rId77" Type="http://schemas.openxmlformats.org/officeDocument/2006/relationships/hyperlink" Target="http://www.canlii.org/en/on/onca/doc/2015/2015onca206/2015onca206.html?resultIndex=1" TargetMode="External"/><Relationship Id="rId100" Type="http://schemas.openxmlformats.org/officeDocument/2006/relationships/hyperlink" Target="http://www.canlii.org/en/ca/tcc/doc/2014/2014tcc50/2014tcc50.html?autocompleteStr=2014%20TCC%2050&amp;autocompletePos=1" TargetMode="External"/><Relationship Id="rId105" Type="http://schemas.openxmlformats.org/officeDocument/2006/relationships/hyperlink" Target="http://www.canlii.org/fr/qc/qcca/doc/2015/2015qcca626/2015qcca626.html?searchUrlHash=AAAAAQAYY2jDqXJpdGEgam9obnNvbiByaWNoYXJkAAAAAAE&amp;resultIndex=2" TargetMode="External"/><Relationship Id="rId126" Type="http://schemas.openxmlformats.org/officeDocument/2006/relationships/header" Target="header10.xml"/><Relationship Id="rId147" Type="http://schemas.openxmlformats.org/officeDocument/2006/relationships/theme" Target="theme/theme1.xml"/><Relationship Id="rId8" Type="http://schemas.openxmlformats.org/officeDocument/2006/relationships/hyperlink" Target="http://www.scc-csc.ca" TargetMode="External"/><Relationship Id="rId51" Type="http://schemas.openxmlformats.org/officeDocument/2006/relationships/hyperlink" Target="http://www.canlii.org/en/ab/abca/doc/2015/2015abca51/2015abca51.html?searchUrlHash=AAAAAAAAAAEAFjIwMTMgQUJRQiAyNzMgKENhbkxJSSkAAAABAAwvMjAxM2FicWIyNzMB&amp;resultIndex=1" TargetMode="External"/><Relationship Id="rId72" Type="http://schemas.openxmlformats.org/officeDocument/2006/relationships/hyperlink" Target="http://www.canlii.org/en/on/laws/regu/rro-1990-reg-194/latest/rro-1990-reg-194.html" TargetMode="External"/><Relationship Id="rId93" Type="http://schemas.openxmlformats.org/officeDocument/2006/relationships/hyperlink" Target="http://www.canlii.org/en/ca/fca/doc/2015/2015fca89/2015fca89.html?autocompleteStr=2015%20FCA%2089&amp;autocompletePos=1" TargetMode="External"/><Relationship Id="rId98" Type="http://schemas.openxmlformats.org/officeDocument/2006/relationships/hyperlink" Target="http://www.canlii.org/en/ca/tcc/doc/2014/2014tcc50/2014tcc50.html?autocompleteStr=2014%20TCC%2050&amp;autocompletePos=1" TargetMode="External"/><Relationship Id="rId121" Type="http://schemas.openxmlformats.org/officeDocument/2006/relationships/hyperlink" Target="http://www.canlii.org/en/mb/mbca/doc/2015/2015mbca52/2015mbca52.html?autocompleteStr=2015%20MBCA%2052&amp;autocompletePos=1" TargetMode="External"/><Relationship Id="rId142"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25665</Words>
  <Characters>146296</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2015-10-22T19:18:00Z</dcterms:created>
  <dcterms:modified xsi:type="dcterms:W3CDTF">2015-11-26T21:47:00Z</dcterms:modified>
</cp:coreProperties>
</file>